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445BEA" w14:textId="06E4470D" w:rsidR="003F1E6F" w:rsidRPr="00B3044F" w:rsidRDefault="004E08BE" w:rsidP="00017C10">
      <w:pPr>
        <w:spacing w:line="276" w:lineRule="auto"/>
        <w:jc w:val="center"/>
        <w:rPr>
          <w:sz w:val="21"/>
          <w:szCs w:val="21"/>
          <w:u w:val="single"/>
        </w:rPr>
      </w:pPr>
      <w:r w:rsidRPr="00B3044F">
        <w:rPr>
          <w:rFonts w:eastAsia="Arial"/>
          <w:b/>
          <w:bCs/>
          <w:sz w:val="21"/>
          <w:szCs w:val="21"/>
          <w:u w:val="single"/>
        </w:rPr>
        <w:t>ESTUDO TÉCNICO PRELIMINAR</w:t>
      </w:r>
    </w:p>
    <w:p w14:paraId="1ECF8E23" w14:textId="77777777" w:rsidR="00B3044F" w:rsidRDefault="00B3044F" w:rsidP="00017C10">
      <w:pPr>
        <w:spacing w:line="276" w:lineRule="auto"/>
        <w:jc w:val="center"/>
        <w:rPr>
          <w:rFonts w:eastAsia="Arial"/>
          <w:sz w:val="21"/>
          <w:szCs w:val="21"/>
        </w:rPr>
      </w:pPr>
    </w:p>
    <w:p w14:paraId="794E1E70" w14:textId="65FC6585" w:rsidR="003F1E6F" w:rsidRPr="00B3044F" w:rsidRDefault="004E08BE" w:rsidP="00017C10">
      <w:pPr>
        <w:spacing w:line="276" w:lineRule="auto"/>
        <w:jc w:val="center"/>
        <w:rPr>
          <w:sz w:val="21"/>
          <w:szCs w:val="21"/>
        </w:rPr>
      </w:pPr>
      <w:r w:rsidRPr="00B3044F">
        <w:rPr>
          <w:rFonts w:eastAsia="Arial"/>
          <w:sz w:val="21"/>
          <w:szCs w:val="21"/>
        </w:rPr>
        <w:t>Concessão de Direito Real de Uso de Imóvel do Distrito Industrial IV (“Curva do S”), a título gratuito, com possibilidade de aquisição futura, para instalação de empreendimento industrial</w:t>
      </w:r>
    </w:p>
    <w:p w14:paraId="44F2B449" w14:textId="55D2C1A0" w:rsidR="003F1E6F" w:rsidRPr="00B3044F" w:rsidRDefault="004E08BE" w:rsidP="00017C10">
      <w:pPr>
        <w:spacing w:line="276" w:lineRule="auto"/>
        <w:jc w:val="center"/>
        <w:rPr>
          <w:sz w:val="21"/>
          <w:szCs w:val="21"/>
        </w:rPr>
      </w:pPr>
      <w:r w:rsidRPr="00B3044F">
        <w:rPr>
          <w:rFonts w:eastAsia="Arial"/>
          <w:sz w:val="21"/>
          <w:szCs w:val="21"/>
        </w:rPr>
        <w:t xml:space="preserve">Município de Palmitinho/RS </w:t>
      </w:r>
      <w:r w:rsidR="00B3044F">
        <w:rPr>
          <w:rFonts w:eastAsia="Arial"/>
          <w:sz w:val="21"/>
          <w:szCs w:val="21"/>
        </w:rPr>
        <w:t>-</w:t>
      </w:r>
      <w:r w:rsidRPr="00B3044F">
        <w:rPr>
          <w:rFonts w:eastAsia="Arial"/>
          <w:sz w:val="21"/>
          <w:szCs w:val="21"/>
        </w:rPr>
        <w:t xml:space="preserve"> Secretaria Municipal da Indústria e Comércio (órgão gestor)</w:t>
      </w:r>
    </w:p>
    <w:p w14:paraId="2DFB2944" w14:textId="77777777" w:rsidR="003F1E6F" w:rsidRPr="00B3044F" w:rsidRDefault="003F1E6F" w:rsidP="00017C10">
      <w:pPr>
        <w:spacing w:line="276" w:lineRule="auto"/>
        <w:rPr>
          <w:sz w:val="21"/>
          <w:szCs w:val="21"/>
        </w:rPr>
      </w:pPr>
    </w:p>
    <w:p w14:paraId="176AD9E4" w14:textId="1B8CA0FF" w:rsidR="003F1E6F" w:rsidRPr="00B3044F" w:rsidRDefault="004E08BE" w:rsidP="00017C10">
      <w:pPr>
        <w:spacing w:line="276" w:lineRule="auto"/>
        <w:jc w:val="both"/>
        <w:rPr>
          <w:sz w:val="21"/>
          <w:szCs w:val="21"/>
          <w:u w:val="single"/>
        </w:rPr>
      </w:pPr>
      <w:r w:rsidRPr="00B3044F">
        <w:rPr>
          <w:rFonts w:eastAsia="Arial"/>
          <w:b/>
          <w:bCs/>
          <w:sz w:val="21"/>
          <w:szCs w:val="21"/>
          <w:u w:val="single"/>
        </w:rPr>
        <w:t>1. IDENTIFICAÇÃO DO OBJETO, DO PROCESSO E DO ÓRGÃO GESTOR</w:t>
      </w:r>
      <w:r w:rsidR="00B3044F">
        <w:rPr>
          <w:rFonts w:eastAsia="Arial"/>
          <w:b/>
          <w:bCs/>
          <w:sz w:val="21"/>
          <w:szCs w:val="21"/>
          <w:u w:val="single"/>
        </w:rPr>
        <w:t>:</w:t>
      </w:r>
    </w:p>
    <w:p w14:paraId="683A0CA4" w14:textId="77777777" w:rsidR="00B3044F" w:rsidRDefault="00B3044F" w:rsidP="00017C10">
      <w:pPr>
        <w:spacing w:line="276" w:lineRule="auto"/>
        <w:jc w:val="both"/>
        <w:rPr>
          <w:rFonts w:eastAsia="Arial"/>
          <w:sz w:val="21"/>
          <w:szCs w:val="21"/>
        </w:rPr>
      </w:pPr>
      <w:r>
        <w:rPr>
          <w:rFonts w:eastAsia="Arial"/>
          <w:sz w:val="21"/>
          <w:szCs w:val="21"/>
        </w:rPr>
        <w:t xml:space="preserve">1.1. </w:t>
      </w:r>
      <w:r w:rsidR="004E08BE" w:rsidRPr="00B3044F">
        <w:rPr>
          <w:rFonts w:eastAsia="Arial"/>
          <w:sz w:val="21"/>
          <w:szCs w:val="21"/>
        </w:rPr>
        <w:t xml:space="preserve">O presente Estudo Técnico Preliminar (ETP) instrui o Processo Administrativo nº 01/2026, autuado pela Secretaria Municipal da Indústria e Comércio, órgão gestor da Lei Municipal nº 3.199, de 24 de junho de 2025, nos termos do art. 3º, caput e inciso I, do Decreto Municipal nº 75/2026, de 25 de agosto de 2026, que a regulamenta. </w:t>
      </w:r>
    </w:p>
    <w:p w14:paraId="7935BE8A" w14:textId="594637B7" w:rsidR="003F1E6F" w:rsidRPr="00B3044F" w:rsidRDefault="00B3044F" w:rsidP="00017C10">
      <w:pPr>
        <w:spacing w:line="276" w:lineRule="auto"/>
        <w:jc w:val="both"/>
        <w:rPr>
          <w:sz w:val="21"/>
          <w:szCs w:val="21"/>
        </w:rPr>
      </w:pPr>
      <w:r>
        <w:rPr>
          <w:rFonts w:eastAsia="Arial"/>
          <w:sz w:val="21"/>
          <w:szCs w:val="21"/>
        </w:rPr>
        <w:t xml:space="preserve">1.2. </w:t>
      </w:r>
      <w:r w:rsidR="004E08BE" w:rsidRPr="00B3044F">
        <w:rPr>
          <w:rFonts w:eastAsia="Arial"/>
          <w:sz w:val="21"/>
          <w:szCs w:val="21"/>
        </w:rPr>
        <w:t xml:space="preserve">O objeto consiste na concessão de direito real de uso, a título gratuito e com possibilidade de aquisição futura, de fração do imóvel de matrícula nº 01/7.246 do Registro de Imóveis de Palmitinho/RS (Comarca de Frederico Westphalen/RS), integrante do Distrito Industrial IV, conhecido como “Curva do S”, destinada à edificação e à operação de empreendimento industrial, nos termos do art. 6º, V, e dos </w:t>
      </w:r>
      <w:proofErr w:type="spellStart"/>
      <w:r w:rsidR="004E08BE" w:rsidRPr="00B3044F">
        <w:rPr>
          <w:rFonts w:eastAsia="Arial"/>
          <w:sz w:val="21"/>
          <w:szCs w:val="21"/>
        </w:rPr>
        <w:t>arts</w:t>
      </w:r>
      <w:proofErr w:type="spellEnd"/>
      <w:r w:rsidR="004E08BE" w:rsidRPr="00B3044F">
        <w:rPr>
          <w:rFonts w:eastAsia="Arial"/>
          <w:sz w:val="21"/>
          <w:szCs w:val="21"/>
        </w:rPr>
        <w:t>. 23 a 35 da Lei Municipal nº 3.199/2025.</w:t>
      </w:r>
    </w:p>
    <w:p w14:paraId="2C256CA0" w14:textId="26020C0C" w:rsidR="00312AAF" w:rsidRPr="00B3044F" w:rsidRDefault="00B3044F" w:rsidP="00017C10">
      <w:pPr>
        <w:spacing w:line="276" w:lineRule="auto"/>
        <w:jc w:val="both"/>
        <w:rPr>
          <w:rFonts w:eastAsia="Arial"/>
          <w:sz w:val="21"/>
          <w:szCs w:val="21"/>
        </w:rPr>
      </w:pPr>
      <w:r>
        <w:rPr>
          <w:rFonts w:eastAsia="Arial"/>
          <w:sz w:val="21"/>
          <w:szCs w:val="21"/>
        </w:rPr>
        <w:t xml:space="preserve">1.3. </w:t>
      </w:r>
      <w:r w:rsidR="004E08BE" w:rsidRPr="00B3044F">
        <w:rPr>
          <w:rFonts w:eastAsia="Arial"/>
          <w:sz w:val="21"/>
          <w:szCs w:val="21"/>
        </w:rPr>
        <w:t xml:space="preserve">Este estudo constituirá anexo do Edital de Concorrência a ser elaborado para o certame e dá cumprimento à exigência do item 6.1 do referido edital e do art. 12 do Decreto Municipal nº 75/2026, que impõem a indicação objetiva dos elementos que justificam a gratuidade da concessão. </w:t>
      </w:r>
    </w:p>
    <w:p w14:paraId="1DDBB59C" w14:textId="2D49F92B" w:rsidR="003F1E6F" w:rsidRPr="00B3044F" w:rsidRDefault="00B3044F" w:rsidP="00017C10">
      <w:pPr>
        <w:spacing w:line="276" w:lineRule="auto"/>
        <w:jc w:val="both"/>
        <w:rPr>
          <w:sz w:val="21"/>
          <w:szCs w:val="21"/>
        </w:rPr>
      </w:pPr>
      <w:r>
        <w:rPr>
          <w:rFonts w:eastAsia="Arial"/>
          <w:sz w:val="21"/>
          <w:szCs w:val="21"/>
        </w:rPr>
        <w:t xml:space="preserve">1.4. </w:t>
      </w:r>
      <w:r w:rsidR="004E08BE" w:rsidRPr="00B3044F">
        <w:rPr>
          <w:rFonts w:eastAsia="Arial"/>
          <w:sz w:val="21"/>
          <w:szCs w:val="21"/>
        </w:rPr>
        <w:t xml:space="preserve">Aplica-se, no que couber e subsidiariamente à Lei Municipal nº 3.199/2025 e ao Decreto Municipal nº 75/2026, o disposto no art. 18 da Lei Federal nº 14.133/2021, por força do art. 48 da Lei Municipal nº 3.199/2025, que determina a aplicação subsidiária da legislação federal de licitações. A elaboração deste estudo observa, ainda, o dever de motivação previsto nos </w:t>
      </w:r>
      <w:proofErr w:type="spellStart"/>
      <w:r w:rsidR="004E08BE" w:rsidRPr="00B3044F">
        <w:rPr>
          <w:rFonts w:eastAsia="Arial"/>
          <w:sz w:val="21"/>
          <w:szCs w:val="21"/>
        </w:rPr>
        <w:t>arts</w:t>
      </w:r>
      <w:proofErr w:type="spellEnd"/>
      <w:r w:rsidR="004E08BE" w:rsidRPr="00B3044F">
        <w:rPr>
          <w:rFonts w:eastAsia="Arial"/>
          <w:sz w:val="21"/>
          <w:szCs w:val="21"/>
        </w:rPr>
        <w:t>. 2º e 20 a 30 do Decreto-Lei nº 4.657/1942 (LINDB), com a redação da Lei nº 13.655/2018, no que se refere à indicação das consequências práticas da decisão administrativa de conceder gratuitamente o uso do bem público.</w:t>
      </w:r>
    </w:p>
    <w:p w14:paraId="535456F4" w14:textId="77777777" w:rsidR="00312AAF" w:rsidRPr="00B3044F" w:rsidRDefault="00312AAF" w:rsidP="00017C10">
      <w:pPr>
        <w:spacing w:line="276" w:lineRule="auto"/>
        <w:jc w:val="both"/>
        <w:rPr>
          <w:rFonts w:eastAsia="Arial"/>
          <w:b/>
          <w:bCs/>
          <w:sz w:val="21"/>
          <w:szCs w:val="21"/>
        </w:rPr>
      </w:pPr>
    </w:p>
    <w:p w14:paraId="10D2F6B8" w14:textId="09E8AD82" w:rsidR="003F1E6F" w:rsidRPr="00B3044F" w:rsidRDefault="004E08BE" w:rsidP="00017C10">
      <w:pPr>
        <w:spacing w:line="276" w:lineRule="auto"/>
        <w:jc w:val="both"/>
        <w:rPr>
          <w:sz w:val="21"/>
          <w:szCs w:val="21"/>
          <w:u w:val="single"/>
        </w:rPr>
      </w:pPr>
      <w:r w:rsidRPr="00B3044F">
        <w:rPr>
          <w:rFonts w:eastAsia="Arial"/>
          <w:b/>
          <w:bCs/>
          <w:sz w:val="21"/>
          <w:szCs w:val="21"/>
          <w:u w:val="single"/>
        </w:rPr>
        <w:t>2. DESCRIÇÃO DA NECESSIDADE E JUSTIFICATIVA DA CONTRATAÇÃO</w:t>
      </w:r>
      <w:r w:rsidR="00B3044F">
        <w:rPr>
          <w:rFonts w:eastAsia="Arial"/>
          <w:b/>
          <w:bCs/>
          <w:sz w:val="21"/>
          <w:szCs w:val="21"/>
          <w:u w:val="single"/>
        </w:rPr>
        <w:t>:</w:t>
      </w:r>
    </w:p>
    <w:p w14:paraId="084FAA8B" w14:textId="3050AAEB" w:rsidR="003F1E6F" w:rsidRPr="00B3044F" w:rsidRDefault="00B3044F" w:rsidP="00017C10">
      <w:pPr>
        <w:spacing w:line="276" w:lineRule="auto"/>
        <w:jc w:val="both"/>
        <w:rPr>
          <w:sz w:val="21"/>
          <w:szCs w:val="21"/>
        </w:rPr>
      </w:pPr>
      <w:r>
        <w:rPr>
          <w:rFonts w:eastAsia="Arial"/>
          <w:sz w:val="21"/>
          <w:szCs w:val="21"/>
        </w:rPr>
        <w:t xml:space="preserve">2.1. </w:t>
      </w:r>
      <w:r w:rsidR="004E08BE" w:rsidRPr="00B3044F">
        <w:rPr>
          <w:rFonts w:eastAsia="Arial"/>
          <w:sz w:val="21"/>
          <w:szCs w:val="21"/>
        </w:rPr>
        <w:t>O Município de Palmitinho instituiu, pela Lei Municipal nº 3.199/2025, seis Distritos Industriais destinados à instalação de novas indústrias, empresas atacadistas e prestadoras de serviços, à transferência, ampliação ou criação de filiais (art. 1º da Lei), com o objetivo declarado de fomentar o desenvolvimento econômico local e a geração de emprego e renda. O Distrito Industrial IV, denominado “Curva do S”, é composto por área de 76.921,87 m², dos quais 65.000,00 m² (6,5 ha) pertencem ao Município (matrícula nº R.2/7.246), remanescendo o Poder Público, até a presente data, sem qualquer instrumento de destinação econômica sobre a área, que permanece ociosa.</w:t>
      </w:r>
    </w:p>
    <w:p w14:paraId="734E44B9" w14:textId="7EEE201C" w:rsidR="003F1E6F" w:rsidRPr="00B3044F" w:rsidRDefault="00B3044F" w:rsidP="00017C10">
      <w:pPr>
        <w:spacing w:line="276" w:lineRule="auto"/>
        <w:jc w:val="both"/>
        <w:rPr>
          <w:sz w:val="21"/>
          <w:szCs w:val="21"/>
        </w:rPr>
      </w:pPr>
      <w:r>
        <w:rPr>
          <w:rFonts w:eastAsia="Arial"/>
          <w:sz w:val="21"/>
          <w:szCs w:val="21"/>
        </w:rPr>
        <w:t xml:space="preserve">2.2. </w:t>
      </w:r>
      <w:r w:rsidR="004E08BE" w:rsidRPr="00B3044F">
        <w:rPr>
          <w:rFonts w:eastAsia="Arial"/>
          <w:sz w:val="21"/>
          <w:szCs w:val="21"/>
        </w:rPr>
        <w:t>A necessidade da presente contratação reside, portanto, na ausência de instrumento jurídico que viabilize a ocupação produtiva do imóvel, que mantém o Município alheio aos benefícios socioeconômicos que a instalação de empreendimento industrial de porte pode proporcionar: geração de empregos formais, ampliação da arrecadação tributária municipal (ISSQN, taxas e, no médio prazo, IPTU sobre as edificações), dinamização da economia local e adensamento da cadeia produtiva regional. A não contratação, isto é, a manutenção do imóvel ocioso, perpetua a subutilização de ativo público de elevado valor econômico e frustra a política pública de desenvolvimento industrial que motivou a criação do próprio Distrito Industrial IV, sem que a Administração aufira qualquer contrapartida em seu lugar.</w:t>
      </w:r>
    </w:p>
    <w:p w14:paraId="1CAF702F" w14:textId="0F8E739C" w:rsidR="003F1E6F" w:rsidRPr="00B3044F" w:rsidRDefault="00B3044F" w:rsidP="00017C10">
      <w:pPr>
        <w:spacing w:line="276" w:lineRule="auto"/>
        <w:jc w:val="both"/>
        <w:rPr>
          <w:rFonts w:eastAsia="Arial"/>
          <w:sz w:val="21"/>
          <w:szCs w:val="21"/>
        </w:rPr>
      </w:pPr>
      <w:r>
        <w:rPr>
          <w:rFonts w:eastAsia="Arial"/>
          <w:sz w:val="21"/>
          <w:szCs w:val="21"/>
        </w:rPr>
        <w:t xml:space="preserve">2.3. </w:t>
      </w:r>
      <w:r w:rsidR="004E08BE" w:rsidRPr="00B3044F">
        <w:rPr>
          <w:rFonts w:eastAsia="Arial"/>
          <w:sz w:val="21"/>
          <w:szCs w:val="21"/>
        </w:rPr>
        <w:t xml:space="preserve">Não há solução alternativa ao instrumento da concessão de direito real de uso mediante licitação que atenda, a um só tempo, à indisponibilidade do patrimônio público, à impessoalidade na escolha do beneficiário e à celeridade necessária à atração do investimento, razão pela qual a Administração optou pelo modelo já disciplinado nos </w:t>
      </w:r>
      <w:proofErr w:type="spellStart"/>
      <w:r w:rsidR="004E08BE" w:rsidRPr="00B3044F">
        <w:rPr>
          <w:rFonts w:eastAsia="Arial"/>
          <w:sz w:val="21"/>
          <w:szCs w:val="21"/>
        </w:rPr>
        <w:t>arts</w:t>
      </w:r>
      <w:proofErr w:type="spellEnd"/>
      <w:r w:rsidR="004E08BE" w:rsidRPr="00B3044F">
        <w:rPr>
          <w:rFonts w:eastAsia="Arial"/>
          <w:sz w:val="21"/>
          <w:szCs w:val="21"/>
        </w:rPr>
        <w:t>. 23 a 35 da Lei Municipal nº 3.199/2025, cuja compatibilidade com a ordem jurídica local é examinada no item 8 deste Estudo.</w:t>
      </w:r>
    </w:p>
    <w:p w14:paraId="4A534750" w14:textId="77777777" w:rsidR="00312AAF" w:rsidRPr="00B3044F" w:rsidRDefault="00312AAF" w:rsidP="00017C10">
      <w:pPr>
        <w:spacing w:line="276" w:lineRule="auto"/>
        <w:ind w:firstLine="1134"/>
        <w:jc w:val="both"/>
        <w:rPr>
          <w:sz w:val="21"/>
          <w:szCs w:val="21"/>
        </w:rPr>
      </w:pPr>
    </w:p>
    <w:p w14:paraId="116F8209" w14:textId="1052C125" w:rsidR="003F1E6F" w:rsidRPr="00B3044F" w:rsidRDefault="004E08BE" w:rsidP="00017C10">
      <w:pPr>
        <w:spacing w:line="276" w:lineRule="auto"/>
        <w:jc w:val="both"/>
        <w:rPr>
          <w:sz w:val="21"/>
          <w:szCs w:val="21"/>
          <w:u w:val="single"/>
        </w:rPr>
      </w:pPr>
      <w:r w:rsidRPr="00B3044F">
        <w:rPr>
          <w:rFonts w:eastAsia="Arial"/>
          <w:b/>
          <w:bCs/>
          <w:sz w:val="21"/>
          <w:szCs w:val="21"/>
          <w:u w:val="single"/>
        </w:rPr>
        <w:t>3. VINCULAÇÃO AO PLANEJAMENTO MUNICIPAL</w:t>
      </w:r>
      <w:r w:rsidR="00B3044F">
        <w:rPr>
          <w:rFonts w:eastAsia="Arial"/>
          <w:b/>
          <w:bCs/>
          <w:sz w:val="21"/>
          <w:szCs w:val="21"/>
          <w:u w:val="single"/>
        </w:rPr>
        <w:t>:</w:t>
      </w:r>
    </w:p>
    <w:p w14:paraId="70D5A2F6" w14:textId="298F2823" w:rsidR="00312AAF" w:rsidRDefault="00B3044F" w:rsidP="00017C10">
      <w:pPr>
        <w:spacing w:line="276" w:lineRule="auto"/>
        <w:jc w:val="both"/>
        <w:rPr>
          <w:rFonts w:eastAsia="Arial"/>
          <w:sz w:val="21"/>
          <w:szCs w:val="21"/>
        </w:rPr>
      </w:pPr>
      <w:r>
        <w:rPr>
          <w:rFonts w:eastAsia="Arial"/>
          <w:sz w:val="21"/>
          <w:szCs w:val="21"/>
        </w:rPr>
        <w:t xml:space="preserve">3.1. </w:t>
      </w:r>
      <w:r w:rsidR="004E08BE" w:rsidRPr="00B3044F">
        <w:rPr>
          <w:rFonts w:eastAsia="Arial"/>
          <w:sz w:val="21"/>
          <w:szCs w:val="21"/>
        </w:rPr>
        <w:t xml:space="preserve">A presente contratação não se submete a Plano de Contratações Anual, instrumento vocacionado ao planejamento de aquisições de bens e serviços pela Administração (art. 12 da Lei nº 14.133/2021), e não à gestão de alienação e concessão de uso de bens patrimoniais do Município, matéria disciplinada em regime próprio pela Lei Municipal nº 3.199/2025 e pelo Decreto Municipal nº 75/2026. </w:t>
      </w:r>
    </w:p>
    <w:p w14:paraId="7DDC4744" w14:textId="0BC7E6BF" w:rsidR="003F1E6F" w:rsidRPr="00B3044F" w:rsidRDefault="00B3044F" w:rsidP="00017C10">
      <w:pPr>
        <w:spacing w:line="276" w:lineRule="auto"/>
        <w:jc w:val="both"/>
        <w:rPr>
          <w:sz w:val="21"/>
          <w:szCs w:val="21"/>
        </w:rPr>
      </w:pPr>
      <w:r>
        <w:rPr>
          <w:rFonts w:eastAsia="Arial"/>
          <w:sz w:val="21"/>
          <w:szCs w:val="21"/>
        </w:rPr>
        <w:lastRenderedPageBreak/>
        <w:t xml:space="preserve">3.2. </w:t>
      </w:r>
      <w:r w:rsidR="004E08BE" w:rsidRPr="00B3044F">
        <w:rPr>
          <w:rFonts w:eastAsia="Arial"/>
          <w:sz w:val="21"/>
          <w:szCs w:val="21"/>
        </w:rPr>
        <w:t>A vinculação ao planejamento municipal, nesta hipótese, decorre diretamente da política de incentivo à instalação industrial instituída pela referida Lei, cuja execução compete à Secretaria Municipal da Indústria e Comércio, como órgão gestor, e à Secretaria Municipal de Planejamento, no que se refere à consolidação da relação de imóveis disponíveis e à solicitação das avaliações técnicas (art. 3º, parágrafo único, do Decreto Municipal nº 75/2026).</w:t>
      </w:r>
    </w:p>
    <w:p w14:paraId="0EF189FB" w14:textId="77777777" w:rsidR="00312AAF" w:rsidRPr="00B3044F" w:rsidRDefault="00312AAF" w:rsidP="00017C10">
      <w:pPr>
        <w:spacing w:line="276" w:lineRule="auto"/>
        <w:jc w:val="both"/>
        <w:rPr>
          <w:rFonts w:eastAsia="Arial"/>
          <w:b/>
          <w:bCs/>
          <w:sz w:val="21"/>
          <w:szCs w:val="21"/>
        </w:rPr>
      </w:pPr>
    </w:p>
    <w:p w14:paraId="06A6FE28" w14:textId="342E76D9" w:rsidR="003F1E6F" w:rsidRPr="00B3044F" w:rsidRDefault="004E08BE" w:rsidP="00017C10">
      <w:pPr>
        <w:spacing w:line="276" w:lineRule="auto"/>
        <w:jc w:val="both"/>
        <w:rPr>
          <w:sz w:val="21"/>
          <w:szCs w:val="21"/>
          <w:u w:val="single"/>
        </w:rPr>
      </w:pPr>
      <w:r w:rsidRPr="00B3044F">
        <w:rPr>
          <w:rFonts w:eastAsia="Arial"/>
          <w:b/>
          <w:bCs/>
          <w:sz w:val="21"/>
          <w:szCs w:val="21"/>
          <w:u w:val="single"/>
        </w:rPr>
        <w:t>4. REQUISITOS DA CONTRATAÇÃO</w:t>
      </w:r>
      <w:r w:rsidR="00B3044F">
        <w:rPr>
          <w:rFonts w:eastAsia="Arial"/>
          <w:b/>
          <w:bCs/>
          <w:sz w:val="21"/>
          <w:szCs w:val="21"/>
          <w:u w:val="single"/>
        </w:rPr>
        <w:t>:</w:t>
      </w:r>
    </w:p>
    <w:p w14:paraId="3C77FF24" w14:textId="6BFBC12B" w:rsidR="00312AAF" w:rsidRPr="00B3044F" w:rsidRDefault="00B3044F" w:rsidP="00017C10">
      <w:pPr>
        <w:spacing w:line="276" w:lineRule="auto"/>
        <w:jc w:val="both"/>
        <w:rPr>
          <w:rFonts w:eastAsia="Arial"/>
          <w:sz w:val="21"/>
          <w:szCs w:val="21"/>
        </w:rPr>
      </w:pPr>
      <w:r>
        <w:rPr>
          <w:rFonts w:eastAsia="Arial"/>
          <w:sz w:val="21"/>
          <w:szCs w:val="21"/>
        </w:rPr>
        <w:t xml:space="preserve">4.1. </w:t>
      </w:r>
      <w:r w:rsidR="004E08BE" w:rsidRPr="00B3044F">
        <w:rPr>
          <w:rFonts w:eastAsia="Arial"/>
          <w:sz w:val="21"/>
          <w:szCs w:val="21"/>
        </w:rPr>
        <w:t xml:space="preserve">A solução deverá atender, no mínimo, aos seguintes requisitos, decorrentes da Lei Municipal nº 3.199/2025, do Decreto Municipal nº 75/2026 e da minuta de edital já elaborada para o certame: </w:t>
      </w:r>
    </w:p>
    <w:p w14:paraId="7681FCEE" w14:textId="6E82DD65" w:rsidR="00312AAF" w:rsidRPr="00B3044F" w:rsidRDefault="00B3044F" w:rsidP="00017C10">
      <w:pPr>
        <w:pStyle w:val="PargrafodaLista"/>
        <w:spacing w:line="276" w:lineRule="auto"/>
        <w:jc w:val="both"/>
        <w:rPr>
          <w:rFonts w:eastAsia="Arial"/>
          <w:sz w:val="21"/>
          <w:szCs w:val="21"/>
        </w:rPr>
      </w:pPr>
      <w:r>
        <w:rPr>
          <w:rFonts w:eastAsia="Arial"/>
          <w:sz w:val="21"/>
          <w:szCs w:val="21"/>
        </w:rPr>
        <w:t xml:space="preserve">a) </w:t>
      </w:r>
      <w:r w:rsidR="004E08BE" w:rsidRPr="00B3044F">
        <w:rPr>
          <w:rFonts w:eastAsia="Arial"/>
          <w:sz w:val="21"/>
          <w:szCs w:val="21"/>
        </w:rPr>
        <w:t xml:space="preserve">o empreendimento a ser instalado deve corresponder a atividade industrial, atacadista ou de prestação de serviços de baixo potencial poluidor, ou sujeita a análise específica do órgão ambiental competente quando de médio ou alto potencial poluidor, nos termos do art. 5º da Lei Municipal nº 3.199/2025 e das tipologias admitidas pela FEPAM, a serem relacionadas no Anexo </w:t>
      </w:r>
      <w:r w:rsidR="00FB7565">
        <w:rPr>
          <w:rFonts w:eastAsia="Arial"/>
          <w:sz w:val="21"/>
          <w:szCs w:val="21"/>
        </w:rPr>
        <w:t>I</w:t>
      </w:r>
      <w:r>
        <w:rPr>
          <w:rFonts w:eastAsia="Arial"/>
          <w:sz w:val="21"/>
          <w:szCs w:val="21"/>
        </w:rPr>
        <w:t>V</w:t>
      </w:r>
      <w:r w:rsidR="004E08BE" w:rsidRPr="00B3044F">
        <w:rPr>
          <w:rFonts w:eastAsia="Arial"/>
          <w:sz w:val="21"/>
          <w:szCs w:val="21"/>
        </w:rPr>
        <w:t xml:space="preserve"> do edital; </w:t>
      </w:r>
    </w:p>
    <w:p w14:paraId="42525B13" w14:textId="14242E1F" w:rsidR="00312AAF" w:rsidRPr="00B3044F" w:rsidRDefault="00B3044F" w:rsidP="00017C10">
      <w:pPr>
        <w:pStyle w:val="PargrafodaLista"/>
        <w:spacing w:line="276" w:lineRule="auto"/>
        <w:jc w:val="both"/>
        <w:rPr>
          <w:sz w:val="21"/>
          <w:szCs w:val="21"/>
        </w:rPr>
      </w:pPr>
      <w:r>
        <w:rPr>
          <w:rFonts w:eastAsia="Arial"/>
          <w:sz w:val="21"/>
          <w:szCs w:val="21"/>
        </w:rPr>
        <w:t xml:space="preserve">b) </w:t>
      </w:r>
      <w:r w:rsidR="004E08BE" w:rsidRPr="00B3044F">
        <w:rPr>
          <w:rFonts w:eastAsia="Arial"/>
          <w:sz w:val="21"/>
          <w:szCs w:val="21"/>
        </w:rPr>
        <w:t xml:space="preserve">a concessionária deve gerar e manter, durante toda a vigência contratual, o número mínimo de empregados formais exigido pelo art. 6º, § 2º, “b”, da Lei Municipal nº 3.199/2025 </w:t>
      </w:r>
      <w:r>
        <w:rPr>
          <w:rFonts w:eastAsia="Arial"/>
          <w:sz w:val="21"/>
          <w:szCs w:val="21"/>
        </w:rPr>
        <w:t>-</w:t>
      </w:r>
      <w:r w:rsidR="004E08BE" w:rsidRPr="00B3044F">
        <w:rPr>
          <w:rFonts w:eastAsia="Arial"/>
          <w:sz w:val="21"/>
          <w:szCs w:val="21"/>
        </w:rPr>
        <w:t xml:space="preserve"> 5 (cinco) empregados para empresas optantes pelo Lucro Real ou Lucro Presumido e 3 (três) para optantes do Simples Nacional </w:t>
      </w:r>
      <w:r>
        <w:rPr>
          <w:rFonts w:eastAsia="Arial"/>
          <w:sz w:val="21"/>
          <w:szCs w:val="21"/>
        </w:rPr>
        <w:t>-</w:t>
      </w:r>
      <w:r w:rsidR="004E08BE" w:rsidRPr="00B3044F">
        <w:rPr>
          <w:rFonts w:eastAsia="Arial"/>
          <w:sz w:val="21"/>
          <w:szCs w:val="21"/>
        </w:rPr>
        <w:t>, comprovados por GFIP, e</w:t>
      </w:r>
      <w:r w:rsidR="00017C10">
        <w:rPr>
          <w:rFonts w:eastAsia="Arial"/>
          <w:sz w:val="21"/>
          <w:szCs w:val="21"/>
        </w:rPr>
        <w:t>-</w:t>
      </w:r>
      <w:r w:rsidR="004E08BE" w:rsidRPr="00B3044F">
        <w:rPr>
          <w:rFonts w:eastAsia="Arial"/>
          <w:sz w:val="21"/>
          <w:szCs w:val="21"/>
        </w:rPr>
        <w:t xml:space="preserve">Social ou CAGED; </w:t>
      </w:r>
    </w:p>
    <w:p w14:paraId="33477DAD" w14:textId="2171D2ED" w:rsidR="00312AAF" w:rsidRPr="00B3044F" w:rsidRDefault="00B3044F" w:rsidP="00017C10">
      <w:pPr>
        <w:pStyle w:val="PargrafodaLista"/>
        <w:spacing w:line="276" w:lineRule="auto"/>
        <w:jc w:val="both"/>
        <w:rPr>
          <w:sz w:val="21"/>
          <w:szCs w:val="21"/>
        </w:rPr>
      </w:pPr>
      <w:r>
        <w:rPr>
          <w:rFonts w:eastAsia="Arial"/>
          <w:sz w:val="21"/>
          <w:szCs w:val="21"/>
        </w:rPr>
        <w:t xml:space="preserve">c) </w:t>
      </w:r>
      <w:r w:rsidR="004E08BE" w:rsidRPr="00B3044F">
        <w:rPr>
          <w:rFonts w:eastAsia="Arial"/>
          <w:sz w:val="21"/>
          <w:szCs w:val="21"/>
        </w:rPr>
        <w:t xml:space="preserve">a concessionária deve iniciar a edificação em prazo a ser fixado no edital e iniciar as atividades produtivas em até 12 (doze) meses, contados da assinatura do contrato, nos termos do art. 27, IV, da Lei; </w:t>
      </w:r>
    </w:p>
    <w:p w14:paraId="341D10FD" w14:textId="0B03BD3B" w:rsidR="00312AAF" w:rsidRPr="00B3044F" w:rsidRDefault="00B3044F" w:rsidP="00017C10">
      <w:pPr>
        <w:pStyle w:val="PargrafodaLista"/>
        <w:spacing w:line="276" w:lineRule="auto"/>
        <w:jc w:val="both"/>
        <w:rPr>
          <w:sz w:val="21"/>
          <w:szCs w:val="21"/>
        </w:rPr>
      </w:pPr>
      <w:r>
        <w:rPr>
          <w:rFonts w:eastAsia="Arial"/>
          <w:sz w:val="21"/>
          <w:szCs w:val="21"/>
        </w:rPr>
        <w:t xml:space="preserve">d) </w:t>
      </w:r>
      <w:r w:rsidR="004E08BE" w:rsidRPr="00B3044F">
        <w:rPr>
          <w:rFonts w:eastAsia="Arial"/>
          <w:sz w:val="21"/>
          <w:szCs w:val="21"/>
        </w:rPr>
        <w:t xml:space="preserve">deve manter, em Palmitinho/RS, inscrição estadual própria da unidade instalada, com emissão das notas fiscais das operações por esse estabelecimento, de modo a assegurar que o retorno tributário do empreendimento reverta ao Município concedente; e </w:t>
      </w:r>
    </w:p>
    <w:p w14:paraId="4F710126" w14:textId="21EC239E" w:rsidR="003F1E6F" w:rsidRPr="00B3044F" w:rsidRDefault="00B3044F" w:rsidP="00017C10">
      <w:pPr>
        <w:pStyle w:val="PargrafodaLista"/>
        <w:spacing w:line="276" w:lineRule="auto"/>
        <w:jc w:val="both"/>
        <w:rPr>
          <w:sz w:val="21"/>
          <w:szCs w:val="21"/>
        </w:rPr>
      </w:pPr>
      <w:r>
        <w:rPr>
          <w:rFonts w:eastAsia="Arial"/>
          <w:sz w:val="21"/>
          <w:szCs w:val="21"/>
        </w:rPr>
        <w:t xml:space="preserve">e) </w:t>
      </w:r>
      <w:r w:rsidR="00312AAF" w:rsidRPr="00B3044F">
        <w:rPr>
          <w:rFonts w:eastAsia="Arial"/>
          <w:sz w:val="21"/>
          <w:szCs w:val="21"/>
        </w:rPr>
        <w:t>deve obter e manter as licenças ambientais cabíveis antes do início das atividades, nos termos do art. 5º, §§ 1º e 2º, da Lei Municipal nº 3.199/2025.</w:t>
      </w:r>
    </w:p>
    <w:p w14:paraId="52C6DA19" w14:textId="77777777" w:rsidR="00312AAF" w:rsidRPr="00B3044F" w:rsidRDefault="00312AAF" w:rsidP="00017C10">
      <w:pPr>
        <w:spacing w:line="276" w:lineRule="auto"/>
        <w:jc w:val="both"/>
        <w:rPr>
          <w:rFonts w:eastAsia="Arial"/>
          <w:b/>
          <w:bCs/>
          <w:sz w:val="21"/>
          <w:szCs w:val="21"/>
        </w:rPr>
      </w:pPr>
    </w:p>
    <w:p w14:paraId="3D45E69F" w14:textId="2312C954" w:rsidR="003F1E6F" w:rsidRPr="00B3044F" w:rsidRDefault="004E08BE" w:rsidP="00017C10">
      <w:pPr>
        <w:spacing w:line="264" w:lineRule="auto"/>
        <w:jc w:val="both"/>
        <w:rPr>
          <w:sz w:val="21"/>
          <w:szCs w:val="21"/>
          <w:u w:val="single"/>
        </w:rPr>
      </w:pPr>
      <w:r w:rsidRPr="00B3044F">
        <w:rPr>
          <w:rFonts w:eastAsia="Arial"/>
          <w:b/>
          <w:bCs/>
          <w:sz w:val="21"/>
          <w:szCs w:val="21"/>
          <w:u w:val="single"/>
        </w:rPr>
        <w:t>5. LEVANTAMENTO DE SOLUÇÕES E JUSTIFICATIVA DA SOLUÇÃO ESCOLHIDA</w:t>
      </w:r>
      <w:r w:rsidR="00B3044F">
        <w:rPr>
          <w:rFonts w:eastAsia="Arial"/>
          <w:b/>
          <w:bCs/>
          <w:sz w:val="21"/>
          <w:szCs w:val="21"/>
          <w:u w:val="single"/>
        </w:rPr>
        <w:t>:</w:t>
      </w:r>
    </w:p>
    <w:p w14:paraId="59B812F5" w14:textId="0C282E11" w:rsidR="00312AAF" w:rsidRPr="00B3044F" w:rsidRDefault="00B3044F" w:rsidP="00017C10">
      <w:pPr>
        <w:spacing w:line="264" w:lineRule="auto"/>
        <w:jc w:val="both"/>
        <w:rPr>
          <w:rFonts w:eastAsia="Arial"/>
          <w:sz w:val="21"/>
          <w:szCs w:val="21"/>
        </w:rPr>
      </w:pPr>
      <w:r>
        <w:rPr>
          <w:rFonts w:eastAsia="Arial"/>
          <w:sz w:val="21"/>
          <w:szCs w:val="21"/>
        </w:rPr>
        <w:t xml:space="preserve">5.1. </w:t>
      </w:r>
      <w:r w:rsidR="004E08BE" w:rsidRPr="00B3044F">
        <w:rPr>
          <w:rFonts w:eastAsia="Arial"/>
          <w:sz w:val="21"/>
          <w:szCs w:val="21"/>
        </w:rPr>
        <w:t xml:space="preserve">A Lei Municipal nº 3.199/2025 contempla, para os imóveis dos Distritos Industriais III a VI </w:t>
      </w:r>
      <w:r>
        <w:rPr>
          <w:rFonts w:eastAsia="Arial"/>
          <w:sz w:val="21"/>
          <w:szCs w:val="21"/>
        </w:rPr>
        <w:t>-</w:t>
      </w:r>
      <w:r w:rsidR="004E08BE" w:rsidRPr="00B3044F">
        <w:rPr>
          <w:rFonts w:eastAsia="Arial"/>
          <w:sz w:val="21"/>
          <w:szCs w:val="21"/>
        </w:rPr>
        <w:t xml:space="preserve"> nos quais se insere o Distrito Industrial IV </w:t>
      </w:r>
      <w:r>
        <w:rPr>
          <w:rFonts w:eastAsia="Arial"/>
          <w:sz w:val="21"/>
          <w:szCs w:val="21"/>
        </w:rPr>
        <w:t>-</w:t>
      </w:r>
      <w:r w:rsidR="004E08BE" w:rsidRPr="00B3044F">
        <w:rPr>
          <w:rFonts w:eastAsia="Arial"/>
          <w:sz w:val="21"/>
          <w:szCs w:val="21"/>
        </w:rPr>
        <w:t xml:space="preserve">, três instrumentos de destinação: a venda subsidiada de lotes (art. 6º, I e II, e art. 8º, § 5º), a concessão de direito real de uso onerosa (art. 24, caput) e a concessão de direito real de uso gratuita, desde que devidamente justificada (art. 24, § 1º). </w:t>
      </w:r>
    </w:p>
    <w:p w14:paraId="3DAD371B" w14:textId="0649DAFC" w:rsidR="003F1E6F" w:rsidRPr="00B3044F" w:rsidRDefault="00B3044F" w:rsidP="00017C10">
      <w:pPr>
        <w:spacing w:line="264" w:lineRule="auto"/>
        <w:jc w:val="both"/>
        <w:rPr>
          <w:sz w:val="21"/>
          <w:szCs w:val="21"/>
        </w:rPr>
      </w:pPr>
      <w:r>
        <w:rPr>
          <w:rFonts w:eastAsia="Arial"/>
          <w:sz w:val="21"/>
          <w:szCs w:val="21"/>
        </w:rPr>
        <w:t xml:space="preserve">5.2. </w:t>
      </w:r>
      <w:r w:rsidR="004E08BE" w:rsidRPr="00B3044F">
        <w:rPr>
          <w:rFonts w:eastAsia="Arial"/>
          <w:sz w:val="21"/>
          <w:szCs w:val="21"/>
        </w:rPr>
        <w:t xml:space="preserve">A alienação definitiva imediata foi descartada por não permitir a fixação de contrapartidas de desenvolvimento exigíveis ao longo do tempo (geração e manutenção de empregos, permanência da atividade, manutenção de inscrição estadual), e por antecipar a perda, pelo Município, do direito de retomada do bem em caso de descumprimento </w:t>
      </w:r>
      <w:r>
        <w:rPr>
          <w:rFonts w:eastAsia="Arial"/>
          <w:sz w:val="21"/>
          <w:szCs w:val="21"/>
        </w:rPr>
        <w:t>-</w:t>
      </w:r>
      <w:r w:rsidR="004E08BE" w:rsidRPr="00B3044F">
        <w:rPr>
          <w:rFonts w:eastAsia="Arial"/>
          <w:sz w:val="21"/>
          <w:szCs w:val="21"/>
        </w:rPr>
        <w:t xml:space="preserve"> direito que, na concessão, subsiste durante toda a vigência contratual (</w:t>
      </w:r>
      <w:proofErr w:type="spellStart"/>
      <w:r w:rsidR="004E08BE" w:rsidRPr="00B3044F">
        <w:rPr>
          <w:rFonts w:eastAsia="Arial"/>
          <w:sz w:val="21"/>
          <w:szCs w:val="21"/>
        </w:rPr>
        <w:t>arts</w:t>
      </w:r>
      <w:proofErr w:type="spellEnd"/>
      <w:r w:rsidR="004E08BE" w:rsidRPr="00B3044F">
        <w:rPr>
          <w:rFonts w:eastAsia="Arial"/>
          <w:sz w:val="21"/>
          <w:szCs w:val="21"/>
        </w:rPr>
        <w:t>. 27 a 29 da Lei).</w:t>
      </w:r>
    </w:p>
    <w:p w14:paraId="1DF6CFC7" w14:textId="11D2BB2F" w:rsidR="00312AAF" w:rsidRPr="00B3044F" w:rsidRDefault="00B3044F" w:rsidP="00017C10">
      <w:pPr>
        <w:spacing w:line="264" w:lineRule="auto"/>
        <w:jc w:val="both"/>
        <w:rPr>
          <w:rFonts w:eastAsia="Arial"/>
          <w:sz w:val="21"/>
          <w:szCs w:val="21"/>
        </w:rPr>
      </w:pPr>
      <w:r>
        <w:rPr>
          <w:rFonts w:eastAsia="Arial"/>
          <w:sz w:val="21"/>
          <w:szCs w:val="21"/>
        </w:rPr>
        <w:t xml:space="preserve">5.3. </w:t>
      </w:r>
      <w:r w:rsidR="004E08BE" w:rsidRPr="00B3044F">
        <w:rPr>
          <w:rFonts w:eastAsia="Arial"/>
          <w:sz w:val="21"/>
          <w:szCs w:val="21"/>
        </w:rPr>
        <w:t xml:space="preserve">A concessão onerosa, por sua vez, embora assegure remuneração mensal ao Município, tende a reduzir a atratividade do Distrito Industrial IV para empreendimentos de maior porte e a concorrer, em desvantagem, com distritos industriais de municípios vizinhos que adotam a gratuidade como instrumento de atração de investimento </w:t>
      </w:r>
      <w:r>
        <w:rPr>
          <w:rFonts w:eastAsia="Arial"/>
          <w:sz w:val="21"/>
          <w:szCs w:val="21"/>
        </w:rPr>
        <w:t>-</w:t>
      </w:r>
      <w:r w:rsidR="004E08BE" w:rsidRPr="00B3044F">
        <w:rPr>
          <w:rFonts w:eastAsia="Arial"/>
          <w:sz w:val="21"/>
          <w:szCs w:val="21"/>
        </w:rPr>
        <w:t xml:space="preserve"> circunstância que compõe o juízo de conveniência da Administração, cuja aferição final compete à Secretaria Municipal da Indústria e Comércio e à Secretaria Municipal de Planejamento, não a esta análise jurídico-técnica. </w:t>
      </w:r>
    </w:p>
    <w:p w14:paraId="3927DC61" w14:textId="79CE6CE3" w:rsidR="003F1E6F" w:rsidRPr="00B3044F" w:rsidRDefault="00B3044F" w:rsidP="00017C10">
      <w:pPr>
        <w:spacing w:line="264" w:lineRule="auto"/>
        <w:jc w:val="both"/>
        <w:rPr>
          <w:rFonts w:eastAsia="Arial"/>
          <w:sz w:val="21"/>
          <w:szCs w:val="21"/>
        </w:rPr>
      </w:pPr>
      <w:r>
        <w:rPr>
          <w:rFonts w:eastAsia="Arial"/>
          <w:sz w:val="21"/>
          <w:szCs w:val="21"/>
        </w:rPr>
        <w:t xml:space="preserve">5.4. </w:t>
      </w:r>
      <w:r w:rsidR="004E08BE" w:rsidRPr="00B3044F">
        <w:rPr>
          <w:rFonts w:eastAsia="Arial"/>
          <w:sz w:val="21"/>
          <w:szCs w:val="21"/>
        </w:rPr>
        <w:t>Optou-se, assim, pela concessão gratuita com possibilidade de aquisição futura (art. 6º, V, e art. 24, §§ 1º e 2º, da Lei Municipal nº 3.199/2025), por reunir, simultaneamente, o menor custo de oportunidade para o interessado, a manutenção da propriedade pública durante a fase de implantação e consolidação do empreendimento, e a fixação de contrapartidas de desenvolvimento objetivas e mensuráveis, examinadas no item 8 abaixo, que afastam o caráter de mera liberalidade da concessão.</w:t>
      </w:r>
    </w:p>
    <w:p w14:paraId="7C2EFE9C" w14:textId="77777777" w:rsidR="00312AAF" w:rsidRPr="00B3044F" w:rsidRDefault="00312AAF" w:rsidP="00017C10">
      <w:pPr>
        <w:spacing w:line="264" w:lineRule="auto"/>
        <w:ind w:firstLine="1134"/>
        <w:jc w:val="both"/>
        <w:rPr>
          <w:sz w:val="21"/>
          <w:szCs w:val="21"/>
        </w:rPr>
      </w:pPr>
    </w:p>
    <w:p w14:paraId="493E3959" w14:textId="5C63A9F4" w:rsidR="003F1E6F" w:rsidRPr="00B3044F" w:rsidRDefault="004E08BE" w:rsidP="00017C10">
      <w:pPr>
        <w:spacing w:line="264" w:lineRule="auto"/>
        <w:jc w:val="both"/>
        <w:rPr>
          <w:sz w:val="21"/>
          <w:szCs w:val="21"/>
          <w:u w:val="single"/>
        </w:rPr>
      </w:pPr>
      <w:r w:rsidRPr="00B3044F">
        <w:rPr>
          <w:rFonts w:eastAsia="Arial"/>
          <w:b/>
          <w:bCs/>
          <w:sz w:val="21"/>
          <w:szCs w:val="21"/>
          <w:u w:val="single"/>
        </w:rPr>
        <w:t>6. CARACTERIZAÇÃO DO IMÓVEL E ESTIMATIVA DE QUANTITATIVOS</w:t>
      </w:r>
      <w:r w:rsidR="00B3044F">
        <w:rPr>
          <w:rFonts w:eastAsia="Arial"/>
          <w:b/>
          <w:bCs/>
          <w:sz w:val="21"/>
          <w:szCs w:val="21"/>
          <w:u w:val="single"/>
        </w:rPr>
        <w:t>:</w:t>
      </w:r>
    </w:p>
    <w:p w14:paraId="7FDC5807" w14:textId="77777777" w:rsidR="00B3044F" w:rsidRDefault="00B3044F" w:rsidP="00017C10">
      <w:pPr>
        <w:spacing w:line="264" w:lineRule="auto"/>
        <w:jc w:val="both"/>
        <w:rPr>
          <w:rFonts w:eastAsia="Arial"/>
          <w:sz w:val="21"/>
          <w:szCs w:val="21"/>
        </w:rPr>
      </w:pPr>
      <w:r>
        <w:rPr>
          <w:rFonts w:eastAsia="Arial"/>
          <w:sz w:val="21"/>
          <w:szCs w:val="21"/>
        </w:rPr>
        <w:t xml:space="preserve">6.1. </w:t>
      </w:r>
      <w:r w:rsidR="004E08BE" w:rsidRPr="00B3044F">
        <w:rPr>
          <w:rFonts w:eastAsia="Arial"/>
          <w:sz w:val="21"/>
          <w:szCs w:val="21"/>
        </w:rPr>
        <w:t xml:space="preserve">O imóvel objeto da concessão corresponde a fração ideal de 65.000,00 m² (6,5 ha), destacada da matrícula nº 01/7.246 do Registro de Imóveis de Palmitinho/RS, situada na Linha Santo Antônio, fração de terras do lote rural nº 78 da antiga Colônia Amaral, com frente para a Rodovia RST-472, adquirida pelo Município de Edinei Dal Asta em 16 de agosto de 2021 (Escritura Pública de Compra e Venda nº 11.081/210/21, R.2/7.246). </w:t>
      </w:r>
    </w:p>
    <w:p w14:paraId="732AE970" w14:textId="2E7AEBB6" w:rsidR="003F1E6F" w:rsidRPr="00B3044F" w:rsidRDefault="00B3044F" w:rsidP="00017C10">
      <w:pPr>
        <w:spacing w:line="276" w:lineRule="auto"/>
        <w:jc w:val="both"/>
        <w:rPr>
          <w:sz w:val="21"/>
          <w:szCs w:val="21"/>
        </w:rPr>
      </w:pPr>
      <w:r>
        <w:rPr>
          <w:rFonts w:eastAsia="Arial"/>
          <w:sz w:val="21"/>
          <w:szCs w:val="21"/>
        </w:rPr>
        <w:lastRenderedPageBreak/>
        <w:t xml:space="preserve">6.2. </w:t>
      </w:r>
      <w:r w:rsidR="004E08BE" w:rsidRPr="00B3044F">
        <w:rPr>
          <w:rFonts w:eastAsia="Arial"/>
          <w:sz w:val="21"/>
          <w:szCs w:val="21"/>
        </w:rPr>
        <w:t xml:space="preserve">A área total da </w:t>
      </w:r>
      <w:proofErr w:type="spellStart"/>
      <w:r w:rsidR="004E08BE" w:rsidRPr="00B3044F">
        <w:rPr>
          <w:rFonts w:eastAsia="Arial"/>
          <w:sz w:val="21"/>
          <w:szCs w:val="21"/>
        </w:rPr>
        <w:t>matrícula-mãe</w:t>
      </w:r>
      <w:proofErr w:type="spellEnd"/>
      <w:r w:rsidR="004E08BE" w:rsidRPr="00B3044F">
        <w:rPr>
          <w:rFonts w:eastAsia="Arial"/>
          <w:sz w:val="21"/>
          <w:szCs w:val="21"/>
        </w:rPr>
        <w:t xml:space="preserve"> é de 76.921,87 m², remanescendo 11.921,87 m² em titularidade de Silva Imóveis Ltda (R.4/7.246), de modo que o bem permanece, atualmente, em regime de condomínio pro indiviso entre o Município e o referido particular.</w:t>
      </w:r>
    </w:p>
    <w:p w14:paraId="504A7349" w14:textId="581D2909" w:rsidR="003F1E6F" w:rsidRPr="00B3044F" w:rsidRDefault="00B3044F" w:rsidP="00017C10">
      <w:pPr>
        <w:spacing w:line="276" w:lineRule="auto"/>
        <w:jc w:val="both"/>
        <w:rPr>
          <w:rFonts w:eastAsia="Arial"/>
          <w:sz w:val="21"/>
          <w:szCs w:val="21"/>
        </w:rPr>
      </w:pPr>
      <w:r>
        <w:rPr>
          <w:rFonts w:eastAsia="Arial"/>
          <w:sz w:val="21"/>
          <w:szCs w:val="21"/>
        </w:rPr>
        <w:t xml:space="preserve">6.3. </w:t>
      </w:r>
      <w:r w:rsidR="004E08BE" w:rsidRPr="00B3044F">
        <w:rPr>
          <w:rFonts w:eastAsia="Arial"/>
          <w:sz w:val="21"/>
          <w:szCs w:val="21"/>
        </w:rPr>
        <w:t xml:space="preserve">Essa circunstância registral constitui condicionante técnica relevante para a instrução do processo, tratada como providência prévia no item 13 deste Estudo, na medida em que nem a Lei Municipal nº 3.199/2025 nem o Decreto Municipal nº 75/2026 contêm disposição específica sobre concessão de uso incidente sobre fração ideal em condomínio pro indiviso, aplicando-se supletivamente o art. 7º do Decreto Municipal nº 75/2026, que trata de hipótese distinta (mais de um terreno para a mesma empresa), e os </w:t>
      </w:r>
      <w:proofErr w:type="spellStart"/>
      <w:r w:rsidR="004E08BE" w:rsidRPr="00B3044F">
        <w:rPr>
          <w:rFonts w:eastAsia="Arial"/>
          <w:sz w:val="21"/>
          <w:szCs w:val="21"/>
        </w:rPr>
        <w:t>arts</w:t>
      </w:r>
      <w:proofErr w:type="spellEnd"/>
      <w:r w:rsidR="004E08BE" w:rsidRPr="00B3044F">
        <w:rPr>
          <w:rFonts w:eastAsia="Arial"/>
          <w:sz w:val="21"/>
          <w:szCs w:val="21"/>
        </w:rPr>
        <w:t>. 1.314 e seguintes do Código Civil, quanto ao exercício, pelo condômino Município, de faculdades sobre a coisa comum sem prejuízo do direito dos demais consortes.</w:t>
      </w:r>
    </w:p>
    <w:p w14:paraId="0FC08BC4" w14:textId="77777777" w:rsidR="00312AAF" w:rsidRPr="00B3044F" w:rsidRDefault="00312AAF" w:rsidP="00017C10">
      <w:pPr>
        <w:spacing w:line="276" w:lineRule="auto"/>
        <w:ind w:firstLine="1134"/>
        <w:jc w:val="both"/>
        <w:rPr>
          <w:sz w:val="21"/>
          <w:szCs w:val="21"/>
        </w:rPr>
      </w:pPr>
    </w:p>
    <w:p w14:paraId="53358C43" w14:textId="71BC31E2" w:rsidR="003F1E6F" w:rsidRPr="00B3044F" w:rsidRDefault="004E08BE" w:rsidP="00017C10">
      <w:pPr>
        <w:spacing w:line="276" w:lineRule="auto"/>
        <w:jc w:val="both"/>
        <w:rPr>
          <w:sz w:val="21"/>
          <w:szCs w:val="21"/>
          <w:u w:val="single"/>
        </w:rPr>
      </w:pPr>
      <w:r w:rsidRPr="00B3044F">
        <w:rPr>
          <w:rFonts w:eastAsia="Arial"/>
          <w:b/>
          <w:bCs/>
          <w:sz w:val="21"/>
          <w:szCs w:val="21"/>
          <w:u w:val="single"/>
        </w:rPr>
        <w:t>7. LEVANTAMENTO DE MERCADO E ESTIMATIVA DO VALOR DE REFERÊNCIA</w:t>
      </w:r>
      <w:r w:rsidR="00B3044F">
        <w:rPr>
          <w:rFonts w:eastAsia="Arial"/>
          <w:b/>
          <w:bCs/>
          <w:sz w:val="21"/>
          <w:szCs w:val="21"/>
          <w:u w:val="single"/>
        </w:rPr>
        <w:t>:</w:t>
      </w:r>
    </w:p>
    <w:p w14:paraId="31ABAF10" w14:textId="77777777" w:rsidR="00B3044F" w:rsidRDefault="00B3044F" w:rsidP="00017C10">
      <w:pPr>
        <w:spacing w:line="276" w:lineRule="auto"/>
        <w:jc w:val="both"/>
        <w:rPr>
          <w:rFonts w:eastAsia="Arial"/>
          <w:sz w:val="21"/>
          <w:szCs w:val="21"/>
        </w:rPr>
      </w:pPr>
      <w:r>
        <w:rPr>
          <w:rFonts w:eastAsia="Arial"/>
          <w:sz w:val="21"/>
          <w:szCs w:val="21"/>
        </w:rPr>
        <w:t xml:space="preserve">7.1. </w:t>
      </w:r>
      <w:r w:rsidR="004E08BE" w:rsidRPr="00B3044F">
        <w:rPr>
          <w:rFonts w:eastAsia="Arial"/>
          <w:sz w:val="21"/>
          <w:szCs w:val="21"/>
        </w:rPr>
        <w:t xml:space="preserve">Ainda que a concessão seja gratuita quanto ao uso do imóvel, a apuração do valor de mercado do bem é indispensável, por três razões: </w:t>
      </w:r>
    </w:p>
    <w:p w14:paraId="6DE3C2DF" w14:textId="77777777" w:rsidR="00B3044F" w:rsidRDefault="00B3044F" w:rsidP="00017C10">
      <w:pPr>
        <w:spacing w:line="276" w:lineRule="auto"/>
        <w:jc w:val="both"/>
        <w:rPr>
          <w:rFonts w:eastAsia="Arial"/>
          <w:sz w:val="21"/>
          <w:szCs w:val="21"/>
        </w:rPr>
      </w:pPr>
      <w:r>
        <w:rPr>
          <w:rFonts w:eastAsia="Arial"/>
          <w:sz w:val="21"/>
          <w:szCs w:val="21"/>
        </w:rPr>
        <w:t xml:space="preserve">a) </w:t>
      </w:r>
      <w:r w:rsidR="004E08BE" w:rsidRPr="00B3044F">
        <w:rPr>
          <w:rFonts w:eastAsia="Arial"/>
          <w:sz w:val="21"/>
          <w:szCs w:val="21"/>
        </w:rPr>
        <w:t xml:space="preserve">constitui elemento objetivo de aferição da proporcionalidade entre o benefício concedido e as contrapartidas exigidas, permitindo à Administração e aos órgãos de controle mensurar o real custo de oportunidade da gratuidade; </w:t>
      </w:r>
    </w:p>
    <w:p w14:paraId="5176CE89" w14:textId="77777777" w:rsidR="00B3044F" w:rsidRDefault="00B3044F" w:rsidP="00017C10">
      <w:pPr>
        <w:spacing w:line="276" w:lineRule="auto"/>
        <w:jc w:val="both"/>
        <w:rPr>
          <w:rFonts w:eastAsia="Arial"/>
          <w:sz w:val="21"/>
          <w:szCs w:val="21"/>
        </w:rPr>
      </w:pPr>
      <w:r>
        <w:rPr>
          <w:rFonts w:eastAsia="Arial"/>
          <w:sz w:val="21"/>
          <w:szCs w:val="21"/>
        </w:rPr>
        <w:t xml:space="preserve">b) </w:t>
      </w:r>
      <w:r w:rsidR="004E08BE" w:rsidRPr="00B3044F">
        <w:rPr>
          <w:rFonts w:eastAsia="Arial"/>
          <w:sz w:val="21"/>
          <w:szCs w:val="21"/>
        </w:rPr>
        <w:t xml:space="preserve">serve de base de cálculo para o valor de aquisição a ser exercido pela concessionária, nos termos do art. 8º, § 5º, da Lei Municipal nº 3.199/2025 e do art. 5º, II, do Decreto Municipal nº 75/2026; e </w:t>
      </w:r>
    </w:p>
    <w:p w14:paraId="4852D0E3" w14:textId="0CB0B883" w:rsidR="003F1E6F" w:rsidRPr="00B3044F" w:rsidRDefault="00B3044F" w:rsidP="00017C10">
      <w:pPr>
        <w:spacing w:line="276" w:lineRule="auto"/>
        <w:jc w:val="both"/>
        <w:rPr>
          <w:sz w:val="21"/>
          <w:szCs w:val="21"/>
        </w:rPr>
      </w:pPr>
      <w:r>
        <w:rPr>
          <w:rFonts w:eastAsia="Arial"/>
          <w:sz w:val="21"/>
          <w:szCs w:val="21"/>
        </w:rPr>
        <w:t xml:space="preserve">c) </w:t>
      </w:r>
      <w:r w:rsidR="004E08BE" w:rsidRPr="00B3044F">
        <w:rPr>
          <w:rFonts w:eastAsia="Arial"/>
          <w:sz w:val="21"/>
          <w:szCs w:val="21"/>
        </w:rPr>
        <w:t>é exigência expressa do art. 5º, III, do Decreto Municipal nº 75/2026 para a modalidade de concessão de uso.</w:t>
      </w:r>
    </w:p>
    <w:p w14:paraId="0F32C0A9" w14:textId="77777777" w:rsidR="00017C10" w:rsidRDefault="00017C10" w:rsidP="00017C10">
      <w:pPr>
        <w:spacing w:line="276" w:lineRule="auto"/>
        <w:jc w:val="both"/>
        <w:rPr>
          <w:rFonts w:eastAsia="Arial"/>
          <w:sz w:val="21"/>
          <w:szCs w:val="21"/>
        </w:rPr>
      </w:pPr>
    </w:p>
    <w:p w14:paraId="2C24798B" w14:textId="48E8347F" w:rsidR="003F1E6F" w:rsidRDefault="00B3044F" w:rsidP="00017C10">
      <w:pPr>
        <w:spacing w:line="276" w:lineRule="auto"/>
        <w:jc w:val="both"/>
        <w:rPr>
          <w:rFonts w:eastAsia="Arial"/>
          <w:sz w:val="21"/>
          <w:szCs w:val="21"/>
        </w:rPr>
      </w:pPr>
      <w:r>
        <w:rPr>
          <w:rFonts w:eastAsia="Arial"/>
          <w:sz w:val="21"/>
          <w:szCs w:val="21"/>
        </w:rPr>
        <w:t xml:space="preserve">7.2. </w:t>
      </w:r>
      <w:r w:rsidR="004E08BE" w:rsidRPr="00B3044F">
        <w:rPr>
          <w:rFonts w:eastAsia="Arial"/>
          <w:sz w:val="21"/>
          <w:szCs w:val="21"/>
        </w:rPr>
        <w:t>Em atendimento ao Requerimento nº 10/2026, de 23 de junho de 2026, formulado pela Secretaria Municipal de Planejamento, foram colhidos três pareceres técnicos de avaliação mercadológica junto a corretores de imóveis inscritos no CRECI, cujos resultados são sintetizados no quadro a seguir:</w:t>
      </w:r>
    </w:p>
    <w:p w14:paraId="42DA31ED" w14:textId="77777777" w:rsidR="00017C10" w:rsidRPr="00B3044F" w:rsidRDefault="00017C10" w:rsidP="00017C10">
      <w:pPr>
        <w:spacing w:line="276" w:lineRule="auto"/>
        <w:jc w:val="both"/>
        <w:rPr>
          <w:sz w:val="21"/>
          <w:szCs w:val="21"/>
        </w:rPr>
      </w:pPr>
    </w:p>
    <w:tbl>
      <w:tblPr>
        <w:tblW w:w="102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600"/>
        <w:gridCol w:w="4335"/>
        <w:gridCol w:w="2268"/>
      </w:tblGrid>
      <w:tr w:rsidR="003F1E6F" w:rsidRPr="00B3044F" w14:paraId="7571EFB9" w14:textId="77777777" w:rsidTr="00B3044F">
        <w:trPr>
          <w:tblHeader/>
        </w:trPr>
        <w:tc>
          <w:tcPr>
            <w:tcW w:w="3600" w:type="dxa"/>
            <w:shd w:val="clear" w:color="auto" w:fill="D9D9D9"/>
            <w:tcMar>
              <w:top w:w="60" w:type="dxa"/>
              <w:left w:w="100" w:type="dxa"/>
              <w:bottom w:w="60" w:type="dxa"/>
              <w:right w:w="100" w:type="dxa"/>
            </w:tcMar>
            <w:vAlign w:val="center"/>
          </w:tcPr>
          <w:p w14:paraId="0E57A49D" w14:textId="77777777" w:rsidR="003F1E6F" w:rsidRPr="00B3044F" w:rsidRDefault="004E08BE" w:rsidP="00017C10">
            <w:pPr>
              <w:spacing w:line="276" w:lineRule="auto"/>
              <w:jc w:val="center"/>
              <w:rPr>
                <w:sz w:val="21"/>
                <w:szCs w:val="21"/>
              </w:rPr>
            </w:pPr>
            <w:r w:rsidRPr="00B3044F">
              <w:rPr>
                <w:rFonts w:eastAsia="Arial"/>
                <w:b/>
                <w:bCs/>
                <w:sz w:val="21"/>
                <w:szCs w:val="21"/>
              </w:rPr>
              <w:t>Empresa / Responsável técnico</w:t>
            </w:r>
          </w:p>
        </w:tc>
        <w:tc>
          <w:tcPr>
            <w:tcW w:w="4335" w:type="dxa"/>
            <w:shd w:val="clear" w:color="auto" w:fill="D9D9D9"/>
            <w:tcMar>
              <w:top w:w="60" w:type="dxa"/>
              <w:left w:w="100" w:type="dxa"/>
              <w:bottom w:w="60" w:type="dxa"/>
              <w:right w:w="100" w:type="dxa"/>
            </w:tcMar>
            <w:vAlign w:val="center"/>
          </w:tcPr>
          <w:p w14:paraId="5352C9B7" w14:textId="77777777" w:rsidR="003F1E6F" w:rsidRPr="00B3044F" w:rsidRDefault="004E08BE" w:rsidP="00017C10">
            <w:pPr>
              <w:spacing w:line="276" w:lineRule="auto"/>
              <w:jc w:val="center"/>
              <w:rPr>
                <w:sz w:val="21"/>
                <w:szCs w:val="21"/>
              </w:rPr>
            </w:pPr>
            <w:r w:rsidRPr="00B3044F">
              <w:rPr>
                <w:rFonts w:eastAsia="Arial"/>
                <w:b/>
                <w:bCs/>
                <w:sz w:val="21"/>
                <w:szCs w:val="21"/>
              </w:rPr>
              <w:t>Metodologia / Data</w:t>
            </w:r>
          </w:p>
        </w:tc>
        <w:tc>
          <w:tcPr>
            <w:tcW w:w="2268" w:type="dxa"/>
            <w:shd w:val="clear" w:color="auto" w:fill="D9D9D9"/>
            <w:tcMar>
              <w:top w:w="60" w:type="dxa"/>
              <w:left w:w="100" w:type="dxa"/>
              <w:bottom w:w="60" w:type="dxa"/>
              <w:right w:w="100" w:type="dxa"/>
            </w:tcMar>
            <w:vAlign w:val="center"/>
          </w:tcPr>
          <w:p w14:paraId="2A11518A" w14:textId="3E6BE41B" w:rsidR="003F1E6F" w:rsidRPr="00B3044F" w:rsidRDefault="004E08BE" w:rsidP="00017C10">
            <w:pPr>
              <w:spacing w:line="276" w:lineRule="auto"/>
              <w:jc w:val="center"/>
              <w:rPr>
                <w:sz w:val="21"/>
                <w:szCs w:val="21"/>
              </w:rPr>
            </w:pPr>
            <w:r w:rsidRPr="00B3044F">
              <w:rPr>
                <w:rFonts w:eastAsia="Arial"/>
                <w:b/>
                <w:bCs/>
                <w:sz w:val="21"/>
                <w:szCs w:val="21"/>
              </w:rPr>
              <w:t>Valor apurado</w:t>
            </w:r>
          </w:p>
        </w:tc>
      </w:tr>
      <w:tr w:rsidR="003F1E6F" w:rsidRPr="00B3044F" w14:paraId="7F929926" w14:textId="77777777" w:rsidTr="00B3044F">
        <w:tc>
          <w:tcPr>
            <w:tcW w:w="3600" w:type="dxa"/>
            <w:tcMar>
              <w:top w:w="60" w:type="dxa"/>
              <w:left w:w="100" w:type="dxa"/>
              <w:bottom w:w="60" w:type="dxa"/>
              <w:right w:w="100" w:type="dxa"/>
            </w:tcMar>
            <w:vAlign w:val="center"/>
          </w:tcPr>
          <w:p w14:paraId="2F068F2F" w14:textId="77777777" w:rsidR="003F1E6F" w:rsidRPr="00B3044F" w:rsidRDefault="004E08BE" w:rsidP="00017C10">
            <w:pPr>
              <w:spacing w:line="276" w:lineRule="auto"/>
              <w:jc w:val="center"/>
              <w:rPr>
                <w:sz w:val="21"/>
                <w:szCs w:val="21"/>
              </w:rPr>
            </w:pPr>
            <w:r w:rsidRPr="00B3044F">
              <w:rPr>
                <w:rFonts w:eastAsia="Arial"/>
                <w:sz w:val="21"/>
                <w:szCs w:val="21"/>
              </w:rPr>
              <w:t>Costela Negócios Imobiliários Ltda — Edison Albarello, CRECI-RS 77.690, CNAI 52.483</w:t>
            </w:r>
          </w:p>
        </w:tc>
        <w:tc>
          <w:tcPr>
            <w:tcW w:w="4335" w:type="dxa"/>
            <w:tcMar>
              <w:top w:w="60" w:type="dxa"/>
              <w:left w:w="100" w:type="dxa"/>
              <w:bottom w:w="60" w:type="dxa"/>
              <w:right w:w="100" w:type="dxa"/>
            </w:tcMar>
            <w:vAlign w:val="center"/>
          </w:tcPr>
          <w:p w14:paraId="29AFC508" w14:textId="77777777" w:rsidR="003F1E6F" w:rsidRPr="00B3044F" w:rsidRDefault="004E08BE" w:rsidP="00017C10">
            <w:pPr>
              <w:spacing w:line="276" w:lineRule="auto"/>
              <w:jc w:val="center"/>
              <w:rPr>
                <w:sz w:val="21"/>
                <w:szCs w:val="21"/>
              </w:rPr>
            </w:pPr>
            <w:r w:rsidRPr="00B3044F">
              <w:rPr>
                <w:rFonts w:eastAsia="Arial"/>
                <w:sz w:val="21"/>
                <w:szCs w:val="21"/>
              </w:rPr>
              <w:t>Método comparativo direto de dados de mercado — 03/07/2026</w:t>
            </w:r>
          </w:p>
        </w:tc>
        <w:tc>
          <w:tcPr>
            <w:tcW w:w="2268" w:type="dxa"/>
            <w:tcMar>
              <w:top w:w="60" w:type="dxa"/>
              <w:left w:w="100" w:type="dxa"/>
              <w:bottom w:w="60" w:type="dxa"/>
              <w:right w:w="100" w:type="dxa"/>
            </w:tcMar>
            <w:vAlign w:val="center"/>
          </w:tcPr>
          <w:p w14:paraId="57269E45" w14:textId="14A0C247" w:rsidR="003F1E6F" w:rsidRPr="00B3044F" w:rsidRDefault="00B3044F" w:rsidP="00017C10">
            <w:pPr>
              <w:spacing w:line="276" w:lineRule="auto"/>
              <w:jc w:val="center"/>
              <w:rPr>
                <w:sz w:val="21"/>
                <w:szCs w:val="21"/>
              </w:rPr>
            </w:pPr>
            <w:r>
              <w:rPr>
                <w:rFonts w:eastAsia="Arial"/>
                <w:sz w:val="21"/>
                <w:szCs w:val="21"/>
              </w:rPr>
              <w:t xml:space="preserve">R$ </w:t>
            </w:r>
            <w:r w:rsidR="004E08BE" w:rsidRPr="00B3044F">
              <w:rPr>
                <w:rFonts w:eastAsia="Arial"/>
                <w:sz w:val="21"/>
                <w:szCs w:val="21"/>
              </w:rPr>
              <w:t>893.750,00</w:t>
            </w:r>
          </w:p>
        </w:tc>
      </w:tr>
      <w:tr w:rsidR="003F1E6F" w:rsidRPr="00B3044F" w14:paraId="1992172D" w14:textId="77777777" w:rsidTr="00B3044F">
        <w:tc>
          <w:tcPr>
            <w:tcW w:w="3600" w:type="dxa"/>
            <w:tcMar>
              <w:top w:w="60" w:type="dxa"/>
              <w:left w:w="100" w:type="dxa"/>
              <w:bottom w:w="60" w:type="dxa"/>
              <w:right w:w="100" w:type="dxa"/>
            </w:tcMar>
            <w:vAlign w:val="center"/>
          </w:tcPr>
          <w:p w14:paraId="360A5013" w14:textId="77777777" w:rsidR="003F1E6F" w:rsidRPr="00B3044F" w:rsidRDefault="004E08BE" w:rsidP="00017C10">
            <w:pPr>
              <w:spacing w:line="276" w:lineRule="auto"/>
              <w:jc w:val="center"/>
              <w:rPr>
                <w:sz w:val="21"/>
                <w:szCs w:val="21"/>
              </w:rPr>
            </w:pPr>
            <w:r w:rsidRPr="00B3044F">
              <w:rPr>
                <w:rFonts w:eastAsia="Arial"/>
                <w:sz w:val="21"/>
                <w:szCs w:val="21"/>
              </w:rPr>
              <w:t>Piaia Imóveis — Alessandro Piaia, CRECI-RS 53.082, CNAI 23.313</w:t>
            </w:r>
          </w:p>
        </w:tc>
        <w:tc>
          <w:tcPr>
            <w:tcW w:w="4335" w:type="dxa"/>
            <w:tcMar>
              <w:top w:w="60" w:type="dxa"/>
              <w:left w:w="100" w:type="dxa"/>
              <w:bottom w:w="60" w:type="dxa"/>
              <w:right w:w="100" w:type="dxa"/>
            </w:tcMar>
            <w:vAlign w:val="center"/>
          </w:tcPr>
          <w:p w14:paraId="44AEB9C0" w14:textId="77777777" w:rsidR="003F1E6F" w:rsidRPr="00B3044F" w:rsidRDefault="004E08BE" w:rsidP="00017C10">
            <w:pPr>
              <w:spacing w:line="276" w:lineRule="auto"/>
              <w:jc w:val="center"/>
              <w:rPr>
                <w:sz w:val="21"/>
                <w:szCs w:val="21"/>
              </w:rPr>
            </w:pPr>
            <w:r w:rsidRPr="00B3044F">
              <w:rPr>
                <w:rFonts w:eastAsia="Arial"/>
                <w:sz w:val="21"/>
                <w:szCs w:val="21"/>
              </w:rPr>
              <w:t>Método evolutivo / comparativo direto (NBR 14653) — 30/06/2026</w:t>
            </w:r>
          </w:p>
        </w:tc>
        <w:tc>
          <w:tcPr>
            <w:tcW w:w="2268" w:type="dxa"/>
            <w:tcMar>
              <w:top w:w="60" w:type="dxa"/>
              <w:left w:w="100" w:type="dxa"/>
              <w:bottom w:w="60" w:type="dxa"/>
              <w:right w:w="100" w:type="dxa"/>
            </w:tcMar>
            <w:vAlign w:val="center"/>
          </w:tcPr>
          <w:p w14:paraId="7E18D436" w14:textId="75A52463" w:rsidR="003F1E6F" w:rsidRPr="00B3044F" w:rsidRDefault="00B3044F" w:rsidP="00017C10">
            <w:pPr>
              <w:spacing w:line="276" w:lineRule="auto"/>
              <w:jc w:val="center"/>
              <w:rPr>
                <w:sz w:val="21"/>
                <w:szCs w:val="21"/>
              </w:rPr>
            </w:pPr>
            <w:r>
              <w:rPr>
                <w:rFonts w:eastAsia="Arial"/>
                <w:sz w:val="21"/>
                <w:szCs w:val="21"/>
              </w:rPr>
              <w:t xml:space="preserve">R$ </w:t>
            </w:r>
            <w:r w:rsidR="004E08BE" w:rsidRPr="00B3044F">
              <w:rPr>
                <w:rFonts w:eastAsia="Arial"/>
                <w:sz w:val="21"/>
                <w:szCs w:val="21"/>
              </w:rPr>
              <w:t>688.000,00</w:t>
            </w:r>
          </w:p>
        </w:tc>
      </w:tr>
      <w:tr w:rsidR="003F1E6F" w:rsidRPr="00B3044F" w14:paraId="4566AA8B" w14:textId="77777777" w:rsidTr="00B3044F">
        <w:trPr>
          <w:trHeight w:val="182"/>
        </w:trPr>
        <w:tc>
          <w:tcPr>
            <w:tcW w:w="3600" w:type="dxa"/>
            <w:tcMar>
              <w:top w:w="60" w:type="dxa"/>
              <w:left w:w="100" w:type="dxa"/>
              <w:bottom w:w="60" w:type="dxa"/>
              <w:right w:w="100" w:type="dxa"/>
            </w:tcMar>
            <w:vAlign w:val="center"/>
          </w:tcPr>
          <w:p w14:paraId="148FE10F" w14:textId="77777777" w:rsidR="003F1E6F" w:rsidRPr="00B3044F" w:rsidRDefault="004E08BE" w:rsidP="00017C10">
            <w:pPr>
              <w:spacing w:line="276" w:lineRule="auto"/>
              <w:jc w:val="center"/>
              <w:rPr>
                <w:sz w:val="21"/>
                <w:szCs w:val="21"/>
              </w:rPr>
            </w:pPr>
            <w:r w:rsidRPr="00B3044F">
              <w:rPr>
                <w:rFonts w:eastAsia="Arial"/>
                <w:sz w:val="21"/>
                <w:szCs w:val="21"/>
              </w:rPr>
              <w:t>Tavares Corretor de Imóveis — Giliarde Tavares da Silva, CRECI-RS 47.417, CNAI 016.376</w:t>
            </w:r>
          </w:p>
        </w:tc>
        <w:tc>
          <w:tcPr>
            <w:tcW w:w="4335" w:type="dxa"/>
            <w:tcMar>
              <w:top w:w="60" w:type="dxa"/>
              <w:left w:w="100" w:type="dxa"/>
              <w:bottom w:w="60" w:type="dxa"/>
              <w:right w:w="100" w:type="dxa"/>
            </w:tcMar>
            <w:vAlign w:val="center"/>
          </w:tcPr>
          <w:p w14:paraId="6EB9A967" w14:textId="77777777" w:rsidR="003F1E6F" w:rsidRPr="00B3044F" w:rsidRDefault="004E08BE" w:rsidP="00017C10">
            <w:pPr>
              <w:spacing w:line="276" w:lineRule="auto"/>
              <w:jc w:val="center"/>
              <w:rPr>
                <w:sz w:val="21"/>
                <w:szCs w:val="21"/>
              </w:rPr>
            </w:pPr>
            <w:r w:rsidRPr="00B3044F">
              <w:rPr>
                <w:rFonts w:eastAsia="Arial"/>
                <w:sz w:val="21"/>
                <w:szCs w:val="21"/>
              </w:rPr>
              <w:t>Método comparativo direto (ABNT NBR 14653-3), Laudo nº 02/2026 — 06/07/2026</w:t>
            </w:r>
          </w:p>
        </w:tc>
        <w:tc>
          <w:tcPr>
            <w:tcW w:w="2268" w:type="dxa"/>
            <w:tcMar>
              <w:top w:w="60" w:type="dxa"/>
              <w:left w:w="100" w:type="dxa"/>
              <w:bottom w:w="60" w:type="dxa"/>
              <w:right w:w="100" w:type="dxa"/>
            </w:tcMar>
            <w:vAlign w:val="center"/>
          </w:tcPr>
          <w:p w14:paraId="63A4D405" w14:textId="6C95F67C" w:rsidR="003F1E6F" w:rsidRPr="00B3044F" w:rsidRDefault="00B3044F" w:rsidP="00017C10">
            <w:pPr>
              <w:spacing w:line="276" w:lineRule="auto"/>
              <w:jc w:val="center"/>
              <w:rPr>
                <w:sz w:val="21"/>
                <w:szCs w:val="21"/>
              </w:rPr>
            </w:pPr>
            <w:r>
              <w:rPr>
                <w:rFonts w:eastAsia="Arial"/>
                <w:sz w:val="21"/>
                <w:szCs w:val="21"/>
              </w:rPr>
              <w:t xml:space="preserve">R$ </w:t>
            </w:r>
            <w:r w:rsidR="004E08BE" w:rsidRPr="00B3044F">
              <w:rPr>
                <w:rFonts w:eastAsia="Arial"/>
                <w:sz w:val="21"/>
                <w:szCs w:val="21"/>
              </w:rPr>
              <w:t>715.000,00</w:t>
            </w:r>
          </w:p>
        </w:tc>
      </w:tr>
      <w:tr w:rsidR="003F1E6F" w:rsidRPr="00B3044F" w14:paraId="4F9A5052" w14:textId="77777777" w:rsidTr="00B3044F">
        <w:tc>
          <w:tcPr>
            <w:tcW w:w="3600" w:type="dxa"/>
            <w:tcMar>
              <w:top w:w="60" w:type="dxa"/>
              <w:left w:w="100" w:type="dxa"/>
              <w:bottom w:w="60" w:type="dxa"/>
              <w:right w:w="100" w:type="dxa"/>
            </w:tcMar>
            <w:vAlign w:val="center"/>
          </w:tcPr>
          <w:p w14:paraId="0EA97176" w14:textId="77777777" w:rsidR="003F1E6F" w:rsidRPr="00B3044F" w:rsidRDefault="004E08BE" w:rsidP="00017C10">
            <w:pPr>
              <w:spacing w:line="276" w:lineRule="auto"/>
              <w:jc w:val="center"/>
              <w:rPr>
                <w:sz w:val="21"/>
                <w:szCs w:val="21"/>
              </w:rPr>
            </w:pPr>
            <w:r w:rsidRPr="00B3044F">
              <w:rPr>
                <w:rFonts w:eastAsia="Arial"/>
                <w:sz w:val="21"/>
                <w:szCs w:val="21"/>
              </w:rPr>
              <w:t>Média dos valores apurados (art. 27 do Decreto Municipal nº 75/2026)</w:t>
            </w:r>
          </w:p>
        </w:tc>
        <w:tc>
          <w:tcPr>
            <w:tcW w:w="4335" w:type="dxa"/>
            <w:tcMar>
              <w:top w:w="60" w:type="dxa"/>
              <w:left w:w="100" w:type="dxa"/>
              <w:bottom w:w="60" w:type="dxa"/>
              <w:right w:w="100" w:type="dxa"/>
            </w:tcMar>
            <w:vAlign w:val="center"/>
          </w:tcPr>
          <w:p w14:paraId="157282FA" w14:textId="77777777" w:rsidR="003F1E6F" w:rsidRPr="00B3044F" w:rsidRDefault="003F1E6F" w:rsidP="00017C10">
            <w:pPr>
              <w:spacing w:line="276" w:lineRule="auto"/>
              <w:jc w:val="center"/>
              <w:rPr>
                <w:sz w:val="21"/>
                <w:szCs w:val="21"/>
              </w:rPr>
            </w:pPr>
          </w:p>
        </w:tc>
        <w:tc>
          <w:tcPr>
            <w:tcW w:w="2268" w:type="dxa"/>
            <w:tcMar>
              <w:top w:w="60" w:type="dxa"/>
              <w:left w:w="100" w:type="dxa"/>
              <w:bottom w:w="60" w:type="dxa"/>
              <w:right w:w="100" w:type="dxa"/>
            </w:tcMar>
            <w:vAlign w:val="center"/>
          </w:tcPr>
          <w:p w14:paraId="651772C1" w14:textId="20725888" w:rsidR="003F1E6F" w:rsidRPr="00B3044F" w:rsidRDefault="00B3044F" w:rsidP="00017C10">
            <w:pPr>
              <w:spacing w:line="276" w:lineRule="auto"/>
              <w:jc w:val="center"/>
              <w:rPr>
                <w:sz w:val="21"/>
                <w:szCs w:val="21"/>
              </w:rPr>
            </w:pPr>
            <w:r>
              <w:rPr>
                <w:rFonts w:eastAsia="Arial"/>
                <w:sz w:val="21"/>
                <w:szCs w:val="21"/>
              </w:rPr>
              <w:t xml:space="preserve">R$ </w:t>
            </w:r>
            <w:r w:rsidR="004E08BE" w:rsidRPr="00B3044F">
              <w:rPr>
                <w:rFonts w:eastAsia="Arial"/>
                <w:sz w:val="21"/>
                <w:szCs w:val="21"/>
              </w:rPr>
              <w:t>765.583,33</w:t>
            </w:r>
          </w:p>
        </w:tc>
      </w:tr>
    </w:tbl>
    <w:p w14:paraId="4C13CA9A" w14:textId="77777777" w:rsidR="00017C10" w:rsidRDefault="00017C10" w:rsidP="00017C10">
      <w:pPr>
        <w:spacing w:line="276" w:lineRule="auto"/>
        <w:jc w:val="both"/>
        <w:rPr>
          <w:rFonts w:eastAsia="Arial"/>
          <w:sz w:val="21"/>
          <w:szCs w:val="21"/>
        </w:rPr>
      </w:pPr>
    </w:p>
    <w:p w14:paraId="3BB3AE6F" w14:textId="47BA2B16" w:rsidR="00E976BB" w:rsidRPr="00B3044F" w:rsidRDefault="00B3044F" w:rsidP="00017C10">
      <w:pPr>
        <w:spacing w:line="276" w:lineRule="auto"/>
        <w:jc w:val="both"/>
        <w:rPr>
          <w:rFonts w:eastAsia="Arial"/>
          <w:sz w:val="21"/>
          <w:szCs w:val="21"/>
        </w:rPr>
      </w:pPr>
      <w:r>
        <w:rPr>
          <w:rFonts w:eastAsia="Arial"/>
          <w:sz w:val="21"/>
          <w:szCs w:val="21"/>
        </w:rPr>
        <w:t xml:space="preserve">7.3. </w:t>
      </w:r>
      <w:r w:rsidR="004E08BE" w:rsidRPr="00B3044F">
        <w:rPr>
          <w:rFonts w:eastAsia="Arial"/>
          <w:sz w:val="21"/>
          <w:szCs w:val="21"/>
        </w:rPr>
        <w:t xml:space="preserve">O valor de referência de R$ 765.583,33 (setecentos e sessenta e cinco mil, quinhentos e oitenta e três reais e trinta e três centavos) deverá ser formalizado em ata pela Comissão Especial de Avaliação de Bens Imóveis, designada nos termos do art. 4º do Decreto Municipal nº 75/2026, e homologado pelo Prefeito Municipal antes da publicação do edital, conforme art. 5º, III, e art. 27 do mesmo Decreto. </w:t>
      </w:r>
    </w:p>
    <w:p w14:paraId="4D2A0838" w14:textId="1889BB27" w:rsidR="003F1E6F" w:rsidRPr="00B3044F" w:rsidRDefault="00B3044F" w:rsidP="00017C10">
      <w:pPr>
        <w:spacing w:line="276" w:lineRule="auto"/>
        <w:jc w:val="both"/>
        <w:rPr>
          <w:sz w:val="21"/>
          <w:szCs w:val="21"/>
        </w:rPr>
      </w:pPr>
      <w:r>
        <w:rPr>
          <w:rFonts w:eastAsia="Arial"/>
          <w:sz w:val="21"/>
          <w:szCs w:val="21"/>
        </w:rPr>
        <w:t xml:space="preserve">7.4. </w:t>
      </w:r>
      <w:r w:rsidR="004E08BE" w:rsidRPr="00B3044F">
        <w:rPr>
          <w:rFonts w:eastAsia="Arial"/>
          <w:sz w:val="21"/>
          <w:szCs w:val="21"/>
        </w:rPr>
        <w:t>Registre-se que esse valor tem função exclusivamente referencial, para fins do juízo de proporcionalidade tratado no item 8: o valor de aquisição a ser efetivamente pago, caso a concessionária exerça a faculdade de compra, será apurado em nova avaliação, realizada no ato da assinatura do contrato de concessão e atualizada pelo INPC até a data da compra, não se vinculando ao valor ora apurado (art. 8º, § 5º, da Lei Municipal nº 3.199/2025 e art. 5º, II, do Decreto Municipal</w:t>
      </w:r>
      <w:r>
        <w:rPr>
          <w:rFonts w:eastAsia="Arial"/>
          <w:sz w:val="21"/>
          <w:szCs w:val="21"/>
        </w:rPr>
        <w:br/>
      </w:r>
      <w:r w:rsidR="004E08BE" w:rsidRPr="00B3044F">
        <w:rPr>
          <w:rFonts w:eastAsia="Arial"/>
          <w:sz w:val="21"/>
          <w:szCs w:val="21"/>
        </w:rPr>
        <w:t>nº 75/2026).</w:t>
      </w:r>
    </w:p>
    <w:p w14:paraId="0107FCB1" w14:textId="77777777" w:rsidR="00B3044F" w:rsidRDefault="00B3044F" w:rsidP="00017C10">
      <w:pPr>
        <w:spacing w:line="276" w:lineRule="auto"/>
        <w:jc w:val="both"/>
        <w:rPr>
          <w:rFonts w:eastAsia="Arial"/>
          <w:b/>
          <w:bCs/>
          <w:sz w:val="21"/>
          <w:szCs w:val="21"/>
        </w:rPr>
      </w:pPr>
    </w:p>
    <w:p w14:paraId="2C2A7B02" w14:textId="77777777" w:rsidR="00017C10" w:rsidRDefault="00017C10" w:rsidP="00017C10">
      <w:pPr>
        <w:spacing w:line="276" w:lineRule="auto"/>
        <w:jc w:val="both"/>
        <w:rPr>
          <w:rFonts w:eastAsia="Arial"/>
          <w:b/>
          <w:bCs/>
          <w:sz w:val="21"/>
          <w:szCs w:val="21"/>
          <w:u w:val="single"/>
        </w:rPr>
      </w:pPr>
    </w:p>
    <w:p w14:paraId="608A2309" w14:textId="74BDB9FD" w:rsidR="003F1E6F" w:rsidRPr="00B3044F" w:rsidRDefault="004E08BE" w:rsidP="00017C10">
      <w:pPr>
        <w:spacing w:line="276" w:lineRule="auto"/>
        <w:jc w:val="both"/>
        <w:rPr>
          <w:sz w:val="21"/>
          <w:szCs w:val="21"/>
          <w:u w:val="single"/>
        </w:rPr>
      </w:pPr>
      <w:r w:rsidRPr="00B3044F">
        <w:rPr>
          <w:rFonts w:eastAsia="Arial"/>
          <w:b/>
          <w:bCs/>
          <w:sz w:val="21"/>
          <w:szCs w:val="21"/>
          <w:u w:val="single"/>
        </w:rPr>
        <w:t>8. JUSTIFICATIVA DA GRATUIDADE E EXAME DE COMPATIBILIDADE COM A LEI ORGÂNICA MUNICIPAL</w:t>
      </w:r>
      <w:r w:rsidR="00017C10">
        <w:rPr>
          <w:rFonts w:eastAsia="Arial"/>
          <w:b/>
          <w:bCs/>
          <w:sz w:val="21"/>
          <w:szCs w:val="21"/>
          <w:u w:val="single"/>
        </w:rPr>
        <w:t>:</w:t>
      </w:r>
    </w:p>
    <w:p w14:paraId="50CD8EDB" w14:textId="77777777" w:rsidR="00B3044F" w:rsidRDefault="00B3044F" w:rsidP="00017C10">
      <w:pPr>
        <w:spacing w:line="276" w:lineRule="auto"/>
        <w:jc w:val="both"/>
        <w:rPr>
          <w:rFonts w:eastAsia="Arial"/>
          <w:sz w:val="21"/>
          <w:szCs w:val="21"/>
        </w:rPr>
      </w:pPr>
      <w:r>
        <w:rPr>
          <w:rFonts w:eastAsia="Arial"/>
          <w:sz w:val="21"/>
          <w:szCs w:val="21"/>
        </w:rPr>
        <w:t xml:space="preserve">8.1. </w:t>
      </w:r>
      <w:r w:rsidR="004E08BE" w:rsidRPr="00B3044F">
        <w:rPr>
          <w:rFonts w:eastAsia="Arial"/>
          <w:sz w:val="21"/>
          <w:szCs w:val="21"/>
        </w:rPr>
        <w:t xml:space="preserve">Este item constitui o núcleo da análise de viabilidade jurídica da contratação e deve ser lido em conjunto com o parecer jurídico prévio a que se refere o art. 53 da Lei Federal nº 14.133/2021, de aplicação subsidiária por força do art. 48 da Lei Municipal nº 3.199/2025, cuja manifestação expressa sobre os pontos aqui levantados foi determinada no item V do despacho de abertura deste processo administrativo. </w:t>
      </w:r>
    </w:p>
    <w:p w14:paraId="4542109B" w14:textId="77777777" w:rsidR="00B3044F" w:rsidRDefault="00B3044F" w:rsidP="00017C10">
      <w:pPr>
        <w:spacing w:line="276" w:lineRule="auto"/>
        <w:jc w:val="both"/>
        <w:rPr>
          <w:rFonts w:eastAsia="Arial"/>
          <w:sz w:val="21"/>
          <w:szCs w:val="21"/>
        </w:rPr>
      </w:pPr>
      <w:r>
        <w:rPr>
          <w:rFonts w:eastAsia="Arial"/>
          <w:sz w:val="21"/>
          <w:szCs w:val="21"/>
        </w:rPr>
        <w:t xml:space="preserve">8.2. </w:t>
      </w:r>
      <w:r w:rsidR="004E08BE" w:rsidRPr="00B3044F">
        <w:rPr>
          <w:rFonts w:eastAsia="Arial"/>
          <w:sz w:val="21"/>
          <w:szCs w:val="21"/>
        </w:rPr>
        <w:t xml:space="preserve">Nos termos do art. 24, § 1º, da Lei Municipal nº 3.199/2025 e do art. 12 do Decreto Municipal nº 75/2026, a concessão gratuita depende de justificativa de interesse público que indique objetivamente: </w:t>
      </w:r>
    </w:p>
    <w:p w14:paraId="69D70BD6" w14:textId="77777777" w:rsidR="00B3044F" w:rsidRDefault="004E08BE" w:rsidP="00017C10">
      <w:pPr>
        <w:spacing w:line="276" w:lineRule="auto"/>
        <w:jc w:val="both"/>
        <w:rPr>
          <w:rFonts w:eastAsia="Arial"/>
          <w:sz w:val="21"/>
          <w:szCs w:val="21"/>
        </w:rPr>
      </w:pPr>
      <w:r w:rsidRPr="00B3044F">
        <w:rPr>
          <w:rFonts w:eastAsia="Arial"/>
          <w:sz w:val="21"/>
          <w:szCs w:val="21"/>
        </w:rPr>
        <w:t xml:space="preserve">(i) o número de empregos diretos previstos; </w:t>
      </w:r>
    </w:p>
    <w:p w14:paraId="39249298" w14:textId="77777777" w:rsidR="00B3044F" w:rsidRDefault="004E08BE" w:rsidP="00017C10">
      <w:pPr>
        <w:spacing w:line="276" w:lineRule="auto"/>
        <w:jc w:val="both"/>
        <w:rPr>
          <w:rFonts w:eastAsia="Arial"/>
          <w:sz w:val="21"/>
          <w:szCs w:val="21"/>
        </w:rPr>
      </w:pPr>
      <w:r w:rsidRPr="00B3044F">
        <w:rPr>
          <w:rFonts w:eastAsia="Arial"/>
          <w:sz w:val="21"/>
          <w:szCs w:val="21"/>
        </w:rPr>
        <w:t>(</w:t>
      </w:r>
      <w:proofErr w:type="spellStart"/>
      <w:r w:rsidRPr="00B3044F">
        <w:rPr>
          <w:rFonts w:eastAsia="Arial"/>
          <w:sz w:val="21"/>
          <w:szCs w:val="21"/>
        </w:rPr>
        <w:t>ii</w:t>
      </w:r>
      <w:proofErr w:type="spellEnd"/>
      <w:r w:rsidRPr="00B3044F">
        <w:rPr>
          <w:rFonts w:eastAsia="Arial"/>
          <w:sz w:val="21"/>
          <w:szCs w:val="21"/>
        </w:rPr>
        <w:t xml:space="preserve">) o valor estimado do investimento; </w:t>
      </w:r>
    </w:p>
    <w:p w14:paraId="08CF5982" w14:textId="77777777" w:rsidR="00B3044F" w:rsidRDefault="004E08BE" w:rsidP="00017C10">
      <w:pPr>
        <w:spacing w:line="276" w:lineRule="auto"/>
        <w:jc w:val="both"/>
        <w:rPr>
          <w:rFonts w:eastAsia="Arial"/>
          <w:sz w:val="21"/>
          <w:szCs w:val="21"/>
        </w:rPr>
      </w:pPr>
      <w:r w:rsidRPr="00B3044F">
        <w:rPr>
          <w:rFonts w:eastAsia="Arial"/>
          <w:sz w:val="21"/>
          <w:szCs w:val="21"/>
        </w:rPr>
        <w:t>(</w:t>
      </w:r>
      <w:proofErr w:type="spellStart"/>
      <w:r w:rsidRPr="00B3044F">
        <w:rPr>
          <w:rFonts w:eastAsia="Arial"/>
          <w:sz w:val="21"/>
          <w:szCs w:val="21"/>
        </w:rPr>
        <w:t>iii</w:t>
      </w:r>
      <w:proofErr w:type="spellEnd"/>
      <w:r w:rsidRPr="00B3044F">
        <w:rPr>
          <w:rFonts w:eastAsia="Arial"/>
          <w:sz w:val="21"/>
          <w:szCs w:val="21"/>
        </w:rPr>
        <w:t xml:space="preserve">) o prazo de implantação; </w:t>
      </w:r>
    </w:p>
    <w:p w14:paraId="2E6EF02E" w14:textId="4B189315" w:rsidR="003F1E6F" w:rsidRPr="00B3044F" w:rsidRDefault="004E08BE" w:rsidP="00017C10">
      <w:pPr>
        <w:spacing w:line="276" w:lineRule="auto"/>
        <w:jc w:val="both"/>
        <w:rPr>
          <w:sz w:val="21"/>
          <w:szCs w:val="21"/>
        </w:rPr>
      </w:pPr>
      <w:r w:rsidRPr="00B3044F">
        <w:rPr>
          <w:rFonts w:eastAsia="Arial"/>
          <w:sz w:val="21"/>
          <w:szCs w:val="21"/>
        </w:rPr>
        <w:t>(</w:t>
      </w:r>
      <w:proofErr w:type="spellStart"/>
      <w:r w:rsidRPr="00B3044F">
        <w:rPr>
          <w:rFonts w:eastAsia="Arial"/>
          <w:sz w:val="21"/>
          <w:szCs w:val="21"/>
        </w:rPr>
        <w:t>iv</w:t>
      </w:r>
      <w:proofErr w:type="spellEnd"/>
      <w:r w:rsidRPr="00B3044F">
        <w:rPr>
          <w:rFonts w:eastAsia="Arial"/>
          <w:sz w:val="21"/>
          <w:szCs w:val="21"/>
        </w:rPr>
        <w:t>) a relevância econômica ou social; (v) a adequação ambiental e urbanística; e (vi) a compatibilidade com a política industrial do Município.</w:t>
      </w:r>
    </w:p>
    <w:p w14:paraId="7100DB5E" w14:textId="57BBFDFC" w:rsidR="003F1E6F" w:rsidRPr="00B3044F" w:rsidRDefault="00B3044F" w:rsidP="00017C10">
      <w:pPr>
        <w:spacing w:line="276" w:lineRule="auto"/>
        <w:jc w:val="both"/>
        <w:rPr>
          <w:sz w:val="21"/>
          <w:szCs w:val="21"/>
        </w:rPr>
      </w:pPr>
      <w:r>
        <w:rPr>
          <w:rFonts w:eastAsia="Arial"/>
          <w:sz w:val="21"/>
          <w:szCs w:val="21"/>
        </w:rPr>
        <w:t xml:space="preserve">8.3. </w:t>
      </w:r>
      <w:r w:rsidR="004E08BE" w:rsidRPr="00B3044F">
        <w:rPr>
          <w:rFonts w:eastAsia="Arial"/>
          <w:sz w:val="21"/>
          <w:szCs w:val="21"/>
        </w:rPr>
        <w:t>Quanto aos elementos (i) a (</w:t>
      </w:r>
      <w:proofErr w:type="spellStart"/>
      <w:r w:rsidR="004E08BE" w:rsidRPr="00B3044F">
        <w:rPr>
          <w:rFonts w:eastAsia="Arial"/>
          <w:sz w:val="21"/>
          <w:szCs w:val="21"/>
        </w:rPr>
        <w:t>iii</w:t>
      </w:r>
      <w:proofErr w:type="spellEnd"/>
      <w:r w:rsidR="004E08BE" w:rsidRPr="00B3044F">
        <w:rPr>
          <w:rFonts w:eastAsia="Arial"/>
          <w:sz w:val="21"/>
          <w:szCs w:val="21"/>
        </w:rPr>
        <w:t>), a proposta vencedora, selecionada mediante critério objetivo de pontuação técnica (item 10 deste Estudo), estará vinculada, como cláusula contratual, à geração de emprego formal mínimo de 5 (cinco) postos para empresas do Lucro Real ou Presumido, ou de 3 (três) para optantes do Simples Nacional (art. 6º, § 2º, “b”, da Lei Municipal nº 3.199/2025), podendo o critério de pontuação elevar esse compromisso conforme a proposta apresentada; ao investimento declarado em obras, máquinas e equipamentos, comprovável documentalmente na execução; e ao início das atividades produtivas em até 12 (doze) meses da assinatura do contrato. Quanto ao elemento (</w:t>
      </w:r>
      <w:proofErr w:type="spellStart"/>
      <w:r w:rsidR="004E08BE" w:rsidRPr="00B3044F">
        <w:rPr>
          <w:rFonts w:eastAsia="Arial"/>
          <w:sz w:val="21"/>
          <w:szCs w:val="21"/>
        </w:rPr>
        <w:t>iv</w:t>
      </w:r>
      <w:proofErr w:type="spellEnd"/>
      <w:r w:rsidR="004E08BE" w:rsidRPr="00B3044F">
        <w:rPr>
          <w:rFonts w:eastAsia="Arial"/>
          <w:sz w:val="21"/>
          <w:szCs w:val="21"/>
        </w:rPr>
        <w:t xml:space="preserve">), a relevância econômica e social decorre da geração de emprego e renda em município de pequeno porte, da diversificação da base produtiva local e do incremento, ainda que futuro, da arrecadação tributária municipal, tudo em consonância com a competência constitucional do Município para promover o desenvolvimento local, nos termos dos </w:t>
      </w:r>
      <w:proofErr w:type="spellStart"/>
      <w:r w:rsidR="004E08BE" w:rsidRPr="00B3044F">
        <w:rPr>
          <w:rFonts w:eastAsia="Arial"/>
          <w:sz w:val="21"/>
          <w:szCs w:val="21"/>
        </w:rPr>
        <w:t>arts</w:t>
      </w:r>
      <w:proofErr w:type="spellEnd"/>
      <w:r w:rsidR="004E08BE" w:rsidRPr="00B3044F">
        <w:rPr>
          <w:rFonts w:eastAsia="Arial"/>
          <w:sz w:val="21"/>
          <w:szCs w:val="21"/>
        </w:rPr>
        <w:t>. 23, VIII, e 30, I, da Constituição Federal. Quanto ao elemento (v), a adequação ambiental e urbanística é assegurada pela exigência de licenciamento ambiental prévio e pela vinculação às tipologias industriais admitidas pela FEPAM, listadas no Anexo I</w:t>
      </w:r>
      <w:r w:rsidR="00FB7565">
        <w:rPr>
          <w:rFonts w:eastAsia="Arial"/>
          <w:sz w:val="21"/>
          <w:szCs w:val="21"/>
        </w:rPr>
        <w:t>V</w:t>
      </w:r>
      <w:r w:rsidR="004E08BE" w:rsidRPr="00B3044F">
        <w:rPr>
          <w:rFonts w:eastAsia="Arial"/>
          <w:sz w:val="21"/>
          <w:szCs w:val="21"/>
        </w:rPr>
        <w:t xml:space="preserve"> do edital (art. 5º da Lei Municipal nº 3.199/2025). Quanto ao elemento (vi), a compatibilidade com a política industrial municipal decorre diretamente da destinação do imóvel a finalidade prevista desde a criação do próprio Distrito Industrial IV pela Lei Municipal nº 3.199/2025.</w:t>
      </w:r>
    </w:p>
    <w:p w14:paraId="48EC8A00" w14:textId="450B32AA" w:rsidR="003F1E6F" w:rsidRPr="00B3044F" w:rsidRDefault="00B3044F" w:rsidP="00017C10">
      <w:pPr>
        <w:spacing w:line="276" w:lineRule="auto"/>
        <w:jc w:val="both"/>
        <w:rPr>
          <w:sz w:val="21"/>
          <w:szCs w:val="21"/>
        </w:rPr>
      </w:pPr>
      <w:r>
        <w:rPr>
          <w:rFonts w:eastAsia="Arial"/>
          <w:sz w:val="21"/>
          <w:szCs w:val="21"/>
        </w:rPr>
        <w:t xml:space="preserve">8.4. </w:t>
      </w:r>
      <w:r w:rsidR="004E08BE" w:rsidRPr="00B3044F">
        <w:rPr>
          <w:rFonts w:eastAsia="Arial"/>
          <w:sz w:val="21"/>
          <w:szCs w:val="21"/>
        </w:rPr>
        <w:t xml:space="preserve">Superada a justificativa da gratuidade à luz da lei especial, subsiste, contudo, um ponto de tensão normativa que este Estudo não pode omitir e que deve ser expressamente enfrentado antes da publicação do edital. O art. 9º da Lei Orgânica do Município de Palmitinho dispõe que “o uso dos bens municipais, por terceiros, só poderá ser feito mediante concessão ou permissão, conforme o interesse público o exigir”, e o seu § 1º estabelece que “será vedado o uso de bens públicos por particulares, com fins lucrativos”. Lido isoladamente e em sentido literal, o § 1º poderia sugerir a impossibilidade de qualquer concessão de uso, onerosa ou gratuita, a empresa com finalidade lucrativa </w:t>
      </w:r>
      <w:r>
        <w:rPr>
          <w:rFonts w:eastAsia="Arial"/>
          <w:sz w:val="21"/>
          <w:szCs w:val="21"/>
        </w:rPr>
        <w:t>-</w:t>
      </w:r>
      <w:r w:rsidR="004E08BE" w:rsidRPr="00B3044F">
        <w:rPr>
          <w:rFonts w:eastAsia="Arial"/>
          <w:sz w:val="21"/>
          <w:szCs w:val="21"/>
        </w:rPr>
        <w:t xml:space="preserve"> o que esvaziaria o próprio caput do artigo, que expressamente admite a concessão como instrumento de uso do bem municipal por terceiros, e tornaria inexequível toda a política de incentivo industrial que a própria Lei Municipal nº 3.199/2025 instituiu.</w:t>
      </w:r>
    </w:p>
    <w:p w14:paraId="35770EB9" w14:textId="47179B14" w:rsidR="003F1E6F" w:rsidRDefault="00B3044F" w:rsidP="00017C10">
      <w:pPr>
        <w:spacing w:line="276" w:lineRule="auto"/>
        <w:jc w:val="both"/>
        <w:rPr>
          <w:rFonts w:eastAsia="Arial"/>
          <w:sz w:val="21"/>
          <w:szCs w:val="21"/>
        </w:rPr>
      </w:pPr>
      <w:r>
        <w:rPr>
          <w:rFonts w:eastAsia="Arial"/>
          <w:sz w:val="21"/>
          <w:szCs w:val="21"/>
        </w:rPr>
        <w:t xml:space="preserve">8.5. </w:t>
      </w:r>
      <w:r w:rsidR="004E08BE" w:rsidRPr="00B3044F">
        <w:rPr>
          <w:rFonts w:eastAsia="Arial"/>
          <w:sz w:val="21"/>
          <w:szCs w:val="21"/>
        </w:rPr>
        <w:t xml:space="preserve">A interpretação sistemática mais consistente é a de que a vedação do art. 9º, § 1º, da Lei Orgânica destina-se a impedir a transferência do uso de bem público a particular com finalidade lucrativa sem qualquer contrapartida ou justificativa de interesse público — isto é, a liberalidade pura e simples, incompatível com a indisponibilidade do patrimônio público </w:t>
      </w:r>
      <w:r w:rsidR="00FB7565">
        <w:rPr>
          <w:rFonts w:eastAsia="Arial"/>
          <w:sz w:val="21"/>
          <w:szCs w:val="21"/>
        </w:rPr>
        <w:t>-</w:t>
      </w:r>
      <w:r w:rsidR="004E08BE" w:rsidRPr="00B3044F">
        <w:rPr>
          <w:rFonts w:eastAsia="Arial"/>
          <w:sz w:val="21"/>
          <w:szCs w:val="21"/>
        </w:rPr>
        <w:t>, e não a vedar, em abstrato, toda e qualquer concessão de uso a pessoa jurídica com fins lucrativos, hipótese que o próprio caput do dispositivo contempla como regular. Nessa leitura, a Lei Municipal nº 3.199/2025, enquanto lei especial e posterior que disciplina, de modo pormenorizado e motivado, hipótese específica de concessão de uso vinculada a contrapartidas de desenvolvimento exigíveis (emprego, investimento, prazo, permanência da atividade, manutenção de inscrição estadual), afasta o enquadramento da concessão como liberalidade vedada, na medida em que a gratuidade nominal é compensada por retorno social e econômico mensurável, nos termos do critério objetivo do art. 24, §1º, da própria Lei e do art. 12 do Decreto Municipal nº 75/2026.</w:t>
      </w:r>
    </w:p>
    <w:p w14:paraId="4C84111B" w14:textId="77777777" w:rsidR="00017C10" w:rsidRDefault="00017C10" w:rsidP="00017C10">
      <w:pPr>
        <w:spacing w:line="276" w:lineRule="auto"/>
        <w:jc w:val="both"/>
        <w:rPr>
          <w:rFonts w:eastAsia="Arial"/>
          <w:sz w:val="21"/>
          <w:szCs w:val="21"/>
        </w:rPr>
      </w:pPr>
    </w:p>
    <w:p w14:paraId="337C9830" w14:textId="5FACAA2F" w:rsidR="003F1E6F" w:rsidRPr="00B3044F" w:rsidRDefault="00B3044F" w:rsidP="00017C10">
      <w:pPr>
        <w:spacing w:line="276" w:lineRule="auto"/>
        <w:jc w:val="both"/>
        <w:rPr>
          <w:sz w:val="21"/>
          <w:szCs w:val="21"/>
        </w:rPr>
      </w:pPr>
      <w:r>
        <w:rPr>
          <w:rFonts w:eastAsia="Arial"/>
          <w:sz w:val="21"/>
          <w:szCs w:val="21"/>
        </w:rPr>
        <w:lastRenderedPageBreak/>
        <w:t xml:space="preserve">8.6. </w:t>
      </w:r>
      <w:r w:rsidR="004E08BE" w:rsidRPr="00B3044F">
        <w:rPr>
          <w:rFonts w:eastAsia="Arial"/>
          <w:sz w:val="21"/>
          <w:szCs w:val="21"/>
        </w:rPr>
        <w:t xml:space="preserve">Essa leitura, entretanto, não é isenta de risco, e a prudência recomendada pelo Termo de Abertura deste processo administrativo </w:t>
      </w:r>
      <w:r>
        <w:rPr>
          <w:rFonts w:eastAsia="Arial"/>
          <w:sz w:val="21"/>
          <w:szCs w:val="21"/>
        </w:rPr>
        <w:t>-</w:t>
      </w:r>
      <w:r w:rsidR="004E08BE" w:rsidRPr="00B3044F">
        <w:rPr>
          <w:rFonts w:eastAsia="Arial"/>
          <w:sz w:val="21"/>
          <w:szCs w:val="21"/>
        </w:rPr>
        <w:t xml:space="preserve"> que determinou, no item V, o enfrentamento expresso da matéria no parecer jurídico prévio </w:t>
      </w:r>
      <w:r w:rsidR="00FB7565">
        <w:rPr>
          <w:rFonts w:eastAsia="Arial"/>
          <w:sz w:val="21"/>
          <w:szCs w:val="21"/>
        </w:rPr>
        <w:t>-</w:t>
      </w:r>
      <w:r w:rsidR="004E08BE" w:rsidRPr="00B3044F">
        <w:rPr>
          <w:rFonts w:eastAsia="Arial"/>
          <w:sz w:val="21"/>
          <w:szCs w:val="21"/>
        </w:rPr>
        <w:t xml:space="preserve"> deve ser mantida. Não foi localizado precedente do Tribunal de Contas do Estado do Rio Grande do Sul especificamente sobre a compatibilidade de lei municipal de incentivo industrial com vedação orgânica de uso gratuito de bem público por particular com fins lucrativos, razão pela qual este Estudo não afirma a existência de entendimento consolidado nesse sentido, devendo o parecer jurídico prévio ao edital pesquisar e, se existente, indicar jurisprudência específica do TCE-RS sobre a matéria antes da publicação do certame.</w:t>
      </w:r>
    </w:p>
    <w:p w14:paraId="4DE74021" w14:textId="0B0EDCBD" w:rsidR="003F1E6F" w:rsidRPr="00B3044F" w:rsidRDefault="00B3044F" w:rsidP="00017C10">
      <w:pPr>
        <w:spacing w:line="276" w:lineRule="auto"/>
        <w:jc w:val="both"/>
        <w:rPr>
          <w:sz w:val="21"/>
          <w:szCs w:val="21"/>
        </w:rPr>
      </w:pPr>
      <w:r>
        <w:rPr>
          <w:rFonts w:eastAsia="Arial"/>
          <w:sz w:val="21"/>
          <w:szCs w:val="21"/>
        </w:rPr>
        <w:t xml:space="preserve">8.7. </w:t>
      </w:r>
      <w:r w:rsidR="004E08BE" w:rsidRPr="00B3044F">
        <w:rPr>
          <w:rFonts w:eastAsia="Arial"/>
          <w:sz w:val="21"/>
          <w:szCs w:val="21"/>
        </w:rPr>
        <w:t>Recomenda-se, como medida de saneamento preventivo, que o parecer jurídico prévio explicite, na parte dispositiva, a interpretação sistemática ora exposta, e que o processo administrativo registre, de forma expressa e documentada, a demonstração quantitativa das contrapartidas de desenvolvimento como fundamento da gratuidade, de modo que a motivação do ato fique imune à alegação de liberalidade pura vedada pelo art. 9º, § 1º, da Lei Orgânica. Não compete a este Estudo Técnico Preliminar, de natureza técnico-administrativa, decidir em caráter definitivo a controvérsia jurídica ora identificada, tarefa que se reserva à manifestação jurídica prevista no art. 53 da Lei Federal nº 14.133/2021.</w:t>
      </w:r>
    </w:p>
    <w:p w14:paraId="3B9411E6" w14:textId="6C51F378" w:rsidR="003F1E6F" w:rsidRPr="00B3044F" w:rsidRDefault="00B3044F" w:rsidP="00017C10">
      <w:pPr>
        <w:spacing w:line="276" w:lineRule="auto"/>
        <w:jc w:val="both"/>
        <w:rPr>
          <w:rFonts w:eastAsia="Arial"/>
          <w:sz w:val="21"/>
          <w:szCs w:val="21"/>
        </w:rPr>
      </w:pPr>
      <w:r>
        <w:rPr>
          <w:rFonts w:eastAsia="Arial"/>
          <w:sz w:val="21"/>
          <w:szCs w:val="21"/>
        </w:rPr>
        <w:t>8.8.</w:t>
      </w:r>
      <w:r w:rsidR="005E5033">
        <w:rPr>
          <w:rFonts w:eastAsia="Arial"/>
          <w:sz w:val="21"/>
          <w:szCs w:val="21"/>
        </w:rPr>
        <w:t xml:space="preserve"> </w:t>
      </w:r>
      <w:r w:rsidR="004E08BE" w:rsidRPr="00B3044F">
        <w:rPr>
          <w:rFonts w:eastAsia="Arial"/>
          <w:sz w:val="21"/>
          <w:szCs w:val="21"/>
        </w:rPr>
        <w:t>Registra, ainda, para descartar hipótese diversa de vedação orgânica, que o art. 7º, § 3º, da Lei Orgânica de Palmitinho veda a doação, venda ou concessão de uso de fração de parques, praças, jardins e logradouros públicos, vedação que não alcança o imóvel ora tratado, integrante de Distrito Industrial e destituído de afetação a uso comum do povo.</w:t>
      </w:r>
    </w:p>
    <w:p w14:paraId="2E6D2A6C" w14:textId="77777777" w:rsidR="00E976BB" w:rsidRPr="00B3044F" w:rsidRDefault="00E976BB" w:rsidP="00017C10">
      <w:pPr>
        <w:spacing w:line="276" w:lineRule="auto"/>
        <w:ind w:firstLine="1134"/>
        <w:jc w:val="both"/>
        <w:rPr>
          <w:sz w:val="21"/>
          <w:szCs w:val="21"/>
        </w:rPr>
      </w:pPr>
    </w:p>
    <w:p w14:paraId="4D993C76" w14:textId="7494CA05" w:rsidR="003F1E6F" w:rsidRPr="005E5033" w:rsidRDefault="004E08BE" w:rsidP="00017C10">
      <w:pPr>
        <w:spacing w:line="264" w:lineRule="auto"/>
        <w:jc w:val="both"/>
        <w:rPr>
          <w:sz w:val="21"/>
          <w:szCs w:val="21"/>
          <w:u w:val="single"/>
        </w:rPr>
      </w:pPr>
      <w:r w:rsidRPr="005E5033">
        <w:rPr>
          <w:rFonts w:eastAsia="Arial"/>
          <w:b/>
          <w:bCs/>
          <w:sz w:val="21"/>
          <w:szCs w:val="21"/>
          <w:u w:val="single"/>
        </w:rPr>
        <w:t>9. DESCRIÇÃO DA SOLUÇÃO COMO UM TODO</w:t>
      </w:r>
      <w:r w:rsidR="005E5033">
        <w:rPr>
          <w:rFonts w:eastAsia="Arial"/>
          <w:b/>
          <w:bCs/>
          <w:sz w:val="21"/>
          <w:szCs w:val="21"/>
          <w:u w:val="single"/>
        </w:rPr>
        <w:t>:</w:t>
      </w:r>
    </w:p>
    <w:p w14:paraId="0D4A4579" w14:textId="68722B73" w:rsidR="007D4595" w:rsidRPr="00B3044F" w:rsidRDefault="005E5033" w:rsidP="00017C10">
      <w:pPr>
        <w:spacing w:line="264" w:lineRule="auto"/>
        <w:jc w:val="both"/>
        <w:rPr>
          <w:rFonts w:eastAsia="Arial"/>
          <w:sz w:val="21"/>
          <w:szCs w:val="21"/>
        </w:rPr>
      </w:pPr>
      <w:r>
        <w:rPr>
          <w:rFonts w:eastAsia="Arial"/>
          <w:sz w:val="21"/>
          <w:szCs w:val="21"/>
        </w:rPr>
        <w:t xml:space="preserve">9.1. </w:t>
      </w:r>
      <w:r w:rsidR="004E08BE" w:rsidRPr="00B3044F">
        <w:rPr>
          <w:rFonts w:eastAsia="Arial"/>
          <w:sz w:val="21"/>
          <w:szCs w:val="21"/>
        </w:rPr>
        <w:t xml:space="preserve">A solução compreende a realização de licitação na modalidade concorrência, sob a forma presencial, com modo de disputa fechado e sem apresentação de lances, tendo por critério de julgamento a maior pontuação técnica das contrapartidas de desenvolvimento ofertadas pelos licitantes (item 10 deste Estudo), nos termos dos </w:t>
      </w:r>
      <w:proofErr w:type="spellStart"/>
      <w:r w:rsidR="004E08BE" w:rsidRPr="00B3044F">
        <w:rPr>
          <w:rFonts w:eastAsia="Arial"/>
          <w:sz w:val="21"/>
          <w:szCs w:val="21"/>
        </w:rPr>
        <w:t>arts</w:t>
      </w:r>
      <w:proofErr w:type="spellEnd"/>
      <w:r w:rsidR="004E08BE" w:rsidRPr="00B3044F">
        <w:rPr>
          <w:rFonts w:eastAsia="Arial"/>
          <w:sz w:val="21"/>
          <w:szCs w:val="21"/>
        </w:rPr>
        <w:t xml:space="preserve">. 24, § 2º, e 25 da Lei Municipal nº 3.199/2025, com aplicação subsidiária da Lei Federal nº 14.133/2021 e da Lei Complementar nº 123/2006. </w:t>
      </w:r>
    </w:p>
    <w:p w14:paraId="0AB14892" w14:textId="05F967CD" w:rsidR="003F1E6F" w:rsidRPr="00B3044F" w:rsidRDefault="005E5033" w:rsidP="00017C10">
      <w:pPr>
        <w:spacing w:line="264" w:lineRule="auto"/>
        <w:jc w:val="both"/>
        <w:rPr>
          <w:sz w:val="21"/>
          <w:szCs w:val="21"/>
        </w:rPr>
      </w:pPr>
      <w:r>
        <w:rPr>
          <w:rFonts w:eastAsia="Arial"/>
          <w:sz w:val="21"/>
          <w:szCs w:val="21"/>
        </w:rPr>
        <w:t xml:space="preserve">9.2. </w:t>
      </w:r>
      <w:r w:rsidR="004E08BE" w:rsidRPr="00B3044F">
        <w:rPr>
          <w:rFonts w:eastAsia="Arial"/>
          <w:sz w:val="21"/>
          <w:szCs w:val="21"/>
        </w:rPr>
        <w:t>A licitante vencedora será convocada para apresentar projeto industrial e de engenharia, e, após aprovação, para assinar contrato de concessão de direito real de uso pelo prazo de 10 (dez) anos, prorrogável uma única vez por até 10 (dez) anos, no total máximo de 20 (vinte) anos (art. 6º, V, art. 30, § 4º, e art. 34 da Lei), contrato esse levado a registro no Registro de Imóveis competente, com despesas notariais e registrais a cargo exclusivo da concessionária (</w:t>
      </w:r>
      <w:proofErr w:type="spellStart"/>
      <w:r w:rsidR="004E08BE" w:rsidRPr="00B3044F">
        <w:rPr>
          <w:rFonts w:eastAsia="Arial"/>
          <w:sz w:val="21"/>
          <w:szCs w:val="21"/>
        </w:rPr>
        <w:t>arts</w:t>
      </w:r>
      <w:proofErr w:type="spellEnd"/>
      <w:r w:rsidR="004E08BE" w:rsidRPr="00B3044F">
        <w:rPr>
          <w:rFonts w:eastAsia="Arial"/>
          <w:sz w:val="21"/>
          <w:szCs w:val="21"/>
        </w:rPr>
        <w:t>. 27 e 35 da Lei).</w:t>
      </w:r>
    </w:p>
    <w:p w14:paraId="7FEAF3B2" w14:textId="0408A08A" w:rsidR="007D4595" w:rsidRPr="00B3044F" w:rsidRDefault="005E5033" w:rsidP="00017C10">
      <w:pPr>
        <w:spacing w:line="264" w:lineRule="auto"/>
        <w:jc w:val="both"/>
        <w:rPr>
          <w:rFonts w:eastAsia="Arial"/>
          <w:sz w:val="21"/>
          <w:szCs w:val="21"/>
        </w:rPr>
      </w:pPr>
      <w:r>
        <w:rPr>
          <w:rFonts w:eastAsia="Arial"/>
          <w:sz w:val="21"/>
          <w:szCs w:val="21"/>
        </w:rPr>
        <w:t xml:space="preserve">9.3. </w:t>
      </w:r>
      <w:r w:rsidR="004E08BE" w:rsidRPr="00B3044F">
        <w:rPr>
          <w:rFonts w:eastAsia="Arial"/>
          <w:sz w:val="21"/>
          <w:szCs w:val="21"/>
        </w:rPr>
        <w:t>Durante a vigência contratual, a concessionária ficará vinculada às contrapartidas de desenvolvimento constantes de sua proposta (empregos, investimento, prazos de edificação e operação, manutenção de inscrição estadual própria), sujeitando-se à fiscalização semestral do órgão gestor (</w:t>
      </w:r>
      <w:proofErr w:type="spellStart"/>
      <w:r w:rsidR="004E08BE" w:rsidRPr="00B3044F">
        <w:rPr>
          <w:rFonts w:eastAsia="Arial"/>
          <w:sz w:val="21"/>
          <w:szCs w:val="21"/>
        </w:rPr>
        <w:t>arts</w:t>
      </w:r>
      <w:proofErr w:type="spellEnd"/>
      <w:r w:rsidR="004E08BE" w:rsidRPr="00B3044F">
        <w:rPr>
          <w:rFonts w:eastAsia="Arial"/>
          <w:sz w:val="21"/>
          <w:szCs w:val="21"/>
        </w:rPr>
        <w:t xml:space="preserve">. 19 e 20 da Lei; </w:t>
      </w:r>
      <w:proofErr w:type="spellStart"/>
      <w:r w:rsidR="004E08BE" w:rsidRPr="00B3044F">
        <w:rPr>
          <w:rFonts w:eastAsia="Arial"/>
          <w:sz w:val="21"/>
          <w:szCs w:val="21"/>
        </w:rPr>
        <w:t>arts</w:t>
      </w:r>
      <w:proofErr w:type="spellEnd"/>
      <w:r w:rsidR="004E08BE" w:rsidRPr="00B3044F">
        <w:rPr>
          <w:rFonts w:eastAsia="Arial"/>
          <w:sz w:val="21"/>
          <w:szCs w:val="21"/>
        </w:rPr>
        <w:t>. 17 a 19 do Decreto Municipal nº 75/2026) e às sanções e hipóteses de resolução e reversão do imóvel ao Município, com perda das benfeitorias, em caso de descumprimento (</w:t>
      </w:r>
      <w:proofErr w:type="spellStart"/>
      <w:r w:rsidR="004E08BE" w:rsidRPr="00B3044F">
        <w:rPr>
          <w:rFonts w:eastAsia="Arial"/>
          <w:sz w:val="21"/>
          <w:szCs w:val="21"/>
        </w:rPr>
        <w:t>arts</w:t>
      </w:r>
      <w:proofErr w:type="spellEnd"/>
      <w:r w:rsidR="004E08BE" w:rsidRPr="00B3044F">
        <w:rPr>
          <w:rFonts w:eastAsia="Arial"/>
          <w:sz w:val="21"/>
          <w:szCs w:val="21"/>
        </w:rPr>
        <w:t xml:space="preserve">. 27 a 30 da Lei). </w:t>
      </w:r>
    </w:p>
    <w:p w14:paraId="4E39CA60" w14:textId="48198119" w:rsidR="003F1E6F" w:rsidRPr="00B3044F" w:rsidRDefault="005E5033" w:rsidP="00017C10">
      <w:pPr>
        <w:spacing w:line="264" w:lineRule="auto"/>
        <w:jc w:val="both"/>
        <w:rPr>
          <w:sz w:val="21"/>
          <w:szCs w:val="21"/>
        </w:rPr>
      </w:pPr>
      <w:r>
        <w:rPr>
          <w:rFonts w:eastAsia="Arial"/>
          <w:sz w:val="21"/>
          <w:szCs w:val="21"/>
        </w:rPr>
        <w:t xml:space="preserve">9.4. </w:t>
      </w:r>
      <w:r w:rsidR="004E08BE" w:rsidRPr="00B3044F">
        <w:rPr>
          <w:rFonts w:eastAsia="Arial"/>
          <w:sz w:val="21"/>
          <w:szCs w:val="21"/>
        </w:rPr>
        <w:t>É assegurado à concessionária, a qualquer momento da vigência, o direito de adquirir definitivamente o imóvel pelo valor apurado em nova avaliação realizada no ato da assinatura do contrato, atualizado pelo INPC até a data da compra (art. 8º, § 5º, da Lei; art. 5º, II, do Decreto Municipal nº 75/2026).</w:t>
      </w:r>
    </w:p>
    <w:p w14:paraId="17861F57" w14:textId="77777777" w:rsidR="005E5033" w:rsidRPr="005E5033" w:rsidRDefault="005E5033" w:rsidP="00017C10">
      <w:pPr>
        <w:spacing w:line="264" w:lineRule="auto"/>
        <w:jc w:val="both"/>
        <w:rPr>
          <w:rFonts w:eastAsia="Arial"/>
          <w:b/>
          <w:bCs/>
          <w:sz w:val="16"/>
          <w:szCs w:val="16"/>
        </w:rPr>
      </w:pPr>
    </w:p>
    <w:p w14:paraId="1A15ADB4" w14:textId="0F6CF8BE" w:rsidR="003F1E6F" w:rsidRPr="005E5033" w:rsidRDefault="004E08BE" w:rsidP="00017C10">
      <w:pPr>
        <w:spacing w:line="264" w:lineRule="auto"/>
        <w:jc w:val="both"/>
        <w:rPr>
          <w:sz w:val="21"/>
          <w:szCs w:val="21"/>
          <w:u w:val="single"/>
        </w:rPr>
      </w:pPr>
      <w:r w:rsidRPr="005E5033">
        <w:rPr>
          <w:rFonts w:eastAsia="Arial"/>
          <w:b/>
          <w:bCs/>
          <w:sz w:val="21"/>
          <w:szCs w:val="21"/>
          <w:u w:val="single"/>
        </w:rPr>
        <w:t>10. CRITÉRIOS DE JULGAMENTO E PROPOSTA DE PONTUAÇÃO TÉCNICA</w:t>
      </w:r>
      <w:r w:rsidR="005E5033">
        <w:rPr>
          <w:rFonts w:eastAsia="Arial"/>
          <w:b/>
          <w:bCs/>
          <w:sz w:val="21"/>
          <w:szCs w:val="21"/>
          <w:u w:val="single"/>
        </w:rPr>
        <w:t>:</w:t>
      </w:r>
    </w:p>
    <w:p w14:paraId="46CB9208" w14:textId="66808B28" w:rsidR="007D4595" w:rsidRPr="00B3044F" w:rsidRDefault="005E5033" w:rsidP="00017C10">
      <w:pPr>
        <w:spacing w:line="264" w:lineRule="auto"/>
        <w:jc w:val="both"/>
        <w:rPr>
          <w:rFonts w:eastAsia="Arial"/>
          <w:sz w:val="21"/>
          <w:szCs w:val="21"/>
        </w:rPr>
      </w:pPr>
      <w:r>
        <w:rPr>
          <w:rFonts w:eastAsia="Arial"/>
          <w:sz w:val="21"/>
          <w:szCs w:val="21"/>
        </w:rPr>
        <w:t xml:space="preserve">10.1. </w:t>
      </w:r>
      <w:r w:rsidR="004E08BE" w:rsidRPr="00B3044F">
        <w:rPr>
          <w:rFonts w:eastAsia="Arial"/>
          <w:sz w:val="21"/>
          <w:szCs w:val="21"/>
        </w:rPr>
        <w:t xml:space="preserve">O art. 12, parágrafo único, do Decreto Municipal nº 75/2026 autoriza a fixação, em edital, de pontuação objetiva para os critérios de gratuidade, vedados critérios genéricos sem forma de comprovação. </w:t>
      </w:r>
    </w:p>
    <w:p w14:paraId="145F50FC" w14:textId="063A90D6" w:rsidR="007D4595" w:rsidRPr="00B3044F" w:rsidRDefault="005E5033" w:rsidP="00017C10">
      <w:pPr>
        <w:spacing w:line="264" w:lineRule="auto"/>
        <w:jc w:val="both"/>
        <w:rPr>
          <w:rFonts w:eastAsia="Arial"/>
          <w:sz w:val="21"/>
          <w:szCs w:val="21"/>
        </w:rPr>
      </w:pPr>
      <w:r>
        <w:rPr>
          <w:rFonts w:eastAsia="Arial"/>
          <w:sz w:val="21"/>
          <w:szCs w:val="21"/>
        </w:rPr>
        <w:t xml:space="preserve">10.2. </w:t>
      </w:r>
      <w:r w:rsidR="004E08BE" w:rsidRPr="00B3044F">
        <w:rPr>
          <w:rFonts w:eastAsia="Arial"/>
          <w:sz w:val="21"/>
          <w:szCs w:val="21"/>
        </w:rPr>
        <w:t xml:space="preserve">A minuta de edital já elaborada para fins de confecção deste ETP estrutura a pontuação em cinco critérios, totalizando 100 pontos: empregos diretos formais (até 40 pontos), investimento total em obras, máquinas e equipamentos (até 30 pontos), área a edificar (até 15 pontos), prazo de início de operação (até 10 pontos) e compromisso de investimento social direto (até 5 pontos, em caráter de bônus), remanescendo em aberto, na minuta, a definição numérica das faixas de pontuação. </w:t>
      </w:r>
    </w:p>
    <w:p w14:paraId="4CB58A49" w14:textId="67174D2B" w:rsidR="003F1E6F" w:rsidRPr="00B3044F" w:rsidRDefault="005E5033" w:rsidP="00017C10">
      <w:pPr>
        <w:spacing w:line="264" w:lineRule="auto"/>
        <w:jc w:val="both"/>
        <w:rPr>
          <w:sz w:val="21"/>
          <w:szCs w:val="21"/>
        </w:rPr>
      </w:pPr>
      <w:r>
        <w:rPr>
          <w:rFonts w:eastAsia="Arial"/>
          <w:sz w:val="21"/>
          <w:szCs w:val="21"/>
        </w:rPr>
        <w:t xml:space="preserve">10.3. </w:t>
      </w:r>
      <w:r w:rsidR="004E08BE" w:rsidRPr="00B3044F">
        <w:rPr>
          <w:rFonts w:eastAsia="Arial"/>
          <w:sz w:val="21"/>
          <w:szCs w:val="21"/>
        </w:rPr>
        <w:t xml:space="preserve">Este Estudo propõe, para validação técnica da Secretaria Municipal da Indústria e Comércio e da Secretaria Municipal de Planejamento </w:t>
      </w:r>
      <w:r>
        <w:rPr>
          <w:rFonts w:eastAsia="Arial"/>
          <w:sz w:val="21"/>
          <w:szCs w:val="21"/>
        </w:rPr>
        <w:t>-</w:t>
      </w:r>
      <w:r w:rsidR="004E08BE" w:rsidRPr="00B3044F">
        <w:rPr>
          <w:rFonts w:eastAsia="Arial"/>
          <w:sz w:val="21"/>
          <w:szCs w:val="21"/>
        </w:rPr>
        <w:t xml:space="preserve"> a quem compete o juízo de mérito sobre a calibragem final dos parâmetros —, as faixas a seguir, construídas a partir do piso legal de empregos do art. 6º, § 2º, “b”, da Lei Municipal nº 3.199/2025 e da capacidade de ocupação do lote de 6,5 hectares, em progressão objetiva e auditável.</w:t>
      </w:r>
    </w:p>
    <w:tbl>
      <w:tblPr>
        <w:tblW w:w="10203" w:type="dxa"/>
        <w:tblBorders>
          <w:top w:val="single" w:sz="2" w:space="0" w:color="999999"/>
          <w:left w:val="single" w:sz="2" w:space="0" w:color="999999"/>
          <w:bottom w:val="single" w:sz="2" w:space="0" w:color="999999"/>
          <w:right w:val="single" w:sz="2" w:space="0" w:color="999999"/>
          <w:insideH w:val="single" w:sz="2" w:space="0" w:color="999999"/>
          <w:insideV w:val="single" w:sz="2" w:space="0" w:color="999999"/>
        </w:tblBorders>
        <w:tblCellMar>
          <w:left w:w="10" w:type="dxa"/>
          <w:right w:w="10" w:type="dxa"/>
        </w:tblCellMar>
        <w:tblLook w:val="0000" w:firstRow="0" w:lastRow="0" w:firstColumn="0" w:lastColumn="0" w:noHBand="0" w:noVBand="0"/>
      </w:tblPr>
      <w:tblGrid>
        <w:gridCol w:w="3823"/>
        <w:gridCol w:w="5386"/>
        <w:gridCol w:w="994"/>
      </w:tblGrid>
      <w:tr w:rsidR="003F1E6F" w:rsidRPr="00B3044F" w14:paraId="4B348DB6" w14:textId="77777777" w:rsidTr="005E5033">
        <w:trPr>
          <w:trHeight w:val="25"/>
          <w:tblHeader/>
        </w:trPr>
        <w:tc>
          <w:tcPr>
            <w:tcW w:w="3823" w:type="dxa"/>
            <w:tcBorders>
              <w:top w:val="single" w:sz="4" w:space="0" w:color="auto"/>
              <w:left w:val="single" w:sz="4" w:space="0" w:color="auto"/>
              <w:bottom w:val="single" w:sz="4" w:space="0" w:color="auto"/>
              <w:right w:val="single" w:sz="4" w:space="0" w:color="auto"/>
            </w:tcBorders>
            <w:shd w:val="clear" w:color="auto" w:fill="D9D9D9"/>
            <w:tcMar>
              <w:top w:w="60" w:type="dxa"/>
              <w:left w:w="100" w:type="dxa"/>
              <w:bottom w:w="60" w:type="dxa"/>
              <w:right w:w="100" w:type="dxa"/>
            </w:tcMar>
            <w:vAlign w:val="center"/>
          </w:tcPr>
          <w:p w14:paraId="6B86FFB0" w14:textId="77777777" w:rsidR="003F1E6F" w:rsidRPr="00B3044F" w:rsidRDefault="004E08BE" w:rsidP="00017C10">
            <w:pPr>
              <w:spacing w:line="276" w:lineRule="auto"/>
              <w:jc w:val="center"/>
              <w:rPr>
                <w:sz w:val="21"/>
                <w:szCs w:val="21"/>
              </w:rPr>
            </w:pPr>
            <w:r w:rsidRPr="00B3044F">
              <w:rPr>
                <w:rFonts w:eastAsia="Arial"/>
                <w:b/>
                <w:bCs/>
                <w:sz w:val="21"/>
                <w:szCs w:val="21"/>
              </w:rPr>
              <w:lastRenderedPageBreak/>
              <w:t>Critério</w:t>
            </w:r>
          </w:p>
        </w:tc>
        <w:tc>
          <w:tcPr>
            <w:tcW w:w="5386" w:type="dxa"/>
            <w:tcBorders>
              <w:top w:val="single" w:sz="4" w:space="0" w:color="auto"/>
              <w:left w:val="single" w:sz="4" w:space="0" w:color="auto"/>
              <w:bottom w:val="single" w:sz="4" w:space="0" w:color="auto"/>
              <w:right w:val="single" w:sz="4" w:space="0" w:color="auto"/>
            </w:tcBorders>
            <w:shd w:val="clear" w:color="auto" w:fill="D9D9D9"/>
            <w:tcMar>
              <w:top w:w="60" w:type="dxa"/>
              <w:left w:w="100" w:type="dxa"/>
              <w:bottom w:w="60" w:type="dxa"/>
              <w:right w:w="100" w:type="dxa"/>
            </w:tcMar>
            <w:vAlign w:val="center"/>
          </w:tcPr>
          <w:p w14:paraId="350BF5BB" w14:textId="77777777" w:rsidR="003F1E6F" w:rsidRPr="00B3044F" w:rsidRDefault="004E08BE" w:rsidP="00017C10">
            <w:pPr>
              <w:spacing w:line="276" w:lineRule="auto"/>
              <w:jc w:val="center"/>
              <w:rPr>
                <w:sz w:val="21"/>
                <w:szCs w:val="21"/>
              </w:rPr>
            </w:pPr>
            <w:r w:rsidRPr="00B3044F">
              <w:rPr>
                <w:rFonts w:eastAsia="Arial"/>
                <w:b/>
                <w:bCs/>
                <w:sz w:val="21"/>
                <w:szCs w:val="21"/>
              </w:rPr>
              <w:t>Faixa</w:t>
            </w:r>
          </w:p>
        </w:tc>
        <w:tc>
          <w:tcPr>
            <w:tcW w:w="994" w:type="dxa"/>
            <w:tcBorders>
              <w:top w:val="single" w:sz="4" w:space="0" w:color="auto"/>
              <w:left w:val="single" w:sz="4" w:space="0" w:color="auto"/>
              <w:bottom w:val="single" w:sz="4" w:space="0" w:color="auto"/>
              <w:right w:val="single" w:sz="4" w:space="0" w:color="auto"/>
            </w:tcBorders>
            <w:shd w:val="clear" w:color="auto" w:fill="D9D9D9"/>
            <w:tcMar>
              <w:top w:w="60" w:type="dxa"/>
              <w:left w:w="100" w:type="dxa"/>
              <w:bottom w:w="60" w:type="dxa"/>
              <w:right w:w="100" w:type="dxa"/>
            </w:tcMar>
            <w:vAlign w:val="center"/>
          </w:tcPr>
          <w:p w14:paraId="26DEC4E7" w14:textId="77777777" w:rsidR="003F1E6F" w:rsidRPr="00B3044F" w:rsidRDefault="004E08BE" w:rsidP="00017C10">
            <w:pPr>
              <w:spacing w:line="276" w:lineRule="auto"/>
              <w:jc w:val="center"/>
              <w:rPr>
                <w:sz w:val="21"/>
                <w:szCs w:val="21"/>
              </w:rPr>
            </w:pPr>
            <w:r w:rsidRPr="00B3044F">
              <w:rPr>
                <w:rFonts w:eastAsia="Arial"/>
                <w:b/>
                <w:bCs/>
                <w:sz w:val="21"/>
                <w:szCs w:val="21"/>
              </w:rPr>
              <w:t>Pontos</w:t>
            </w:r>
          </w:p>
        </w:tc>
      </w:tr>
      <w:tr w:rsidR="007D4595" w:rsidRPr="00B3044F" w14:paraId="5EBE3B30" w14:textId="77777777" w:rsidTr="005E5033">
        <w:trPr>
          <w:trHeight w:val="20"/>
        </w:trPr>
        <w:tc>
          <w:tcPr>
            <w:tcW w:w="3823" w:type="dxa"/>
            <w:vMerge w:val="restart"/>
            <w:tcBorders>
              <w:top w:val="single" w:sz="4" w:space="0" w:color="auto"/>
              <w:left w:val="single" w:sz="4" w:space="0" w:color="auto"/>
              <w:bottom w:val="single" w:sz="4" w:space="0" w:color="auto"/>
              <w:right w:val="single" w:sz="4" w:space="0" w:color="auto"/>
            </w:tcBorders>
            <w:tcMar>
              <w:top w:w="60" w:type="dxa"/>
              <w:left w:w="100" w:type="dxa"/>
              <w:bottom w:w="60" w:type="dxa"/>
              <w:right w:w="100" w:type="dxa"/>
            </w:tcMar>
            <w:vAlign w:val="center"/>
          </w:tcPr>
          <w:p w14:paraId="3A2D5702" w14:textId="77777777" w:rsidR="007D4595" w:rsidRPr="00B3044F" w:rsidRDefault="007D4595" w:rsidP="00017C10">
            <w:pPr>
              <w:spacing w:line="276" w:lineRule="auto"/>
              <w:rPr>
                <w:sz w:val="21"/>
                <w:szCs w:val="21"/>
              </w:rPr>
            </w:pPr>
            <w:r w:rsidRPr="00B3044F">
              <w:rPr>
                <w:rFonts w:eastAsia="Arial"/>
                <w:sz w:val="21"/>
                <w:szCs w:val="21"/>
              </w:rPr>
              <w:t>Empregos diretos formais (até 40 pontos)</w:t>
            </w:r>
          </w:p>
        </w:tc>
        <w:tc>
          <w:tcPr>
            <w:tcW w:w="5386" w:type="dxa"/>
            <w:tcBorders>
              <w:top w:val="single" w:sz="4" w:space="0" w:color="auto"/>
              <w:left w:val="single" w:sz="4" w:space="0" w:color="auto"/>
              <w:bottom w:val="single" w:sz="4" w:space="0" w:color="auto"/>
              <w:right w:val="single" w:sz="4" w:space="0" w:color="auto"/>
            </w:tcBorders>
            <w:tcMar>
              <w:top w:w="60" w:type="dxa"/>
              <w:left w:w="100" w:type="dxa"/>
              <w:bottom w:w="60" w:type="dxa"/>
              <w:right w:w="100" w:type="dxa"/>
            </w:tcMar>
            <w:vAlign w:val="center"/>
          </w:tcPr>
          <w:p w14:paraId="786FC409" w14:textId="77777777" w:rsidR="007D4595" w:rsidRPr="00B3044F" w:rsidRDefault="007D4595" w:rsidP="00017C10">
            <w:pPr>
              <w:spacing w:line="276" w:lineRule="auto"/>
              <w:rPr>
                <w:sz w:val="21"/>
                <w:szCs w:val="21"/>
              </w:rPr>
            </w:pPr>
            <w:r w:rsidRPr="00B3044F">
              <w:rPr>
                <w:rFonts w:eastAsia="Arial"/>
                <w:sz w:val="21"/>
                <w:szCs w:val="21"/>
              </w:rPr>
              <w:t>do mínimo legal (5 ou 3, conforme o regime tributário) a 24 empregos</w:t>
            </w:r>
          </w:p>
        </w:tc>
        <w:tc>
          <w:tcPr>
            <w:tcW w:w="994" w:type="dxa"/>
            <w:tcBorders>
              <w:top w:val="single" w:sz="4" w:space="0" w:color="auto"/>
              <w:left w:val="single" w:sz="4" w:space="0" w:color="auto"/>
              <w:bottom w:val="single" w:sz="4" w:space="0" w:color="auto"/>
              <w:right w:val="single" w:sz="4" w:space="0" w:color="auto"/>
            </w:tcBorders>
            <w:tcMar>
              <w:top w:w="60" w:type="dxa"/>
              <w:left w:w="100" w:type="dxa"/>
              <w:bottom w:w="60" w:type="dxa"/>
              <w:right w:w="100" w:type="dxa"/>
            </w:tcMar>
            <w:vAlign w:val="center"/>
          </w:tcPr>
          <w:p w14:paraId="72C08514" w14:textId="77777777" w:rsidR="007D4595" w:rsidRPr="00B3044F" w:rsidRDefault="007D4595" w:rsidP="00017C10">
            <w:pPr>
              <w:spacing w:line="276" w:lineRule="auto"/>
              <w:jc w:val="center"/>
              <w:rPr>
                <w:sz w:val="21"/>
                <w:szCs w:val="21"/>
              </w:rPr>
            </w:pPr>
            <w:r w:rsidRPr="00B3044F">
              <w:rPr>
                <w:rFonts w:eastAsia="Arial"/>
                <w:sz w:val="21"/>
                <w:szCs w:val="21"/>
              </w:rPr>
              <w:t>10</w:t>
            </w:r>
          </w:p>
        </w:tc>
      </w:tr>
      <w:tr w:rsidR="007D4595" w:rsidRPr="00B3044F" w14:paraId="3FF1AC13" w14:textId="77777777" w:rsidTr="005E5033">
        <w:tc>
          <w:tcPr>
            <w:tcW w:w="3823" w:type="dxa"/>
            <w:vMerge/>
            <w:tcBorders>
              <w:top w:val="single" w:sz="4" w:space="0" w:color="auto"/>
              <w:left w:val="single" w:sz="4" w:space="0" w:color="auto"/>
              <w:bottom w:val="single" w:sz="4" w:space="0" w:color="auto"/>
              <w:right w:val="single" w:sz="4" w:space="0" w:color="auto"/>
            </w:tcBorders>
            <w:tcMar>
              <w:top w:w="60" w:type="dxa"/>
              <w:left w:w="100" w:type="dxa"/>
              <w:bottom w:w="60" w:type="dxa"/>
              <w:right w:w="100" w:type="dxa"/>
            </w:tcMar>
            <w:vAlign w:val="center"/>
          </w:tcPr>
          <w:p w14:paraId="42F18212" w14:textId="77777777" w:rsidR="007D4595" w:rsidRPr="00B3044F" w:rsidRDefault="007D4595" w:rsidP="00017C10">
            <w:pPr>
              <w:spacing w:line="276" w:lineRule="auto"/>
              <w:rPr>
                <w:sz w:val="21"/>
                <w:szCs w:val="21"/>
              </w:rPr>
            </w:pPr>
          </w:p>
        </w:tc>
        <w:tc>
          <w:tcPr>
            <w:tcW w:w="5386" w:type="dxa"/>
            <w:tcBorders>
              <w:top w:val="single" w:sz="4" w:space="0" w:color="auto"/>
              <w:left w:val="single" w:sz="4" w:space="0" w:color="auto"/>
              <w:bottom w:val="single" w:sz="4" w:space="0" w:color="auto"/>
              <w:right w:val="single" w:sz="4" w:space="0" w:color="auto"/>
            </w:tcBorders>
            <w:tcMar>
              <w:top w:w="60" w:type="dxa"/>
              <w:left w:w="100" w:type="dxa"/>
              <w:bottom w:w="60" w:type="dxa"/>
              <w:right w:w="100" w:type="dxa"/>
            </w:tcMar>
            <w:vAlign w:val="center"/>
          </w:tcPr>
          <w:p w14:paraId="4617BA04" w14:textId="77777777" w:rsidR="007D4595" w:rsidRPr="00B3044F" w:rsidRDefault="007D4595" w:rsidP="00017C10">
            <w:pPr>
              <w:spacing w:line="276" w:lineRule="auto"/>
              <w:rPr>
                <w:sz w:val="21"/>
                <w:szCs w:val="21"/>
              </w:rPr>
            </w:pPr>
            <w:r w:rsidRPr="00B3044F">
              <w:rPr>
                <w:rFonts w:eastAsia="Arial"/>
                <w:sz w:val="21"/>
                <w:szCs w:val="21"/>
              </w:rPr>
              <w:t>de 25 a 49 empregos</w:t>
            </w:r>
          </w:p>
        </w:tc>
        <w:tc>
          <w:tcPr>
            <w:tcW w:w="994" w:type="dxa"/>
            <w:tcBorders>
              <w:top w:val="single" w:sz="4" w:space="0" w:color="auto"/>
              <w:left w:val="single" w:sz="4" w:space="0" w:color="auto"/>
              <w:bottom w:val="single" w:sz="4" w:space="0" w:color="auto"/>
              <w:right w:val="single" w:sz="4" w:space="0" w:color="auto"/>
            </w:tcBorders>
            <w:tcMar>
              <w:top w:w="60" w:type="dxa"/>
              <w:left w:w="100" w:type="dxa"/>
              <w:bottom w:w="60" w:type="dxa"/>
              <w:right w:w="100" w:type="dxa"/>
            </w:tcMar>
            <w:vAlign w:val="center"/>
          </w:tcPr>
          <w:p w14:paraId="1747FE40" w14:textId="77777777" w:rsidR="007D4595" w:rsidRPr="00B3044F" w:rsidRDefault="007D4595" w:rsidP="00017C10">
            <w:pPr>
              <w:spacing w:line="276" w:lineRule="auto"/>
              <w:jc w:val="center"/>
              <w:rPr>
                <w:sz w:val="21"/>
                <w:szCs w:val="21"/>
              </w:rPr>
            </w:pPr>
            <w:r w:rsidRPr="00B3044F">
              <w:rPr>
                <w:rFonts w:eastAsia="Arial"/>
                <w:sz w:val="21"/>
                <w:szCs w:val="21"/>
              </w:rPr>
              <w:t>20</w:t>
            </w:r>
          </w:p>
        </w:tc>
      </w:tr>
      <w:tr w:rsidR="007D4595" w:rsidRPr="00B3044F" w14:paraId="5D595E3B" w14:textId="77777777" w:rsidTr="005E5033">
        <w:tc>
          <w:tcPr>
            <w:tcW w:w="3823" w:type="dxa"/>
            <w:vMerge/>
            <w:tcBorders>
              <w:top w:val="single" w:sz="4" w:space="0" w:color="auto"/>
              <w:left w:val="single" w:sz="4" w:space="0" w:color="auto"/>
              <w:bottom w:val="single" w:sz="4" w:space="0" w:color="auto"/>
              <w:right w:val="single" w:sz="4" w:space="0" w:color="auto"/>
            </w:tcBorders>
            <w:tcMar>
              <w:top w:w="60" w:type="dxa"/>
              <w:left w:w="100" w:type="dxa"/>
              <w:bottom w:w="60" w:type="dxa"/>
              <w:right w:w="100" w:type="dxa"/>
            </w:tcMar>
            <w:vAlign w:val="center"/>
          </w:tcPr>
          <w:p w14:paraId="3563320A" w14:textId="77777777" w:rsidR="007D4595" w:rsidRPr="00B3044F" w:rsidRDefault="007D4595" w:rsidP="00017C10">
            <w:pPr>
              <w:spacing w:line="276" w:lineRule="auto"/>
              <w:rPr>
                <w:sz w:val="21"/>
                <w:szCs w:val="21"/>
              </w:rPr>
            </w:pPr>
          </w:p>
        </w:tc>
        <w:tc>
          <w:tcPr>
            <w:tcW w:w="5386" w:type="dxa"/>
            <w:tcBorders>
              <w:top w:val="single" w:sz="4" w:space="0" w:color="auto"/>
              <w:left w:val="single" w:sz="4" w:space="0" w:color="auto"/>
              <w:bottom w:val="single" w:sz="4" w:space="0" w:color="auto"/>
              <w:right w:val="single" w:sz="4" w:space="0" w:color="auto"/>
            </w:tcBorders>
            <w:tcMar>
              <w:top w:w="60" w:type="dxa"/>
              <w:left w:w="100" w:type="dxa"/>
              <w:bottom w:w="60" w:type="dxa"/>
              <w:right w:w="100" w:type="dxa"/>
            </w:tcMar>
            <w:vAlign w:val="center"/>
          </w:tcPr>
          <w:p w14:paraId="39837B01" w14:textId="77777777" w:rsidR="007D4595" w:rsidRPr="00B3044F" w:rsidRDefault="007D4595" w:rsidP="00017C10">
            <w:pPr>
              <w:spacing w:line="276" w:lineRule="auto"/>
              <w:rPr>
                <w:sz w:val="21"/>
                <w:szCs w:val="21"/>
              </w:rPr>
            </w:pPr>
            <w:r w:rsidRPr="00B3044F">
              <w:rPr>
                <w:rFonts w:eastAsia="Arial"/>
                <w:sz w:val="21"/>
                <w:szCs w:val="21"/>
              </w:rPr>
              <w:t>de 50 a 99 empregos</w:t>
            </w:r>
          </w:p>
        </w:tc>
        <w:tc>
          <w:tcPr>
            <w:tcW w:w="994" w:type="dxa"/>
            <w:tcBorders>
              <w:top w:val="single" w:sz="4" w:space="0" w:color="auto"/>
              <w:left w:val="single" w:sz="4" w:space="0" w:color="auto"/>
              <w:bottom w:val="single" w:sz="4" w:space="0" w:color="auto"/>
              <w:right w:val="single" w:sz="4" w:space="0" w:color="auto"/>
            </w:tcBorders>
            <w:tcMar>
              <w:top w:w="60" w:type="dxa"/>
              <w:left w:w="100" w:type="dxa"/>
              <w:bottom w:w="60" w:type="dxa"/>
              <w:right w:w="100" w:type="dxa"/>
            </w:tcMar>
            <w:vAlign w:val="center"/>
          </w:tcPr>
          <w:p w14:paraId="0412B93F" w14:textId="77777777" w:rsidR="007D4595" w:rsidRPr="00B3044F" w:rsidRDefault="007D4595" w:rsidP="00017C10">
            <w:pPr>
              <w:spacing w:line="276" w:lineRule="auto"/>
              <w:jc w:val="center"/>
              <w:rPr>
                <w:sz w:val="21"/>
                <w:szCs w:val="21"/>
              </w:rPr>
            </w:pPr>
            <w:r w:rsidRPr="00B3044F">
              <w:rPr>
                <w:rFonts w:eastAsia="Arial"/>
                <w:sz w:val="21"/>
                <w:szCs w:val="21"/>
              </w:rPr>
              <w:t>30</w:t>
            </w:r>
          </w:p>
        </w:tc>
      </w:tr>
      <w:tr w:rsidR="007D4595" w:rsidRPr="00B3044F" w14:paraId="0A315D9D" w14:textId="77777777" w:rsidTr="005E5033">
        <w:tc>
          <w:tcPr>
            <w:tcW w:w="3823" w:type="dxa"/>
            <w:vMerge/>
            <w:tcBorders>
              <w:top w:val="single" w:sz="4" w:space="0" w:color="auto"/>
              <w:left w:val="single" w:sz="4" w:space="0" w:color="auto"/>
              <w:bottom w:val="single" w:sz="4" w:space="0" w:color="auto"/>
              <w:right w:val="single" w:sz="4" w:space="0" w:color="auto"/>
            </w:tcBorders>
            <w:tcMar>
              <w:top w:w="60" w:type="dxa"/>
              <w:left w:w="100" w:type="dxa"/>
              <w:bottom w:w="60" w:type="dxa"/>
              <w:right w:w="100" w:type="dxa"/>
            </w:tcMar>
            <w:vAlign w:val="center"/>
          </w:tcPr>
          <w:p w14:paraId="4880EE0D" w14:textId="77777777" w:rsidR="007D4595" w:rsidRPr="00B3044F" w:rsidRDefault="007D4595" w:rsidP="00017C10">
            <w:pPr>
              <w:spacing w:line="276" w:lineRule="auto"/>
              <w:rPr>
                <w:sz w:val="21"/>
                <w:szCs w:val="21"/>
              </w:rPr>
            </w:pPr>
          </w:p>
        </w:tc>
        <w:tc>
          <w:tcPr>
            <w:tcW w:w="5386" w:type="dxa"/>
            <w:tcBorders>
              <w:top w:val="single" w:sz="4" w:space="0" w:color="auto"/>
              <w:left w:val="single" w:sz="4" w:space="0" w:color="auto"/>
              <w:bottom w:val="single" w:sz="4" w:space="0" w:color="auto"/>
              <w:right w:val="single" w:sz="4" w:space="0" w:color="auto"/>
            </w:tcBorders>
            <w:tcMar>
              <w:top w:w="60" w:type="dxa"/>
              <w:left w:w="100" w:type="dxa"/>
              <w:bottom w:w="60" w:type="dxa"/>
              <w:right w:w="100" w:type="dxa"/>
            </w:tcMar>
            <w:vAlign w:val="center"/>
          </w:tcPr>
          <w:p w14:paraId="153942CA" w14:textId="77777777" w:rsidR="007D4595" w:rsidRPr="00B3044F" w:rsidRDefault="007D4595" w:rsidP="00017C10">
            <w:pPr>
              <w:spacing w:line="276" w:lineRule="auto"/>
              <w:rPr>
                <w:sz w:val="21"/>
                <w:szCs w:val="21"/>
              </w:rPr>
            </w:pPr>
            <w:r w:rsidRPr="00B3044F">
              <w:rPr>
                <w:rFonts w:eastAsia="Arial"/>
                <w:sz w:val="21"/>
                <w:szCs w:val="21"/>
              </w:rPr>
              <w:t>100 empregos ou mais</w:t>
            </w:r>
          </w:p>
        </w:tc>
        <w:tc>
          <w:tcPr>
            <w:tcW w:w="994" w:type="dxa"/>
            <w:tcBorders>
              <w:top w:val="single" w:sz="4" w:space="0" w:color="auto"/>
              <w:left w:val="single" w:sz="4" w:space="0" w:color="auto"/>
              <w:bottom w:val="single" w:sz="4" w:space="0" w:color="auto"/>
              <w:right w:val="single" w:sz="4" w:space="0" w:color="auto"/>
            </w:tcBorders>
            <w:tcMar>
              <w:top w:w="60" w:type="dxa"/>
              <w:left w:w="100" w:type="dxa"/>
              <w:bottom w:w="60" w:type="dxa"/>
              <w:right w:w="100" w:type="dxa"/>
            </w:tcMar>
            <w:vAlign w:val="center"/>
          </w:tcPr>
          <w:p w14:paraId="50C3FF98" w14:textId="77777777" w:rsidR="007D4595" w:rsidRPr="00B3044F" w:rsidRDefault="007D4595" w:rsidP="00017C10">
            <w:pPr>
              <w:spacing w:line="276" w:lineRule="auto"/>
              <w:jc w:val="center"/>
              <w:rPr>
                <w:sz w:val="21"/>
                <w:szCs w:val="21"/>
              </w:rPr>
            </w:pPr>
            <w:r w:rsidRPr="00B3044F">
              <w:rPr>
                <w:rFonts w:eastAsia="Arial"/>
                <w:sz w:val="21"/>
                <w:szCs w:val="21"/>
              </w:rPr>
              <w:t>40</w:t>
            </w:r>
          </w:p>
        </w:tc>
      </w:tr>
      <w:tr w:rsidR="007D4595" w:rsidRPr="00B3044F" w14:paraId="0A8DC8C6" w14:textId="77777777" w:rsidTr="005E5033">
        <w:tc>
          <w:tcPr>
            <w:tcW w:w="3823" w:type="dxa"/>
            <w:vMerge w:val="restart"/>
            <w:tcBorders>
              <w:top w:val="single" w:sz="4" w:space="0" w:color="auto"/>
              <w:left w:val="single" w:sz="4" w:space="0" w:color="auto"/>
              <w:bottom w:val="single" w:sz="4" w:space="0" w:color="auto"/>
              <w:right w:val="single" w:sz="4" w:space="0" w:color="auto"/>
            </w:tcBorders>
            <w:tcMar>
              <w:top w:w="60" w:type="dxa"/>
              <w:left w:w="100" w:type="dxa"/>
              <w:bottom w:w="60" w:type="dxa"/>
              <w:right w:w="100" w:type="dxa"/>
            </w:tcMar>
            <w:vAlign w:val="center"/>
          </w:tcPr>
          <w:p w14:paraId="22E0F906" w14:textId="77777777" w:rsidR="007D4595" w:rsidRPr="00B3044F" w:rsidRDefault="007D4595" w:rsidP="00017C10">
            <w:pPr>
              <w:spacing w:line="276" w:lineRule="auto"/>
              <w:rPr>
                <w:sz w:val="21"/>
                <w:szCs w:val="21"/>
              </w:rPr>
            </w:pPr>
            <w:r w:rsidRPr="00B3044F">
              <w:rPr>
                <w:rFonts w:eastAsia="Arial"/>
                <w:sz w:val="21"/>
                <w:szCs w:val="21"/>
              </w:rPr>
              <w:t>Investimento total — obras, máquinas e equipamentos (até 30 pontos)</w:t>
            </w:r>
          </w:p>
        </w:tc>
        <w:tc>
          <w:tcPr>
            <w:tcW w:w="5386" w:type="dxa"/>
            <w:tcBorders>
              <w:top w:val="single" w:sz="4" w:space="0" w:color="auto"/>
              <w:left w:val="single" w:sz="4" w:space="0" w:color="auto"/>
              <w:bottom w:val="single" w:sz="4" w:space="0" w:color="auto"/>
              <w:right w:val="single" w:sz="4" w:space="0" w:color="auto"/>
            </w:tcBorders>
            <w:tcMar>
              <w:top w:w="60" w:type="dxa"/>
              <w:left w:w="100" w:type="dxa"/>
              <w:bottom w:w="60" w:type="dxa"/>
              <w:right w:w="100" w:type="dxa"/>
            </w:tcMar>
            <w:vAlign w:val="center"/>
          </w:tcPr>
          <w:p w14:paraId="2BBE1C5E" w14:textId="237FDB15" w:rsidR="007D4595" w:rsidRPr="00B3044F" w:rsidRDefault="007D4595" w:rsidP="00017C10">
            <w:pPr>
              <w:spacing w:line="276" w:lineRule="auto"/>
              <w:rPr>
                <w:sz w:val="21"/>
                <w:szCs w:val="21"/>
              </w:rPr>
            </w:pPr>
            <w:r w:rsidRPr="00B3044F">
              <w:rPr>
                <w:rFonts w:eastAsia="Arial"/>
                <w:sz w:val="21"/>
                <w:szCs w:val="21"/>
              </w:rPr>
              <w:t xml:space="preserve">até R$ </w:t>
            </w:r>
            <w:r w:rsidR="001B3734" w:rsidRPr="00B3044F">
              <w:rPr>
                <w:rFonts w:eastAsia="Arial"/>
                <w:sz w:val="21"/>
                <w:szCs w:val="21"/>
              </w:rPr>
              <w:t>5.000.000,00</w:t>
            </w:r>
          </w:p>
        </w:tc>
        <w:tc>
          <w:tcPr>
            <w:tcW w:w="994" w:type="dxa"/>
            <w:tcBorders>
              <w:top w:val="single" w:sz="4" w:space="0" w:color="auto"/>
              <w:left w:val="single" w:sz="4" w:space="0" w:color="auto"/>
              <w:bottom w:val="single" w:sz="4" w:space="0" w:color="auto"/>
              <w:right w:val="single" w:sz="4" w:space="0" w:color="auto"/>
            </w:tcBorders>
            <w:tcMar>
              <w:top w:w="60" w:type="dxa"/>
              <w:left w:w="100" w:type="dxa"/>
              <w:bottom w:w="60" w:type="dxa"/>
              <w:right w:w="100" w:type="dxa"/>
            </w:tcMar>
            <w:vAlign w:val="center"/>
          </w:tcPr>
          <w:p w14:paraId="37531D0A" w14:textId="77777777" w:rsidR="007D4595" w:rsidRPr="00B3044F" w:rsidRDefault="007D4595" w:rsidP="00017C10">
            <w:pPr>
              <w:spacing w:line="276" w:lineRule="auto"/>
              <w:jc w:val="center"/>
              <w:rPr>
                <w:sz w:val="21"/>
                <w:szCs w:val="21"/>
              </w:rPr>
            </w:pPr>
            <w:r w:rsidRPr="00B3044F">
              <w:rPr>
                <w:rFonts w:eastAsia="Arial"/>
                <w:sz w:val="21"/>
                <w:szCs w:val="21"/>
              </w:rPr>
              <w:t>10</w:t>
            </w:r>
          </w:p>
        </w:tc>
      </w:tr>
      <w:tr w:rsidR="007D4595" w:rsidRPr="00B3044F" w14:paraId="566E12BC" w14:textId="77777777" w:rsidTr="005E5033">
        <w:tc>
          <w:tcPr>
            <w:tcW w:w="3823" w:type="dxa"/>
            <w:vMerge/>
            <w:tcBorders>
              <w:top w:val="single" w:sz="4" w:space="0" w:color="auto"/>
              <w:left w:val="single" w:sz="4" w:space="0" w:color="auto"/>
              <w:bottom w:val="single" w:sz="4" w:space="0" w:color="auto"/>
              <w:right w:val="single" w:sz="4" w:space="0" w:color="auto"/>
            </w:tcBorders>
            <w:tcMar>
              <w:top w:w="60" w:type="dxa"/>
              <w:left w:w="100" w:type="dxa"/>
              <w:bottom w:w="60" w:type="dxa"/>
              <w:right w:w="100" w:type="dxa"/>
            </w:tcMar>
            <w:vAlign w:val="center"/>
          </w:tcPr>
          <w:p w14:paraId="7C5C19FC" w14:textId="77777777" w:rsidR="007D4595" w:rsidRPr="00B3044F" w:rsidRDefault="007D4595" w:rsidP="00017C10">
            <w:pPr>
              <w:spacing w:line="276" w:lineRule="auto"/>
              <w:rPr>
                <w:sz w:val="21"/>
                <w:szCs w:val="21"/>
              </w:rPr>
            </w:pPr>
          </w:p>
        </w:tc>
        <w:tc>
          <w:tcPr>
            <w:tcW w:w="5386" w:type="dxa"/>
            <w:tcBorders>
              <w:top w:val="single" w:sz="4" w:space="0" w:color="auto"/>
              <w:left w:val="single" w:sz="4" w:space="0" w:color="auto"/>
              <w:bottom w:val="single" w:sz="4" w:space="0" w:color="auto"/>
              <w:right w:val="single" w:sz="4" w:space="0" w:color="auto"/>
            </w:tcBorders>
            <w:tcMar>
              <w:top w:w="60" w:type="dxa"/>
              <w:left w:w="100" w:type="dxa"/>
              <w:bottom w:w="60" w:type="dxa"/>
              <w:right w:w="100" w:type="dxa"/>
            </w:tcMar>
            <w:vAlign w:val="center"/>
          </w:tcPr>
          <w:p w14:paraId="745DD261" w14:textId="188F4586" w:rsidR="007D4595" w:rsidRPr="00B3044F" w:rsidRDefault="007D4595" w:rsidP="00017C10">
            <w:pPr>
              <w:spacing w:line="276" w:lineRule="auto"/>
              <w:rPr>
                <w:sz w:val="21"/>
                <w:szCs w:val="21"/>
              </w:rPr>
            </w:pPr>
            <w:r w:rsidRPr="00B3044F">
              <w:rPr>
                <w:rFonts w:eastAsia="Arial"/>
                <w:sz w:val="21"/>
                <w:szCs w:val="21"/>
              </w:rPr>
              <w:t xml:space="preserve">de R$ </w:t>
            </w:r>
            <w:r w:rsidR="001B3734" w:rsidRPr="00B3044F">
              <w:rPr>
                <w:rFonts w:eastAsia="Arial"/>
                <w:sz w:val="21"/>
                <w:szCs w:val="21"/>
              </w:rPr>
              <w:t>5.000.000,01</w:t>
            </w:r>
            <w:r w:rsidRPr="00B3044F">
              <w:rPr>
                <w:rFonts w:eastAsia="Arial"/>
                <w:sz w:val="21"/>
                <w:szCs w:val="21"/>
              </w:rPr>
              <w:t xml:space="preserve"> a R$ </w:t>
            </w:r>
            <w:r w:rsidR="001B3734" w:rsidRPr="00B3044F">
              <w:rPr>
                <w:rFonts w:eastAsia="Arial"/>
                <w:sz w:val="21"/>
                <w:szCs w:val="21"/>
              </w:rPr>
              <w:t>10.000.000,00</w:t>
            </w:r>
          </w:p>
        </w:tc>
        <w:tc>
          <w:tcPr>
            <w:tcW w:w="994" w:type="dxa"/>
            <w:tcBorders>
              <w:top w:val="single" w:sz="4" w:space="0" w:color="auto"/>
              <w:left w:val="single" w:sz="4" w:space="0" w:color="auto"/>
              <w:bottom w:val="single" w:sz="4" w:space="0" w:color="auto"/>
              <w:right w:val="single" w:sz="4" w:space="0" w:color="auto"/>
            </w:tcBorders>
            <w:tcMar>
              <w:top w:w="60" w:type="dxa"/>
              <w:left w:w="100" w:type="dxa"/>
              <w:bottom w:w="60" w:type="dxa"/>
              <w:right w:w="100" w:type="dxa"/>
            </w:tcMar>
            <w:vAlign w:val="center"/>
          </w:tcPr>
          <w:p w14:paraId="4E5CBA90" w14:textId="77777777" w:rsidR="007D4595" w:rsidRPr="00B3044F" w:rsidRDefault="007D4595" w:rsidP="00017C10">
            <w:pPr>
              <w:spacing w:line="276" w:lineRule="auto"/>
              <w:jc w:val="center"/>
              <w:rPr>
                <w:sz w:val="21"/>
                <w:szCs w:val="21"/>
              </w:rPr>
            </w:pPr>
            <w:r w:rsidRPr="00B3044F">
              <w:rPr>
                <w:rFonts w:eastAsia="Arial"/>
                <w:sz w:val="21"/>
                <w:szCs w:val="21"/>
              </w:rPr>
              <w:t>20</w:t>
            </w:r>
          </w:p>
        </w:tc>
      </w:tr>
      <w:tr w:rsidR="007D4595" w:rsidRPr="00B3044F" w14:paraId="1E62C30D" w14:textId="77777777" w:rsidTr="005E5033">
        <w:tc>
          <w:tcPr>
            <w:tcW w:w="3823" w:type="dxa"/>
            <w:vMerge/>
            <w:tcBorders>
              <w:top w:val="single" w:sz="4" w:space="0" w:color="auto"/>
              <w:left w:val="single" w:sz="4" w:space="0" w:color="auto"/>
              <w:bottom w:val="single" w:sz="4" w:space="0" w:color="auto"/>
              <w:right w:val="single" w:sz="4" w:space="0" w:color="auto"/>
            </w:tcBorders>
            <w:tcMar>
              <w:top w:w="60" w:type="dxa"/>
              <w:left w:w="100" w:type="dxa"/>
              <w:bottom w:w="60" w:type="dxa"/>
              <w:right w:w="100" w:type="dxa"/>
            </w:tcMar>
            <w:vAlign w:val="center"/>
          </w:tcPr>
          <w:p w14:paraId="57D189C4" w14:textId="77777777" w:rsidR="007D4595" w:rsidRPr="00B3044F" w:rsidRDefault="007D4595" w:rsidP="00017C10">
            <w:pPr>
              <w:spacing w:line="276" w:lineRule="auto"/>
              <w:rPr>
                <w:sz w:val="21"/>
                <w:szCs w:val="21"/>
              </w:rPr>
            </w:pPr>
          </w:p>
        </w:tc>
        <w:tc>
          <w:tcPr>
            <w:tcW w:w="5386" w:type="dxa"/>
            <w:tcBorders>
              <w:top w:val="single" w:sz="4" w:space="0" w:color="auto"/>
              <w:left w:val="single" w:sz="4" w:space="0" w:color="auto"/>
              <w:bottom w:val="single" w:sz="4" w:space="0" w:color="auto"/>
              <w:right w:val="single" w:sz="4" w:space="0" w:color="auto"/>
            </w:tcBorders>
            <w:tcMar>
              <w:top w:w="60" w:type="dxa"/>
              <w:left w:w="100" w:type="dxa"/>
              <w:bottom w:w="60" w:type="dxa"/>
              <w:right w:w="100" w:type="dxa"/>
            </w:tcMar>
            <w:vAlign w:val="center"/>
          </w:tcPr>
          <w:p w14:paraId="1C9F0B62" w14:textId="089FC7F6" w:rsidR="007D4595" w:rsidRPr="00B3044F" w:rsidRDefault="007D4595" w:rsidP="00017C10">
            <w:pPr>
              <w:spacing w:line="276" w:lineRule="auto"/>
              <w:rPr>
                <w:sz w:val="21"/>
                <w:szCs w:val="21"/>
              </w:rPr>
            </w:pPr>
            <w:r w:rsidRPr="00B3044F">
              <w:rPr>
                <w:rFonts w:eastAsia="Arial"/>
                <w:sz w:val="21"/>
                <w:szCs w:val="21"/>
              </w:rPr>
              <w:t xml:space="preserve">acima de R$ </w:t>
            </w:r>
            <w:r w:rsidR="001B3734" w:rsidRPr="00B3044F">
              <w:rPr>
                <w:rFonts w:eastAsia="Arial"/>
                <w:sz w:val="21"/>
                <w:szCs w:val="21"/>
              </w:rPr>
              <w:t>10</w:t>
            </w:r>
            <w:r w:rsidRPr="00B3044F">
              <w:rPr>
                <w:rFonts w:eastAsia="Arial"/>
                <w:sz w:val="21"/>
                <w:szCs w:val="21"/>
              </w:rPr>
              <w:t>.000.000,00</w:t>
            </w:r>
          </w:p>
        </w:tc>
        <w:tc>
          <w:tcPr>
            <w:tcW w:w="994" w:type="dxa"/>
            <w:tcBorders>
              <w:top w:val="single" w:sz="4" w:space="0" w:color="auto"/>
              <w:left w:val="single" w:sz="4" w:space="0" w:color="auto"/>
              <w:bottom w:val="single" w:sz="4" w:space="0" w:color="auto"/>
              <w:right w:val="single" w:sz="4" w:space="0" w:color="auto"/>
            </w:tcBorders>
            <w:tcMar>
              <w:top w:w="60" w:type="dxa"/>
              <w:left w:w="100" w:type="dxa"/>
              <w:bottom w:w="60" w:type="dxa"/>
              <w:right w:w="100" w:type="dxa"/>
            </w:tcMar>
            <w:vAlign w:val="center"/>
          </w:tcPr>
          <w:p w14:paraId="1C8466A7" w14:textId="77777777" w:rsidR="007D4595" w:rsidRPr="00B3044F" w:rsidRDefault="007D4595" w:rsidP="00017C10">
            <w:pPr>
              <w:spacing w:line="276" w:lineRule="auto"/>
              <w:jc w:val="center"/>
              <w:rPr>
                <w:sz w:val="21"/>
                <w:szCs w:val="21"/>
              </w:rPr>
            </w:pPr>
            <w:r w:rsidRPr="00B3044F">
              <w:rPr>
                <w:rFonts w:eastAsia="Arial"/>
                <w:sz w:val="21"/>
                <w:szCs w:val="21"/>
              </w:rPr>
              <w:t>30</w:t>
            </w:r>
          </w:p>
        </w:tc>
      </w:tr>
      <w:tr w:rsidR="007D4595" w:rsidRPr="00B3044F" w14:paraId="79E762CF" w14:textId="77777777" w:rsidTr="005E5033">
        <w:tc>
          <w:tcPr>
            <w:tcW w:w="3823" w:type="dxa"/>
            <w:vMerge w:val="restart"/>
            <w:tcBorders>
              <w:top w:val="single" w:sz="4" w:space="0" w:color="auto"/>
              <w:left w:val="single" w:sz="4" w:space="0" w:color="auto"/>
              <w:bottom w:val="single" w:sz="4" w:space="0" w:color="auto"/>
              <w:right w:val="single" w:sz="4" w:space="0" w:color="auto"/>
            </w:tcBorders>
            <w:tcMar>
              <w:top w:w="60" w:type="dxa"/>
              <w:left w:w="100" w:type="dxa"/>
              <w:bottom w:w="60" w:type="dxa"/>
              <w:right w:w="100" w:type="dxa"/>
            </w:tcMar>
            <w:vAlign w:val="center"/>
          </w:tcPr>
          <w:p w14:paraId="4DE18DE8" w14:textId="77777777" w:rsidR="007D4595" w:rsidRPr="00B3044F" w:rsidRDefault="007D4595" w:rsidP="00017C10">
            <w:pPr>
              <w:spacing w:line="276" w:lineRule="auto"/>
              <w:rPr>
                <w:sz w:val="21"/>
                <w:szCs w:val="21"/>
              </w:rPr>
            </w:pPr>
            <w:r w:rsidRPr="00B3044F">
              <w:rPr>
                <w:rFonts w:eastAsia="Arial"/>
                <w:sz w:val="21"/>
                <w:szCs w:val="21"/>
              </w:rPr>
              <w:t>Área a edificar (até 15 pontos)</w:t>
            </w:r>
          </w:p>
        </w:tc>
        <w:tc>
          <w:tcPr>
            <w:tcW w:w="5386" w:type="dxa"/>
            <w:tcBorders>
              <w:top w:val="single" w:sz="4" w:space="0" w:color="auto"/>
              <w:left w:val="single" w:sz="4" w:space="0" w:color="auto"/>
              <w:bottom w:val="single" w:sz="4" w:space="0" w:color="auto"/>
              <w:right w:val="single" w:sz="4" w:space="0" w:color="auto"/>
            </w:tcBorders>
            <w:tcMar>
              <w:top w:w="60" w:type="dxa"/>
              <w:left w:w="100" w:type="dxa"/>
              <w:bottom w:w="60" w:type="dxa"/>
              <w:right w:w="100" w:type="dxa"/>
            </w:tcMar>
            <w:vAlign w:val="center"/>
          </w:tcPr>
          <w:p w14:paraId="610DE25C" w14:textId="77777777" w:rsidR="007D4595" w:rsidRPr="00B3044F" w:rsidRDefault="007D4595" w:rsidP="00017C10">
            <w:pPr>
              <w:spacing w:line="276" w:lineRule="auto"/>
              <w:rPr>
                <w:sz w:val="21"/>
                <w:szCs w:val="21"/>
              </w:rPr>
            </w:pPr>
            <w:r w:rsidRPr="00B3044F">
              <w:rPr>
                <w:rFonts w:eastAsia="Arial"/>
                <w:sz w:val="21"/>
                <w:szCs w:val="21"/>
              </w:rPr>
              <w:t>até 2.000 m²</w:t>
            </w:r>
          </w:p>
        </w:tc>
        <w:tc>
          <w:tcPr>
            <w:tcW w:w="994" w:type="dxa"/>
            <w:tcBorders>
              <w:top w:val="single" w:sz="4" w:space="0" w:color="auto"/>
              <w:left w:val="single" w:sz="4" w:space="0" w:color="auto"/>
              <w:bottom w:val="single" w:sz="4" w:space="0" w:color="auto"/>
              <w:right w:val="single" w:sz="4" w:space="0" w:color="auto"/>
            </w:tcBorders>
            <w:tcMar>
              <w:top w:w="60" w:type="dxa"/>
              <w:left w:w="100" w:type="dxa"/>
              <w:bottom w:w="60" w:type="dxa"/>
              <w:right w:w="100" w:type="dxa"/>
            </w:tcMar>
            <w:vAlign w:val="center"/>
          </w:tcPr>
          <w:p w14:paraId="6CB1BE88" w14:textId="77777777" w:rsidR="007D4595" w:rsidRPr="00B3044F" w:rsidRDefault="007D4595" w:rsidP="00017C10">
            <w:pPr>
              <w:spacing w:line="276" w:lineRule="auto"/>
              <w:jc w:val="center"/>
              <w:rPr>
                <w:sz w:val="21"/>
                <w:szCs w:val="21"/>
              </w:rPr>
            </w:pPr>
            <w:r w:rsidRPr="00B3044F">
              <w:rPr>
                <w:rFonts w:eastAsia="Arial"/>
                <w:sz w:val="21"/>
                <w:szCs w:val="21"/>
              </w:rPr>
              <w:t>5</w:t>
            </w:r>
          </w:p>
        </w:tc>
      </w:tr>
      <w:tr w:rsidR="007D4595" w:rsidRPr="00B3044F" w14:paraId="6BCC8B88" w14:textId="77777777" w:rsidTr="005E5033">
        <w:tc>
          <w:tcPr>
            <w:tcW w:w="3823" w:type="dxa"/>
            <w:vMerge/>
            <w:tcBorders>
              <w:top w:val="single" w:sz="4" w:space="0" w:color="auto"/>
              <w:left w:val="single" w:sz="4" w:space="0" w:color="auto"/>
              <w:bottom w:val="single" w:sz="4" w:space="0" w:color="auto"/>
              <w:right w:val="single" w:sz="4" w:space="0" w:color="auto"/>
            </w:tcBorders>
            <w:tcMar>
              <w:top w:w="60" w:type="dxa"/>
              <w:left w:w="100" w:type="dxa"/>
              <w:bottom w:w="60" w:type="dxa"/>
              <w:right w:w="100" w:type="dxa"/>
            </w:tcMar>
            <w:vAlign w:val="center"/>
          </w:tcPr>
          <w:p w14:paraId="3CC6A5B2" w14:textId="77777777" w:rsidR="007D4595" w:rsidRPr="00B3044F" w:rsidRDefault="007D4595" w:rsidP="00017C10">
            <w:pPr>
              <w:spacing w:line="276" w:lineRule="auto"/>
              <w:rPr>
                <w:sz w:val="21"/>
                <w:szCs w:val="21"/>
              </w:rPr>
            </w:pPr>
          </w:p>
        </w:tc>
        <w:tc>
          <w:tcPr>
            <w:tcW w:w="5386" w:type="dxa"/>
            <w:tcBorders>
              <w:top w:val="single" w:sz="4" w:space="0" w:color="auto"/>
              <w:left w:val="single" w:sz="4" w:space="0" w:color="auto"/>
              <w:bottom w:val="single" w:sz="4" w:space="0" w:color="auto"/>
              <w:right w:val="single" w:sz="4" w:space="0" w:color="auto"/>
            </w:tcBorders>
            <w:tcMar>
              <w:top w:w="60" w:type="dxa"/>
              <w:left w:w="100" w:type="dxa"/>
              <w:bottom w:w="60" w:type="dxa"/>
              <w:right w:w="100" w:type="dxa"/>
            </w:tcMar>
            <w:vAlign w:val="center"/>
          </w:tcPr>
          <w:p w14:paraId="2BCF794E" w14:textId="0E7941C9" w:rsidR="007D4595" w:rsidRPr="00B3044F" w:rsidRDefault="007D4595" w:rsidP="00017C10">
            <w:pPr>
              <w:spacing w:line="276" w:lineRule="auto"/>
              <w:rPr>
                <w:sz w:val="21"/>
                <w:szCs w:val="21"/>
              </w:rPr>
            </w:pPr>
            <w:r w:rsidRPr="00B3044F">
              <w:rPr>
                <w:rFonts w:eastAsia="Arial"/>
                <w:sz w:val="21"/>
                <w:szCs w:val="21"/>
              </w:rPr>
              <w:t xml:space="preserve">de 2.000,01 a </w:t>
            </w:r>
            <w:r w:rsidR="001B3734" w:rsidRPr="00B3044F">
              <w:rPr>
                <w:rFonts w:eastAsia="Arial"/>
                <w:sz w:val="21"/>
                <w:szCs w:val="21"/>
              </w:rPr>
              <w:t>7</w:t>
            </w:r>
            <w:r w:rsidRPr="00B3044F">
              <w:rPr>
                <w:rFonts w:eastAsia="Arial"/>
                <w:sz w:val="21"/>
                <w:szCs w:val="21"/>
              </w:rPr>
              <w:t>.000 m²</w:t>
            </w:r>
          </w:p>
        </w:tc>
        <w:tc>
          <w:tcPr>
            <w:tcW w:w="994" w:type="dxa"/>
            <w:tcBorders>
              <w:top w:val="single" w:sz="4" w:space="0" w:color="auto"/>
              <w:left w:val="single" w:sz="4" w:space="0" w:color="auto"/>
              <w:bottom w:val="single" w:sz="4" w:space="0" w:color="auto"/>
              <w:right w:val="single" w:sz="4" w:space="0" w:color="auto"/>
            </w:tcBorders>
            <w:tcMar>
              <w:top w:w="60" w:type="dxa"/>
              <w:left w:w="100" w:type="dxa"/>
              <w:bottom w:w="60" w:type="dxa"/>
              <w:right w:w="100" w:type="dxa"/>
            </w:tcMar>
            <w:vAlign w:val="center"/>
          </w:tcPr>
          <w:p w14:paraId="516D5E6E" w14:textId="77777777" w:rsidR="007D4595" w:rsidRPr="00B3044F" w:rsidRDefault="007D4595" w:rsidP="00017C10">
            <w:pPr>
              <w:spacing w:line="276" w:lineRule="auto"/>
              <w:jc w:val="center"/>
              <w:rPr>
                <w:sz w:val="21"/>
                <w:szCs w:val="21"/>
              </w:rPr>
            </w:pPr>
            <w:r w:rsidRPr="00B3044F">
              <w:rPr>
                <w:rFonts w:eastAsia="Arial"/>
                <w:sz w:val="21"/>
                <w:szCs w:val="21"/>
              </w:rPr>
              <w:t>10</w:t>
            </w:r>
          </w:p>
        </w:tc>
      </w:tr>
      <w:tr w:rsidR="007D4595" w:rsidRPr="00B3044F" w14:paraId="7025878C" w14:textId="77777777" w:rsidTr="005E5033">
        <w:tc>
          <w:tcPr>
            <w:tcW w:w="3823" w:type="dxa"/>
            <w:vMerge/>
            <w:tcBorders>
              <w:top w:val="single" w:sz="4" w:space="0" w:color="auto"/>
              <w:left w:val="single" w:sz="4" w:space="0" w:color="auto"/>
              <w:bottom w:val="single" w:sz="4" w:space="0" w:color="auto"/>
              <w:right w:val="single" w:sz="4" w:space="0" w:color="auto"/>
            </w:tcBorders>
            <w:tcMar>
              <w:top w:w="60" w:type="dxa"/>
              <w:left w:w="100" w:type="dxa"/>
              <w:bottom w:w="60" w:type="dxa"/>
              <w:right w:w="100" w:type="dxa"/>
            </w:tcMar>
            <w:vAlign w:val="center"/>
          </w:tcPr>
          <w:p w14:paraId="2111DDFD" w14:textId="77777777" w:rsidR="007D4595" w:rsidRPr="00B3044F" w:rsidRDefault="007D4595" w:rsidP="00017C10">
            <w:pPr>
              <w:spacing w:line="276" w:lineRule="auto"/>
              <w:rPr>
                <w:sz w:val="21"/>
                <w:szCs w:val="21"/>
              </w:rPr>
            </w:pPr>
          </w:p>
        </w:tc>
        <w:tc>
          <w:tcPr>
            <w:tcW w:w="5386" w:type="dxa"/>
            <w:tcBorders>
              <w:top w:val="single" w:sz="4" w:space="0" w:color="auto"/>
              <w:left w:val="single" w:sz="4" w:space="0" w:color="auto"/>
              <w:bottom w:val="single" w:sz="4" w:space="0" w:color="auto"/>
              <w:right w:val="single" w:sz="4" w:space="0" w:color="auto"/>
            </w:tcBorders>
            <w:tcMar>
              <w:top w:w="60" w:type="dxa"/>
              <w:left w:w="100" w:type="dxa"/>
              <w:bottom w:w="60" w:type="dxa"/>
              <w:right w:w="100" w:type="dxa"/>
            </w:tcMar>
            <w:vAlign w:val="center"/>
          </w:tcPr>
          <w:p w14:paraId="457DF6DF" w14:textId="7AA76DF2" w:rsidR="007D4595" w:rsidRPr="00B3044F" w:rsidRDefault="007D4595" w:rsidP="00017C10">
            <w:pPr>
              <w:spacing w:line="276" w:lineRule="auto"/>
              <w:rPr>
                <w:sz w:val="21"/>
                <w:szCs w:val="21"/>
              </w:rPr>
            </w:pPr>
            <w:r w:rsidRPr="00B3044F">
              <w:rPr>
                <w:rFonts w:eastAsia="Arial"/>
                <w:sz w:val="21"/>
                <w:szCs w:val="21"/>
              </w:rPr>
              <w:t xml:space="preserve">acima de </w:t>
            </w:r>
            <w:r w:rsidR="001B3734" w:rsidRPr="00B3044F">
              <w:rPr>
                <w:rFonts w:eastAsia="Arial"/>
                <w:sz w:val="21"/>
                <w:szCs w:val="21"/>
              </w:rPr>
              <w:t>7</w:t>
            </w:r>
            <w:r w:rsidRPr="00B3044F">
              <w:rPr>
                <w:rFonts w:eastAsia="Arial"/>
                <w:sz w:val="21"/>
                <w:szCs w:val="21"/>
              </w:rPr>
              <w:t>.000 m²</w:t>
            </w:r>
          </w:p>
        </w:tc>
        <w:tc>
          <w:tcPr>
            <w:tcW w:w="994" w:type="dxa"/>
            <w:tcBorders>
              <w:top w:val="single" w:sz="4" w:space="0" w:color="auto"/>
              <w:left w:val="single" w:sz="4" w:space="0" w:color="auto"/>
              <w:bottom w:val="single" w:sz="4" w:space="0" w:color="auto"/>
              <w:right w:val="single" w:sz="4" w:space="0" w:color="auto"/>
            </w:tcBorders>
            <w:tcMar>
              <w:top w:w="60" w:type="dxa"/>
              <w:left w:w="100" w:type="dxa"/>
              <w:bottom w:w="60" w:type="dxa"/>
              <w:right w:w="100" w:type="dxa"/>
            </w:tcMar>
            <w:vAlign w:val="center"/>
          </w:tcPr>
          <w:p w14:paraId="0C749930" w14:textId="77777777" w:rsidR="007D4595" w:rsidRPr="00B3044F" w:rsidRDefault="007D4595" w:rsidP="00017C10">
            <w:pPr>
              <w:spacing w:line="276" w:lineRule="auto"/>
              <w:jc w:val="center"/>
              <w:rPr>
                <w:sz w:val="21"/>
                <w:szCs w:val="21"/>
              </w:rPr>
            </w:pPr>
            <w:r w:rsidRPr="00B3044F">
              <w:rPr>
                <w:rFonts w:eastAsia="Arial"/>
                <w:sz w:val="21"/>
                <w:szCs w:val="21"/>
              </w:rPr>
              <w:t>15</w:t>
            </w:r>
          </w:p>
        </w:tc>
      </w:tr>
      <w:tr w:rsidR="007D4595" w:rsidRPr="00B3044F" w14:paraId="1B95F9D8" w14:textId="77777777" w:rsidTr="005E5033">
        <w:tc>
          <w:tcPr>
            <w:tcW w:w="3823" w:type="dxa"/>
            <w:vMerge w:val="restart"/>
            <w:tcBorders>
              <w:top w:val="single" w:sz="4" w:space="0" w:color="auto"/>
              <w:left w:val="single" w:sz="4" w:space="0" w:color="auto"/>
              <w:bottom w:val="single" w:sz="4" w:space="0" w:color="auto"/>
              <w:right w:val="single" w:sz="4" w:space="0" w:color="auto"/>
            </w:tcBorders>
            <w:tcMar>
              <w:top w:w="60" w:type="dxa"/>
              <w:left w:w="100" w:type="dxa"/>
              <w:bottom w:w="60" w:type="dxa"/>
              <w:right w:w="100" w:type="dxa"/>
            </w:tcMar>
            <w:vAlign w:val="center"/>
          </w:tcPr>
          <w:p w14:paraId="6ACE0024" w14:textId="77777777" w:rsidR="007D4595" w:rsidRPr="00B3044F" w:rsidRDefault="007D4595" w:rsidP="00017C10">
            <w:pPr>
              <w:spacing w:line="276" w:lineRule="auto"/>
              <w:rPr>
                <w:sz w:val="21"/>
                <w:szCs w:val="21"/>
              </w:rPr>
            </w:pPr>
            <w:r w:rsidRPr="00B3044F">
              <w:rPr>
                <w:rFonts w:eastAsia="Arial"/>
                <w:sz w:val="21"/>
                <w:szCs w:val="21"/>
              </w:rPr>
              <w:t>Prazo de início de operação, limite de 12 meses (até 10 pontos)</w:t>
            </w:r>
          </w:p>
        </w:tc>
        <w:tc>
          <w:tcPr>
            <w:tcW w:w="5386" w:type="dxa"/>
            <w:tcBorders>
              <w:top w:val="single" w:sz="4" w:space="0" w:color="auto"/>
              <w:left w:val="single" w:sz="4" w:space="0" w:color="auto"/>
              <w:bottom w:val="single" w:sz="4" w:space="0" w:color="auto"/>
              <w:right w:val="single" w:sz="4" w:space="0" w:color="auto"/>
            </w:tcBorders>
            <w:tcMar>
              <w:top w:w="60" w:type="dxa"/>
              <w:left w:w="100" w:type="dxa"/>
              <w:bottom w:w="60" w:type="dxa"/>
              <w:right w:w="100" w:type="dxa"/>
            </w:tcMar>
            <w:vAlign w:val="center"/>
          </w:tcPr>
          <w:p w14:paraId="7BE84FB3" w14:textId="77777777" w:rsidR="007D4595" w:rsidRPr="00B3044F" w:rsidRDefault="007D4595" w:rsidP="00017C10">
            <w:pPr>
              <w:spacing w:line="276" w:lineRule="auto"/>
              <w:rPr>
                <w:sz w:val="21"/>
                <w:szCs w:val="21"/>
              </w:rPr>
            </w:pPr>
            <w:r w:rsidRPr="00B3044F">
              <w:rPr>
                <w:rFonts w:eastAsia="Arial"/>
                <w:sz w:val="21"/>
                <w:szCs w:val="21"/>
              </w:rPr>
              <w:t>até 6 meses</w:t>
            </w:r>
          </w:p>
        </w:tc>
        <w:tc>
          <w:tcPr>
            <w:tcW w:w="994" w:type="dxa"/>
            <w:tcBorders>
              <w:top w:val="single" w:sz="4" w:space="0" w:color="auto"/>
              <w:left w:val="single" w:sz="4" w:space="0" w:color="auto"/>
              <w:bottom w:val="single" w:sz="4" w:space="0" w:color="auto"/>
              <w:right w:val="single" w:sz="4" w:space="0" w:color="auto"/>
            </w:tcBorders>
            <w:tcMar>
              <w:top w:w="60" w:type="dxa"/>
              <w:left w:w="100" w:type="dxa"/>
              <w:bottom w:w="60" w:type="dxa"/>
              <w:right w:w="100" w:type="dxa"/>
            </w:tcMar>
            <w:vAlign w:val="center"/>
          </w:tcPr>
          <w:p w14:paraId="1A467227" w14:textId="77777777" w:rsidR="007D4595" w:rsidRPr="00B3044F" w:rsidRDefault="007D4595" w:rsidP="00017C10">
            <w:pPr>
              <w:spacing w:line="276" w:lineRule="auto"/>
              <w:jc w:val="center"/>
              <w:rPr>
                <w:sz w:val="21"/>
                <w:szCs w:val="21"/>
              </w:rPr>
            </w:pPr>
            <w:r w:rsidRPr="00B3044F">
              <w:rPr>
                <w:rFonts w:eastAsia="Arial"/>
                <w:sz w:val="21"/>
                <w:szCs w:val="21"/>
              </w:rPr>
              <w:t>10</w:t>
            </w:r>
          </w:p>
        </w:tc>
      </w:tr>
      <w:tr w:rsidR="007D4595" w:rsidRPr="00B3044F" w14:paraId="6DE65A11" w14:textId="77777777" w:rsidTr="005E5033">
        <w:tc>
          <w:tcPr>
            <w:tcW w:w="3823" w:type="dxa"/>
            <w:vMerge/>
            <w:tcBorders>
              <w:top w:val="single" w:sz="4" w:space="0" w:color="auto"/>
              <w:left w:val="single" w:sz="4" w:space="0" w:color="auto"/>
              <w:bottom w:val="single" w:sz="4" w:space="0" w:color="auto"/>
              <w:right w:val="single" w:sz="4" w:space="0" w:color="auto"/>
            </w:tcBorders>
            <w:tcMar>
              <w:top w:w="60" w:type="dxa"/>
              <w:left w:w="100" w:type="dxa"/>
              <w:bottom w:w="60" w:type="dxa"/>
              <w:right w:w="100" w:type="dxa"/>
            </w:tcMar>
            <w:vAlign w:val="center"/>
          </w:tcPr>
          <w:p w14:paraId="639E855F" w14:textId="77777777" w:rsidR="007D4595" w:rsidRPr="00B3044F" w:rsidRDefault="007D4595" w:rsidP="00017C10">
            <w:pPr>
              <w:spacing w:line="276" w:lineRule="auto"/>
              <w:rPr>
                <w:sz w:val="21"/>
                <w:szCs w:val="21"/>
              </w:rPr>
            </w:pPr>
          </w:p>
        </w:tc>
        <w:tc>
          <w:tcPr>
            <w:tcW w:w="5386" w:type="dxa"/>
            <w:tcBorders>
              <w:top w:val="single" w:sz="4" w:space="0" w:color="auto"/>
              <w:left w:val="single" w:sz="4" w:space="0" w:color="auto"/>
              <w:bottom w:val="single" w:sz="4" w:space="0" w:color="auto"/>
              <w:right w:val="single" w:sz="4" w:space="0" w:color="auto"/>
            </w:tcBorders>
            <w:tcMar>
              <w:top w:w="60" w:type="dxa"/>
              <w:left w:w="100" w:type="dxa"/>
              <w:bottom w:w="60" w:type="dxa"/>
              <w:right w:w="100" w:type="dxa"/>
            </w:tcMar>
            <w:vAlign w:val="center"/>
          </w:tcPr>
          <w:p w14:paraId="536F664D" w14:textId="77777777" w:rsidR="007D4595" w:rsidRPr="00B3044F" w:rsidRDefault="007D4595" w:rsidP="00017C10">
            <w:pPr>
              <w:spacing w:line="276" w:lineRule="auto"/>
              <w:rPr>
                <w:sz w:val="21"/>
                <w:szCs w:val="21"/>
              </w:rPr>
            </w:pPr>
            <w:r w:rsidRPr="00B3044F">
              <w:rPr>
                <w:rFonts w:eastAsia="Arial"/>
                <w:sz w:val="21"/>
                <w:szCs w:val="21"/>
              </w:rPr>
              <w:t>de 7 a 9 meses</w:t>
            </w:r>
          </w:p>
        </w:tc>
        <w:tc>
          <w:tcPr>
            <w:tcW w:w="994" w:type="dxa"/>
            <w:tcBorders>
              <w:top w:val="single" w:sz="4" w:space="0" w:color="auto"/>
              <w:left w:val="single" w:sz="4" w:space="0" w:color="auto"/>
              <w:bottom w:val="single" w:sz="4" w:space="0" w:color="auto"/>
              <w:right w:val="single" w:sz="4" w:space="0" w:color="auto"/>
            </w:tcBorders>
            <w:tcMar>
              <w:top w:w="60" w:type="dxa"/>
              <w:left w:w="100" w:type="dxa"/>
              <w:bottom w:w="60" w:type="dxa"/>
              <w:right w:w="100" w:type="dxa"/>
            </w:tcMar>
            <w:vAlign w:val="center"/>
          </w:tcPr>
          <w:p w14:paraId="73B47B2D" w14:textId="77777777" w:rsidR="007D4595" w:rsidRPr="00B3044F" w:rsidRDefault="007D4595" w:rsidP="00017C10">
            <w:pPr>
              <w:spacing w:line="276" w:lineRule="auto"/>
              <w:jc w:val="center"/>
              <w:rPr>
                <w:sz w:val="21"/>
                <w:szCs w:val="21"/>
              </w:rPr>
            </w:pPr>
            <w:r w:rsidRPr="00B3044F">
              <w:rPr>
                <w:rFonts w:eastAsia="Arial"/>
                <w:sz w:val="21"/>
                <w:szCs w:val="21"/>
              </w:rPr>
              <w:t>6</w:t>
            </w:r>
          </w:p>
        </w:tc>
      </w:tr>
      <w:tr w:rsidR="007D4595" w:rsidRPr="00B3044F" w14:paraId="75DF77F6" w14:textId="77777777" w:rsidTr="00017C10">
        <w:tc>
          <w:tcPr>
            <w:tcW w:w="3823" w:type="dxa"/>
            <w:vMerge/>
            <w:tcBorders>
              <w:top w:val="single" w:sz="4" w:space="0" w:color="auto"/>
              <w:left w:val="single" w:sz="4" w:space="0" w:color="auto"/>
              <w:bottom w:val="single" w:sz="4" w:space="0" w:color="auto"/>
              <w:right w:val="single" w:sz="4" w:space="0" w:color="auto"/>
            </w:tcBorders>
            <w:tcMar>
              <w:top w:w="60" w:type="dxa"/>
              <w:left w:w="100" w:type="dxa"/>
              <w:bottom w:w="60" w:type="dxa"/>
              <w:right w:w="100" w:type="dxa"/>
            </w:tcMar>
            <w:vAlign w:val="center"/>
          </w:tcPr>
          <w:p w14:paraId="391A2D98" w14:textId="77777777" w:rsidR="007D4595" w:rsidRPr="00B3044F" w:rsidRDefault="007D4595" w:rsidP="00017C10">
            <w:pPr>
              <w:spacing w:line="276" w:lineRule="auto"/>
              <w:rPr>
                <w:sz w:val="21"/>
                <w:szCs w:val="21"/>
              </w:rPr>
            </w:pPr>
          </w:p>
        </w:tc>
        <w:tc>
          <w:tcPr>
            <w:tcW w:w="5386" w:type="dxa"/>
            <w:tcBorders>
              <w:top w:val="single" w:sz="4" w:space="0" w:color="auto"/>
              <w:left w:val="single" w:sz="4" w:space="0" w:color="auto"/>
              <w:bottom w:val="single" w:sz="4" w:space="0" w:color="auto"/>
              <w:right w:val="single" w:sz="4" w:space="0" w:color="auto"/>
            </w:tcBorders>
            <w:tcMar>
              <w:top w:w="60" w:type="dxa"/>
              <w:left w:w="100" w:type="dxa"/>
              <w:bottom w:w="60" w:type="dxa"/>
              <w:right w:w="100" w:type="dxa"/>
            </w:tcMar>
            <w:vAlign w:val="center"/>
          </w:tcPr>
          <w:p w14:paraId="3C53FDF4" w14:textId="77777777" w:rsidR="007D4595" w:rsidRPr="00B3044F" w:rsidRDefault="007D4595" w:rsidP="00017C10">
            <w:pPr>
              <w:spacing w:line="276" w:lineRule="auto"/>
              <w:rPr>
                <w:sz w:val="21"/>
                <w:szCs w:val="21"/>
              </w:rPr>
            </w:pPr>
            <w:r w:rsidRPr="00B3044F">
              <w:rPr>
                <w:rFonts w:eastAsia="Arial"/>
                <w:sz w:val="21"/>
                <w:szCs w:val="21"/>
              </w:rPr>
              <w:t>de 10 a 12 meses</w:t>
            </w:r>
          </w:p>
        </w:tc>
        <w:tc>
          <w:tcPr>
            <w:tcW w:w="994" w:type="dxa"/>
            <w:tcBorders>
              <w:top w:val="single" w:sz="4" w:space="0" w:color="auto"/>
              <w:left w:val="single" w:sz="4" w:space="0" w:color="auto"/>
              <w:bottom w:val="single" w:sz="4" w:space="0" w:color="auto"/>
              <w:right w:val="single" w:sz="4" w:space="0" w:color="auto"/>
            </w:tcBorders>
            <w:tcMar>
              <w:top w:w="60" w:type="dxa"/>
              <w:left w:w="100" w:type="dxa"/>
              <w:bottom w:w="60" w:type="dxa"/>
              <w:right w:w="100" w:type="dxa"/>
            </w:tcMar>
            <w:vAlign w:val="center"/>
          </w:tcPr>
          <w:p w14:paraId="7D425C65" w14:textId="77777777" w:rsidR="007D4595" w:rsidRPr="00B3044F" w:rsidRDefault="007D4595" w:rsidP="00017C10">
            <w:pPr>
              <w:spacing w:line="276" w:lineRule="auto"/>
              <w:jc w:val="center"/>
              <w:rPr>
                <w:sz w:val="21"/>
                <w:szCs w:val="21"/>
              </w:rPr>
            </w:pPr>
            <w:r w:rsidRPr="00B3044F">
              <w:rPr>
                <w:rFonts w:eastAsia="Arial"/>
                <w:sz w:val="21"/>
                <w:szCs w:val="21"/>
              </w:rPr>
              <w:t>3</w:t>
            </w:r>
          </w:p>
        </w:tc>
      </w:tr>
      <w:tr w:rsidR="007D4595" w:rsidRPr="00B3044F" w14:paraId="1AC765D7" w14:textId="77777777" w:rsidTr="005E5033">
        <w:tc>
          <w:tcPr>
            <w:tcW w:w="3823" w:type="dxa"/>
            <w:vMerge w:val="restart"/>
            <w:tcBorders>
              <w:top w:val="single" w:sz="4" w:space="0" w:color="auto"/>
              <w:left w:val="single" w:sz="4" w:space="0" w:color="auto"/>
              <w:bottom w:val="single" w:sz="4" w:space="0" w:color="auto"/>
              <w:right w:val="single" w:sz="4" w:space="0" w:color="auto"/>
            </w:tcBorders>
            <w:tcMar>
              <w:top w:w="60" w:type="dxa"/>
              <w:left w:w="100" w:type="dxa"/>
              <w:bottom w:w="60" w:type="dxa"/>
              <w:right w:w="100" w:type="dxa"/>
            </w:tcMar>
            <w:vAlign w:val="center"/>
          </w:tcPr>
          <w:p w14:paraId="190A2084" w14:textId="77777777" w:rsidR="007D4595" w:rsidRPr="00B3044F" w:rsidRDefault="007D4595" w:rsidP="00017C10">
            <w:pPr>
              <w:spacing w:line="276" w:lineRule="auto"/>
              <w:rPr>
                <w:sz w:val="21"/>
                <w:szCs w:val="21"/>
              </w:rPr>
            </w:pPr>
            <w:r w:rsidRPr="00B3044F">
              <w:rPr>
                <w:rFonts w:eastAsia="Arial"/>
                <w:sz w:val="21"/>
                <w:szCs w:val="21"/>
              </w:rPr>
              <w:t>Investimento social direto — bônus (até 5 pontos)</w:t>
            </w:r>
          </w:p>
        </w:tc>
        <w:tc>
          <w:tcPr>
            <w:tcW w:w="5386" w:type="dxa"/>
            <w:tcBorders>
              <w:top w:val="single" w:sz="4" w:space="0" w:color="auto"/>
              <w:left w:val="single" w:sz="4" w:space="0" w:color="auto"/>
              <w:bottom w:val="single" w:sz="4" w:space="0" w:color="auto"/>
              <w:right w:val="single" w:sz="4" w:space="0" w:color="auto"/>
            </w:tcBorders>
            <w:tcMar>
              <w:top w:w="60" w:type="dxa"/>
              <w:left w:w="100" w:type="dxa"/>
              <w:bottom w:w="60" w:type="dxa"/>
              <w:right w:w="100" w:type="dxa"/>
            </w:tcMar>
            <w:vAlign w:val="center"/>
          </w:tcPr>
          <w:p w14:paraId="348E1D14" w14:textId="77777777" w:rsidR="007D4595" w:rsidRPr="00B3044F" w:rsidRDefault="007D4595" w:rsidP="00017C10">
            <w:pPr>
              <w:spacing w:line="276" w:lineRule="auto"/>
              <w:rPr>
                <w:sz w:val="21"/>
                <w:szCs w:val="21"/>
              </w:rPr>
            </w:pPr>
            <w:r w:rsidRPr="00B3044F">
              <w:rPr>
                <w:rFonts w:eastAsia="Arial"/>
                <w:sz w:val="21"/>
                <w:szCs w:val="21"/>
              </w:rPr>
              <w:t>até R$ 50.000,00 ou até 20 beneficiários diretos</w:t>
            </w:r>
          </w:p>
        </w:tc>
        <w:tc>
          <w:tcPr>
            <w:tcW w:w="994" w:type="dxa"/>
            <w:tcBorders>
              <w:top w:val="single" w:sz="4" w:space="0" w:color="auto"/>
              <w:left w:val="single" w:sz="4" w:space="0" w:color="auto"/>
              <w:bottom w:val="single" w:sz="4" w:space="0" w:color="auto"/>
              <w:right w:val="single" w:sz="4" w:space="0" w:color="auto"/>
            </w:tcBorders>
            <w:tcMar>
              <w:top w:w="60" w:type="dxa"/>
              <w:left w:w="100" w:type="dxa"/>
              <w:bottom w:w="60" w:type="dxa"/>
              <w:right w:w="100" w:type="dxa"/>
            </w:tcMar>
            <w:vAlign w:val="center"/>
          </w:tcPr>
          <w:p w14:paraId="4AFE59CA" w14:textId="77777777" w:rsidR="007D4595" w:rsidRPr="00B3044F" w:rsidRDefault="007D4595" w:rsidP="00017C10">
            <w:pPr>
              <w:spacing w:line="276" w:lineRule="auto"/>
              <w:jc w:val="center"/>
              <w:rPr>
                <w:sz w:val="21"/>
                <w:szCs w:val="21"/>
              </w:rPr>
            </w:pPr>
            <w:r w:rsidRPr="00B3044F">
              <w:rPr>
                <w:rFonts w:eastAsia="Arial"/>
                <w:sz w:val="21"/>
                <w:szCs w:val="21"/>
              </w:rPr>
              <w:t>2</w:t>
            </w:r>
          </w:p>
        </w:tc>
      </w:tr>
      <w:tr w:rsidR="007D4595" w:rsidRPr="00B3044F" w14:paraId="3FEE7942" w14:textId="77777777" w:rsidTr="00017C10">
        <w:tc>
          <w:tcPr>
            <w:tcW w:w="3823" w:type="dxa"/>
            <w:vMerge/>
            <w:tcBorders>
              <w:top w:val="single" w:sz="4" w:space="0" w:color="auto"/>
              <w:left w:val="single" w:sz="4" w:space="0" w:color="auto"/>
              <w:bottom w:val="single" w:sz="4" w:space="0" w:color="auto"/>
              <w:right w:val="single" w:sz="4" w:space="0" w:color="auto"/>
            </w:tcBorders>
            <w:tcMar>
              <w:top w:w="60" w:type="dxa"/>
              <w:left w:w="100" w:type="dxa"/>
              <w:bottom w:w="60" w:type="dxa"/>
              <w:right w:w="100" w:type="dxa"/>
            </w:tcMar>
            <w:vAlign w:val="center"/>
          </w:tcPr>
          <w:p w14:paraId="6E9A9935" w14:textId="77777777" w:rsidR="007D4595" w:rsidRPr="00B3044F" w:rsidRDefault="007D4595" w:rsidP="00017C10">
            <w:pPr>
              <w:spacing w:line="276" w:lineRule="auto"/>
              <w:rPr>
                <w:sz w:val="21"/>
                <w:szCs w:val="21"/>
              </w:rPr>
            </w:pPr>
          </w:p>
        </w:tc>
        <w:tc>
          <w:tcPr>
            <w:tcW w:w="5386" w:type="dxa"/>
            <w:tcBorders>
              <w:top w:val="single" w:sz="4" w:space="0" w:color="auto"/>
              <w:left w:val="single" w:sz="4" w:space="0" w:color="auto"/>
              <w:bottom w:val="single" w:sz="4" w:space="0" w:color="auto"/>
              <w:right w:val="single" w:sz="4" w:space="0" w:color="auto"/>
            </w:tcBorders>
            <w:tcMar>
              <w:top w:w="60" w:type="dxa"/>
              <w:left w:w="100" w:type="dxa"/>
              <w:bottom w:w="60" w:type="dxa"/>
              <w:right w:w="100" w:type="dxa"/>
            </w:tcMar>
            <w:vAlign w:val="center"/>
          </w:tcPr>
          <w:p w14:paraId="3BF4779F" w14:textId="77777777" w:rsidR="007D4595" w:rsidRPr="00B3044F" w:rsidRDefault="007D4595" w:rsidP="00017C10">
            <w:pPr>
              <w:spacing w:line="276" w:lineRule="auto"/>
              <w:rPr>
                <w:sz w:val="21"/>
                <w:szCs w:val="21"/>
              </w:rPr>
            </w:pPr>
            <w:r w:rsidRPr="00B3044F">
              <w:rPr>
                <w:rFonts w:eastAsia="Arial"/>
                <w:sz w:val="21"/>
                <w:szCs w:val="21"/>
              </w:rPr>
              <w:t>de R$ 50.000,01 a R$ 150.000,00 ou de 21 a 50 beneficiários</w:t>
            </w:r>
          </w:p>
        </w:tc>
        <w:tc>
          <w:tcPr>
            <w:tcW w:w="994" w:type="dxa"/>
            <w:tcBorders>
              <w:top w:val="single" w:sz="4" w:space="0" w:color="auto"/>
              <w:left w:val="single" w:sz="4" w:space="0" w:color="auto"/>
              <w:bottom w:val="single" w:sz="4" w:space="0" w:color="auto"/>
              <w:right w:val="single" w:sz="4" w:space="0" w:color="auto"/>
            </w:tcBorders>
            <w:tcMar>
              <w:top w:w="60" w:type="dxa"/>
              <w:left w:w="100" w:type="dxa"/>
              <w:bottom w:w="60" w:type="dxa"/>
              <w:right w:w="100" w:type="dxa"/>
            </w:tcMar>
            <w:vAlign w:val="center"/>
          </w:tcPr>
          <w:p w14:paraId="2C9DE1DC" w14:textId="77777777" w:rsidR="007D4595" w:rsidRPr="00B3044F" w:rsidRDefault="007D4595" w:rsidP="00017C10">
            <w:pPr>
              <w:spacing w:line="276" w:lineRule="auto"/>
              <w:jc w:val="center"/>
              <w:rPr>
                <w:sz w:val="21"/>
                <w:szCs w:val="21"/>
              </w:rPr>
            </w:pPr>
            <w:r w:rsidRPr="00B3044F">
              <w:rPr>
                <w:rFonts w:eastAsia="Arial"/>
                <w:sz w:val="21"/>
                <w:szCs w:val="21"/>
              </w:rPr>
              <w:t>3,5</w:t>
            </w:r>
          </w:p>
        </w:tc>
      </w:tr>
      <w:tr w:rsidR="007D4595" w:rsidRPr="00B3044F" w14:paraId="6115DDFE" w14:textId="77777777" w:rsidTr="00017C10">
        <w:tc>
          <w:tcPr>
            <w:tcW w:w="3823" w:type="dxa"/>
            <w:vMerge/>
            <w:tcBorders>
              <w:top w:val="single" w:sz="4" w:space="0" w:color="auto"/>
              <w:left w:val="single" w:sz="4" w:space="0" w:color="auto"/>
              <w:bottom w:val="single" w:sz="4" w:space="0" w:color="auto"/>
              <w:right w:val="single" w:sz="4" w:space="0" w:color="auto"/>
            </w:tcBorders>
            <w:tcMar>
              <w:top w:w="60" w:type="dxa"/>
              <w:left w:w="100" w:type="dxa"/>
              <w:bottom w:w="60" w:type="dxa"/>
              <w:right w:w="100" w:type="dxa"/>
            </w:tcMar>
            <w:vAlign w:val="center"/>
          </w:tcPr>
          <w:p w14:paraId="3AAEA5A1" w14:textId="77777777" w:rsidR="007D4595" w:rsidRPr="00B3044F" w:rsidRDefault="007D4595" w:rsidP="00017C10">
            <w:pPr>
              <w:spacing w:line="276" w:lineRule="auto"/>
              <w:rPr>
                <w:sz w:val="21"/>
                <w:szCs w:val="21"/>
              </w:rPr>
            </w:pPr>
          </w:p>
        </w:tc>
        <w:tc>
          <w:tcPr>
            <w:tcW w:w="5386" w:type="dxa"/>
            <w:tcBorders>
              <w:top w:val="single" w:sz="4" w:space="0" w:color="auto"/>
              <w:left w:val="single" w:sz="4" w:space="0" w:color="auto"/>
              <w:bottom w:val="single" w:sz="4" w:space="0" w:color="auto"/>
              <w:right w:val="single" w:sz="4" w:space="0" w:color="auto"/>
            </w:tcBorders>
            <w:tcMar>
              <w:top w:w="60" w:type="dxa"/>
              <w:left w:w="100" w:type="dxa"/>
              <w:bottom w:w="60" w:type="dxa"/>
              <w:right w:w="100" w:type="dxa"/>
            </w:tcMar>
            <w:vAlign w:val="center"/>
          </w:tcPr>
          <w:p w14:paraId="5914E45C" w14:textId="5489682F" w:rsidR="007D4595" w:rsidRPr="00B3044F" w:rsidRDefault="00AE103B" w:rsidP="00017C10">
            <w:pPr>
              <w:spacing w:line="276" w:lineRule="auto"/>
              <w:rPr>
                <w:sz w:val="21"/>
                <w:szCs w:val="21"/>
              </w:rPr>
            </w:pPr>
            <w:r w:rsidRPr="00B3044F">
              <w:rPr>
                <w:rFonts w:eastAsia="Arial"/>
                <w:sz w:val="21"/>
                <w:szCs w:val="21"/>
              </w:rPr>
              <w:t>acima de R$ 150.000,00 ou mais de 50 beneficiários</w:t>
            </w:r>
          </w:p>
        </w:tc>
        <w:tc>
          <w:tcPr>
            <w:tcW w:w="994" w:type="dxa"/>
            <w:tcBorders>
              <w:top w:val="single" w:sz="4" w:space="0" w:color="auto"/>
              <w:left w:val="single" w:sz="4" w:space="0" w:color="auto"/>
              <w:bottom w:val="single" w:sz="4" w:space="0" w:color="auto"/>
              <w:right w:val="single" w:sz="4" w:space="0" w:color="auto"/>
            </w:tcBorders>
            <w:tcMar>
              <w:top w:w="60" w:type="dxa"/>
              <w:left w:w="100" w:type="dxa"/>
              <w:bottom w:w="60" w:type="dxa"/>
              <w:right w:w="100" w:type="dxa"/>
            </w:tcMar>
            <w:vAlign w:val="center"/>
          </w:tcPr>
          <w:p w14:paraId="11897338" w14:textId="77777777" w:rsidR="007D4595" w:rsidRPr="00B3044F" w:rsidRDefault="007D4595" w:rsidP="00017C10">
            <w:pPr>
              <w:spacing w:line="276" w:lineRule="auto"/>
              <w:jc w:val="center"/>
              <w:rPr>
                <w:sz w:val="21"/>
                <w:szCs w:val="21"/>
              </w:rPr>
            </w:pPr>
            <w:r w:rsidRPr="00B3044F">
              <w:rPr>
                <w:rFonts w:eastAsia="Arial"/>
                <w:sz w:val="21"/>
                <w:szCs w:val="21"/>
              </w:rPr>
              <w:t>5</w:t>
            </w:r>
          </w:p>
        </w:tc>
      </w:tr>
    </w:tbl>
    <w:p w14:paraId="1EF25163" w14:textId="77777777" w:rsidR="003F1E6F" w:rsidRPr="00B3044F" w:rsidRDefault="003F1E6F" w:rsidP="00017C10">
      <w:pPr>
        <w:spacing w:line="276" w:lineRule="auto"/>
        <w:rPr>
          <w:sz w:val="21"/>
          <w:szCs w:val="21"/>
        </w:rPr>
      </w:pPr>
    </w:p>
    <w:p w14:paraId="5128FCF5" w14:textId="1E385B38" w:rsidR="003F1E6F" w:rsidRPr="00B3044F" w:rsidRDefault="005E5033" w:rsidP="00017C10">
      <w:pPr>
        <w:spacing w:line="276" w:lineRule="auto"/>
        <w:jc w:val="both"/>
        <w:rPr>
          <w:sz w:val="21"/>
          <w:szCs w:val="21"/>
        </w:rPr>
      </w:pPr>
      <w:r>
        <w:rPr>
          <w:rFonts w:eastAsia="Arial"/>
          <w:sz w:val="21"/>
          <w:szCs w:val="21"/>
        </w:rPr>
        <w:t xml:space="preserve">10.4. </w:t>
      </w:r>
      <w:r w:rsidR="004E08BE" w:rsidRPr="00B3044F">
        <w:rPr>
          <w:rFonts w:eastAsia="Arial"/>
          <w:sz w:val="21"/>
          <w:szCs w:val="21"/>
        </w:rPr>
        <w:t>Todas as faixas propostas são comprováveis documentalmente na execução contratual, por meio de GFIP, e</w:t>
      </w:r>
      <w:r>
        <w:rPr>
          <w:rFonts w:eastAsia="Arial"/>
          <w:sz w:val="21"/>
          <w:szCs w:val="21"/>
        </w:rPr>
        <w:t>-</w:t>
      </w:r>
      <w:r w:rsidR="004E08BE" w:rsidRPr="00B3044F">
        <w:rPr>
          <w:rFonts w:eastAsia="Arial"/>
          <w:sz w:val="21"/>
          <w:szCs w:val="21"/>
        </w:rPr>
        <w:t>Social ou CAGED (empregos), notas fiscais e contratos (investimento), projeto aprovado e habite-se ou equivalente (área edificada) e cronograma de obra (prazo de operação), em atendimento à vedação de critério subjetivo do art. 12, parágrafo único, do Decreto Municipal nº 75/2026, e ao princípio do julgamento objetivo (art. 5º da Lei Federal nº 14.133/2021, de aplicação subsidiária). A adoção definitiva dos valores numéricos das faixas é decisão de mérito administrativo da Secretaria Municipal da Indústria e Comércio e da Secretaria Municipal de Planejamento, cabendo a esta análise apenas propor parâmetros tecnicamente defensáveis e objetivamente aferíveis.</w:t>
      </w:r>
    </w:p>
    <w:p w14:paraId="2C7D3379" w14:textId="72430444" w:rsidR="003F1E6F" w:rsidRPr="00B3044F" w:rsidRDefault="005E5033" w:rsidP="00017C10">
      <w:pPr>
        <w:spacing w:line="276" w:lineRule="auto"/>
        <w:jc w:val="both"/>
        <w:rPr>
          <w:rFonts w:eastAsia="Arial"/>
          <w:sz w:val="21"/>
          <w:szCs w:val="21"/>
        </w:rPr>
      </w:pPr>
      <w:r>
        <w:rPr>
          <w:rFonts w:eastAsia="Arial"/>
          <w:sz w:val="21"/>
          <w:szCs w:val="21"/>
        </w:rPr>
        <w:t>10.5.</w:t>
      </w:r>
      <w:r w:rsidR="004E08BE" w:rsidRPr="00B3044F">
        <w:rPr>
          <w:rFonts w:eastAsia="Arial"/>
          <w:sz w:val="21"/>
          <w:szCs w:val="21"/>
        </w:rPr>
        <w:t xml:space="preserve">Nos termos do item 4.3 da minuta de edital, persistindo empate após a pontuação técnica, aplicam-se sucessivamente os critérios do art. 60 da Lei Federal nº 14.133/2021 </w:t>
      </w:r>
      <w:r>
        <w:rPr>
          <w:rFonts w:eastAsia="Arial"/>
          <w:sz w:val="21"/>
          <w:szCs w:val="21"/>
        </w:rPr>
        <w:t>-</w:t>
      </w:r>
      <w:r w:rsidR="004E08BE" w:rsidRPr="00B3044F">
        <w:rPr>
          <w:rFonts w:eastAsia="Arial"/>
          <w:sz w:val="21"/>
          <w:szCs w:val="21"/>
        </w:rPr>
        <w:t xml:space="preserve"> disputa final entre as empatadas, desempenho contratual prévio, equidade de gênero e programa de integridade </w:t>
      </w:r>
      <w:r>
        <w:rPr>
          <w:rFonts w:eastAsia="Arial"/>
          <w:sz w:val="21"/>
          <w:szCs w:val="21"/>
        </w:rPr>
        <w:t>-</w:t>
      </w:r>
      <w:r w:rsidR="004E08BE" w:rsidRPr="00B3044F">
        <w:rPr>
          <w:rFonts w:eastAsia="Arial"/>
          <w:sz w:val="21"/>
          <w:szCs w:val="21"/>
        </w:rPr>
        <w:t xml:space="preserve"> e, subsidiariamente, a preferência do art. 60, § 1º, da mesma Lei, sendo vedado, em qualquer hipótese, o uso da circunstância de a licitante já estar instalada no Município como critério de pontuação ou de desempate, por força da vedação do art. 9º, I, “b”, da Lei Federal nº 14.133/2021.</w:t>
      </w:r>
    </w:p>
    <w:p w14:paraId="5A7443E0" w14:textId="77777777" w:rsidR="007D4595" w:rsidRPr="00B3044F" w:rsidRDefault="007D4595" w:rsidP="00017C10">
      <w:pPr>
        <w:spacing w:line="276" w:lineRule="auto"/>
        <w:ind w:firstLine="1134"/>
        <w:jc w:val="both"/>
        <w:rPr>
          <w:sz w:val="21"/>
          <w:szCs w:val="21"/>
        </w:rPr>
      </w:pPr>
    </w:p>
    <w:p w14:paraId="5A2C7515" w14:textId="2DD0079C" w:rsidR="003F1E6F" w:rsidRPr="005E5033" w:rsidRDefault="004E08BE" w:rsidP="00017C10">
      <w:pPr>
        <w:spacing w:line="276" w:lineRule="auto"/>
        <w:jc w:val="both"/>
        <w:rPr>
          <w:sz w:val="21"/>
          <w:szCs w:val="21"/>
          <w:u w:val="single"/>
        </w:rPr>
      </w:pPr>
      <w:r w:rsidRPr="005E5033">
        <w:rPr>
          <w:rFonts w:eastAsia="Arial"/>
          <w:b/>
          <w:bCs/>
          <w:sz w:val="21"/>
          <w:szCs w:val="21"/>
          <w:u w:val="single"/>
        </w:rPr>
        <w:t>11. NÃO PARCELAMENTO DO OBJETO</w:t>
      </w:r>
      <w:r w:rsidR="005E5033">
        <w:rPr>
          <w:rFonts w:eastAsia="Arial"/>
          <w:b/>
          <w:bCs/>
          <w:sz w:val="21"/>
          <w:szCs w:val="21"/>
          <w:u w:val="single"/>
        </w:rPr>
        <w:t>:</w:t>
      </w:r>
    </w:p>
    <w:p w14:paraId="3A8A3C00" w14:textId="26B08141" w:rsidR="007D4595" w:rsidRDefault="005E5033" w:rsidP="00017C10">
      <w:pPr>
        <w:spacing w:line="276" w:lineRule="auto"/>
        <w:jc w:val="both"/>
        <w:rPr>
          <w:rFonts w:eastAsia="Arial"/>
          <w:sz w:val="21"/>
          <w:szCs w:val="21"/>
        </w:rPr>
      </w:pPr>
      <w:r>
        <w:rPr>
          <w:rFonts w:eastAsia="Arial"/>
          <w:sz w:val="21"/>
          <w:szCs w:val="21"/>
        </w:rPr>
        <w:t xml:space="preserve">11.1. </w:t>
      </w:r>
      <w:r w:rsidR="004E08BE" w:rsidRPr="00B3044F">
        <w:rPr>
          <w:rFonts w:eastAsia="Arial"/>
          <w:sz w:val="21"/>
          <w:szCs w:val="21"/>
        </w:rPr>
        <w:t xml:space="preserve">O objeto da concessão corresponde a unidade imobiliária certa e individualizada por matrícula e metragem, não comportando fracionamento sem descaracterização do próprio bem. Não se aplica, portanto, o dever de parcelamento do objeto consagrado na Súmula nº 247 do Tribunal de Contas da União, que pressupõe divisibilidade técnica e econômica do objeto licitado sem perda de escala ou qualidade — circunstância inexistente quando o objeto é a concessão de uso de um único imóvel determinado. </w:t>
      </w:r>
    </w:p>
    <w:p w14:paraId="3029CE57" w14:textId="77777777" w:rsidR="00017C10" w:rsidRDefault="00017C10" w:rsidP="00017C10">
      <w:pPr>
        <w:spacing w:line="276" w:lineRule="auto"/>
        <w:jc w:val="both"/>
        <w:rPr>
          <w:rFonts w:eastAsia="Arial"/>
          <w:sz w:val="21"/>
          <w:szCs w:val="21"/>
        </w:rPr>
      </w:pPr>
    </w:p>
    <w:p w14:paraId="0BD1BD88" w14:textId="77777777" w:rsidR="00017C10" w:rsidRDefault="00017C10" w:rsidP="00017C10">
      <w:pPr>
        <w:spacing w:line="276" w:lineRule="auto"/>
        <w:jc w:val="both"/>
        <w:rPr>
          <w:rFonts w:eastAsia="Arial"/>
          <w:sz w:val="21"/>
          <w:szCs w:val="21"/>
        </w:rPr>
      </w:pPr>
    </w:p>
    <w:p w14:paraId="76949572" w14:textId="74D789E3" w:rsidR="003F1E6F" w:rsidRPr="00B3044F" w:rsidRDefault="005E5033" w:rsidP="00017C10">
      <w:pPr>
        <w:spacing w:line="276" w:lineRule="auto"/>
        <w:jc w:val="both"/>
        <w:rPr>
          <w:rFonts w:eastAsia="Arial"/>
          <w:sz w:val="21"/>
          <w:szCs w:val="21"/>
        </w:rPr>
      </w:pPr>
      <w:r>
        <w:rPr>
          <w:rFonts w:eastAsia="Arial"/>
          <w:sz w:val="21"/>
          <w:szCs w:val="21"/>
        </w:rPr>
        <w:t xml:space="preserve">11.2. </w:t>
      </w:r>
      <w:r w:rsidR="004E08BE" w:rsidRPr="00B3044F">
        <w:rPr>
          <w:rFonts w:eastAsia="Arial"/>
          <w:sz w:val="21"/>
          <w:szCs w:val="21"/>
        </w:rPr>
        <w:t>Pela mesma razão, não se aplicam os limites de acréscimo ou supressão do art. 125 da Lei Federal nº 14.133/2021, na medida em que não há quantitativo de objeto sujeito a alteração unilateral de valor contratual, ressalvado eventual ajuste de área mediante aditamento formal e motivado, nos limites e no rito da Lei Municipal nº 3.199/2025 e do Decreto Municipal nº 75/2026.</w:t>
      </w:r>
    </w:p>
    <w:p w14:paraId="20479641" w14:textId="77777777" w:rsidR="007D4595" w:rsidRPr="00B3044F" w:rsidRDefault="007D4595" w:rsidP="00017C10">
      <w:pPr>
        <w:spacing w:line="276" w:lineRule="auto"/>
        <w:ind w:firstLine="1134"/>
        <w:jc w:val="both"/>
        <w:rPr>
          <w:sz w:val="21"/>
          <w:szCs w:val="21"/>
        </w:rPr>
      </w:pPr>
    </w:p>
    <w:p w14:paraId="3D36290E" w14:textId="5987CBFF" w:rsidR="003F1E6F" w:rsidRPr="005E5033" w:rsidRDefault="004E08BE" w:rsidP="00017C10">
      <w:pPr>
        <w:spacing w:line="276" w:lineRule="auto"/>
        <w:jc w:val="both"/>
        <w:rPr>
          <w:sz w:val="21"/>
          <w:szCs w:val="21"/>
          <w:u w:val="single"/>
        </w:rPr>
      </w:pPr>
      <w:r w:rsidRPr="005E5033">
        <w:rPr>
          <w:rFonts w:eastAsia="Arial"/>
          <w:b/>
          <w:bCs/>
          <w:sz w:val="21"/>
          <w:szCs w:val="21"/>
          <w:u w:val="single"/>
        </w:rPr>
        <w:t>12. PROVIDÊNCIAS PRÉVIAS A SEREM ADOTADAS PELA ADMINISTRAÇÃO</w:t>
      </w:r>
      <w:r w:rsidR="005E5033">
        <w:rPr>
          <w:rFonts w:eastAsia="Arial"/>
          <w:b/>
          <w:bCs/>
          <w:sz w:val="21"/>
          <w:szCs w:val="21"/>
          <w:u w:val="single"/>
        </w:rPr>
        <w:t>:</w:t>
      </w:r>
    </w:p>
    <w:p w14:paraId="644067E5" w14:textId="404E3D51" w:rsidR="007D4595" w:rsidRPr="00B3044F" w:rsidRDefault="005E5033" w:rsidP="00017C10">
      <w:pPr>
        <w:spacing w:line="276" w:lineRule="auto"/>
        <w:jc w:val="both"/>
        <w:rPr>
          <w:rFonts w:eastAsia="Arial"/>
          <w:sz w:val="21"/>
          <w:szCs w:val="21"/>
        </w:rPr>
      </w:pPr>
      <w:r>
        <w:rPr>
          <w:rFonts w:eastAsia="Arial"/>
          <w:sz w:val="21"/>
          <w:szCs w:val="21"/>
        </w:rPr>
        <w:t xml:space="preserve">12.1. </w:t>
      </w:r>
      <w:r w:rsidR="004E08BE" w:rsidRPr="00B3044F">
        <w:rPr>
          <w:rFonts w:eastAsia="Arial"/>
          <w:sz w:val="21"/>
          <w:szCs w:val="21"/>
        </w:rPr>
        <w:t xml:space="preserve">Antes da publicação do edital, a Administração deverá adotar as seguintes providências, sem as quais a continuidade do certame apresenta risco de nulidade ou de questionamento por órgão de controle: </w:t>
      </w:r>
    </w:p>
    <w:p w14:paraId="45BAEC1E" w14:textId="1B9F840C" w:rsidR="007D4595" w:rsidRPr="00B3044F" w:rsidRDefault="005E5033" w:rsidP="00017C10">
      <w:pPr>
        <w:pStyle w:val="PargrafodaLista"/>
        <w:spacing w:line="276" w:lineRule="auto"/>
        <w:jc w:val="both"/>
        <w:rPr>
          <w:rFonts w:eastAsia="Arial"/>
          <w:sz w:val="21"/>
          <w:szCs w:val="21"/>
        </w:rPr>
      </w:pPr>
      <w:r>
        <w:rPr>
          <w:rFonts w:eastAsia="Arial"/>
          <w:sz w:val="21"/>
          <w:szCs w:val="21"/>
        </w:rPr>
        <w:t xml:space="preserve">(i) </w:t>
      </w:r>
      <w:r w:rsidR="004E08BE" w:rsidRPr="00B3044F">
        <w:rPr>
          <w:rFonts w:eastAsia="Arial"/>
          <w:sz w:val="21"/>
          <w:szCs w:val="21"/>
        </w:rPr>
        <w:t xml:space="preserve">certificar a situação registral do imóvel quanto ao regime de condomínio pro indiviso com Silva Imóveis Ltda e obter, se exigível, anuência formal do condômino quanto à concessão de uso da fração ideal do Município, nos termos dos </w:t>
      </w:r>
      <w:proofErr w:type="spellStart"/>
      <w:r w:rsidR="004E08BE" w:rsidRPr="00B3044F">
        <w:rPr>
          <w:rFonts w:eastAsia="Arial"/>
          <w:sz w:val="21"/>
          <w:szCs w:val="21"/>
        </w:rPr>
        <w:t>arts</w:t>
      </w:r>
      <w:proofErr w:type="spellEnd"/>
      <w:r w:rsidR="004E08BE" w:rsidRPr="00B3044F">
        <w:rPr>
          <w:rFonts w:eastAsia="Arial"/>
          <w:sz w:val="21"/>
          <w:szCs w:val="21"/>
        </w:rPr>
        <w:t xml:space="preserve">. 1.314 e seguintes do Código Civil, conforme já determinado no item III do despacho de abertura deste processo; </w:t>
      </w:r>
    </w:p>
    <w:p w14:paraId="4CB337EA" w14:textId="11B3EB80" w:rsidR="007D4595" w:rsidRPr="00B3044F" w:rsidRDefault="005E5033" w:rsidP="00017C10">
      <w:pPr>
        <w:pStyle w:val="PargrafodaLista"/>
        <w:spacing w:line="276" w:lineRule="auto"/>
        <w:jc w:val="both"/>
        <w:rPr>
          <w:rFonts w:eastAsia="Arial"/>
          <w:sz w:val="21"/>
          <w:szCs w:val="21"/>
        </w:rPr>
      </w:pPr>
      <w:r>
        <w:rPr>
          <w:rFonts w:eastAsia="Arial"/>
          <w:sz w:val="21"/>
          <w:szCs w:val="21"/>
        </w:rPr>
        <w:t>(</w:t>
      </w:r>
      <w:proofErr w:type="spellStart"/>
      <w:r>
        <w:rPr>
          <w:rFonts w:eastAsia="Arial"/>
          <w:sz w:val="21"/>
          <w:szCs w:val="21"/>
        </w:rPr>
        <w:t>ii</w:t>
      </w:r>
      <w:proofErr w:type="spellEnd"/>
      <w:r>
        <w:rPr>
          <w:rFonts w:eastAsia="Arial"/>
          <w:sz w:val="21"/>
          <w:szCs w:val="21"/>
        </w:rPr>
        <w:t xml:space="preserve">) </w:t>
      </w:r>
      <w:r w:rsidR="004E08BE" w:rsidRPr="00B3044F">
        <w:rPr>
          <w:rFonts w:eastAsia="Arial"/>
          <w:sz w:val="21"/>
          <w:szCs w:val="21"/>
        </w:rPr>
        <w:t xml:space="preserve">formalizar em ata, pela Comissão Especial de Avaliação de Bens Imóveis, o valor de referência apurado no item 7, submetendo-o à homologação do Prefeito Municipal; </w:t>
      </w:r>
    </w:p>
    <w:p w14:paraId="7889D35C" w14:textId="42203F69" w:rsidR="007D4595" w:rsidRPr="00B3044F" w:rsidRDefault="005E5033" w:rsidP="00017C10">
      <w:pPr>
        <w:pStyle w:val="PargrafodaLista"/>
        <w:spacing w:line="276" w:lineRule="auto"/>
        <w:jc w:val="both"/>
        <w:rPr>
          <w:rFonts w:eastAsia="Arial"/>
          <w:sz w:val="21"/>
          <w:szCs w:val="21"/>
        </w:rPr>
      </w:pPr>
      <w:r>
        <w:rPr>
          <w:rFonts w:eastAsia="Arial"/>
          <w:sz w:val="21"/>
          <w:szCs w:val="21"/>
        </w:rPr>
        <w:t>(</w:t>
      </w:r>
      <w:proofErr w:type="spellStart"/>
      <w:r>
        <w:rPr>
          <w:rFonts w:eastAsia="Arial"/>
          <w:sz w:val="21"/>
          <w:szCs w:val="21"/>
        </w:rPr>
        <w:t>iii</w:t>
      </w:r>
      <w:proofErr w:type="spellEnd"/>
      <w:r>
        <w:rPr>
          <w:rFonts w:eastAsia="Arial"/>
          <w:sz w:val="21"/>
          <w:szCs w:val="21"/>
        </w:rPr>
        <w:t xml:space="preserve">) </w:t>
      </w:r>
      <w:r w:rsidR="007D4595" w:rsidRPr="00B3044F">
        <w:rPr>
          <w:rFonts w:eastAsia="Arial"/>
          <w:sz w:val="21"/>
          <w:szCs w:val="21"/>
        </w:rPr>
        <w:t>obter manifestação prévia do Controle Interno, em atendimento à gestão de riscos e ao controle preventivo de que trata o art. 169, §1º e §3º, II, da Lei Federal nº 14.133/2021;</w:t>
      </w:r>
    </w:p>
    <w:p w14:paraId="76C0A528" w14:textId="3E65E48A" w:rsidR="007D4595" w:rsidRPr="00B3044F" w:rsidRDefault="005E5033" w:rsidP="00017C10">
      <w:pPr>
        <w:pStyle w:val="PargrafodaLista"/>
        <w:spacing w:line="276" w:lineRule="auto"/>
        <w:jc w:val="both"/>
        <w:rPr>
          <w:rFonts w:eastAsia="Arial"/>
          <w:sz w:val="21"/>
          <w:szCs w:val="21"/>
        </w:rPr>
      </w:pPr>
      <w:r>
        <w:rPr>
          <w:rFonts w:eastAsia="Arial"/>
          <w:sz w:val="21"/>
          <w:szCs w:val="21"/>
        </w:rPr>
        <w:t>(</w:t>
      </w:r>
      <w:proofErr w:type="spellStart"/>
      <w:r>
        <w:rPr>
          <w:rFonts w:eastAsia="Arial"/>
          <w:sz w:val="21"/>
          <w:szCs w:val="21"/>
        </w:rPr>
        <w:t>iv</w:t>
      </w:r>
      <w:proofErr w:type="spellEnd"/>
      <w:r>
        <w:rPr>
          <w:rFonts w:eastAsia="Arial"/>
          <w:sz w:val="21"/>
          <w:szCs w:val="21"/>
        </w:rPr>
        <w:t xml:space="preserve">) </w:t>
      </w:r>
      <w:r w:rsidR="004E08BE" w:rsidRPr="00B3044F">
        <w:rPr>
          <w:rFonts w:eastAsia="Arial"/>
          <w:sz w:val="21"/>
          <w:szCs w:val="21"/>
        </w:rPr>
        <w:t xml:space="preserve">obter manifestação jurídica prévia, nos termos do art. 53 da Lei Federal nº 14.133/2021, que enfrente expressamente os pontos de tensão normativa identificados no item 8 deste Estudo; e </w:t>
      </w:r>
    </w:p>
    <w:p w14:paraId="61D1D4A0" w14:textId="326CEFBE" w:rsidR="003F1E6F" w:rsidRPr="00B3044F" w:rsidRDefault="005E5033" w:rsidP="00017C10">
      <w:pPr>
        <w:pStyle w:val="PargrafodaLista"/>
        <w:spacing w:line="276" w:lineRule="auto"/>
        <w:jc w:val="both"/>
        <w:rPr>
          <w:rFonts w:eastAsia="Arial"/>
          <w:sz w:val="21"/>
          <w:szCs w:val="21"/>
        </w:rPr>
      </w:pPr>
      <w:r>
        <w:rPr>
          <w:rFonts w:eastAsia="Arial"/>
          <w:sz w:val="21"/>
          <w:szCs w:val="21"/>
        </w:rPr>
        <w:t xml:space="preserve">(v) </w:t>
      </w:r>
      <w:r w:rsidR="007D4595" w:rsidRPr="00B3044F">
        <w:rPr>
          <w:rFonts w:eastAsia="Arial"/>
          <w:sz w:val="21"/>
          <w:szCs w:val="21"/>
        </w:rPr>
        <w:t>validar tecnicamente, junto à Secretaria Municipal da Indústria e Comércio e à Secretaria Municipal de Planejamento, as faixas de pontuação propostas no item 10, preenchendo os campos ainda em aberto na minuta de edital; e</w:t>
      </w:r>
    </w:p>
    <w:p w14:paraId="791F2B39" w14:textId="49E4A428" w:rsidR="00C733AA" w:rsidRPr="00B3044F" w:rsidRDefault="005E5033" w:rsidP="00017C10">
      <w:pPr>
        <w:pStyle w:val="PargrafodaLista"/>
        <w:spacing w:line="276" w:lineRule="auto"/>
        <w:jc w:val="both"/>
        <w:rPr>
          <w:rFonts w:eastAsia="Arial"/>
          <w:sz w:val="21"/>
          <w:szCs w:val="21"/>
        </w:rPr>
      </w:pPr>
      <w:r>
        <w:rPr>
          <w:rFonts w:eastAsia="Arial"/>
          <w:sz w:val="21"/>
          <w:szCs w:val="21"/>
        </w:rPr>
        <w:t xml:space="preserve">(vi) </w:t>
      </w:r>
      <w:r w:rsidR="00734401" w:rsidRPr="00B3044F">
        <w:rPr>
          <w:rFonts w:eastAsia="Arial"/>
          <w:sz w:val="21"/>
          <w:szCs w:val="21"/>
        </w:rPr>
        <w:t>certificar, junto à Secretaria Municipal competente ou à Câmara Municipal, o quórum observado na sessão legislativa de aprovação da Lei Municipal nº 3.199/2025, juntando aos autos a respectiva ata ou certidão, em atendimento ao art. 43, §2º, item 3, da Lei Orgânica do Município.</w:t>
      </w:r>
    </w:p>
    <w:p w14:paraId="54C1F1F5" w14:textId="77777777" w:rsidR="004E08BE" w:rsidRPr="00B3044F" w:rsidRDefault="004E08BE" w:rsidP="00017C10">
      <w:pPr>
        <w:spacing w:line="276" w:lineRule="auto"/>
        <w:jc w:val="both"/>
        <w:rPr>
          <w:rFonts w:eastAsia="Arial"/>
          <w:b/>
          <w:bCs/>
          <w:sz w:val="21"/>
          <w:szCs w:val="21"/>
        </w:rPr>
      </w:pPr>
    </w:p>
    <w:p w14:paraId="49D6F676" w14:textId="7D5FA4A5" w:rsidR="003F1E6F" w:rsidRPr="005E5033" w:rsidRDefault="004E08BE" w:rsidP="00017C10">
      <w:pPr>
        <w:spacing w:line="276" w:lineRule="auto"/>
        <w:jc w:val="both"/>
        <w:rPr>
          <w:sz w:val="21"/>
          <w:szCs w:val="21"/>
          <w:u w:val="single"/>
        </w:rPr>
      </w:pPr>
      <w:r w:rsidRPr="005E5033">
        <w:rPr>
          <w:rFonts w:eastAsia="Arial"/>
          <w:b/>
          <w:bCs/>
          <w:sz w:val="21"/>
          <w:szCs w:val="21"/>
          <w:u w:val="single"/>
        </w:rPr>
        <w:t>13. CONTRATAÇÕES CORRELATAS E INTERDEPENDENTES</w:t>
      </w:r>
      <w:r w:rsidR="005E5033">
        <w:rPr>
          <w:rFonts w:eastAsia="Arial"/>
          <w:b/>
          <w:bCs/>
          <w:sz w:val="21"/>
          <w:szCs w:val="21"/>
          <w:u w:val="single"/>
        </w:rPr>
        <w:t>:</w:t>
      </w:r>
    </w:p>
    <w:p w14:paraId="629F0F2E" w14:textId="1FA164E5" w:rsidR="004E08BE" w:rsidRPr="00B3044F" w:rsidRDefault="005E5033" w:rsidP="00017C10">
      <w:pPr>
        <w:spacing w:line="276" w:lineRule="auto"/>
        <w:jc w:val="both"/>
        <w:rPr>
          <w:rFonts w:eastAsia="Arial"/>
          <w:sz w:val="21"/>
          <w:szCs w:val="21"/>
        </w:rPr>
      </w:pPr>
      <w:r>
        <w:rPr>
          <w:rFonts w:eastAsia="Arial"/>
          <w:sz w:val="21"/>
          <w:szCs w:val="21"/>
        </w:rPr>
        <w:t xml:space="preserve">13.1. </w:t>
      </w:r>
      <w:r w:rsidR="004E08BE" w:rsidRPr="00B3044F">
        <w:rPr>
          <w:rFonts w:eastAsia="Arial"/>
          <w:sz w:val="21"/>
          <w:szCs w:val="21"/>
        </w:rPr>
        <w:t xml:space="preserve">Não se identificam, neste momento, contratações correlatas indispensáveis ao êxito da presente concessão. </w:t>
      </w:r>
    </w:p>
    <w:p w14:paraId="56B9DBC4" w14:textId="64521E82" w:rsidR="003F1E6F" w:rsidRPr="00B3044F" w:rsidRDefault="005E5033" w:rsidP="00017C10">
      <w:pPr>
        <w:spacing w:line="276" w:lineRule="auto"/>
        <w:jc w:val="both"/>
        <w:rPr>
          <w:sz w:val="21"/>
          <w:szCs w:val="21"/>
        </w:rPr>
      </w:pPr>
      <w:r>
        <w:rPr>
          <w:rFonts w:eastAsia="Arial"/>
          <w:sz w:val="21"/>
          <w:szCs w:val="21"/>
        </w:rPr>
        <w:t xml:space="preserve">13.2. </w:t>
      </w:r>
      <w:r w:rsidR="004E08BE" w:rsidRPr="00B3044F">
        <w:rPr>
          <w:rFonts w:eastAsia="Arial"/>
          <w:sz w:val="21"/>
          <w:szCs w:val="21"/>
        </w:rPr>
        <w:t xml:space="preserve">Registra-se, todavia, que a execução da infraestrutura básica dos Distritos Industriais </w:t>
      </w:r>
      <w:r>
        <w:rPr>
          <w:rFonts w:eastAsia="Arial"/>
          <w:sz w:val="21"/>
          <w:szCs w:val="21"/>
        </w:rPr>
        <w:t>-</w:t>
      </w:r>
      <w:r w:rsidR="004E08BE" w:rsidRPr="00B3044F">
        <w:rPr>
          <w:rFonts w:eastAsia="Arial"/>
          <w:sz w:val="21"/>
          <w:szCs w:val="21"/>
        </w:rPr>
        <w:t xml:space="preserve"> abertura de ruas, pavimentação, colocação de meio-fio e instalação das redes de energia elétrica, água, pluvial e cloacal </w:t>
      </w:r>
      <w:r>
        <w:rPr>
          <w:rFonts w:eastAsia="Arial"/>
          <w:sz w:val="21"/>
          <w:szCs w:val="21"/>
        </w:rPr>
        <w:t>-</w:t>
      </w:r>
      <w:r w:rsidR="004E08BE" w:rsidRPr="00B3044F">
        <w:rPr>
          <w:rFonts w:eastAsia="Arial"/>
          <w:sz w:val="21"/>
          <w:szCs w:val="21"/>
        </w:rPr>
        <w:t xml:space="preserve"> constitui obrigação do Município nos termos do art. 2º e §§ 1º a 3º da Lei Municipal nº 3.199/2025, limitada à disponibilidade financeira e às prioridades orçamentárias da Administração, e deverá ser objeto de planejamento próprio pela Secretaria Municipal de Planejamento, sem, contudo, condicionar a validade jurídica do presente certame, cujo objeto é a concessão do direito de uso do imóvel, e não a execução da infraestrutura do Distrito.</w:t>
      </w:r>
    </w:p>
    <w:p w14:paraId="0AFFF659" w14:textId="77777777" w:rsidR="005E5033" w:rsidRDefault="005E5033" w:rsidP="00017C10">
      <w:pPr>
        <w:spacing w:line="276" w:lineRule="auto"/>
        <w:jc w:val="both"/>
        <w:rPr>
          <w:rFonts w:eastAsia="Arial"/>
          <w:b/>
          <w:bCs/>
          <w:sz w:val="21"/>
          <w:szCs w:val="21"/>
        </w:rPr>
      </w:pPr>
    </w:p>
    <w:p w14:paraId="3330D24F" w14:textId="189A7333" w:rsidR="003F1E6F" w:rsidRPr="005E5033" w:rsidRDefault="004E08BE" w:rsidP="00017C10">
      <w:pPr>
        <w:spacing w:line="276" w:lineRule="auto"/>
        <w:jc w:val="both"/>
        <w:rPr>
          <w:sz w:val="21"/>
          <w:szCs w:val="21"/>
          <w:u w:val="single"/>
        </w:rPr>
      </w:pPr>
      <w:r w:rsidRPr="005E5033">
        <w:rPr>
          <w:rFonts w:eastAsia="Arial"/>
          <w:b/>
          <w:bCs/>
          <w:sz w:val="21"/>
          <w:szCs w:val="21"/>
          <w:u w:val="single"/>
        </w:rPr>
        <w:t>14. IMPACTOS AMBIENTAIS E MEDIDAS MITIGADORAS</w:t>
      </w:r>
      <w:r w:rsidR="005E5033">
        <w:rPr>
          <w:rFonts w:eastAsia="Arial"/>
          <w:b/>
          <w:bCs/>
          <w:sz w:val="21"/>
          <w:szCs w:val="21"/>
          <w:u w:val="single"/>
        </w:rPr>
        <w:t>:</w:t>
      </w:r>
    </w:p>
    <w:p w14:paraId="7196B06E" w14:textId="0168C325" w:rsidR="004E08BE" w:rsidRPr="00B3044F" w:rsidRDefault="005E5033" w:rsidP="00017C10">
      <w:pPr>
        <w:spacing w:line="276" w:lineRule="auto"/>
        <w:jc w:val="both"/>
        <w:rPr>
          <w:rFonts w:eastAsia="Arial"/>
          <w:sz w:val="21"/>
          <w:szCs w:val="21"/>
        </w:rPr>
      </w:pPr>
      <w:r>
        <w:rPr>
          <w:rFonts w:eastAsia="Arial"/>
          <w:sz w:val="21"/>
          <w:szCs w:val="21"/>
        </w:rPr>
        <w:t xml:space="preserve">14.1. </w:t>
      </w:r>
      <w:r w:rsidR="004E08BE" w:rsidRPr="00B3044F">
        <w:rPr>
          <w:rFonts w:eastAsia="Arial"/>
          <w:sz w:val="21"/>
          <w:szCs w:val="21"/>
        </w:rPr>
        <w:t xml:space="preserve">Os impactos ambientais associados ao empreendimento a ser instalado dependem da atividade industrial concretamente escolhida pela concessionária, razão pela qual a Lei Municipal nº 3.199/2025 remete o controle ambiental ao licenciamento individual perante o órgão competente, admitindo, nos Distritos Industriais, apenas empreendimentos de baixo potencial poluidor, conforme listagem de tipologias constante do sítio oficial da FEPAM/RS (art. 5º da Lei), e sujeitando as atividades de médio e alto potencial poluidor a análise específica do órgão licenciador (art. 5º, § 1º, da Lei; art. 25, § 1º, do Decreto Municipal nº 75/2026). </w:t>
      </w:r>
    </w:p>
    <w:p w14:paraId="7300EDF3" w14:textId="352537B4" w:rsidR="003F1E6F" w:rsidRPr="00B3044F" w:rsidRDefault="005E5033" w:rsidP="00017C10">
      <w:pPr>
        <w:spacing w:line="276" w:lineRule="auto"/>
        <w:jc w:val="both"/>
        <w:rPr>
          <w:sz w:val="21"/>
          <w:szCs w:val="21"/>
        </w:rPr>
      </w:pPr>
      <w:r>
        <w:rPr>
          <w:rFonts w:eastAsia="Arial"/>
          <w:sz w:val="21"/>
          <w:szCs w:val="21"/>
        </w:rPr>
        <w:t xml:space="preserve">14.2. </w:t>
      </w:r>
      <w:r w:rsidR="004E08BE" w:rsidRPr="00B3044F">
        <w:rPr>
          <w:rFonts w:eastAsia="Arial"/>
          <w:sz w:val="21"/>
          <w:szCs w:val="21"/>
        </w:rPr>
        <w:t xml:space="preserve">Como medida mitigadora, o edital exige, como condição de habilitação, licença ambiental ou declaração de viabilidade e alvará compatíveis com a atividade pretendida, admitida a substituição temporária por Declaração de Não Aplicabilidade com compromisso de apresentação da licença definitiva antes da assinatura do contrato (art. 5º, §§ 1º e 2º, da Lei), e condiciona o início das atividades à obtenção e manutenção das licenças ambientais cabíveis (cláusula contratual constante da minuta de contrato, Anexo </w:t>
      </w:r>
      <w:r w:rsidR="00811508">
        <w:rPr>
          <w:rFonts w:eastAsia="Arial"/>
          <w:sz w:val="21"/>
          <w:szCs w:val="21"/>
        </w:rPr>
        <w:t>I</w:t>
      </w:r>
      <w:r w:rsidR="004E08BE" w:rsidRPr="00B3044F">
        <w:rPr>
          <w:rFonts w:eastAsia="Arial"/>
          <w:sz w:val="21"/>
          <w:szCs w:val="21"/>
        </w:rPr>
        <w:t>V do edital).</w:t>
      </w:r>
    </w:p>
    <w:p w14:paraId="5E3386BB" w14:textId="77777777" w:rsidR="005E5033" w:rsidRDefault="005E5033" w:rsidP="00017C10">
      <w:pPr>
        <w:spacing w:line="276" w:lineRule="auto"/>
        <w:jc w:val="both"/>
        <w:rPr>
          <w:rFonts w:eastAsia="Arial"/>
          <w:b/>
          <w:bCs/>
          <w:sz w:val="21"/>
          <w:szCs w:val="21"/>
        </w:rPr>
      </w:pPr>
    </w:p>
    <w:p w14:paraId="6EF6CE62" w14:textId="77777777" w:rsidR="00017C10" w:rsidRDefault="00017C10" w:rsidP="00017C10">
      <w:pPr>
        <w:spacing w:line="276" w:lineRule="auto"/>
        <w:jc w:val="both"/>
        <w:rPr>
          <w:rFonts w:eastAsia="Arial"/>
          <w:b/>
          <w:bCs/>
          <w:sz w:val="21"/>
          <w:szCs w:val="21"/>
        </w:rPr>
      </w:pPr>
    </w:p>
    <w:p w14:paraId="2705C255" w14:textId="77777777" w:rsidR="00017C10" w:rsidRDefault="004E08BE" w:rsidP="00017C10">
      <w:pPr>
        <w:spacing w:line="276" w:lineRule="auto"/>
        <w:jc w:val="both"/>
        <w:rPr>
          <w:rFonts w:eastAsia="Arial"/>
          <w:b/>
          <w:bCs/>
          <w:sz w:val="21"/>
          <w:szCs w:val="21"/>
          <w:u w:val="single"/>
        </w:rPr>
      </w:pPr>
      <w:r w:rsidRPr="005E5033">
        <w:rPr>
          <w:rFonts w:eastAsia="Arial"/>
          <w:b/>
          <w:bCs/>
          <w:sz w:val="21"/>
          <w:szCs w:val="21"/>
          <w:u w:val="single"/>
        </w:rPr>
        <w:lastRenderedPageBreak/>
        <w:t>1</w:t>
      </w:r>
    </w:p>
    <w:p w14:paraId="05B56789" w14:textId="339645EF" w:rsidR="003F1E6F" w:rsidRPr="005E5033" w:rsidRDefault="004E08BE" w:rsidP="00017C10">
      <w:pPr>
        <w:spacing w:line="276" w:lineRule="auto"/>
        <w:jc w:val="both"/>
        <w:rPr>
          <w:sz w:val="21"/>
          <w:szCs w:val="21"/>
          <w:u w:val="single"/>
        </w:rPr>
      </w:pPr>
      <w:r w:rsidRPr="005E5033">
        <w:rPr>
          <w:rFonts w:eastAsia="Arial"/>
          <w:b/>
          <w:bCs/>
          <w:sz w:val="21"/>
          <w:szCs w:val="21"/>
          <w:u w:val="single"/>
        </w:rPr>
        <w:t>5. ANÁLISE DE RISCOS</w:t>
      </w:r>
      <w:r w:rsidR="005E5033">
        <w:rPr>
          <w:rFonts w:eastAsia="Arial"/>
          <w:b/>
          <w:bCs/>
          <w:sz w:val="21"/>
          <w:szCs w:val="21"/>
          <w:u w:val="single"/>
        </w:rPr>
        <w:t>:</w:t>
      </w:r>
    </w:p>
    <w:tbl>
      <w:tblPr>
        <w:tblW w:w="102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00"/>
        <w:gridCol w:w="3200"/>
        <w:gridCol w:w="4403"/>
      </w:tblGrid>
      <w:tr w:rsidR="003F1E6F" w:rsidRPr="00B3044F" w14:paraId="6489F6E2" w14:textId="77777777" w:rsidTr="005E5033">
        <w:trPr>
          <w:tblHeader/>
        </w:trPr>
        <w:tc>
          <w:tcPr>
            <w:tcW w:w="2600" w:type="dxa"/>
            <w:shd w:val="clear" w:color="auto" w:fill="D9D9D9"/>
            <w:tcMar>
              <w:top w:w="60" w:type="dxa"/>
              <w:left w:w="100" w:type="dxa"/>
              <w:bottom w:w="60" w:type="dxa"/>
              <w:right w:w="100" w:type="dxa"/>
            </w:tcMar>
            <w:vAlign w:val="center"/>
          </w:tcPr>
          <w:p w14:paraId="1B51A7BF" w14:textId="11F055C6" w:rsidR="003F1E6F" w:rsidRPr="00B3044F" w:rsidRDefault="004E08BE" w:rsidP="00017C10">
            <w:pPr>
              <w:spacing w:line="288" w:lineRule="auto"/>
              <w:jc w:val="center"/>
              <w:rPr>
                <w:sz w:val="21"/>
                <w:szCs w:val="21"/>
              </w:rPr>
            </w:pPr>
            <w:r w:rsidRPr="00B3044F">
              <w:rPr>
                <w:rFonts w:eastAsia="Arial"/>
                <w:b/>
                <w:bCs/>
                <w:sz w:val="21"/>
                <w:szCs w:val="21"/>
              </w:rPr>
              <w:t>RISCO IDENTIFICADO</w:t>
            </w:r>
          </w:p>
        </w:tc>
        <w:tc>
          <w:tcPr>
            <w:tcW w:w="3200" w:type="dxa"/>
            <w:shd w:val="clear" w:color="auto" w:fill="D9D9D9"/>
            <w:tcMar>
              <w:top w:w="60" w:type="dxa"/>
              <w:left w:w="100" w:type="dxa"/>
              <w:bottom w:w="60" w:type="dxa"/>
              <w:right w:w="100" w:type="dxa"/>
            </w:tcMar>
            <w:vAlign w:val="center"/>
          </w:tcPr>
          <w:p w14:paraId="269D0DF9" w14:textId="32BB4B34" w:rsidR="003F1E6F" w:rsidRPr="00B3044F" w:rsidRDefault="004E08BE" w:rsidP="00017C10">
            <w:pPr>
              <w:spacing w:line="288" w:lineRule="auto"/>
              <w:jc w:val="center"/>
              <w:rPr>
                <w:sz w:val="21"/>
                <w:szCs w:val="21"/>
              </w:rPr>
            </w:pPr>
            <w:r w:rsidRPr="00B3044F">
              <w:rPr>
                <w:rFonts w:eastAsia="Arial"/>
                <w:b/>
                <w:bCs/>
                <w:sz w:val="21"/>
                <w:szCs w:val="21"/>
              </w:rPr>
              <w:t>EVENTO</w:t>
            </w:r>
          </w:p>
        </w:tc>
        <w:tc>
          <w:tcPr>
            <w:tcW w:w="4403" w:type="dxa"/>
            <w:shd w:val="clear" w:color="auto" w:fill="D9D9D9"/>
            <w:tcMar>
              <w:top w:w="60" w:type="dxa"/>
              <w:left w:w="100" w:type="dxa"/>
              <w:bottom w:w="60" w:type="dxa"/>
              <w:right w:w="100" w:type="dxa"/>
            </w:tcMar>
            <w:vAlign w:val="center"/>
          </w:tcPr>
          <w:p w14:paraId="722DDD26" w14:textId="1305A7C1" w:rsidR="003F1E6F" w:rsidRPr="00B3044F" w:rsidRDefault="004E08BE" w:rsidP="00017C10">
            <w:pPr>
              <w:spacing w:line="288" w:lineRule="auto"/>
              <w:jc w:val="center"/>
              <w:rPr>
                <w:sz w:val="21"/>
                <w:szCs w:val="21"/>
              </w:rPr>
            </w:pPr>
            <w:r w:rsidRPr="00B3044F">
              <w:rPr>
                <w:rFonts w:eastAsia="Arial"/>
                <w:b/>
                <w:bCs/>
                <w:sz w:val="21"/>
                <w:szCs w:val="21"/>
              </w:rPr>
              <w:t>MEDIDA DE MITIGAÇÃO</w:t>
            </w:r>
          </w:p>
        </w:tc>
      </w:tr>
      <w:tr w:rsidR="003F1E6F" w:rsidRPr="00B3044F" w14:paraId="5A57F1CD" w14:textId="77777777" w:rsidTr="005E5033">
        <w:tc>
          <w:tcPr>
            <w:tcW w:w="2600" w:type="dxa"/>
            <w:tcMar>
              <w:top w:w="60" w:type="dxa"/>
              <w:left w:w="100" w:type="dxa"/>
              <w:bottom w:w="60" w:type="dxa"/>
              <w:right w:w="100" w:type="dxa"/>
            </w:tcMar>
            <w:vAlign w:val="center"/>
          </w:tcPr>
          <w:p w14:paraId="54D26E00" w14:textId="77777777" w:rsidR="003F1E6F" w:rsidRPr="00B3044F" w:rsidRDefault="004E08BE" w:rsidP="00017C10">
            <w:pPr>
              <w:spacing w:line="288" w:lineRule="auto"/>
              <w:rPr>
                <w:sz w:val="21"/>
                <w:szCs w:val="21"/>
              </w:rPr>
            </w:pPr>
            <w:r w:rsidRPr="00B3044F">
              <w:rPr>
                <w:rFonts w:eastAsia="Arial"/>
                <w:sz w:val="21"/>
                <w:szCs w:val="21"/>
              </w:rPr>
              <w:t>Questionamento da gratuidade em face do art. 9º, § 1º, da Lei Orgânica</w:t>
            </w:r>
          </w:p>
        </w:tc>
        <w:tc>
          <w:tcPr>
            <w:tcW w:w="3200" w:type="dxa"/>
            <w:tcMar>
              <w:top w:w="60" w:type="dxa"/>
              <w:left w:w="100" w:type="dxa"/>
              <w:bottom w:w="60" w:type="dxa"/>
              <w:right w:w="100" w:type="dxa"/>
            </w:tcMar>
            <w:vAlign w:val="center"/>
          </w:tcPr>
          <w:p w14:paraId="27D2E2F3" w14:textId="77777777" w:rsidR="003F1E6F" w:rsidRPr="00B3044F" w:rsidRDefault="004E08BE" w:rsidP="00017C10">
            <w:pPr>
              <w:spacing w:line="288" w:lineRule="auto"/>
              <w:rPr>
                <w:sz w:val="21"/>
                <w:szCs w:val="21"/>
              </w:rPr>
            </w:pPr>
            <w:r w:rsidRPr="00B3044F">
              <w:rPr>
                <w:rFonts w:eastAsia="Arial"/>
                <w:sz w:val="21"/>
                <w:szCs w:val="21"/>
              </w:rPr>
              <w:t>Impugnação, representação ou apontamento de órgão de controle sobre liberalidade a particular com fins lucrativos</w:t>
            </w:r>
          </w:p>
        </w:tc>
        <w:tc>
          <w:tcPr>
            <w:tcW w:w="4403" w:type="dxa"/>
            <w:tcMar>
              <w:top w:w="60" w:type="dxa"/>
              <w:left w:w="100" w:type="dxa"/>
              <w:bottom w:w="60" w:type="dxa"/>
              <w:right w:w="100" w:type="dxa"/>
            </w:tcMar>
            <w:vAlign w:val="center"/>
          </w:tcPr>
          <w:p w14:paraId="60593BCC" w14:textId="77777777" w:rsidR="003F1E6F" w:rsidRPr="00B3044F" w:rsidRDefault="004E08BE" w:rsidP="00017C10">
            <w:pPr>
              <w:spacing w:line="288" w:lineRule="auto"/>
              <w:rPr>
                <w:sz w:val="21"/>
                <w:szCs w:val="21"/>
              </w:rPr>
            </w:pPr>
            <w:r w:rsidRPr="00B3044F">
              <w:rPr>
                <w:rFonts w:eastAsia="Arial"/>
                <w:sz w:val="21"/>
                <w:szCs w:val="21"/>
              </w:rPr>
              <w:t>Fundamentação expressa das contrapartidas de desenvolvimento e do critério objetivo do art. 24, § 1º, da Lei; manifestação jurídica prévia (item 8)</w:t>
            </w:r>
          </w:p>
        </w:tc>
      </w:tr>
      <w:tr w:rsidR="003F1E6F" w:rsidRPr="00B3044F" w14:paraId="40AC2B5F" w14:textId="77777777" w:rsidTr="005E5033">
        <w:tc>
          <w:tcPr>
            <w:tcW w:w="2600" w:type="dxa"/>
            <w:tcMar>
              <w:top w:w="60" w:type="dxa"/>
              <w:left w:w="100" w:type="dxa"/>
              <w:bottom w:w="60" w:type="dxa"/>
              <w:right w:w="100" w:type="dxa"/>
            </w:tcMar>
            <w:vAlign w:val="center"/>
          </w:tcPr>
          <w:p w14:paraId="7AE42680" w14:textId="77777777" w:rsidR="003F1E6F" w:rsidRPr="00B3044F" w:rsidRDefault="004E08BE" w:rsidP="00017C10">
            <w:pPr>
              <w:spacing w:line="288" w:lineRule="auto"/>
              <w:rPr>
                <w:sz w:val="21"/>
                <w:szCs w:val="21"/>
              </w:rPr>
            </w:pPr>
            <w:r w:rsidRPr="00B3044F">
              <w:rPr>
                <w:rFonts w:eastAsia="Arial"/>
                <w:sz w:val="21"/>
                <w:szCs w:val="21"/>
              </w:rPr>
              <w:t>Situação registral do imóvel (condomínio pro indiviso)</w:t>
            </w:r>
          </w:p>
        </w:tc>
        <w:tc>
          <w:tcPr>
            <w:tcW w:w="3200" w:type="dxa"/>
            <w:tcMar>
              <w:top w:w="60" w:type="dxa"/>
              <w:left w:w="100" w:type="dxa"/>
              <w:bottom w:w="60" w:type="dxa"/>
              <w:right w:w="100" w:type="dxa"/>
            </w:tcMar>
            <w:vAlign w:val="center"/>
          </w:tcPr>
          <w:p w14:paraId="1DA60552" w14:textId="77777777" w:rsidR="003F1E6F" w:rsidRPr="00B3044F" w:rsidRDefault="004E08BE" w:rsidP="00017C10">
            <w:pPr>
              <w:spacing w:line="288" w:lineRule="auto"/>
              <w:rPr>
                <w:sz w:val="21"/>
                <w:szCs w:val="21"/>
              </w:rPr>
            </w:pPr>
            <w:r w:rsidRPr="00B3044F">
              <w:rPr>
                <w:rFonts w:eastAsia="Arial"/>
                <w:sz w:val="21"/>
                <w:szCs w:val="21"/>
              </w:rPr>
              <w:t>Impossibilidade de registro do direito real de uso sobre fração ideal sem anuência do condômino</w:t>
            </w:r>
          </w:p>
        </w:tc>
        <w:tc>
          <w:tcPr>
            <w:tcW w:w="4403" w:type="dxa"/>
            <w:tcMar>
              <w:top w:w="60" w:type="dxa"/>
              <w:left w:w="100" w:type="dxa"/>
              <w:bottom w:w="60" w:type="dxa"/>
              <w:right w:w="100" w:type="dxa"/>
            </w:tcMar>
            <w:vAlign w:val="center"/>
          </w:tcPr>
          <w:p w14:paraId="0526E858" w14:textId="247EAF13" w:rsidR="003F1E6F" w:rsidRPr="00B3044F" w:rsidRDefault="004E08BE" w:rsidP="00017C10">
            <w:pPr>
              <w:spacing w:line="288" w:lineRule="auto"/>
              <w:rPr>
                <w:sz w:val="21"/>
                <w:szCs w:val="21"/>
              </w:rPr>
            </w:pPr>
            <w:r w:rsidRPr="00B3044F">
              <w:rPr>
                <w:rFonts w:eastAsia="Arial"/>
                <w:sz w:val="21"/>
                <w:szCs w:val="21"/>
              </w:rPr>
              <w:t xml:space="preserve">Certificação da situação registral e obtenção de anuência formal antes da assinatura do contrato (item 12, </w:t>
            </w:r>
            <w:proofErr w:type="spellStart"/>
            <w:r w:rsidRPr="00B3044F">
              <w:rPr>
                <w:rFonts w:eastAsia="Arial"/>
                <w:sz w:val="21"/>
                <w:szCs w:val="21"/>
              </w:rPr>
              <w:t>ii</w:t>
            </w:r>
            <w:proofErr w:type="spellEnd"/>
            <w:r w:rsidRPr="00B3044F">
              <w:rPr>
                <w:rFonts w:eastAsia="Arial"/>
                <w:sz w:val="21"/>
                <w:szCs w:val="21"/>
              </w:rPr>
              <w:t>)</w:t>
            </w:r>
          </w:p>
        </w:tc>
      </w:tr>
      <w:tr w:rsidR="003F1E6F" w:rsidRPr="00B3044F" w14:paraId="02FDCD7A" w14:textId="77777777" w:rsidTr="005E5033">
        <w:tc>
          <w:tcPr>
            <w:tcW w:w="2600" w:type="dxa"/>
            <w:tcMar>
              <w:top w:w="60" w:type="dxa"/>
              <w:left w:w="100" w:type="dxa"/>
              <w:bottom w:w="60" w:type="dxa"/>
              <w:right w:w="100" w:type="dxa"/>
            </w:tcMar>
            <w:vAlign w:val="center"/>
          </w:tcPr>
          <w:p w14:paraId="2808A638" w14:textId="77777777" w:rsidR="003F1E6F" w:rsidRPr="00B3044F" w:rsidRDefault="004E08BE" w:rsidP="00017C10">
            <w:pPr>
              <w:spacing w:line="288" w:lineRule="auto"/>
              <w:rPr>
                <w:sz w:val="21"/>
                <w:szCs w:val="21"/>
              </w:rPr>
            </w:pPr>
            <w:r w:rsidRPr="00B3044F">
              <w:rPr>
                <w:rFonts w:eastAsia="Arial"/>
                <w:sz w:val="21"/>
                <w:szCs w:val="21"/>
              </w:rPr>
              <w:t>Inadimplemento das contrapartidas de desenvolvimento pela concessionária</w:t>
            </w:r>
          </w:p>
        </w:tc>
        <w:tc>
          <w:tcPr>
            <w:tcW w:w="3200" w:type="dxa"/>
            <w:tcMar>
              <w:top w:w="60" w:type="dxa"/>
              <w:left w:w="100" w:type="dxa"/>
              <w:bottom w:w="60" w:type="dxa"/>
              <w:right w:w="100" w:type="dxa"/>
            </w:tcMar>
            <w:vAlign w:val="center"/>
          </w:tcPr>
          <w:p w14:paraId="6EDD697D" w14:textId="77777777" w:rsidR="003F1E6F" w:rsidRPr="00B3044F" w:rsidRDefault="004E08BE" w:rsidP="00017C10">
            <w:pPr>
              <w:spacing w:line="288" w:lineRule="auto"/>
              <w:rPr>
                <w:sz w:val="21"/>
                <w:szCs w:val="21"/>
              </w:rPr>
            </w:pPr>
            <w:r w:rsidRPr="00B3044F">
              <w:rPr>
                <w:rFonts w:eastAsia="Arial"/>
                <w:sz w:val="21"/>
                <w:szCs w:val="21"/>
              </w:rPr>
              <w:t>Não geração/manutenção do número mínimo de empregos, não realização do investimento declarado ou atraso na implantação</w:t>
            </w:r>
          </w:p>
        </w:tc>
        <w:tc>
          <w:tcPr>
            <w:tcW w:w="4403" w:type="dxa"/>
            <w:tcMar>
              <w:top w:w="60" w:type="dxa"/>
              <w:left w:w="100" w:type="dxa"/>
              <w:bottom w:w="60" w:type="dxa"/>
              <w:right w:w="100" w:type="dxa"/>
            </w:tcMar>
            <w:vAlign w:val="center"/>
          </w:tcPr>
          <w:p w14:paraId="3F24D4A0" w14:textId="77777777" w:rsidR="003F1E6F" w:rsidRPr="00B3044F" w:rsidRDefault="004E08BE" w:rsidP="00017C10">
            <w:pPr>
              <w:spacing w:line="288" w:lineRule="auto"/>
              <w:rPr>
                <w:sz w:val="21"/>
                <w:szCs w:val="21"/>
              </w:rPr>
            </w:pPr>
            <w:r w:rsidRPr="00B3044F">
              <w:rPr>
                <w:rFonts w:eastAsia="Arial"/>
                <w:sz w:val="21"/>
                <w:szCs w:val="21"/>
              </w:rPr>
              <w:t>Fiscalização semestral, notificação para regularização e, se insanável, resolução com reversão do imóvel (</w:t>
            </w:r>
            <w:proofErr w:type="spellStart"/>
            <w:r w:rsidRPr="00B3044F">
              <w:rPr>
                <w:rFonts w:eastAsia="Arial"/>
                <w:sz w:val="21"/>
                <w:szCs w:val="21"/>
              </w:rPr>
              <w:t>arts</w:t>
            </w:r>
            <w:proofErr w:type="spellEnd"/>
            <w:r w:rsidRPr="00B3044F">
              <w:rPr>
                <w:rFonts w:eastAsia="Arial"/>
                <w:sz w:val="21"/>
                <w:szCs w:val="21"/>
              </w:rPr>
              <w:t xml:space="preserve">. 19, 20 e 27 a 30 da Lei; </w:t>
            </w:r>
            <w:proofErr w:type="spellStart"/>
            <w:r w:rsidRPr="00B3044F">
              <w:rPr>
                <w:rFonts w:eastAsia="Arial"/>
                <w:sz w:val="21"/>
                <w:szCs w:val="21"/>
              </w:rPr>
              <w:t>arts</w:t>
            </w:r>
            <w:proofErr w:type="spellEnd"/>
            <w:r w:rsidRPr="00B3044F">
              <w:rPr>
                <w:rFonts w:eastAsia="Arial"/>
                <w:sz w:val="21"/>
                <w:szCs w:val="21"/>
              </w:rPr>
              <w:t>. 17 a 19 do Decreto)</w:t>
            </w:r>
          </w:p>
        </w:tc>
      </w:tr>
      <w:tr w:rsidR="003F1E6F" w:rsidRPr="00B3044F" w14:paraId="3952B0FD" w14:textId="77777777" w:rsidTr="005E5033">
        <w:tc>
          <w:tcPr>
            <w:tcW w:w="2600" w:type="dxa"/>
            <w:tcMar>
              <w:top w:w="60" w:type="dxa"/>
              <w:left w:w="100" w:type="dxa"/>
              <w:bottom w:w="60" w:type="dxa"/>
              <w:right w:w="100" w:type="dxa"/>
            </w:tcMar>
            <w:vAlign w:val="center"/>
          </w:tcPr>
          <w:p w14:paraId="5DC08282" w14:textId="77777777" w:rsidR="003F1E6F" w:rsidRPr="00B3044F" w:rsidRDefault="004E08BE" w:rsidP="00017C10">
            <w:pPr>
              <w:spacing w:line="288" w:lineRule="auto"/>
              <w:rPr>
                <w:sz w:val="21"/>
                <w:szCs w:val="21"/>
              </w:rPr>
            </w:pPr>
            <w:r w:rsidRPr="00B3044F">
              <w:rPr>
                <w:rFonts w:eastAsia="Arial"/>
                <w:sz w:val="21"/>
                <w:szCs w:val="21"/>
              </w:rPr>
              <w:t>Descontinuidade ou encerramento das atividades</w:t>
            </w:r>
          </w:p>
        </w:tc>
        <w:tc>
          <w:tcPr>
            <w:tcW w:w="3200" w:type="dxa"/>
            <w:tcMar>
              <w:top w:w="60" w:type="dxa"/>
              <w:left w:w="100" w:type="dxa"/>
              <w:bottom w:w="60" w:type="dxa"/>
              <w:right w:w="100" w:type="dxa"/>
            </w:tcMar>
            <w:vAlign w:val="center"/>
          </w:tcPr>
          <w:p w14:paraId="3D5B901E" w14:textId="77777777" w:rsidR="003F1E6F" w:rsidRPr="00B3044F" w:rsidRDefault="004E08BE" w:rsidP="00017C10">
            <w:pPr>
              <w:spacing w:line="288" w:lineRule="auto"/>
              <w:rPr>
                <w:sz w:val="21"/>
                <w:szCs w:val="21"/>
              </w:rPr>
            </w:pPr>
            <w:r w:rsidRPr="00B3044F">
              <w:rPr>
                <w:rFonts w:eastAsia="Arial"/>
                <w:sz w:val="21"/>
                <w:szCs w:val="21"/>
              </w:rPr>
              <w:t>Suspensão das atividades por mais de 90 dias ou extinção da empresa</w:t>
            </w:r>
          </w:p>
        </w:tc>
        <w:tc>
          <w:tcPr>
            <w:tcW w:w="4403" w:type="dxa"/>
            <w:tcMar>
              <w:top w:w="60" w:type="dxa"/>
              <w:left w:w="100" w:type="dxa"/>
              <w:bottom w:w="60" w:type="dxa"/>
              <w:right w:w="100" w:type="dxa"/>
            </w:tcMar>
            <w:vAlign w:val="center"/>
          </w:tcPr>
          <w:p w14:paraId="7CB4A609" w14:textId="77777777" w:rsidR="003F1E6F" w:rsidRPr="00B3044F" w:rsidRDefault="004E08BE" w:rsidP="00017C10">
            <w:pPr>
              <w:spacing w:line="288" w:lineRule="auto"/>
              <w:rPr>
                <w:sz w:val="21"/>
                <w:szCs w:val="21"/>
              </w:rPr>
            </w:pPr>
            <w:r w:rsidRPr="00B3044F">
              <w:rPr>
                <w:rFonts w:eastAsia="Arial"/>
                <w:sz w:val="21"/>
                <w:szCs w:val="21"/>
              </w:rPr>
              <w:t>Cláusula resolutória com reversão do imóvel e perda das benfeitorias, sem indenização (</w:t>
            </w:r>
            <w:proofErr w:type="spellStart"/>
            <w:r w:rsidRPr="00B3044F">
              <w:rPr>
                <w:rFonts w:eastAsia="Arial"/>
                <w:sz w:val="21"/>
                <w:szCs w:val="21"/>
              </w:rPr>
              <w:t>arts</w:t>
            </w:r>
            <w:proofErr w:type="spellEnd"/>
            <w:r w:rsidRPr="00B3044F">
              <w:rPr>
                <w:rFonts w:eastAsia="Arial"/>
                <w:sz w:val="21"/>
                <w:szCs w:val="21"/>
              </w:rPr>
              <w:t>. 27, V, e 28 e 29 da Lei)</w:t>
            </w:r>
          </w:p>
        </w:tc>
      </w:tr>
      <w:tr w:rsidR="003F1E6F" w:rsidRPr="00B3044F" w14:paraId="02342FC1" w14:textId="77777777" w:rsidTr="005E5033">
        <w:tc>
          <w:tcPr>
            <w:tcW w:w="2600" w:type="dxa"/>
            <w:tcMar>
              <w:top w:w="60" w:type="dxa"/>
              <w:left w:w="100" w:type="dxa"/>
              <w:bottom w:w="60" w:type="dxa"/>
              <w:right w:w="100" w:type="dxa"/>
            </w:tcMar>
            <w:vAlign w:val="center"/>
          </w:tcPr>
          <w:p w14:paraId="345CAE5B" w14:textId="77777777" w:rsidR="003F1E6F" w:rsidRPr="00B3044F" w:rsidRDefault="004E08BE" w:rsidP="00017C10">
            <w:pPr>
              <w:spacing w:line="288" w:lineRule="auto"/>
              <w:rPr>
                <w:sz w:val="21"/>
                <w:szCs w:val="21"/>
              </w:rPr>
            </w:pPr>
            <w:r w:rsidRPr="00B3044F">
              <w:rPr>
                <w:rFonts w:eastAsia="Arial"/>
                <w:sz w:val="21"/>
                <w:szCs w:val="21"/>
              </w:rPr>
              <w:t>Inadequação ambiental do empreendimento instalado</w:t>
            </w:r>
          </w:p>
        </w:tc>
        <w:tc>
          <w:tcPr>
            <w:tcW w:w="3200" w:type="dxa"/>
            <w:tcMar>
              <w:top w:w="60" w:type="dxa"/>
              <w:left w:w="100" w:type="dxa"/>
              <w:bottom w:w="60" w:type="dxa"/>
              <w:right w:w="100" w:type="dxa"/>
            </w:tcMar>
            <w:vAlign w:val="center"/>
          </w:tcPr>
          <w:p w14:paraId="6299A7BB" w14:textId="77777777" w:rsidR="003F1E6F" w:rsidRPr="00B3044F" w:rsidRDefault="004E08BE" w:rsidP="00017C10">
            <w:pPr>
              <w:spacing w:line="288" w:lineRule="auto"/>
              <w:rPr>
                <w:sz w:val="21"/>
                <w:szCs w:val="21"/>
              </w:rPr>
            </w:pPr>
            <w:r w:rsidRPr="00B3044F">
              <w:rPr>
                <w:rFonts w:eastAsia="Arial"/>
                <w:sz w:val="21"/>
                <w:szCs w:val="21"/>
              </w:rPr>
              <w:t>Atividade de médio/alto potencial poluidor sem licenciamento compatível</w:t>
            </w:r>
          </w:p>
        </w:tc>
        <w:tc>
          <w:tcPr>
            <w:tcW w:w="4403" w:type="dxa"/>
            <w:tcMar>
              <w:top w:w="60" w:type="dxa"/>
              <w:left w:w="100" w:type="dxa"/>
              <w:bottom w:w="60" w:type="dxa"/>
              <w:right w:w="100" w:type="dxa"/>
            </w:tcMar>
            <w:vAlign w:val="center"/>
          </w:tcPr>
          <w:p w14:paraId="3BC4A67F" w14:textId="77777777" w:rsidR="003F1E6F" w:rsidRPr="00B3044F" w:rsidRDefault="004E08BE" w:rsidP="00017C10">
            <w:pPr>
              <w:spacing w:line="288" w:lineRule="auto"/>
              <w:rPr>
                <w:sz w:val="21"/>
                <w:szCs w:val="21"/>
              </w:rPr>
            </w:pPr>
            <w:r w:rsidRPr="00B3044F">
              <w:rPr>
                <w:rFonts w:eastAsia="Arial"/>
                <w:sz w:val="21"/>
                <w:szCs w:val="21"/>
              </w:rPr>
              <w:t>Exigência de licença ou declaração de viabilidade na habilitação; vedação de início de atividade sem licença definitiva (art. 5º da Lei)</w:t>
            </w:r>
          </w:p>
        </w:tc>
      </w:tr>
    </w:tbl>
    <w:p w14:paraId="2718BBE2" w14:textId="77777777" w:rsidR="003F1E6F" w:rsidRPr="00B3044F" w:rsidRDefault="003F1E6F" w:rsidP="00017C10">
      <w:pPr>
        <w:spacing w:line="276" w:lineRule="auto"/>
        <w:rPr>
          <w:sz w:val="21"/>
          <w:szCs w:val="21"/>
        </w:rPr>
      </w:pPr>
    </w:p>
    <w:p w14:paraId="7AEC8C7D" w14:textId="6EAB0F7D" w:rsidR="003F1E6F" w:rsidRPr="005E5033" w:rsidRDefault="004E08BE" w:rsidP="00017C10">
      <w:pPr>
        <w:spacing w:line="276" w:lineRule="auto"/>
        <w:jc w:val="both"/>
        <w:rPr>
          <w:sz w:val="21"/>
          <w:szCs w:val="21"/>
          <w:u w:val="single"/>
        </w:rPr>
      </w:pPr>
      <w:r w:rsidRPr="005E5033">
        <w:rPr>
          <w:rFonts w:eastAsia="Arial"/>
          <w:b/>
          <w:bCs/>
          <w:sz w:val="21"/>
          <w:szCs w:val="21"/>
          <w:u w:val="single"/>
        </w:rPr>
        <w:t>16. ADEQUAÇÃO ORÇAMENTÁRIO-FINANCEIRA</w:t>
      </w:r>
      <w:r w:rsidR="005E5033">
        <w:rPr>
          <w:rFonts w:eastAsia="Arial"/>
          <w:b/>
          <w:bCs/>
          <w:sz w:val="21"/>
          <w:szCs w:val="21"/>
          <w:u w:val="single"/>
        </w:rPr>
        <w:t>:</w:t>
      </w:r>
    </w:p>
    <w:p w14:paraId="5D4960FF" w14:textId="1752BDA3" w:rsidR="004E08BE" w:rsidRPr="00B3044F" w:rsidRDefault="005E5033" w:rsidP="00017C10">
      <w:pPr>
        <w:spacing w:line="276" w:lineRule="auto"/>
        <w:jc w:val="both"/>
        <w:rPr>
          <w:rFonts w:eastAsia="Arial"/>
          <w:sz w:val="21"/>
          <w:szCs w:val="21"/>
        </w:rPr>
      </w:pPr>
      <w:r>
        <w:rPr>
          <w:rFonts w:eastAsia="Arial"/>
          <w:sz w:val="21"/>
          <w:szCs w:val="21"/>
        </w:rPr>
        <w:t xml:space="preserve">16.1. </w:t>
      </w:r>
      <w:r w:rsidR="004E08BE" w:rsidRPr="00B3044F">
        <w:rPr>
          <w:rFonts w:eastAsia="Arial"/>
          <w:sz w:val="21"/>
          <w:szCs w:val="21"/>
        </w:rPr>
        <w:t xml:space="preserve">A concessão de direito real de uso a título gratuito não implica dispêndio de recursos públicos nem constitui renúncia de receita na acepção do art. 14 da Lei Complementar nº 101/2000, que pressupõe desoneração de tributo, contribuição ou obrigação de natureza tributária, hipótese distinta da gestão patrimonial ora tratada, na qual não há receita patrimonial atualmente auferida pelo Município sobre imóvel ocioso. </w:t>
      </w:r>
    </w:p>
    <w:p w14:paraId="1FF1F72B" w14:textId="288C2171" w:rsidR="004E08BE" w:rsidRPr="00B3044F" w:rsidRDefault="005E5033" w:rsidP="00017C10">
      <w:pPr>
        <w:spacing w:line="276" w:lineRule="auto"/>
        <w:jc w:val="both"/>
        <w:rPr>
          <w:rFonts w:eastAsia="Arial"/>
          <w:sz w:val="21"/>
          <w:szCs w:val="21"/>
        </w:rPr>
      </w:pPr>
      <w:r>
        <w:rPr>
          <w:rFonts w:eastAsia="Arial"/>
          <w:sz w:val="21"/>
          <w:szCs w:val="21"/>
        </w:rPr>
        <w:t xml:space="preserve">16.2. </w:t>
      </w:r>
      <w:r w:rsidR="004E08BE" w:rsidRPr="00B3044F">
        <w:rPr>
          <w:rFonts w:eastAsia="Arial"/>
          <w:sz w:val="21"/>
          <w:szCs w:val="21"/>
        </w:rPr>
        <w:t xml:space="preserve">Ainda assim, recomenda-se que a baixa do bem do controle patrimonial ativo do Município e a formalização da concessão sejam registradas nos termos dos </w:t>
      </w:r>
      <w:proofErr w:type="spellStart"/>
      <w:r w:rsidR="004E08BE" w:rsidRPr="00B3044F">
        <w:rPr>
          <w:rFonts w:eastAsia="Arial"/>
          <w:sz w:val="21"/>
          <w:szCs w:val="21"/>
        </w:rPr>
        <w:t>arts</w:t>
      </w:r>
      <w:proofErr w:type="spellEnd"/>
      <w:r w:rsidR="004E08BE" w:rsidRPr="00B3044F">
        <w:rPr>
          <w:rFonts w:eastAsia="Arial"/>
          <w:sz w:val="21"/>
          <w:szCs w:val="21"/>
        </w:rPr>
        <w:t xml:space="preserve">. 94 a 96 da Lei nº 4.320/1964, de modo a assegurar a correta escrituração contábil do ativo e a rastreabilidade, pelos órgãos de controle, da destinação dada ao imóvel público. </w:t>
      </w:r>
    </w:p>
    <w:p w14:paraId="5FD6A1E0" w14:textId="5F9EE814" w:rsidR="003F1E6F" w:rsidRPr="00B3044F" w:rsidRDefault="005E5033" w:rsidP="00017C10">
      <w:pPr>
        <w:spacing w:line="276" w:lineRule="auto"/>
        <w:jc w:val="both"/>
        <w:rPr>
          <w:rFonts w:eastAsia="Arial"/>
          <w:sz w:val="21"/>
          <w:szCs w:val="21"/>
        </w:rPr>
      </w:pPr>
      <w:r>
        <w:rPr>
          <w:rFonts w:eastAsia="Arial"/>
          <w:sz w:val="21"/>
          <w:szCs w:val="21"/>
        </w:rPr>
        <w:t xml:space="preserve">16.3. </w:t>
      </w:r>
      <w:r w:rsidR="004E08BE" w:rsidRPr="00B3044F">
        <w:rPr>
          <w:rFonts w:eastAsia="Arial"/>
          <w:sz w:val="21"/>
          <w:szCs w:val="21"/>
        </w:rPr>
        <w:t>Não havendo despesa orçamentária associada à presente contratação, é dispensável a indicação de dotação orçamentária específica, nos termos do art. 18, § 1º, VII, da Lei Federal nº 14.133/2021, de aplicação subsidiária.</w:t>
      </w:r>
    </w:p>
    <w:p w14:paraId="4E485DAB" w14:textId="77777777" w:rsidR="004E08BE" w:rsidRPr="00B3044F" w:rsidRDefault="004E08BE" w:rsidP="00017C10">
      <w:pPr>
        <w:spacing w:line="276" w:lineRule="auto"/>
        <w:ind w:firstLine="1134"/>
        <w:jc w:val="both"/>
        <w:rPr>
          <w:sz w:val="21"/>
          <w:szCs w:val="21"/>
        </w:rPr>
      </w:pPr>
    </w:p>
    <w:p w14:paraId="480D01FD" w14:textId="6E3A4119" w:rsidR="003F1E6F" w:rsidRPr="005E5033" w:rsidRDefault="004E08BE" w:rsidP="00017C10">
      <w:pPr>
        <w:spacing w:line="276" w:lineRule="auto"/>
        <w:jc w:val="both"/>
        <w:rPr>
          <w:sz w:val="21"/>
          <w:szCs w:val="21"/>
          <w:u w:val="single"/>
        </w:rPr>
      </w:pPr>
      <w:r w:rsidRPr="005E5033">
        <w:rPr>
          <w:rFonts w:eastAsia="Arial"/>
          <w:b/>
          <w:bCs/>
          <w:sz w:val="21"/>
          <w:szCs w:val="21"/>
          <w:u w:val="single"/>
        </w:rPr>
        <w:t>17. POSICIONAMENTO CONCLUSIVO</w:t>
      </w:r>
      <w:r w:rsidR="005E5033">
        <w:rPr>
          <w:rFonts w:eastAsia="Arial"/>
          <w:b/>
          <w:bCs/>
          <w:sz w:val="21"/>
          <w:szCs w:val="21"/>
          <w:u w:val="single"/>
        </w:rPr>
        <w:t>:</w:t>
      </w:r>
    </w:p>
    <w:p w14:paraId="36122B2A" w14:textId="33AD6D14" w:rsidR="003F1E6F" w:rsidRPr="00B3044F" w:rsidRDefault="005E5033" w:rsidP="00017C10">
      <w:pPr>
        <w:spacing w:line="276" w:lineRule="auto"/>
        <w:jc w:val="both"/>
        <w:rPr>
          <w:sz w:val="21"/>
          <w:szCs w:val="21"/>
        </w:rPr>
      </w:pPr>
      <w:r>
        <w:rPr>
          <w:rFonts w:eastAsia="Arial"/>
          <w:sz w:val="21"/>
          <w:szCs w:val="21"/>
        </w:rPr>
        <w:t xml:space="preserve">17.1. </w:t>
      </w:r>
      <w:r w:rsidR="004E08BE" w:rsidRPr="00B3044F">
        <w:rPr>
          <w:rFonts w:eastAsia="Arial"/>
          <w:sz w:val="21"/>
          <w:szCs w:val="21"/>
        </w:rPr>
        <w:t>Diante do exposto, conclui-se pela viabilidade técnica e pelo interesse público da concessão de direito real de uso do imóvel do Distrito Industrial IV (“Curva do S”), a título gratuito e com possibilidade de aquisição futura, por constituir a solução mais adequada, dentre as disciplinadas pela Lei Municipal nº 3.199/2025, para viabilizar a ocupação produtiva de ativo público ocioso, mediante contrapartidas de desenvolvimento objetivas, mensuráveis e contratualmente exigíveis, capazes de justificar, nos termos do art. 24, § 1º, da Lei e do art. 12 do Decreto Municipal nº 75/2026, a gratuidade do uso.</w:t>
      </w:r>
    </w:p>
    <w:p w14:paraId="10DC22A5" w14:textId="77777777" w:rsidR="00017C10" w:rsidRDefault="005E5033" w:rsidP="00017C10">
      <w:pPr>
        <w:spacing w:line="276" w:lineRule="auto"/>
        <w:jc w:val="both"/>
        <w:rPr>
          <w:rFonts w:eastAsia="Arial"/>
          <w:sz w:val="21"/>
          <w:szCs w:val="21"/>
        </w:rPr>
      </w:pPr>
      <w:r>
        <w:rPr>
          <w:rFonts w:eastAsia="Arial"/>
          <w:sz w:val="21"/>
          <w:szCs w:val="21"/>
        </w:rPr>
        <w:t xml:space="preserve">17.2. </w:t>
      </w:r>
      <w:r w:rsidR="004E08BE" w:rsidRPr="00B3044F">
        <w:rPr>
          <w:rFonts w:eastAsia="Arial"/>
          <w:sz w:val="21"/>
          <w:szCs w:val="21"/>
        </w:rPr>
        <w:t xml:space="preserve">A viabilidade ora reconhecida está condicionada, contudo, ao integral cumprimento das providências de saneamento indicadas no item 12 deste Estudo, com destaque para a certificação do quórum de aprovação da Lei Municipal nº 3.199/2025 (item 8) e para o enfrentamento expresso, em parecer jurídico prévio, da compatibilidade da gratuidade com o art. 9º, § 1º, da Lei Orgânica do Município (item 8), sem as quais a publicação do edital não deve ser autorizada. </w:t>
      </w:r>
    </w:p>
    <w:p w14:paraId="2801CC75" w14:textId="77777777" w:rsidR="00017C10" w:rsidRDefault="00017C10" w:rsidP="00017C10">
      <w:pPr>
        <w:spacing w:line="276" w:lineRule="auto"/>
        <w:jc w:val="both"/>
        <w:rPr>
          <w:rFonts w:eastAsia="Arial"/>
          <w:sz w:val="21"/>
          <w:szCs w:val="21"/>
        </w:rPr>
      </w:pPr>
    </w:p>
    <w:p w14:paraId="0DB4DAEB" w14:textId="77777777" w:rsidR="00017C10" w:rsidRDefault="00017C10" w:rsidP="00017C10">
      <w:pPr>
        <w:spacing w:line="276" w:lineRule="auto"/>
        <w:jc w:val="both"/>
        <w:rPr>
          <w:rFonts w:eastAsia="Arial"/>
          <w:sz w:val="21"/>
          <w:szCs w:val="21"/>
        </w:rPr>
      </w:pPr>
    </w:p>
    <w:p w14:paraId="720EC571" w14:textId="195D83CE" w:rsidR="003F1E6F" w:rsidRPr="00017C10" w:rsidRDefault="00017C10" w:rsidP="00017C10">
      <w:pPr>
        <w:spacing w:line="276" w:lineRule="auto"/>
        <w:jc w:val="both"/>
        <w:rPr>
          <w:rFonts w:eastAsia="Arial"/>
          <w:sz w:val="21"/>
          <w:szCs w:val="21"/>
        </w:rPr>
      </w:pPr>
      <w:r>
        <w:rPr>
          <w:rFonts w:eastAsia="Arial"/>
          <w:sz w:val="21"/>
          <w:szCs w:val="21"/>
        </w:rPr>
        <w:t xml:space="preserve">17.3. </w:t>
      </w:r>
      <w:r w:rsidR="004E08BE" w:rsidRPr="00B3044F">
        <w:rPr>
          <w:rFonts w:eastAsia="Arial"/>
          <w:sz w:val="21"/>
          <w:szCs w:val="21"/>
        </w:rPr>
        <w:t xml:space="preserve">Este </w:t>
      </w:r>
      <w:r>
        <w:rPr>
          <w:rFonts w:eastAsia="Arial"/>
          <w:sz w:val="21"/>
          <w:szCs w:val="21"/>
        </w:rPr>
        <w:t>E</w:t>
      </w:r>
      <w:r w:rsidR="004E08BE" w:rsidRPr="00B3044F">
        <w:rPr>
          <w:rFonts w:eastAsia="Arial"/>
          <w:sz w:val="21"/>
          <w:szCs w:val="21"/>
        </w:rPr>
        <w:t>studo Técnico Preliminar não substitui, e antes pressupõe, a manifestação jurídica de controle prévio de legalidade prevista no art. 53 da Lei Federal nº 14.133/2021, restringindo-se aos aspectos técnico-administrativos de que trata o art. 18 da mesma Lei, de aplicação subsidiária, e ao conteúdo especificamente exigido pelo art. 12 do Decreto Municipal nº 75/2026.</w:t>
      </w:r>
    </w:p>
    <w:p w14:paraId="3BB9826D" w14:textId="77777777" w:rsidR="003F1E6F" w:rsidRPr="00B3044F" w:rsidRDefault="003F1E6F" w:rsidP="00017C10">
      <w:pPr>
        <w:spacing w:line="276" w:lineRule="auto"/>
        <w:rPr>
          <w:sz w:val="21"/>
          <w:szCs w:val="21"/>
        </w:rPr>
      </w:pPr>
    </w:p>
    <w:p w14:paraId="3E04799A" w14:textId="72658C85" w:rsidR="005E5033" w:rsidRDefault="005E5033" w:rsidP="00017C10">
      <w:pPr>
        <w:spacing w:line="276" w:lineRule="auto"/>
        <w:jc w:val="center"/>
        <w:rPr>
          <w:rFonts w:eastAsia="Arial"/>
          <w:b/>
          <w:bCs/>
          <w:sz w:val="21"/>
          <w:szCs w:val="21"/>
        </w:rPr>
      </w:pPr>
    </w:p>
    <w:p w14:paraId="1884D66D" w14:textId="77777777" w:rsidR="00D067A6" w:rsidRDefault="00D067A6" w:rsidP="00017C10">
      <w:pPr>
        <w:spacing w:line="276" w:lineRule="auto"/>
        <w:jc w:val="center"/>
        <w:rPr>
          <w:rFonts w:eastAsia="Arial"/>
          <w:b/>
          <w:bCs/>
          <w:sz w:val="21"/>
          <w:szCs w:val="21"/>
        </w:rPr>
      </w:pPr>
    </w:p>
    <w:p w14:paraId="21A33BBE" w14:textId="4E340DDB" w:rsidR="003F1E6F" w:rsidRPr="005E5033" w:rsidRDefault="004E08BE" w:rsidP="00017C10">
      <w:pPr>
        <w:spacing w:line="276" w:lineRule="auto"/>
        <w:jc w:val="center"/>
        <w:rPr>
          <w:b/>
          <w:bCs/>
          <w:sz w:val="21"/>
          <w:szCs w:val="21"/>
        </w:rPr>
      </w:pPr>
      <w:r w:rsidRPr="005E5033">
        <w:rPr>
          <w:rFonts w:eastAsia="Arial"/>
          <w:b/>
          <w:bCs/>
          <w:sz w:val="21"/>
          <w:szCs w:val="21"/>
        </w:rPr>
        <w:t xml:space="preserve">Palmitinho/RS, </w:t>
      </w:r>
      <w:r w:rsidR="005E5033" w:rsidRPr="005E5033">
        <w:rPr>
          <w:rFonts w:eastAsia="Arial"/>
          <w:b/>
          <w:bCs/>
          <w:sz w:val="21"/>
          <w:szCs w:val="21"/>
        </w:rPr>
        <w:t>23</w:t>
      </w:r>
      <w:r w:rsidRPr="005E5033">
        <w:rPr>
          <w:rFonts w:eastAsia="Arial"/>
          <w:b/>
          <w:bCs/>
          <w:sz w:val="21"/>
          <w:szCs w:val="21"/>
        </w:rPr>
        <w:t xml:space="preserve"> de </w:t>
      </w:r>
      <w:r w:rsidR="005E5033" w:rsidRPr="005E5033">
        <w:rPr>
          <w:rFonts w:eastAsia="Arial"/>
          <w:b/>
          <w:bCs/>
          <w:sz w:val="21"/>
          <w:szCs w:val="21"/>
        </w:rPr>
        <w:t xml:space="preserve">setembro </w:t>
      </w:r>
      <w:r w:rsidRPr="005E5033">
        <w:rPr>
          <w:rFonts w:eastAsia="Arial"/>
          <w:b/>
          <w:bCs/>
          <w:sz w:val="21"/>
          <w:szCs w:val="21"/>
        </w:rPr>
        <w:t>de 2026</w:t>
      </w:r>
    </w:p>
    <w:p w14:paraId="0E379AC1" w14:textId="77777777" w:rsidR="003F1E6F" w:rsidRDefault="003F1E6F" w:rsidP="00017C10">
      <w:pPr>
        <w:spacing w:line="276" w:lineRule="auto"/>
        <w:rPr>
          <w:sz w:val="21"/>
          <w:szCs w:val="21"/>
        </w:rPr>
      </w:pPr>
    </w:p>
    <w:p w14:paraId="1357BE05" w14:textId="77777777" w:rsidR="005E5033" w:rsidRPr="00B3044F" w:rsidRDefault="005E5033" w:rsidP="00017C10">
      <w:pPr>
        <w:spacing w:line="276" w:lineRule="auto"/>
        <w:rPr>
          <w:sz w:val="21"/>
          <w:szCs w:val="21"/>
        </w:rPr>
      </w:pPr>
    </w:p>
    <w:p w14:paraId="06389078" w14:textId="77777777" w:rsidR="003F1E6F" w:rsidRDefault="003F1E6F" w:rsidP="00017C10">
      <w:pPr>
        <w:spacing w:line="276" w:lineRule="auto"/>
        <w:rPr>
          <w:sz w:val="21"/>
          <w:szCs w:val="21"/>
        </w:rPr>
      </w:pPr>
    </w:p>
    <w:p w14:paraId="0E069CDB" w14:textId="77777777" w:rsidR="00017C10" w:rsidRPr="00B3044F" w:rsidRDefault="00017C10" w:rsidP="00017C10">
      <w:pPr>
        <w:spacing w:line="276" w:lineRule="auto"/>
        <w:rPr>
          <w:sz w:val="21"/>
          <w:szCs w:val="21"/>
        </w:rPr>
      </w:pPr>
    </w:p>
    <w:p w14:paraId="430B0178" w14:textId="653CD0CC" w:rsidR="003F1E6F" w:rsidRPr="005E5033" w:rsidRDefault="004E08BE" w:rsidP="00017C10">
      <w:pPr>
        <w:spacing w:line="276" w:lineRule="auto"/>
        <w:jc w:val="center"/>
        <w:rPr>
          <w:rFonts w:eastAsia="Arial"/>
          <w:b/>
          <w:bCs/>
          <w:sz w:val="21"/>
          <w:szCs w:val="21"/>
        </w:rPr>
      </w:pPr>
      <w:r w:rsidRPr="005E5033">
        <w:rPr>
          <w:rFonts w:eastAsia="Arial"/>
          <w:b/>
          <w:bCs/>
          <w:sz w:val="21"/>
          <w:szCs w:val="21"/>
        </w:rPr>
        <w:t>_____________________________________</w:t>
      </w:r>
      <w:r w:rsidR="005E5033">
        <w:rPr>
          <w:rFonts w:eastAsia="Arial"/>
          <w:b/>
          <w:bCs/>
          <w:sz w:val="21"/>
          <w:szCs w:val="21"/>
        </w:rPr>
        <w:t>___</w:t>
      </w:r>
      <w:r w:rsidRPr="005E5033">
        <w:rPr>
          <w:rFonts w:eastAsia="Arial"/>
          <w:b/>
          <w:bCs/>
          <w:sz w:val="21"/>
          <w:szCs w:val="21"/>
        </w:rPr>
        <w:t>_______</w:t>
      </w:r>
    </w:p>
    <w:p w14:paraId="2B852C0B" w14:textId="440FF6AF" w:rsidR="005E5033" w:rsidRPr="005E5033" w:rsidRDefault="005E5033" w:rsidP="00017C10">
      <w:pPr>
        <w:spacing w:line="276" w:lineRule="auto"/>
        <w:jc w:val="center"/>
        <w:rPr>
          <w:b/>
          <w:bCs/>
          <w:sz w:val="21"/>
          <w:szCs w:val="21"/>
        </w:rPr>
      </w:pPr>
      <w:r w:rsidRPr="005E5033">
        <w:rPr>
          <w:b/>
          <w:bCs/>
          <w:sz w:val="21"/>
          <w:szCs w:val="21"/>
        </w:rPr>
        <w:t>JAIRA MARIA DA MOTTA DETERS</w:t>
      </w:r>
    </w:p>
    <w:p w14:paraId="7021DADF" w14:textId="2121D8AB" w:rsidR="005E5033" w:rsidRPr="005E5033" w:rsidRDefault="004E08BE" w:rsidP="00017C10">
      <w:pPr>
        <w:spacing w:line="276" w:lineRule="auto"/>
        <w:jc w:val="center"/>
        <w:rPr>
          <w:rFonts w:eastAsia="Arial"/>
          <w:b/>
          <w:bCs/>
          <w:sz w:val="21"/>
          <w:szCs w:val="21"/>
        </w:rPr>
      </w:pPr>
      <w:r w:rsidRPr="005E5033">
        <w:rPr>
          <w:rFonts w:eastAsia="Arial"/>
          <w:b/>
          <w:bCs/>
          <w:sz w:val="21"/>
          <w:szCs w:val="21"/>
        </w:rPr>
        <w:t>S</w:t>
      </w:r>
      <w:r w:rsidR="005E5033" w:rsidRPr="005E5033">
        <w:rPr>
          <w:rFonts w:eastAsia="Arial"/>
          <w:b/>
          <w:bCs/>
          <w:sz w:val="21"/>
          <w:szCs w:val="21"/>
        </w:rPr>
        <w:t>ecretária Municipal da Indústria e Comércio</w:t>
      </w:r>
    </w:p>
    <w:p w14:paraId="18442313" w14:textId="282929C4" w:rsidR="003F1E6F" w:rsidRDefault="003F1E6F" w:rsidP="00017C10">
      <w:pPr>
        <w:spacing w:line="276" w:lineRule="auto"/>
        <w:jc w:val="center"/>
        <w:rPr>
          <w:b/>
          <w:bCs/>
          <w:sz w:val="21"/>
          <w:szCs w:val="21"/>
        </w:rPr>
      </w:pPr>
    </w:p>
    <w:p w14:paraId="060AE86D" w14:textId="77777777" w:rsidR="00017C10" w:rsidRDefault="00017C10" w:rsidP="00017C10">
      <w:pPr>
        <w:spacing w:line="276" w:lineRule="auto"/>
        <w:jc w:val="center"/>
        <w:rPr>
          <w:b/>
          <w:bCs/>
          <w:sz w:val="21"/>
          <w:szCs w:val="21"/>
        </w:rPr>
      </w:pPr>
    </w:p>
    <w:p w14:paraId="02053E77" w14:textId="77777777" w:rsidR="005E5033" w:rsidRDefault="005E5033" w:rsidP="00017C10">
      <w:pPr>
        <w:spacing w:line="276" w:lineRule="auto"/>
        <w:jc w:val="center"/>
        <w:rPr>
          <w:b/>
          <w:bCs/>
          <w:sz w:val="21"/>
          <w:szCs w:val="21"/>
        </w:rPr>
      </w:pPr>
    </w:p>
    <w:p w14:paraId="1F262CE2" w14:textId="77777777" w:rsidR="005E5033" w:rsidRDefault="005E5033" w:rsidP="00017C10">
      <w:pPr>
        <w:spacing w:line="276" w:lineRule="auto"/>
        <w:jc w:val="center"/>
        <w:rPr>
          <w:b/>
          <w:bCs/>
          <w:sz w:val="21"/>
          <w:szCs w:val="21"/>
        </w:rPr>
      </w:pPr>
    </w:p>
    <w:p w14:paraId="5D5E490C" w14:textId="0C54F6A5" w:rsidR="005E5033" w:rsidRDefault="005E5033" w:rsidP="00017C10">
      <w:pPr>
        <w:spacing w:line="276" w:lineRule="auto"/>
        <w:jc w:val="center"/>
        <w:rPr>
          <w:b/>
          <w:bCs/>
          <w:sz w:val="21"/>
          <w:szCs w:val="21"/>
        </w:rPr>
      </w:pPr>
      <w:r>
        <w:rPr>
          <w:b/>
          <w:bCs/>
          <w:sz w:val="21"/>
          <w:szCs w:val="21"/>
        </w:rPr>
        <w:t>__________________________________________________</w:t>
      </w:r>
    </w:p>
    <w:p w14:paraId="7F24E79E" w14:textId="569D0FC8" w:rsidR="005E5033" w:rsidRDefault="005E5033" w:rsidP="00017C10">
      <w:pPr>
        <w:spacing w:line="276" w:lineRule="auto"/>
        <w:jc w:val="center"/>
        <w:rPr>
          <w:b/>
          <w:bCs/>
          <w:sz w:val="21"/>
          <w:szCs w:val="21"/>
        </w:rPr>
      </w:pPr>
      <w:r>
        <w:rPr>
          <w:b/>
          <w:bCs/>
          <w:sz w:val="21"/>
          <w:szCs w:val="21"/>
        </w:rPr>
        <w:t>BENHRU DAILOR BARTH</w:t>
      </w:r>
    </w:p>
    <w:p w14:paraId="7ADC2F34" w14:textId="036CC2BE" w:rsidR="005E5033" w:rsidRPr="005E5033" w:rsidRDefault="005E5033" w:rsidP="00017C10">
      <w:pPr>
        <w:spacing w:line="276" w:lineRule="auto"/>
        <w:jc w:val="center"/>
        <w:rPr>
          <w:b/>
          <w:bCs/>
          <w:sz w:val="21"/>
          <w:szCs w:val="21"/>
        </w:rPr>
      </w:pPr>
      <w:r>
        <w:rPr>
          <w:b/>
          <w:bCs/>
          <w:sz w:val="21"/>
          <w:szCs w:val="21"/>
        </w:rPr>
        <w:t>Prefeito Municipal</w:t>
      </w:r>
    </w:p>
    <w:p w14:paraId="5714A0DC" w14:textId="77777777" w:rsidR="004E08BE" w:rsidRPr="00B3044F" w:rsidRDefault="004E08BE" w:rsidP="00017C10">
      <w:pPr>
        <w:spacing w:line="276" w:lineRule="auto"/>
        <w:jc w:val="center"/>
        <w:rPr>
          <w:sz w:val="21"/>
          <w:szCs w:val="21"/>
        </w:rPr>
      </w:pPr>
    </w:p>
    <w:sectPr w:rsidR="004E08BE" w:rsidRPr="00B3044F" w:rsidSect="00B3044F">
      <w:pgSz w:w="11906" w:h="16838"/>
      <w:pgMar w:top="1985" w:right="851" w:bottom="1701" w:left="851" w:header="0" w:footer="70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985A58"/>
    <w:multiLevelType w:val="hybridMultilevel"/>
    <w:tmpl w:val="6CD6DFB0"/>
    <w:lvl w:ilvl="0" w:tplc="F0FEDCA8">
      <w:start w:val="1"/>
      <w:numFmt w:val="bullet"/>
      <w:lvlText w:val="●"/>
      <w:lvlJc w:val="left"/>
      <w:pPr>
        <w:ind w:left="720" w:hanging="360"/>
      </w:pPr>
    </w:lvl>
    <w:lvl w:ilvl="1" w:tplc="A9D4A0B8">
      <w:start w:val="1"/>
      <w:numFmt w:val="bullet"/>
      <w:lvlText w:val="○"/>
      <w:lvlJc w:val="left"/>
      <w:pPr>
        <w:ind w:left="1440" w:hanging="360"/>
      </w:pPr>
    </w:lvl>
    <w:lvl w:ilvl="2" w:tplc="622C9874">
      <w:start w:val="1"/>
      <w:numFmt w:val="bullet"/>
      <w:lvlText w:val="■"/>
      <w:lvlJc w:val="left"/>
      <w:pPr>
        <w:ind w:left="2160" w:hanging="360"/>
      </w:pPr>
    </w:lvl>
    <w:lvl w:ilvl="3" w:tplc="13CA7250">
      <w:start w:val="1"/>
      <w:numFmt w:val="bullet"/>
      <w:lvlText w:val="●"/>
      <w:lvlJc w:val="left"/>
      <w:pPr>
        <w:ind w:left="2880" w:hanging="360"/>
      </w:pPr>
    </w:lvl>
    <w:lvl w:ilvl="4" w:tplc="D10AF588">
      <w:start w:val="1"/>
      <w:numFmt w:val="bullet"/>
      <w:lvlText w:val="○"/>
      <w:lvlJc w:val="left"/>
      <w:pPr>
        <w:ind w:left="3600" w:hanging="360"/>
      </w:pPr>
    </w:lvl>
    <w:lvl w:ilvl="5" w:tplc="F9A6048E">
      <w:start w:val="1"/>
      <w:numFmt w:val="bullet"/>
      <w:lvlText w:val="■"/>
      <w:lvlJc w:val="left"/>
      <w:pPr>
        <w:ind w:left="4320" w:hanging="360"/>
      </w:pPr>
    </w:lvl>
    <w:lvl w:ilvl="6" w:tplc="2A36A934">
      <w:start w:val="1"/>
      <w:numFmt w:val="bullet"/>
      <w:lvlText w:val="●"/>
      <w:lvlJc w:val="left"/>
      <w:pPr>
        <w:ind w:left="5040" w:hanging="360"/>
      </w:pPr>
    </w:lvl>
    <w:lvl w:ilvl="7" w:tplc="AFE68AF2">
      <w:start w:val="1"/>
      <w:numFmt w:val="bullet"/>
      <w:lvlText w:val="●"/>
      <w:lvlJc w:val="left"/>
      <w:pPr>
        <w:ind w:left="5760" w:hanging="360"/>
      </w:pPr>
    </w:lvl>
    <w:lvl w:ilvl="8" w:tplc="E1203712">
      <w:start w:val="1"/>
      <w:numFmt w:val="bullet"/>
      <w:lvlText w:val="●"/>
      <w:lvlJc w:val="left"/>
      <w:pPr>
        <w:ind w:left="6480" w:hanging="360"/>
      </w:pPr>
    </w:lvl>
  </w:abstractNum>
  <w:abstractNum w:abstractNumId="1" w15:restartNumberingAfterBreak="0">
    <w:nsid w:val="3C2D438F"/>
    <w:multiLevelType w:val="hybridMultilevel"/>
    <w:tmpl w:val="507AA86C"/>
    <w:lvl w:ilvl="0" w:tplc="DBEC7086">
      <w:start w:val="1"/>
      <w:numFmt w:val="lowerRoman"/>
      <w:lvlText w:val="(%1)"/>
      <w:lvlJc w:val="left"/>
      <w:pPr>
        <w:ind w:left="1854" w:hanging="720"/>
      </w:pPr>
      <w:rPr>
        <w:rFonts w:ascii="Arial" w:hAnsi="Arial" w:cs="Arial" w:hint="default"/>
        <w:sz w:val="22"/>
        <w:szCs w:val="22"/>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 w15:restartNumberingAfterBreak="0">
    <w:nsid w:val="54BB5FC9"/>
    <w:multiLevelType w:val="hybridMultilevel"/>
    <w:tmpl w:val="ED78CBDA"/>
    <w:lvl w:ilvl="0" w:tplc="3DF693BA">
      <w:start w:val="1"/>
      <w:numFmt w:val="lowerRoman"/>
      <w:lvlText w:val="(%1)"/>
      <w:lvlJc w:val="left"/>
      <w:pPr>
        <w:ind w:left="1854" w:hanging="72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num w:numId="1" w16cid:durableId="1106730686">
    <w:abstractNumId w:val="0"/>
    <w:lvlOverride w:ilvl="0">
      <w:startOverride w:val="1"/>
    </w:lvlOverride>
  </w:num>
  <w:num w:numId="2" w16cid:durableId="1987933231">
    <w:abstractNumId w:val="1"/>
  </w:num>
  <w:num w:numId="3" w16cid:durableId="19451869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1E6F"/>
    <w:rsid w:val="00017C10"/>
    <w:rsid w:val="001B3734"/>
    <w:rsid w:val="002D4B38"/>
    <w:rsid w:val="00312AAF"/>
    <w:rsid w:val="003F1E6F"/>
    <w:rsid w:val="004E08BE"/>
    <w:rsid w:val="00573603"/>
    <w:rsid w:val="005E5033"/>
    <w:rsid w:val="00734401"/>
    <w:rsid w:val="007D4595"/>
    <w:rsid w:val="00811508"/>
    <w:rsid w:val="00A243AC"/>
    <w:rsid w:val="00AE103B"/>
    <w:rsid w:val="00B3044F"/>
    <w:rsid w:val="00C733AA"/>
    <w:rsid w:val="00D067A6"/>
    <w:rsid w:val="00DF67F4"/>
    <w:rsid w:val="00E20716"/>
    <w:rsid w:val="00E976BB"/>
    <w:rsid w:val="00FB756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FADAC"/>
  <w15:docId w15:val="{8E549E92-9136-4065-89AB-349AD7D2D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uiPriority w:val="9"/>
    <w:qFormat/>
    <w:pPr>
      <w:outlineLvl w:val="0"/>
    </w:pPr>
    <w:rPr>
      <w:color w:val="2E74B5"/>
      <w:sz w:val="32"/>
      <w:szCs w:val="32"/>
    </w:rPr>
  </w:style>
  <w:style w:type="paragraph" w:styleId="Ttulo2">
    <w:name w:val="heading 2"/>
    <w:uiPriority w:val="9"/>
    <w:semiHidden/>
    <w:unhideWhenUsed/>
    <w:qFormat/>
    <w:pPr>
      <w:outlineLvl w:val="1"/>
    </w:pPr>
    <w:rPr>
      <w:color w:val="2E74B5"/>
      <w:sz w:val="26"/>
      <w:szCs w:val="26"/>
    </w:rPr>
  </w:style>
  <w:style w:type="paragraph" w:styleId="Ttulo3">
    <w:name w:val="heading 3"/>
    <w:uiPriority w:val="9"/>
    <w:semiHidden/>
    <w:unhideWhenUsed/>
    <w:qFormat/>
    <w:pPr>
      <w:outlineLvl w:val="2"/>
    </w:pPr>
    <w:rPr>
      <w:color w:val="1F4D78"/>
      <w:sz w:val="24"/>
      <w:szCs w:val="24"/>
    </w:rPr>
  </w:style>
  <w:style w:type="paragraph" w:styleId="Ttulo4">
    <w:name w:val="heading 4"/>
    <w:uiPriority w:val="9"/>
    <w:semiHidden/>
    <w:unhideWhenUsed/>
    <w:qFormat/>
    <w:pPr>
      <w:outlineLvl w:val="3"/>
    </w:pPr>
    <w:rPr>
      <w:i/>
      <w:iCs/>
      <w:color w:val="2E74B5"/>
    </w:rPr>
  </w:style>
  <w:style w:type="paragraph" w:styleId="Ttulo5">
    <w:name w:val="heading 5"/>
    <w:uiPriority w:val="9"/>
    <w:semiHidden/>
    <w:unhideWhenUsed/>
    <w:qFormat/>
    <w:pPr>
      <w:outlineLvl w:val="4"/>
    </w:pPr>
    <w:rPr>
      <w:color w:val="2E74B5"/>
    </w:rPr>
  </w:style>
  <w:style w:type="paragraph" w:styleId="Ttulo6">
    <w:name w:val="heading 6"/>
    <w:uiPriority w:val="9"/>
    <w:semiHidden/>
    <w:unhideWhenUsed/>
    <w:qFormat/>
    <w:pPr>
      <w:outlineLvl w:val="5"/>
    </w:pPr>
    <w:rPr>
      <w:color w:val="1F4D7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uiPriority w:val="10"/>
    <w:qFormat/>
    <w:rPr>
      <w:sz w:val="56"/>
      <w:szCs w:val="56"/>
    </w:rPr>
  </w:style>
  <w:style w:type="paragraph" w:customStyle="1" w:styleId="Forte1">
    <w:name w:val="Forte1"/>
    <w:qFormat/>
    <w:rPr>
      <w:b/>
      <w:bCs/>
    </w:rPr>
  </w:style>
  <w:style w:type="paragraph" w:styleId="PargrafodaLista">
    <w:name w:val="List Paragraph"/>
    <w:qFormat/>
  </w:style>
  <w:style w:type="character" w:styleId="Hyperlink">
    <w:name w:val="Hyperlink"/>
    <w:uiPriority w:val="99"/>
    <w:unhideWhenUsed/>
    <w:rPr>
      <w:color w:val="0563C1"/>
      <w:u w:val="single"/>
    </w:rPr>
  </w:style>
  <w:style w:type="character" w:styleId="Refdenotaderodap">
    <w:name w:val="footnote reference"/>
    <w:uiPriority w:val="99"/>
    <w:semiHidden/>
    <w:unhideWhenUsed/>
    <w:rPr>
      <w:vertAlign w:val="superscript"/>
    </w:rPr>
  </w:style>
  <w:style w:type="paragraph" w:styleId="Textodenotaderodap">
    <w:name w:val="footnote text"/>
    <w:link w:val="TextodenotaderodapChar"/>
    <w:uiPriority w:val="99"/>
    <w:semiHidden/>
    <w:unhideWhenUsed/>
  </w:style>
  <w:style w:type="character" w:customStyle="1" w:styleId="TextodenotaderodapChar">
    <w:name w:val="Texto de nota de rodapé Char"/>
    <w:link w:val="Textodenotaderodap"/>
    <w:uiPriority w:val="99"/>
    <w:semiHidden/>
    <w:unhideWhenUsed/>
    <w:rPr>
      <w:sz w:val="20"/>
      <w:szCs w:val="20"/>
    </w:rPr>
  </w:style>
  <w:style w:type="character" w:styleId="Refdenotadefim">
    <w:name w:val="endnote reference"/>
    <w:uiPriority w:val="99"/>
    <w:semiHidden/>
    <w:unhideWhenUsed/>
    <w:rPr>
      <w:vertAlign w:val="superscript"/>
    </w:rPr>
  </w:style>
  <w:style w:type="paragraph" w:styleId="Textodenotadefim">
    <w:name w:val="endnote text"/>
    <w:link w:val="TextodenotadefimChar"/>
    <w:uiPriority w:val="99"/>
    <w:semiHidden/>
    <w:unhideWhenUsed/>
  </w:style>
  <w:style w:type="character" w:customStyle="1" w:styleId="TextodenotadefimChar">
    <w:name w:val="Texto de nota de fim Char"/>
    <w:link w:val="Textodenotadefim"/>
    <w:uiPriority w:val="99"/>
    <w:semiHidden/>
    <w:unhideWhenUsed/>
    <w:rPr>
      <w:sz w:val="20"/>
      <w:szCs w:val="20"/>
    </w:rPr>
  </w:style>
  <w:style w:type="paragraph" w:styleId="Textodecomentrio">
    <w:name w:val="annotation text"/>
    <w:basedOn w:val="Normal"/>
    <w:link w:val="TextodecomentrioChar"/>
    <w:uiPriority w:val="99"/>
    <w:semiHidden/>
    <w:unhideWhenUsed/>
  </w:style>
  <w:style w:type="character" w:customStyle="1" w:styleId="TextodecomentrioChar">
    <w:name w:val="Texto de comentário Char"/>
    <w:basedOn w:val="Fontepargpadro"/>
    <w:link w:val="Textodecomentrio"/>
    <w:uiPriority w:val="99"/>
    <w:semiHidden/>
  </w:style>
  <w:style w:type="character" w:styleId="Refdecomentrio">
    <w:name w:val="annotation reference"/>
    <w:basedOn w:val="Fontepargpadro"/>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9</Pages>
  <Words>5155</Words>
  <Characters>27837</Characters>
  <Application>Microsoft Office Word</Application>
  <DocSecurity>0</DocSecurity>
  <Lines>231</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Licitação</cp:lastModifiedBy>
  <cp:revision>9</cp:revision>
  <dcterms:created xsi:type="dcterms:W3CDTF">2026-09-21T14:42:00Z</dcterms:created>
  <dcterms:modified xsi:type="dcterms:W3CDTF">2026-10-06T16:48:00Z</dcterms:modified>
</cp:coreProperties>
</file>