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5EADD" w14:textId="41D7367F" w:rsidR="000402C1" w:rsidRPr="002562A0" w:rsidRDefault="00F414B8" w:rsidP="00390A30">
      <w:pPr>
        <w:spacing w:line="264" w:lineRule="auto"/>
        <w:jc w:val="center"/>
        <w:rPr>
          <w:sz w:val="21"/>
          <w:szCs w:val="21"/>
          <w:u w:val="single"/>
        </w:rPr>
      </w:pPr>
      <w:r w:rsidRPr="002562A0">
        <w:rPr>
          <w:rFonts w:eastAsia="Arial"/>
          <w:b/>
          <w:bCs/>
          <w:sz w:val="21"/>
          <w:szCs w:val="21"/>
          <w:u w:val="single"/>
        </w:rPr>
        <w:t>TERMO DE REFERÊNCIA</w:t>
      </w:r>
    </w:p>
    <w:p w14:paraId="4759424E" w14:textId="77777777" w:rsidR="002562A0" w:rsidRDefault="002562A0" w:rsidP="00390A30">
      <w:pPr>
        <w:spacing w:line="264" w:lineRule="auto"/>
        <w:jc w:val="center"/>
        <w:rPr>
          <w:rFonts w:eastAsia="Arial"/>
          <w:sz w:val="21"/>
          <w:szCs w:val="21"/>
        </w:rPr>
      </w:pPr>
    </w:p>
    <w:p w14:paraId="0DC89A05" w14:textId="77777777" w:rsidR="00BB2A8F" w:rsidRPr="00BB2A8F" w:rsidRDefault="00BB2A8F" w:rsidP="00BB2A8F">
      <w:pPr>
        <w:spacing w:line="264" w:lineRule="auto"/>
        <w:jc w:val="center"/>
        <w:rPr>
          <w:rFonts w:eastAsia="Arial"/>
          <w:sz w:val="21"/>
          <w:szCs w:val="21"/>
        </w:rPr>
      </w:pPr>
      <w:r w:rsidRPr="00BB2A8F">
        <w:rPr>
          <w:rFonts w:eastAsia="Arial"/>
          <w:sz w:val="21"/>
          <w:szCs w:val="21"/>
        </w:rPr>
        <w:t>Concessão de Direito Real de Uso de Imóvel do Distrito Industrial IV (“Curva do S”), a título gratuito, com possibilidade de aquisição futura, para instalação de empreendimento industrial</w:t>
      </w:r>
    </w:p>
    <w:p w14:paraId="63C9601F" w14:textId="77777777" w:rsidR="00BB2A8F" w:rsidRPr="00BB2A8F" w:rsidRDefault="00BB2A8F" w:rsidP="00BB2A8F">
      <w:pPr>
        <w:spacing w:line="264" w:lineRule="auto"/>
        <w:jc w:val="center"/>
        <w:rPr>
          <w:rFonts w:eastAsia="Arial"/>
          <w:sz w:val="21"/>
          <w:szCs w:val="21"/>
        </w:rPr>
      </w:pPr>
      <w:r w:rsidRPr="00BB2A8F">
        <w:rPr>
          <w:rFonts w:eastAsia="Arial"/>
          <w:sz w:val="21"/>
          <w:szCs w:val="21"/>
        </w:rPr>
        <w:t>Município de Palmitinho/RS - Secretaria Municipal da Indústria e Comércio (órgão gestor)</w:t>
      </w:r>
    </w:p>
    <w:p w14:paraId="2A353A98" w14:textId="77777777" w:rsidR="000402C1" w:rsidRPr="002562A0" w:rsidRDefault="000402C1" w:rsidP="00390A30">
      <w:pPr>
        <w:spacing w:line="264" w:lineRule="auto"/>
        <w:rPr>
          <w:sz w:val="21"/>
          <w:szCs w:val="21"/>
        </w:rPr>
      </w:pPr>
    </w:p>
    <w:p w14:paraId="5715B455" w14:textId="42E0875A" w:rsidR="000402C1" w:rsidRPr="002562A0" w:rsidRDefault="00F414B8" w:rsidP="00390A30">
      <w:pPr>
        <w:spacing w:line="264" w:lineRule="auto"/>
        <w:jc w:val="both"/>
        <w:rPr>
          <w:sz w:val="21"/>
          <w:szCs w:val="21"/>
          <w:u w:val="single"/>
        </w:rPr>
      </w:pPr>
      <w:r w:rsidRPr="002562A0">
        <w:rPr>
          <w:rFonts w:eastAsia="Arial"/>
          <w:b/>
          <w:bCs/>
          <w:sz w:val="21"/>
          <w:szCs w:val="21"/>
          <w:u w:val="single"/>
        </w:rPr>
        <w:t>1. OBJETO</w:t>
      </w:r>
      <w:r w:rsidR="002562A0">
        <w:rPr>
          <w:rFonts w:eastAsia="Arial"/>
          <w:b/>
          <w:bCs/>
          <w:sz w:val="21"/>
          <w:szCs w:val="21"/>
          <w:u w:val="single"/>
        </w:rPr>
        <w:t>:</w:t>
      </w:r>
    </w:p>
    <w:p w14:paraId="76B3F5EB" w14:textId="57E64722" w:rsidR="000402C1" w:rsidRPr="002562A0" w:rsidRDefault="002562A0" w:rsidP="00390A30">
      <w:pPr>
        <w:spacing w:line="264" w:lineRule="auto"/>
        <w:jc w:val="both"/>
        <w:rPr>
          <w:sz w:val="21"/>
          <w:szCs w:val="21"/>
        </w:rPr>
      </w:pPr>
      <w:r>
        <w:rPr>
          <w:rFonts w:eastAsia="Arial"/>
          <w:sz w:val="21"/>
          <w:szCs w:val="21"/>
        </w:rPr>
        <w:t xml:space="preserve">1.1. </w:t>
      </w:r>
      <w:r w:rsidR="00F414B8" w:rsidRPr="002562A0">
        <w:rPr>
          <w:rFonts w:eastAsia="Arial"/>
          <w:sz w:val="21"/>
          <w:szCs w:val="21"/>
        </w:rPr>
        <w:t>Constitui objeto deste Termo de Referência a concessão de direito real de uso, a título gratuito e com possibilidade de aquisição futura, de fração de 65.000,00 m² (6,5 ha), destacada da matrícula nº 01/7.246 do Registro de Imóveis de Palmitinho/RS, integrante do Distrito Industrial IV (“Curva do S”), para que a concessionária nele edifique e opere empreendimento industrial, atacadista ou de prestação de serviços de baixo potencial poluidor, nos termos do art. 6º, V, e dos arts. 23 a 35 da Lei Municipal nº 3.199, de 24 de junho de 2025, e do Decreto Municipal nº 75/2026, de 25 de agosto de 2026, que a regulamenta, com aplicação subsidiária da Lei Federal nº 14.133/2021 e da Lei Complementar nº 123/2006.</w:t>
      </w:r>
    </w:p>
    <w:p w14:paraId="70EE3ECA" w14:textId="0EA2FA37" w:rsidR="000402C1" w:rsidRPr="002562A0" w:rsidRDefault="002562A0" w:rsidP="00390A30">
      <w:pPr>
        <w:spacing w:line="264" w:lineRule="auto"/>
        <w:jc w:val="both"/>
        <w:rPr>
          <w:rFonts w:eastAsia="Arial"/>
          <w:sz w:val="21"/>
          <w:szCs w:val="21"/>
        </w:rPr>
      </w:pPr>
      <w:r>
        <w:rPr>
          <w:rFonts w:eastAsia="Arial"/>
          <w:sz w:val="21"/>
          <w:szCs w:val="21"/>
        </w:rPr>
        <w:t xml:space="preserve">1.1. </w:t>
      </w:r>
      <w:r w:rsidR="00F414B8" w:rsidRPr="002562A0">
        <w:rPr>
          <w:rFonts w:eastAsia="Arial"/>
          <w:sz w:val="21"/>
          <w:szCs w:val="21"/>
        </w:rPr>
        <w:t>O prazo da concessão é de 10 (dez) anos, prorrogável uma única vez por até 10 (dez) anos, no total máximo de 20 (vinte) anos, conforme conveniência da Administração (art. 6º, V, art. 30, § 4º, e art. 34 da Lei Municipal nº 3.199/2025), sendo o contrato levado a registro no Registro de Imóveis competente, com despesas notariais e registrais a cargo exclusivo da concessionária (arts. 27 e 35 da Lei).</w:t>
      </w:r>
    </w:p>
    <w:p w14:paraId="3A517129" w14:textId="77777777" w:rsidR="006444F5" w:rsidRPr="002562A0" w:rsidRDefault="006444F5" w:rsidP="00390A30">
      <w:pPr>
        <w:spacing w:line="264" w:lineRule="auto"/>
        <w:ind w:firstLine="1134"/>
        <w:jc w:val="both"/>
        <w:rPr>
          <w:sz w:val="21"/>
          <w:szCs w:val="21"/>
        </w:rPr>
      </w:pPr>
    </w:p>
    <w:p w14:paraId="7EEBC67D" w14:textId="1D65D7D7" w:rsidR="000402C1" w:rsidRPr="002562A0" w:rsidRDefault="00F414B8" w:rsidP="00BB2A8F">
      <w:pPr>
        <w:spacing w:line="259" w:lineRule="auto"/>
        <w:jc w:val="both"/>
        <w:rPr>
          <w:sz w:val="21"/>
          <w:szCs w:val="21"/>
          <w:u w:val="single"/>
        </w:rPr>
      </w:pPr>
      <w:r w:rsidRPr="002562A0">
        <w:rPr>
          <w:rFonts w:eastAsia="Arial"/>
          <w:b/>
          <w:bCs/>
          <w:sz w:val="21"/>
          <w:szCs w:val="21"/>
          <w:u w:val="single"/>
        </w:rPr>
        <w:t>2. FUNDAMENTAÇÃO DA CONTRATAÇÃO</w:t>
      </w:r>
      <w:r w:rsidR="002562A0">
        <w:rPr>
          <w:rFonts w:eastAsia="Arial"/>
          <w:b/>
          <w:bCs/>
          <w:sz w:val="21"/>
          <w:szCs w:val="21"/>
          <w:u w:val="single"/>
        </w:rPr>
        <w:t>:</w:t>
      </w:r>
    </w:p>
    <w:p w14:paraId="362A9409" w14:textId="23E6778C" w:rsidR="000402C1" w:rsidRPr="002562A0" w:rsidRDefault="002562A0" w:rsidP="00BB2A8F">
      <w:pPr>
        <w:spacing w:line="259" w:lineRule="auto"/>
        <w:jc w:val="both"/>
        <w:rPr>
          <w:sz w:val="21"/>
          <w:szCs w:val="21"/>
        </w:rPr>
      </w:pPr>
      <w:r>
        <w:rPr>
          <w:rFonts w:eastAsia="Arial"/>
          <w:sz w:val="21"/>
          <w:szCs w:val="21"/>
        </w:rPr>
        <w:t xml:space="preserve">2.1. </w:t>
      </w:r>
      <w:r w:rsidR="00F414B8" w:rsidRPr="002562A0">
        <w:rPr>
          <w:rFonts w:eastAsia="Arial"/>
          <w:sz w:val="21"/>
          <w:szCs w:val="21"/>
        </w:rPr>
        <w:t>A necessidade, a justificativa e a descrição pormenorizada da solução escolhida constam do Estudo Técnico Preliminar, que integra este Termo de Referência por remissão, nos termos do art. 6º, XXIII, “a”, da Lei Federal nº 14.133/2021, de aplicação subsidiária por força do art. 48 da Lei Municipal nº 3.199/2025. Em síntese, a concessão destina-se a viabilizar a ocupação produtiva de área do Distrito Industrial IV atualmente ociosa, mediante a fixação de contrapartidas de desenvolvimento objetivas e mensuráveis — geração e manutenção de empregos formais, realização de investimento declarado, edificação e início de operação em prazo certo, e manutenção de inscrição estadual própria da unidade instalada — que justificam, nos termos do art. 24, § 1º, da Lei Municipal nº 3.199/2025 e do art. 12 do Decreto Municipal nº 75/2026, a gratuidade do uso.</w:t>
      </w:r>
    </w:p>
    <w:p w14:paraId="1A7DE308" w14:textId="53909D7E" w:rsidR="000402C1" w:rsidRPr="002562A0" w:rsidRDefault="002562A0" w:rsidP="00BB2A8F">
      <w:pPr>
        <w:spacing w:line="259" w:lineRule="auto"/>
        <w:jc w:val="both"/>
        <w:rPr>
          <w:sz w:val="21"/>
          <w:szCs w:val="21"/>
        </w:rPr>
      </w:pPr>
      <w:r>
        <w:rPr>
          <w:rFonts w:eastAsia="Arial"/>
          <w:sz w:val="21"/>
          <w:szCs w:val="21"/>
        </w:rPr>
        <w:t xml:space="preserve">2.2. </w:t>
      </w:r>
      <w:r w:rsidR="00F414B8" w:rsidRPr="002562A0">
        <w:rPr>
          <w:rFonts w:eastAsia="Arial"/>
          <w:sz w:val="21"/>
          <w:szCs w:val="21"/>
        </w:rPr>
        <w:t>O Estudo Técnico Preliminar identifica, ainda, dois pontos de tensão normativa com a Lei Orgânica do Município de Palmitinho que condicionam a regularidade deste certame e que devem estar integralmente equacionados antes da publicação do edital: a compatibilidade da gratuidade com o art. 9º, § 1º, da Lei Orgânica, e a verificação do quórum de 2/3 exigido pelo art. 43, § 2º, item 3, da Lei Orgânica para a aprovação da Lei Municipal nº 3.199/2025, enquanto lei concernente à concessão de direito real de uso de bens imóveis. Este Termo de Referência pressupõe a superação desses pontos pela manifestação jurídica prévia de que trata o art. 53 da Lei Federal nº 14.133/2021, não lhe cabendo reexaminá-los.</w:t>
      </w:r>
    </w:p>
    <w:p w14:paraId="79985A31" w14:textId="77777777" w:rsidR="006444F5" w:rsidRPr="002562A0" w:rsidRDefault="006444F5" w:rsidP="00BB2A8F">
      <w:pPr>
        <w:spacing w:line="259" w:lineRule="auto"/>
        <w:jc w:val="both"/>
        <w:rPr>
          <w:rFonts w:eastAsia="Arial"/>
          <w:b/>
          <w:bCs/>
          <w:sz w:val="21"/>
          <w:szCs w:val="21"/>
        </w:rPr>
      </w:pPr>
    </w:p>
    <w:p w14:paraId="6A7B6180" w14:textId="6DF6C655" w:rsidR="000402C1" w:rsidRPr="002562A0" w:rsidRDefault="00F414B8" w:rsidP="00BB2A8F">
      <w:pPr>
        <w:spacing w:line="259" w:lineRule="auto"/>
        <w:jc w:val="both"/>
        <w:rPr>
          <w:sz w:val="21"/>
          <w:szCs w:val="21"/>
          <w:u w:val="single"/>
        </w:rPr>
      </w:pPr>
      <w:r w:rsidRPr="002562A0">
        <w:rPr>
          <w:rFonts w:eastAsia="Arial"/>
          <w:b/>
          <w:bCs/>
          <w:sz w:val="21"/>
          <w:szCs w:val="21"/>
          <w:u w:val="single"/>
        </w:rPr>
        <w:t>3. DESCRIÇÃO DA SOLUÇÃO COMO UM TODO</w:t>
      </w:r>
      <w:r w:rsidR="002562A0">
        <w:rPr>
          <w:rFonts w:eastAsia="Arial"/>
          <w:b/>
          <w:bCs/>
          <w:sz w:val="21"/>
          <w:szCs w:val="21"/>
          <w:u w:val="single"/>
        </w:rPr>
        <w:t>:</w:t>
      </w:r>
    </w:p>
    <w:p w14:paraId="11188886" w14:textId="6765997A" w:rsidR="006444F5" w:rsidRPr="002562A0" w:rsidRDefault="002562A0" w:rsidP="00BB2A8F">
      <w:pPr>
        <w:spacing w:line="259" w:lineRule="auto"/>
        <w:jc w:val="both"/>
        <w:rPr>
          <w:rFonts w:eastAsia="Arial"/>
          <w:sz w:val="21"/>
          <w:szCs w:val="21"/>
        </w:rPr>
      </w:pPr>
      <w:r>
        <w:rPr>
          <w:rFonts w:eastAsia="Arial"/>
          <w:sz w:val="21"/>
          <w:szCs w:val="21"/>
        </w:rPr>
        <w:t xml:space="preserve">3.1. </w:t>
      </w:r>
      <w:r w:rsidR="00F414B8" w:rsidRPr="002562A0">
        <w:rPr>
          <w:rFonts w:eastAsia="Arial"/>
          <w:sz w:val="21"/>
          <w:szCs w:val="21"/>
        </w:rPr>
        <w:t xml:space="preserve">A solução compreende a seleção, mediante licitação na modalidade concorrência, sob a forma presencial, de empresa interessada em instalar e operar empreendimento industrial no imóvel descrito no item 1, mediante compromisso formal, incorporado à proposta vencedora e ao contrato, quanto ao número de empregos a gerar e manter, ao investimento a realizar, à área a edificar e ao prazo de início de operação, critérios sobre os quais versa a pontuação técnica tratada no item 8. </w:t>
      </w:r>
    </w:p>
    <w:p w14:paraId="1A58632A" w14:textId="12131E14" w:rsidR="000402C1" w:rsidRPr="002562A0" w:rsidRDefault="002562A0" w:rsidP="00BB2A8F">
      <w:pPr>
        <w:spacing w:line="259" w:lineRule="auto"/>
        <w:jc w:val="both"/>
        <w:rPr>
          <w:sz w:val="21"/>
          <w:szCs w:val="21"/>
        </w:rPr>
      </w:pPr>
      <w:r>
        <w:rPr>
          <w:rFonts w:eastAsia="Arial"/>
          <w:sz w:val="21"/>
          <w:szCs w:val="21"/>
        </w:rPr>
        <w:t xml:space="preserve">3.2. </w:t>
      </w:r>
      <w:r w:rsidR="00F414B8" w:rsidRPr="002562A0">
        <w:rPr>
          <w:rFonts w:eastAsia="Arial"/>
          <w:sz w:val="21"/>
          <w:szCs w:val="21"/>
        </w:rPr>
        <w:t>Após a homologação, a vencedora apresentará projeto industrial e de engenharia para aprovação do Município, assinará o contrato de concessão, iniciará a edificação e, em até 12 (doze) meses da assinatura, iniciará as atividades produtivas, permanecendo sujeita, durante toda a vigência contratual, à fiscalização semestral do órgão gestor e às sanções e hipóteses de resolução e reversão do imóvel em caso de descumprimento.</w:t>
      </w:r>
    </w:p>
    <w:p w14:paraId="4BE0F8CE" w14:textId="79CFE655" w:rsidR="000402C1" w:rsidRPr="002562A0" w:rsidRDefault="002562A0" w:rsidP="00BB2A8F">
      <w:pPr>
        <w:spacing w:line="259" w:lineRule="auto"/>
        <w:jc w:val="both"/>
        <w:rPr>
          <w:rFonts w:eastAsia="Arial"/>
          <w:sz w:val="21"/>
          <w:szCs w:val="21"/>
        </w:rPr>
      </w:pPr>
      <w:r>
        <w:rPr>
          <w:rFonts w:eastAsia="Arial"/>
          <w:sz w:val="21"/>
          <w:szCs w:val="21"/>
        </w:rPr>
        <w:t xml:space="preserve">3.3. </w:t>
      </w:r>
      <w:r w:rsidR="00F414B8" w:rsidRPr="002562A0">
        <w:rPr>
          <w:rFonts w:eastAsia="Arial"/>
          <w:sz w:val="21"/>
          <w:szCs w:val="21"/>
        </w:rPr>
        <w:t>É assegurado à concessionária, a qualquer momento da vigência contratual, o direito de adquirir definitivamente o imóvel, mediante nova avaliação a ser realizada no ato da assinatura do contrato e atualização pelo INPC até a data da compra (art. 8º, § 5º, da Lei Municipal nº 3.199/2025; art. 5º, II, do Decreto Municipal nº 75/2026), hipótese em que a escritura definitiva de propriedade somente será outorgada após o cumprimento integral das exigências legais e contratuais (art. 28 do Decreto Municipal nº 75/2026).</w:t>
      </w:r>
    </w:p>
    <w:p w14:paraId="10B5D9AB" w14:textId="68C61BE9" w:rsidR="000402C1" w:rsidRPr="002562A0" w:rsidRDefault="00F414B8" w:rsidP="002562A0">
      <w:pPr>
        <w:spacing w:line="276" w:lineRule="auto"/>
        <w:jc w:val="both"/>
        <w:rPr>
          <w:sz w:val="21"/>
          <w:szCs w:val="21"/>
          <w:u w:val="single"/>
        </w:rPr>
      </w:pPr>
      <w:r w:rsidRPr="002562A0">
        <w:rPr>
          <w:rFonts w:eastAsia="Arial"/>
          <w:b/>
          <w:bCs/>
          <w:sz w:val="21"/>
          <w:szCs w:val="21"/>
          <w:u w:val="single"/>
        </w:rPr>
        <w:lastRenderedPageBreak/>
        <w:t>4. REQUISITOS DA CONTRATAÇÃO</w:t>
      </w:r>
      <w:r w:rsidR="002562A0">
        <w:rPr>
          <w:rFonts w:eastAsia="Arial"/>
          <w:b/>
          <w:bCs/>
          <w:sz w:val="21"/>
          <w:szCs w:val="21"/>
          <w:u w:val="single"/>
        </w:rPr>
        <w:t>:</w:t>
      </w:r>
    </w:p>
    <w:p w14:paraId="2B6C3F01" w14:textId="16A78685" w:rsidR="000402C1" w:rsidRPr="002562A0" w:rsidRDefault="002562A0" w:rsidP="002562A0">
      <w:pPr>
        <w:spacing w:line="276" w:lineRule="auto"/>
        <w:jc w:val="both"/>
        <w:rPr>
          <w:sz w:val="21"/>
          <w:szCs w:val="21"/>
        </w:rPr>
      </w:pPr>
      <w:r>
        <w:rPr>
          <w:rFonts w:eastAsia="Arial"/>
          <w:sz w:val="21"/>
          <w:szCs w:val="21"/>
        </w:rPr>
        <w:t xml:space="preserve">4.1. </w:t>
      </w:r>
      <w:r w:rsidR="00F414B8" w:rsidRPr="002562A0">
        <w:rPr>
          <w:rFonts w:eastAsia="Arial"/>
          <w:sz w:val="21"/>
          <w:szCs w:val="21"/>
        </w:rPr>
        <w:t>Poderão participar do certame pessoas jurídicas cujo objeto social seja compatível com a instalação de atividade industrial, atacadista ou de prestação de serviços de baixo potencial poluidor, ou sujeita a análise específica do órgão ambiental competente, conforme as tipologias admitidas pela FEPAM relacionadas no Anexo I</w:t>
      </w:r>
      <w:r w:rsidR="00FC38EE">
        <w:rPr>
          <w:rFonts w:eastAsia="Arial"/>
          <w:sz w:val="21"/>
          <w:szCs w:val="21"/>
        </w:rPr>
        <w:t>V</w:t>
      </w:r>
      <w:r w:rsidR="00F414B8" w:rsidRPr="002562A0">
        <w:rPr>
          <w:rFonts w:eastAsia="Arial"/>
          <w:sz w:val="21"/>
          <w:szCs w:val="21"/>
        </w:rPr>
        <w:t xml:space="preserve"> do edital, observadas as vedações à participação previstas no item 8 da minuta de edital (impedidos e inidôneos, vínculo com agente público da licitação ou da fiscalização, empresas controladoras, controladas ou coligadas entre si, condenados por exploração de trabalho infantil ou análogo a escravo, e demais hipóteses do art. 14 da Lei Federal nº 14.133/2021).</w:t>
      </w:r>
    </w:p>
    <w:p w14:paraId="72B9C095" w14:textId="15160CF4" w:rsidR="000402C1" w:rsidRPr="002562A0" w:rsidRDefault="002562A0" w:rsidP="002562A0">
      <w:pPr>
        <w:spacing w:line="276" w:lineRule="auto"/>
        <w:jc w:val="both"/>
        <w:rPr>
          <w:rFonts w:eastAsia="Arial"/>
          <w:sz w:val="21"/>
          <w:szCs w:val="21"/>
        </w:rPr>
      </w:pPr>
      <w:r>
        <w:rPr>
          <w:rFonts w:eastAsia="Arial"/>
          <w:sz w:val="21"/>
          <w:szCs w:val="21"/>
        </w:rPr>
        <w:t xml:space="preserve">4.2. </w:t>
      </w:r>
      <w:r w:rsidR="00F414B8" w:rsidRPr="002562A0">
        <w:rPr>
          <w:rFonts w:eastAsia="Arial"/>
          <w:sz w:val="21"/>
          <w:szCs w:val="21"/>
        </w:rPr>
        <w:t>A habilitação, exigida apenas da licitante mais bem classificada após o julgamento da proposta (art. 17 da Lei Federal nº 14.133/2021), compreende habilitação jurídica, fiscal, social, trabalhista e econômico-financeira, além de licença ambiental ou declaração de viabilidade e alvará compatíveis com a atividade pretendida, admitida, nesta última hipótese, Declaração de Não Aplicabilidade com compromisso de apresentação da licença definitiva antes da assinatura do contrato, nos termos do art. 5º, §§ 1º e 2º, da Lei Municipal nº 3.199/2025, tudo conforme detalhado nos itens 9 a 11 da minuta de edital.</w:t>
      </w:r>
    </w:p>
    <w:p w14:paraId="59783672" w14:textId="77777777" w:rsidR="006444F5" w:rsidRPr="002562A0" w:rsidRDefault="006444F5" w:rsidP="002562A0">
      <w:pPr>
        <w:spacing w:line="276" w:lineRule="auto"/>
        <w:ind w:firstLine="1134"/>
        <w:jc w:val="both"/>
        <w:rPr>
          <w:sz w:val="21"/>
          <w:szCs w:val="21"/>
        </w:rPr>
      </w:pPr>
    </w:p>
    <w:p w14:paraId="5B1E0F4F" w14:textId="09FBA1B2" w:rsidR="000402C1" w:rsidRPr="002562A0" w:rsidRDefault="00F414B8" w:rsidP="002562A0">
      <w:pPr>
        <w:spacing w:line="276" w:lineRule="auto"/>
        <w:jc w:val="both"/>
        <w:rPr>
          <w:sz w:val="21"/>
          <w:szCs w:val="21"/>
          <w:u w:val="single"/>
        </w:rPr>
      </w:pPr>
      <w:r w:rsidRPr="002562A0">
        <w:rPr>
          <w:rFonts w:eastAsia="Arial"/>
          <w:b/>
          <w:bCs/>
          <w:sz w:val="21"/>
          <w:szCs w:val="21"/>
          <w:u w:val="single"/>
        </w:rPr>
        <w:t>5. MODELO DE EXECUÇÃO DO OBJETO</w:t>
      </w:r>
      <w:r w:rsidR="002562A0">
        <w:rPr>
          <w:rFonts w:eastAsia="Arial"/>
          <w:b/>
          <w:bCs/>
          <w:sz w:val="21"/>
          <w:szCs w:val="21"/>
          <w:u w:val="single"/>
        </w:rPr>
        <w:t>:</w:t>
      </w:r>
    </w:p>
    <w:p w14:paraId="57915844" w14:textId="47ACB5D0" w:rsidR="006444F5" w:rsidRPr="002562A0" w:rsidRDefault="002562A0" w:rsidP="002562A0">
      <w:pPr>
        <w:spacing w:line="276" w:lineRule="auto"/>
        <w:jc w:val="both"/>
        <w:rPr>
          <w:rFonts w:eastAsia="Arial"/>
          <w:sz w:val="21"/>
          <w:szCs w:val="21"/>
        </w:rPr>
      </w:pPr>
      <w:r>
        <w:rPr>
          <w:rFonts w:eastAsia="Arial"/>
          <w:sz w:val="21"/>
          <w:szCs w:val="21"/>
        </w:rPr>
        <w:t xml:space="preserve">5.1. </w:t>
      </w:r>
      <w:r w:rsidR="00F414B8" w:rsidRPr="002562A0">
        <w:rPr>
          <w:rFonts w:eastAsia="Arial"/>
          <w:sz w:val="21"/>
          <w:szCs w:val="21"/>
        </w:rPr>
        <w:t xml:space="preserve">A concessionária obriga-se a: </w:t>
      </w:r>
    </w:p>
    <w:p w14:paraId="14EA21FB" w14:textId="24F8CC72" w:rsidR="006444F5" w:rsidRPr="002562A0" w:rsidRDefault="002562A0" w:rsidP="002562A0">
      <w:pPr>
        <w:pStyle w:val="PargrafodaLista"/>
        <w:spacing w:line="276" w:lineRule="auto"/>
        <w:jc w:val="both"/>
        <w:rPr>
          <w:rFonts w:eastAsia="Arial"/>
          <w:sz w:val="21"/>
          <w:szCs w:val="21"/>
        </w:rPr>
      </w:pPr>
      <w:r>
        <w:rPr>
          <w:rFonts w:eastAsia="Arial"/>
          <w:sz w:val="21"/>
          <w:szCs w:val="21"/>
        </w:rPr>
        <w:t xml:space="preserve">(i) </w:t>
      </w:r>
      <w:r w:rsidR="00F414B8" w:rsidRPr="002562A0">
        <w:rPr>
          <w:rFonts w:eastAsia="Arial"/>
          <w:sz w:val="21"/>
          <w:szCs w:val="21"/>
        </w:rPr>
        <w:t xml:space="preserve">iniciar a construção no prazo máximo a ser fixado no edital e iniciar as atividades produtivas em até 12 (doze) meses, contados da assinatura do contrato, prazo prorrogável pelo Prefeito Municipal em caso de força maior ou outro motivo relevante e devidamente justificado (art. 27, IV, e art. 27, § 1º, da Lei Municipal nº 3.199/2025); </w:t>
      </w:r>
    </w:p>
    <w:p w14:paraId="28A0DA05" w14:textId="06369285" w:rsidR="006444F5" w:rsidRPr="002562A0" w:rsidRDefault="002562A0" w:rsidP="002562A0">
      <w:pPr>
        <w:pStyle w:val="PargrafodaLista"/>
        <w:spacing w:line="276" w:lineRule="auto"/>
        <w:jc w:val="both"/>
        <w:rPr>
          <w:sz w:val="21"/>
          <w:szCs w:val="21"/>
        </w:rPr>
      </w:pPr>
      <w:r>
        <w:rPr>
          <w:rFonts w:eastAsia="Arial"/>
          <w:sz w:val="21"/>
          <w:szCs w:val="21"/>
        </w:rPr>
        <w:t>(</w:t>
      </w:r>
      <w:proofErr w:type="spellStart"/>
      <w:r>
        <w:rPr>
          <w:rFonts w:eastAsia="Arial"/>
          <w:sz w:val="21"/>
          <w:szCs w:val="21"/>
        </w:rPr>
        <w:t>ii</w:t>
      </w:r>
      <w:proofErr w:type="spellEnd"/>
      <w:r>
        <w:rPr>
          <w:rFonts w:eastAsia="Arial"/>
          <w:sz w:val="21"/>
          <w:szCs w:val="21"/>
        </w:rPr>
        <w:t xml:space="preserve">) </w:t>
      </w:r>
      <w:r w:rsidR="00F414B8" w:rsidRPr="002562A0">
        <w:rPr>
          <w:rFonts w:eastAsia="Arial"/>
          <w:sz w:val="21"/>
          <w:szCs w:val="21"/>
        </w:rPr>
        <w:t xml:space="preserve"> gerar e manter, durante toda a vigência contratual, o número mínimo de empregados formais do art. 6º, § 2º, “b”, da Lei </w:t>
      </w:r>
      <w:r>
        <w:rPr>
          <w:rFonts w:eastAsia="Arial"/>
          <w:sz w:val="21"/>
          <w:szCs w:val="21"/>
        </w:rPr>
        <w:t>-</w:t>
      </w:r>
      <w:r w:rsidR="00F414B8" w:rsidRPr="002562A0">
        <w:rPr>
          <w:rFonts w:eastAsia="Arial"/>
          <w:sz w:val="21"/>
          <w:szCs w:val="21"/>
        </w:rPr>
        <w:t xml:space="preserve"> 5 (cinco) para empresas do Lucro Real ou Presumido e 3 (três) para optantes do Simples Nacional </w:t>
      </w:r>
      <w:r>
        <w:rPr>
          <w:rFonts w:eastAsia="Arial"/>
          <w:sz w:val="21"/>
          <w:szCs w:val="21"/>
        </w:rPr>
        <w:t>-</w:t>
      </w:r>
      <w:r w:rsidR="00F414B8" w:rsidRPr="002562A0">
        <w:rPr>
          <w:rFonts w:eastAsia="Arial"/>
          <w:sz w:val="21"/>
          <w:szCs w:val="21"/>
        </w:rPr>
        <w:t xml:space="preserve">, comprovados por GFIP, eSocial ou CAGED, além do quantitativo adicional eventualmente ofertado na proposta vencedora; </w:t>
      </w:r>
    </w:p>
    <w:p w14:paraId="61286719" w14:textId="706C3E60" w:rsidR="006444F5" w:rsidRPr="002562A0" w:rsidRDefault="002562A0" w:rsidP="002562A0">
      <w:pPr>
        <w:pStyle w:val="PargrafodaLista"/>
        <w:spacing w:line="276" w:lineRule="auto"/>
        <w:jc w:val="both"/>
        <w:rPr>
          <w:sz w:val="21"/>
          <w:szCs w:val="21"/>
        </w:rPr>
      </w:pPr>
      <w:r>
        <w:rPr>
          <w:rFonts w:eastAsia="Arial"/>
          <w:sz w:val="21"/>
          <w:szCs w:val="21"/>
        </w:rPr>
        <w:t>(</w:t>
      </w:r>
      <w:proofErr w:type="spellStart"/>
      <w:r>
        <w:rPr>
          <w:rFonts w:eastAsia="Arial"/>
          <w:sz w:val="21"/>
          <w:szCs w:val="21"/>
        </w:rPr>
        <w:t>iii</w:t>
      </w:r>
      <w:proofErr w:type="spellEnd"/>
      <w:r>
        <w:rPr>
          <w:rFonts w:eastAsia="Arial"/>
          <w:sz w:val="21"/>
          <w:szCs w:val="21"/>
        </w:rPr>
        <w:t xml:space="preserve">) </w:t>
      </w:r>
      <w:r w:rsidR="00F414B8" w:rsidRPr="002562A0">
        <w:rPr>
          <w:rFonts w:eastAsia="Arial"/>
          <w:sz w:val="21"/>
          <w:szCs w:val="21"/>
        </w:rPr>
        <w:t>executar a obra em conformidade com o Código de Obras, a legislação ambiental, a Lei de Diretrizes Urbanas e o projeto aprovado pelo Município;</w:t>
      </w:r>
    </w:p>
    <w:p w14:paraId="722D289A" w14:textId="76CAC704" w:rsidR="006444F5" w:rsidRPr="002562A0" w:rsidRDefault="002562A0" w:rsidP="002562A0">
      <w:pPr>
        <w:pStyle w:val="PargrafodaLista"/>
        <w:spacing w:line="276" w:lineRule="auto"/>
        <w:jc w:val="both"/>
        <w:rPr>
          <w:sz w:val="21"/>
          <w:szCs w:val="21"/>
        </w:rPr>
      </w:pPr>
      <w:r>
        <w:rPr>
          <w:rFonts w:eastAsia="Arial"/>
          <w:sz w:val="21"/>
          <w:szCs w:val="21"/>
        </w:rPr>
        <w:t>(</w:t>
      </w:r>
      <w:proofErr w:type="spellStart"/>
      <w:r>
        <w:rPr>
          <w:rFonts w:eastAsia="Arial"/>
          <w:sz w:val="21"/>
          <w:szCs w:val="21"/>
        </w:rPr>
        <w:t>iv</w:t>
      </w:r>
      <w:proofErr w:type="spellEnd"/>
      <w:r>
        <w:rPr>
          <w:rFonts w:eastAsia="Arial"/>
          <w:sz w:val="21"/>
          <w:szCs w:val="21"/>
        </w:rPr>
        <w:t xml:space="preserve">) </w:t>
      </w:r>
      <w:r w:rsidR="00F414B8" w:rsidRPr="002562A0">
        <w:rPr>
          <w:rFonts w:eastAsia="Arial"/>
          <w:sz w:val="21"/>
          <w:szCs w:val="21"/>
        </w:rPr>
        <w:t>obter e manter as licenças ambientais cabíveis antes do início das atividades;</w:t>
      </w:r>
    </w:p>
    <w:p w14:paraId="272151F0" w14:textId="6D7C21B9" w:rsidR="006444F5" w:rsidRPr="002562A0" w:rsidRDefault="002562A0" w:rsidP="002562A0">
      <w:pPr>
        <w:pStyle w:val="PargrafodaLista"/>
        <w:spacing w:line="276" w:lineRule="auto"/>
        <w:jc w:val="both"/>
        <w:rPr>
          <w:sz w:val="21"/>
          <w:szCs w:val="21"/>
        </w:rPr>
      </w:pPr>
      <w:r>
        <w:rPr>
          <w:rFonts w:eastAsia="Arial"/>
          <w:sz w:val="21"/>
          <w:szCs w:val="21"/>
        </w:rPr>
        <w:t xml:space="preserve">(v) </w:t>
      </w:r>
      <w:r w:rsidR="00F414B8" w:rsidRPr="002562A0">
        <w:rPr>
          <w:rFonts w:eastAsia="Arial"/>
          <w:sz w:val="21"/>
          <w:szCs w:val="21"/>
        </w:rPr>
        <w:t xml:space="preserve">contratar e renovar anualmente cobertura securitária da edificação, com o Município como beneficiário (art. 30, §2º, da Lei); </w:t>
      </w:r>
    </w:p>
    <w:p w14:paraId="378A69FF" w14:textId="67C630F3" w:rsidR="006444F5" w:rsidRPr="002562A0" w:rsidRDefault="002562A0" w:rsidP="002562A0">
      <w:pPr>
        <w:pStyle w:val="PargrafodaLista"/>
        <w:spacing w:line="276" w:lineRule="auto"/>
        <w:jc w:val="both"/>
        <w:rPr>
          <w:sz w:val="21"/>
          <w:szCs w:val="21"/>
        </w:rPr>
      </w:pPr>
      <w:r>
        <w:rPr>
          <w:rFonts w:eastAsia="Arial"/>
          <w:sz w:val="21"/>
          <w:szCs w:val="21"/>
        </w:rPr>
        <w:t xml:space="preserve">(vi) </w:t>
      </w:r>
      <w:r w:rsidR="00F414B8" w:rsidRPr="002562A0">
        <w:rPr>
          <w:rFonts w:eastAsia="Arial"/>
          <w:sz w:val="21"/>
          <w:szCs w:val="21"/>
        </w:rPr>
        <w:t xml:space="preserve">responder, com exclusividade, pelas exigências do Corpo de Bombeiros e pelos encargos civis, administrativos, previdenciários, fiscais e tributários incidentes sobre o imóvel e suas rendas (art. 30, § 3º, e art. 36 da Lei); </w:t>
      </w:r>
    </w:p>
    <w:p w14:paraId="2B3E3B38" w14:textId="02A08293" w:rsidR="000402C1" w:rsidRPr="002562A0" w:rsidRDefault="002562A0" w:rsidP="002562A0">
      <w:pPr>
        <w:pStyle w:val="PargrafodaLista"/>
        <w:spacing w:line="276" w:lineRule="auto"/>
        <w:jc w:val="both"/>
        <w:rPr>
          <w:sz w:val="21"/>
          <w:szCs w:val="21"/>
        </w:rPr>
      </w:pPr>
      <w:r>
        <w:rPr>
          <w:rFonts w:eastAsia="Arial"/>
          <w:sz w:val="21"/>
          <w:szCs w:val="21"/>
        </w:rPr>
        <w:t>(</w:t>
      </w:r>
      <w:proofErr w:type="spellStart"/>
      <w:r>
        <w:rPr>
          <w:rFonts w:eastAsia="Arial"/>
          <w:sz w:val="21"/>
          <w:szCs w:val="21"/>
        </w:rPr>
        <w:t>vii</w:t>
      </w:r>
      <w:proofErr w:type="spellEnd"/>
      <w:r>
        <w:rPr>
          <w:rFonts w:eastAsia="Arial"/>
          <w:sz w:val="21"/>
          <w:szCs w:val="21"/>
        </w:rPr>
        <w:t xml:space="preserve">) </w:t>
      </w:r>
      <w:r w:rsidR="00F414B8" w:rsidRPr="002562A0">
        <w:rPr>
          <w:rFonts w:eastAsia="Arial"/>
          <w:sz w:val="21"/>
          <w:szCs w:val="21"/>
        </w:rPr>
        <w:t>não utilizar, no local, CNPJ diverso do beneficiado pela concessão e não suspender as atividades por prazo superior a 90 (noventa) dias (art. 27, III e V, da Lei).</w:t>
      </w:r>
    </w:p>
    <w:p w14:paraId="2B3E3B39" w14:textId="3A62F09B" w:rsidR="000402C1" w:rsidRPr="002562A0" w:rsidRDefault="002562A0" w:rsidP="002562A0">
      <w:pPr>
        <w:pStyle w:val="PargrafodaLista"/>
        <w:spacing w:line="276" w:lineRule="auto"/>
        <w:jc w:val="both"/>
        <w:rPr>
          <w:sz w:val="21"/>
          <w:szCs w:val="21"/>
        </w:rPr>
      </w:pPr>
      <w:r>
        <w:rPr>
          <w:rFonts w:eastAsia="Arial"/>
          <w:sz w:val="21"/>
          <w:szCs w:val="21"/>
        </w:rPr>
        <w:t>(</w:t>
      </w:r>
      <w:proofErr w:type="spellStart"/>
      <w:r>
        <w:rPr>
          <w:rFonts w:eastAsia="Arial"/>
          <w:sz w:val="21"/>
          <w:szCs w:val="21"/>
        </w:rPr>
        <w:t>viii</w:t>
      </w:r>
      <w:proofErr w:type="spellEnd"/>
      <w:r>
        <w:rPr>
          <w:rFonts w:eastAsia="Arial"/>
          <w:sz w:val="21"/>
          <w:szCs w:val="21"/>
        </w:rPr>
        <w:t xml:space="preserve">) </w:t>
      </w:r>
      <w:r w:rsidR="00F414B8" w:rsidRPr="002562A0">
        <w:rPr>
          <w:rFonts w:eastAsia="Arial"/>
          <w:sz w:val="21"/>
          <w:szCs w:val="21"/>
        </w:rPr>
        <w:t>não ceder, transferir ou suceder a concessão sem prévia e expressa anuência do Município (art. 30 da Lei).</w:t>
      </w:r>
    </w:p>
    <w:p w14:paraId="0D728DF1" w14:textId="020D4C7A" w:rsidR="000402C1" w:rsidRPr="002562A0" w:rsidRDefault="002562A0" w:rsidP="002562A0">
      <w:pPr>
        <w:spacing w:line="276" w:lineRule="auto"/>
        <w:jc w:val="both"/>
        <w:rPr>
          <w:rFonts w:eastAsia="Arial"/>
          <w:sz w:val="21"/>
          <w:szCs w:val="21"/>
        </w:rPr>
      </w:pPr>
      <w:r>
        <w:rPr>
          <w:rFonts w:eastAsia="Arial"/>
          <w:sz w:val="21"/>
          <w:szCs w:val="21"/>
        </w:rPr>
        <w:t xml:space="preserve">5.2. </w:t>
      </w:r>
      <w:r w:rsidR="00F414B8" w:rsidRPr="002562A0">
        <w:rPr>
          <w:rFonts w:eastAsia="Arial"/>
          <w:sz w:val="21"/>
          <w:szCs w:val="21"/>
        </w:rPr>
        <w:t>É vedada a oneração do direito real de uso em garantia de financiamento ou de qualquer outra obrigação (art. 31 da Lei Municipal nº 3.199/2025), e as benfeitorias edificadas pela concessionária constituem investimento próprio, que se perde, sem indenização, em caso de resolução do contrato por descumprimento (arts. 28 e 29 da Lei).</w:t>
      </w:r>
    </w:p>
    <w:p w14:paraId="47B4CF26" w14:textId="77777777" w:rsidR="006444F5" w:rsidRPr="002562A0" w:rsidRDefault="006444F5" w:rsidP="002562A0">
      <w:pPr>
        <w:spacing w:line="276" w:lineRule="auto"/>
        <w:ind w:firstLine="1134"/>
        <w:jc w:val="both"/>
        <w:rPr>
          <w:sz w:val="21"/>
          <w:szCs w:val="21"/>
        </w:rPr>
      </w:pPr>
    </w:p>
    <w:p w14:paraId="7EBC0BAC" w14:textId="533BA8A7" w:rsidR="000402C1" w:rsidRPr="002562A0" w:rsidRDefault="00F414B8" w:rsidP="002562A0">
      <w:pPr>
        <w:spacing w:line="276" w:lineRule="auto"/>
        <w:jc w:val="both"/>
        <w:rPr>
          <w:sz w:val="21"/>
          <w:szCs w:val="21"/>
          <w:u w:val="single"/>
        </w:rPr>
      </w:pPr>
      <w:r w:rsidRPr="002562A0">
        <w:rPr>
          <w:rFonts w:eastAsia="Arial"/>
          <w:b/>
          <w:bCs/>
          <w:sz w:val="21"/>
          <w:szCs w:val="21"/>
          <w:u w:val="single"/>
        </w:rPr>
        <w:t>6. MODELO DE GESTÃO DO CONTRATO E FISCALIZAÇÃO</w:t>
      </w:r>
      <w:r w:rsidR="002562A0">
        <w:rPr>
          <w:rFonts w:eastAsia="Arial"/>
          <w:b/>
          <w:bCs/>
          <w:sz w:val="21"/>
          <w:szCs w:val="21"/>
          <w:u w:val="single"/>
        </w:rPr>
        <w:t>:</w:t>
      </w:r>
    </w:p>
    <w:p w14:paraId="6C47D1DF" w14:textId="3F6439D1" w:rsidR="006444F5" w:rsidRPr="002562A0" w:rsidRDefault="002562A0" w:rsidP="002562A0">
      <w:pPr>
        <w:spacing w:line="276" w:lineRule="auto"/>
        <w:jc w:val="both"/>
        <w:rPr>
          <w:rFonts w:eastAsia="Arial"/>
          <w:sz w:val="21"/>
          <w:szCs w:val="21"/>
        </w:rPr>
      </w:pPr>
      <w:r>
        <w:rPr>
          <w:rFonts w:eastAsia="Arial"/>
          <w:sz w:val="21"/>
          <w:szCs w:val="21"/>
        </w:rPr>
        <w:t xml:space="preserve">6.1. </w:t>
      </w:r>
      <w:r w:rsidR="00F414B8" w:rsidRPr="002562A0">
        <w:rPr>
          <w:rFonts w:eastAsia="Arial"/>
          <w:sz w:val="21"/>
          <w:szCs w:val="21"/>
        </w:rPr>
        <w:t xml:space="preserve">A execução contratual será fiscalizada por servidor designado por portaria, vinculado ao órgão gestor </w:t>
      </w:r>
      <w:r>
        <w:rPr>
          <w:rFonts w:eastAsia="Arial"/>
          <w:sz w:val="21"/>
          <w:szCs w:val="21"/>
        </w:rPr>
        <w:t>-</w:t>
      </w:r>
      <w:r w:rsidR="00F414B8" w:rsidRPr="002562A0">
        <w:rPr>
          <w:rFonts w:eastAsia="Arial"/>
          <w:sz w:val="21"/>
          <w:szCs w:val="21"/>
        </w:rPr>
        <w:t xml:space="preserve"> Secretaria Municipal da Indústria e Comércio </w:t>
      </w:r>
      <w:r w:rsidR="00E44B42">
        <w:rPr>
          <w:rFonts w:eastAsia="Arial"/>
          <w:sz w:val="21"/>
          <w:szCs w:val="21"/>
        </w:rPr>
        <w:t>-</w:t>
      </w:r>
      <w:r w:rsidR="00F414B8" w:rsidRPr="002562A0">
        <w:rPr>
          <w:rFonts w:eastAsia="Arial"/>
          <w:sz w:val="21"/>
          <w:szCs w:val="21"/>
        </w:rPr>
        <w:t xml:space="preserve">, com periodicidade mínima semestral, mediante relatório de conclusão a ser juntado ao processo administrativo, contendo, no mínimo, a verificação do cumprimento dos prazos de implantação, da manutenção do número de empregados, da destinação do imóvel e da regularidade documental da concessionária, nos termos dos arts. 19 e 20 da Lei Municipal nº 3.199/2025 e dos arts. 17 a 19 do Decreto Municipal nº 75/2026, cujo modelo consta do Anexo V daquele Decreto. </w:t>
      </w:r>
    </w:p>
    <w:p w14:paraId="0F18BD5F" w14:textId="00A5C9B3" w:rsidR="000402C1" w:rsidRPr="002562A0" w:rsidRDefault="002562A0" w:rsidP="002562A0">
      <w:pPr>
        <w:spacing w:line="276" w:lineRule="auto"/>
        <w:jc w:val="both"/>
        <w:rPr>
          <w:sz w:val="21"/>
          <w:szCs w:val="21"/>
        </w:rPr>
      </w:pPr>
      <w:r>
        <w:rPr>
          <w:rFonts w:eastAsia="Arial"/>
          <w:sz w:val="21"/>
          <w:szCs w:val="21"/>
        </w:rPr>
        <w:t xml:space="preserve">6.2. </w:t>
      </w:r>
      <w:r w:rsidR="00F414B8" w:rsidRPr="002562A0">
        <w:rPr>
          <w:rFonts w:eastAsia="Arial"/>
          <w:sz w:val="21"/>
          <w:szCs w:val="21"/>
        </w:rPr>
        <w:t>Verificada irregularidade sanável, a concessionária será notificada para regularização no prazo fixado pelo fiscal; verificada irregularidade insanável ou descumprimento relevante, o fiscal encaminhará relatório conclusivo ao órgão gestor para as providências cabíveis, incluída a instauração de processo de resolução e reversão, sempre assegurados o contraditório e a ampla defesa.</w:t>
      </w:r>
    </w:p>
    <w:p w14:paraId="4325B0F7" w14:textId="1A01D1DD" w:rsidR="000402C1" w:rsidRPr="002562A0" w:rsidRDefault="002562A0" w:rsidP="002562A0">
      <w:pPr>
        <w:spacing w:line="276" w:lineRule="auto"/>
        <w:jc w:val="both"/>
        <w:rPr>
          <w:rFonts w:eastAsia="Arial"/>
          <w:sz w:val="21"/>
          <w:szCs w:val="21"/>
        </w:rPr>
      </w:pPr>
      <w:r>
        <w:rPr>
          <w:rFonts w:eastAsia="Arial"/>
          <w:sz w:val="21"/>
          <w:szCs w:val="21"/>
        </w:rPr>
        <w:lastRenderedPageBreak/>
        <w:t xml:space="preserve">6.3. </w:t>
      </w:r>
      <w:r w:rsidR="00F414B8" w:rsidRPr="002562A0">
        <w:rPr>
          <w:rFonts w:eastAsia="Arial"/>
          <w:sz w:val="21"/>
          <w:szCs w:val="21"/>
        </w:rPr>
        <w:t>Nos 30 (trinta) dias anteriores ao término da vigência contratual, o órgão gestor realizará vistoria final do imóvel, lavrando auto de avaliação com a descrição minuciosa de eventuais danos decorrentes de má utilização que importem em desvalorização do bem, para fins de apuração de responsabilidade e, se for o caso, de ressarcimento, na forma do art. 30, §§ 6º a 13, da Lei Municipal nº 3.199/2025 e do art. 19 do Decreto Municipal nº 75/2026, assegurada à concessionária vista do auto e prazo de 3 (três) dias corridos para impugnação.</w:t>
      </w:r>
    </w:p>
    <w:p w14:paraId="52EF3C7E" w14:textId="77777777" w:rsidR="006444F5" w:rsidRPr="002562A0" w:rsidRDefault="006444F5" w:rsidP="002562A0">
      <w:pPr>
        <w:spacing w:line="276" w:lineRule="auto"/>
        <w:ind w:firstLine="1134"/>
        <w:jc w:val="both"/>
        <w:rPr>
          <w:sz w:val="21"/>
          <w:szCs w:val="21"/>
        </w:rPr>
      </w:pPr>
    </w:p>
    <w:p w14:paraId="1802CA33" w14:textId="52DCC0C8" w:rsidR="000402C1" w:rsidRPr="002562A0" w:rsidRDefault="00F414B8" w:rsidP="002562A0">
      <w:pPr>
        <w:spacing w:line="276" w:lineRule="auto"/>
        <w:jc w:val="both"/>
        <w:rPr>
          <w:sz w:val="21"/>
          <w:szCs w:val="21"/>
          <w:u w:val="single"/>
        </w:rPr>
      </w:pPr>
      <w:r w:rsidRPr="002562A0">
        <w:rPr>
          <w:rFonts w:eastAsia="Arial"/>
          <w:b/>
          <w:bCs/>
          <w:sz w:val="21"/>
          <w:szCs w:val="21"/>
          <w:u w:val="single"/>
        </w:rPr>
        <w:t>7. CRITÉRIOS DE MEDIÇÃO E DE PAGAMENTO</w:t>
      </w:r>
      <w:r w:rsidR="002562A0">
        <w:rPr>
          <w:rFonts w:eastAsia="Arial"/>
          <w:b/>
          <w:bCs/>
          <w:sz w:val="21"/>
          <w:szCs w:val="21"/>
          <w:u w:val="single"/>
        </w:rPr>
        <w:t>:</w:t>
      </w:r>
    </w:p>
    <w:p w14:paraId="2C8C83D6" w14:textId="7E22D201" w:rsidR="006444F5" w:rsidRPr="002562A0" w:rsidRDefault="002562A0" w:rsidP="002562A0">
      <w:pPr>
        <w:spacing w:line="276" w:lineRule="auto"/>
        <w:jc w:val="both"/>
        <w:rPr>
          <w:rFonts w:eastAsia="Arial"/>
          <w:sz w:val="21"/>
          <w:szCs w:val="21"/>
        </w:rPr>
      </w:pPr>
      <w:r>
        <w:rPr>
          <w:rFonts w:eastAsia="Arial"/>
          <w:sz w:val="21"/>
          <w:szCs w:val="21"/>
        </w:rPr>
        <w:t xml:space="preserve">7.1. </w:t>
      </w:r>
      <w:r w:rsidR="00F414B8" w:rsidRPr="002562A0">
        <w:rPr>
          <w:rFonts w:eastAsia="Arial"/>
          <w:sz w:val="21"/>
          <w:szCs w:val="21"/>
        </w:rPr>
        <w:t xml:space="preserve">Não se aplicam critérios de medição e pagamento na acepção do art. 6º, XXIII, “e”, da Lei Federal nº 14.133/2021, por se tratar de concessão gratuita de uso de bem público, sem contraprestação pecuniária mensal a cargo do Município. </w:t>
      </w:r>
    </w:p>
    <w:p w14:paraId="3E13D188" w14:textId="2D7304FC" w:rsidR="000402C1" w:rsidRPr="002562A0" w:rsidRDefault="002562A0" w:rsidP="002562A0">
      <w:pPr>
        <w:spacing w:line="276" w:lineRule="auto"/>
        <w:jc w:val="both"/>
        <w:rPr>
          <w:rFonts w:eastAsia="Arial"/>
          <w:sz w:val="21"/>
          <w:szCs w:val="21"/>
        </w:rPr>
      </w:pPr>
      <w:r>
        <w:rPr>
          <w:rFonts w:eastAsia="Arial"/>
          <w:sz w:val="21"/>
          <w:szCs w:val="21"/>
        </w:rPr>
        <w:t xml:space="preserve">7.2. </w:t>
      </w:r>
      <w:r w:rsidR="00F414B8" w:rsidRPr="002562A0">
        <w:rPr>
          <w:rFonts w:eastAsia="Arial"/>
          <w:sz w:val="21"/>
          <w:szCs w:val="21"/>
        </w:rPr>
        <w:t>O correspondente funcional a esses critérios, nesta contratação, é a comprovação periódica do cumprimento das contrapartidas de desenvolvimento assumidas na proposta vencedora (empregos, investimento, prazos), verificada na fiscalização semestral de que trata o item 6 deste Termo de Referência, cujo eventual descumprimento opera, no lugar da retenção de pagamento, a aplicação das sanções e, se for o caso, a resolução do contrato com reversão do imóvel, nos termos do item 13 abaixo.</w:t>
      </w:r>
    </w:p>
    <w:p w14:paraId="19ED3977" w14:textId="77777777" w:rsidR="006444F5" w:rsidRPr="002562A0" w:rsidRDefault="006444F5" w:rsidP="002562A0">
      <w:pPr>
        <w:spacing w:line="276" w:lineRule="auto"/>
        <w:ind w:firstLine="1134"/>
        <w:jc w:val="both"/>
        <w:rPr>
          <w:sz w:val="21"/>
          <w:szCs w:val="21"/>
        </w:rPr>
      </w:pPr>
    </w:p>
    <w:p w14:paraId="195A216E" w14:textId="3093021A" w:rsidR="000402C1" w:rsidRPr="002562A0" w:rsidRDefault="00F414B8" w:rsidP="002562A0">
      <w:pPr>
        <w:spacing w:line="276" w:lineRule="auto"/>
        <w:jc w:val="both"/>
        <w:rPr>
          <w:sz w:val="21"/>
          <w:szCs w:val="21"/>
          <w:u w:val="single"/>
        </w:rPr>
      </w:pPr>
      <w:r w:rsidRPr="002562A0">
        <w:rPr>
          <w:rFonts w:eastAsia="Arial"/>
          <w:b/>
          <w:bCs/>
          <w:sz w:val="21"/>
          <w:szCs w:val="21"/>
          <w:u w:val="single"/>
        </w:rPr>
        <w:t>8. FORMA E CRITÉRIOS DE SELEÇÃO DO FORNECEDOR</w:t>
      </w:r>
      <w:r w:rsidR="002562A0">
        <w:rPr>
          <w:rFonts w:eastAsia="Arial"/>
          <w:b/>
          <w:bCs/>
          <w:sz w:val="21"/>
          <w:szCs w:val="21"/>
          <w:u w:val="single"/>
        </w:rPr>
        <w:t>:</w:t>
      </w:r>
    </w:p>
    <w:p w14:paraId="06F08A73" w14:textId="191470BF" w:rsidR="006444F5" w:rsidRPr="002562A0" w:rsidRDefault="002562A0" w:rsidP="002562A0">
      <w:pPr>
        <w:spacing w:line="276" w:lineRule="auto"/>
        <w:jc w:val="both"/>
        <w:rPr>
          <w:rFonts w:eastAsia="Arial"/>
          <w:sz w:val="21"/>
          <w:szCs w:val="21"/>
        </w:rPr>
      </w:pPr>
      <w:r>
        <w:rPr>
          <w:rFonts w:eastAsia="Arial"/>
          <w:sz w:val="21"/>
          <w:szCs w:val="21"/>
        </w:rPr>
        <w:t xml:space="preserve">8.1. </w:t>
      </w:r>
      <w:r w:rsidR="00F414B8" w:rsidRPr="002562A0">
        <w:rPr>
          <w:rFonts w:eastAsia="Arial"/>
          <w:sz w:val="21"/>
          <w:szCs w:val="21"/>
        </w:rPr>
        <w:t xml:space="preserve">A seleção dar-se-á por licitação na modalidade concorrência, sob a forma presencial, com modo de disputa fechado e sem apresentação de lances, sendo vedada a apresentação de lances por se tratar de concessão gratuita, sem remuneração mensal ao Município. </w:t>
      </w:r>
    </w:p>
    <w:p w14:paraId="31C13654" w14:textId="3D56580F" w:rsidR="000402C1" w:rsidRPr="002562A0" w:rsidRDefault="002562A0" w:rsidP="002562A0">
      <w:pPr>
        <w:spacing w:line="276" w:lineRule="auto"/>
        <w:jc w:val="both"/>
        <w:rPr>
          <w:sz w:val="21"/>
          <w:szCs w:val="21"/>
        </w:rPr>
      </w:pPr>
      <w:r>
        <w:rPr>
          <w:rFonts w:eastAsia="Arial"/>
          <w:sz w:val="21"/>
          <w:szCs w:val="21"/>
        </w:rPr>
        <w:t xml:space="preserve">8.2. </w:t>
      </w:r>
      <w:r w:rsidR="00F414B8" w:rsidRPr="002562A0">
        <w:rPr>
          <w:rFonts w:eastAsia="Arial"/>
          <w:sz w:val="21"/>
          <w:szCs w:val="21"/>
        </w:rPr>
        <w:t>O julgamento dar-se-á pela maior pontuação objetiva das contrapartidas de desenvolvimento, como expressão da proposta mais vantajosa, nos termos dos arts. 24, § 2º, e 25 da Lei Municipal nº 3.199/2025, com aplicação subsidiária da Lei Federal nº 14.133/2021. Não é admitida a participação de consórcios, tendo em vista a natureza unitária e indivisível do objeto e a necessidade de assegurar responsabilidade única pelo cumprimento integral das contrapartidas de desenvolvimento.</w:t>
      </w:r>
    </w:p>
    <w:p w14:paraId="5C4E0549" w14:textId="48A1FC4C" w:rsidR="000402C1" w:rsidRDefault="002562A0" w:rsidP="002562A0">
      <w:pPr>
        <w:spacing w:line="276" w:lineRule="auto"/>
        <w:jc w:val="both"/>
        <w:rPr>
          <w:rFonts w:eastAsia="Arial"/>
          <w:sz w:val="21"/>
          <w:szCs w:val="21"/>
        </w:rPr>
      </w:pPr>
      <w:r>
        <w:rPr>
          <w:rFonts w:eastAsia="Arial"/>
          <w:sz w:val="21"/>
          <w:szCs w:val="21"/>
        </w:rPr>
        <w:t xml:space="preserve">8.3. </w:t>
      </w:r>
      <w:r w:rsidR="00F414B8" w:rsidRPr="002562A0">
        <w:rPr>
          <w:rFonts w:eastAsia="Arial"/>
          <w:sz w:val="21"/>
          <w:szCs w:val="21"/>
        </w:rPr>
        <w:t>A pontuação, de até 100 pontos, observa os critérios e as faixas técnicas apresentadas no Estudo Técnico Preliminar (item 10), reproduzidas de forma consolidada no quadro a seguir, sujeitas à validação final da Secretaria Municipal da Indústria e Comércio e da Secretaria Municipal de Planejamento antes da publicação do edital:</w:t>
      </w:r>
    </w:p>
    <w:p w14:paraId="5A48FC91" w14:textId="77777777" w:rsidR="002562A0" w:rsidRPr="002562A0" w:rsidRDefault="002562A0" w:rsidP="002562A0">
      <w:pPr>
        <w:spacing w:line="276" w:lineRule="auto"/>
        <w:jc w:val="both"/>
        <w:rPr>
          <w:sz w:val="21"/>
          <w:szCs w:val="21"/>
        </w:rPr>
      </w:pPr>
    </w:p>
    <w:tbl>
      <w:tblPr>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81"/>
        <w:gridCol w:w="1559"/>
        <w:gridCol w:w="4963"/>
      </w:tblGrid>
      <w:tr w:rsidR="000402C1" w:rsidRPr="002562A0" w14:paraId="42AED858" w14:textId="77777777" w:rsidTr="002562A0">
        <w:trPr>
          <w:tblHeader/>
        </w:trPr>
        <w:tc>
          <w:tcPr>
            <w:tcW w:w="3681" w:type="dxa"/>
            <w:shd w:val="clear" w:color="auto" w:fill="D9D9D9"/>
            <w:tcMar>
              <w:top w:w="60" w:type="dxa"/>
              <w:left w:w="100" w:type="dxa"/>
              <w:bottom w:w="60" w:type="dxa"/>
              <w:right w:w="100" w:type="dxa"/>
            </w:tcMar>
            <w:vAlign w:val="center"/>
          </w:tcPr>
          <w:p w14:paraId="382DBA61" w14:textId="77777777" w:rsidR="000402C1" w:rsidRPr="002562A0" w:rsidRDefault="00F414B8" w:rsidP="002562A0">
            <w:pPr>
              <w:spacing w:line="276" w:lineRule="auto"/>
              <w:jc w:val="center"/>
              <w:rPr>
                <w:sz w:val="21"/>
                <w:szCs w:val="21"/>
              </w:rPr>
            </w:pPr>
            <w:r w:rsidRPr="002562A0">
              <w:rPr>
                <w:rFonts w:eastAsia="Arial"/>
                <w:b/>
                <w:bCs/>
                <w:sz w:val="21"/>
                <w:szCs w:val="21"/>
              </w:rPr>
              <w:t>Critério</w:t>
            </w:r>
          </w:p>
        </w:tc>
        <w:tc>
          <w:tcPr>
            <w:tcW w:w="1559" w:type="dxa"/>
            <w:shd w:val="clear" w:color="auto" w:fill="D9D9D9"/>
            <w:tcMar>
              <w:top w:w="60" w:type="dxa"/>
              <w:left w:w="100" w:type="dxa"/>
              <w:bottom w:w="60" w:type="dxa"/>
              <w:right w:w="100" w:type="dxa"/>
            </w:tcMar>
            <w:vAlign w:val="center"/>
          </w:tcPr>
          <w:p w14:paraId="4D53F48D" w14:textId="77777777" w:rsidR="000402C1" w:rsidRPr="002562A0" w:rsidRDefault="00F414B8" w:rsidP="002562A0">
            <w:pPr>
              <w:spacing w:line="276" w:lineRule="auto"/>
              <w:jc w:val="center"/>
              <w:rPr>
                <w:sz w:val="21"/>
                <w:szCs w:val="21"/>
              </w:rPr>
            </w:pPr>
            <w:r w:rsidRPr="002562A0">
              <w:rPr>
                <w:rFonts w:eastAsia="Arial"/>
                <w:b/>
                <w:bCs/>
                <w:sz w:val="21"/>
                <w:szCs w:val="21"/>
              </w:rPr>
              <w:t>Peso máximo</w:t>
            </w:r>
          </w:p>
        </w:tc>
        <w:tc>
          <w:tcPr>
            <w:tcW w:w="4963" w:type="dxa"/>
            <w:shd w:val="clear" w:color="auto" w:fill="D9D9D9"/>
            <w:tcMar>
              <w:top w:w="60" w:type="dxa"/>
              <w:left w:w="100" w:type="dxa"/>
              <w:bottom w:w="60" w:type="dxa"/>
              <w:right w:w="100" w:type="dxa"/>
            </w:tcMar>
            <w:vAlign w:val="center"/>
          </w:tcPr>
          <w:p w14:paraId="28D9B2D8" w14:textId="77777777" w:rsidR="000402C1" w:rsidRPr="002562A0" w:rsidRDefault="00F414B8" w:rsidP="002562A0">
            <w:pPr>
              <w:spacing w:line="276" w:lineRule="auto"/>
              <w:rPr>
                <w:sz w:val="21"/>
                <w:szCs w:val="21"/>
              </w:rPr>
            </w:pPr>
            <w:r w:rsidRPr="002562A0">
              <w:rPr>
                <w:rFonts w:eastAsia="Arial"/>
                <w:b/>
                <w:bCs/>
                <w:sz w:val="21"/>
                <w:szCs w:val="21"/>
              </w:rPr>
              <w:t>Forma de comprovação na execução</w:t>
            </w:r>
          </w:p>
        </w:tc>
      </w:tr>
      <w:tr w:rsidR="000402C1" w:rsidRPr="002562A0" w14:paraId="55F8F61E" w14:textId="77777777" w:rsidTr="002562A0">
        <w:tc>
          <w:tcPr>
            <w:tcW w:w="3681" w:type="dxa"/>
            <w:tcMar>
              <w:top w:w="60" w:type="dxa"/>
              <w:left w:w="100" w:type="dxa"/>
              <w:bottom w:w="60" w:type="dxa"/>
              <w:right w:w="100" w:type="dxa"/>
            </w:tcMar>
            <w:vAlign w:val="center"/>
          </w:tcPr>
          <w:p w14:paraId="48AE7392" w14:textId="77777777" w:rsidR="000402C1" w:rsidRPr="002562A0" w:rsidRDefault="00F414B8" w:rsidP="002562A0">
            <w:pPr>
              <w:spacing w:line="276" w:lineRule="auto"/>
              <w:rPr>
                <w:sz w:val="21"/>
                <w:szCs w:val="21"/>
              </w:rPr>
            </w:pPr>
            <w:r w:rsidRPr="002562A0">
              <w:rPr>
                <w:rFonts w:eastAsia="Arial"/>
                <w:sz w:val="21"/>
                <w:szCs w:val="21"/>
              </w:rPr>
              <w:t>Empregos diretos formais (CLT)</w:t>
            </w:r>
          </w:p>
        </w:tc>
        <w:tc>
          <w:tcPr>
            <w:tcW w:w="1559" w:type="dxa"/>
            <w:tcMar>
              <w:top w:w="60" w:type="dxa"/>
              <w:left w:w="100" w:type="dxa"/>
              <w:bottom w:w="60" w:type="dxa"/>
              <w:right w:w="100" w:type="dxa"/>
            </w:tcMar>
            <w:vAlign w:val="center"/>
          </w:tcPr>
          <w:p w14:paraId="67948C71" w14:textId="77777777" w:rsidR="000402C1" w:rsidRPr="002562A0" w:rsidRDefault="00F414B8" w:rsidP="002562A0">
            <w:pPr>
              <w:spacing w:line="276" w:lineRule="auto"/>
              <w:jc w:val="center"/>
              <w:rPr>
                <w:sz w:val="21"/>
                <w:szCs w:val="21"/>
              </w:rPr>
            </w:pPr>
            <w:r w:rsidRPr="002562A0">
              <w:rPr>
                <w:rFonts w:eastAsia="Arial"/>
                <w:sz w:val="21"/>
                <w:szCs w:val="21"/>
              </w:rPr>
              <w:t>40 pontos</w:t>
            </w:r>
          </w:p>
        </w:tc>
        <w:tc>
          <w:tcPr>
            <w:tcW w:w="4963" w:type="dxa"/>
            <w:tcMar>
              <w:top w:w="60" w:type="dxa"/>
              <w:left w:w="100" w:type="dxa"/>
              <w:bottom w:w="60" w:type="dxa"/>
              <w:right w:w="100" w:type="dxa"/>
            </w:tcMar>
            <w:vAlign w:val="center"/>
          </w:tcPr>
          <w:p w14:paraId="48DCB42D" w14:textId="77777777" w:rsidR="000402C1" w:rsidRPr="002562A0" w:rsidRDefault="00F414B8" w:rsidP="002562A0">
            <w:pPr>
              <w:spacing w:line="276" w:lineRule="auto"/>
              <w:rPr>
                <w:sz w:val="21"/>
                <w:szCs w:val="21"/>
              </w:rPr>
            </w:pPr>
            <w:r w:rsidRPr="002562A0">
              <w:rPr>
                <w:rFonts w:eastAsia="Arial"/>
                <w:sz w:val="21"/>
                <w:szCs w:val="21"/>
              </w:rPr>
              <w:t>GFIP / eSocial / CAGED</w:t>
            </w:r>
          </w:p>
        </w:tc>
      </w:tr>
      <w:tr w:rsidR="000402C1" w:rsidRPr="002562A0" w14:paraId="032D5D00" w14:textId="77777777" w:rsidTr="002562A0">
        <w:tc>
          <w:tcPr>
            <w:tcW w:w="3681" w:type="dxa"/>
            <w:tcMar>
              <w:top w:w="60" w:type="dxa"/>
              <w:left w:w="100" w:type="dxa"/>
              <w:bottom w:w="60" w:type="dxa"/>
              <w:right w:w="100" w:type="dxa"/>
            </w:tcMar>
            <w:vAlign w:val="center"/>
          </w:tcPr>
          <w:p w14:paraId="4B06B996" w14:textId="77777777" w:rsidR="000402C1" w:rsidRPr="002562A0" w:rsidRDefault="00F414B8" w:rsidP="002562A0">
            <w:pPr>
              <w:spacing w:line="276" w:lineRule="auto"/>
              <w:rPr>
                <w:sz w:val="21"/>
                <w:szCs w:val="21"/>
              </w:rPr>
            </w:pPr>
            <w:r w:rsidRPr="002562A0">
              <w:rPr>
                <w:rFonts w:eastAsia="Arial"/>
                <w:sz w:val="21"/>
                <w:szCs w:val="21"/>
              </w:rPr>
              <w:t>Investimento total (obras, máquinas e equipamentos)</w:t>
            </w:r>
          </w:p>
        </w:tc>
        <w:tc>
          <w:tcPr>
            <w:tcW w:w="1559" w:type="dxa"/>
            <w:tcMar>
              <w:top w:w="60" w:type="dxa"/>
              <w:left w:w="100" w:type="dxa"/>
              <w:bottom w:w="60" w:type="dxa"/>
              <w:right w:w="100" w:type="dxa"/>
            </w:tcMar>
            <w:vAlign w:val="center"/>
          </w:tcPr>
          <w:p w14:paraId="5C0A7D6B" w14:textId="77777777" w:rsidR="000402C1" w:rsidRPr="002562A0" w:rsidRDefault="00F414B8" w:rsidP="002562A0">
            <w:pPr>
              <w:spacing w:line="276" w:lineRule="auto"/>
              <w:jc w:val="center"/>
              <w:rPr>
                <w:sz w:val="21"/>
                <w:szCs w:val="21"/>
              </w:rPr>
            </w:pPr>
            <w:r w:rsidRPr="002562A0">
              <w:rPr>
                <w:rFonts w:eastAsia="Arial"/>
                <w:sz w:val="21"/>
                <w:szCs w:val="21"/>
              </w:rPr>
              <w:t>30 pontos</w:t>
            </w:r>
          </w:p>
        </w:tc>
        <w:tc>
          <w:tcPr>
            <w:tcW w:w="4963" w:type="dxa"/>
            <w:tcMar>
              <w:top w:w="60" w:type="dxa"/>
              <w:left w:w="100" w:type="dxa"/>
              <w:bottom w:w="60" w:type="dxa"/>
              <w:right w:w="100" w:type="dxa"/>
            </w:tcMar>
            <w:vAlign w:val="center"/>
          </w:tcPr>
          <w:p w14:paraId="197A481E" w14:textId="77777777" w:rsidR="000402C1" w:rsidRPr="002562A0" w:rsidRDefault="00F414B8" w:rsidP="002562A0">
            <w:pPr>
              <w:spacing w:line="276" w:lineRule="auto"/>
              <w:rPr>
                <w:sz w:val="21"/>
                <w:szCs w:val="21"/>
              </w:rPr>
            </w:pPr>
            <w:r w:rsidRPr="002562A0">
              <w:rPr>
                <w:rFonts w:eastAsia="Arial"/>
                <w:sz w:val="21"/>
                <w:szCs w:val="21"/>
              </w:rPr>
              <w:t>Notas fiscais, contratos e comprovantes de pagamento</w:t>
            </w:r>
          </w:p>
        </w:tc>
      </w:tr>
      <w:tr w:rsidR="000402C1" w:rsidRPr="002562A0" w14:paraId="5F2A8127" w14:textId="77777777" w:rsidTr="002562A0">
        <w:tc>
          <w:tcPr>
            <w:tcW w:w="3681" w:type="dxa"/>
            <w:tcMar>
              <w:top w:w="60" w:type="dxa"/>
              <w:left w:w="100" w:type="dxa"/>
              <w:bottom w:w="60" w:type="dxa"/>
              <w:right w:w="100" w:type="dxa"/>
            </w:tcMar>
            <w:vAlign w:val="center"/>
          </w:tcPr>
          <w:p w14:paraId="7E558204" w14:textId="77777777" w:rsidR="000402C1" w:rsidRPr="002562A0" w:rsidRDefault="00F414B8" w:rsidP="002562A0">
            <w:pPr>
              <w:spacing w:line="276" w:lineRule="auto"/>
              <w:rPr>
                <w:sz w:val="21"/>
                <w:szCs w:val="21"/>
              </w:rPr>
            </w:pPr>
            <w:r w:rsidRPr="002562A0">
              <w:rPr>
                <w:rFonts w:eastAsia="Arial"/>
                <w:sz w:val="21"/>
                <w:szCs w:val="21"/>
              </w:rPr>
              <w:t>Área a edificar</w:t>
            </w:r>
          </w:p>
        </w:tc>
        <w:tc>
          <w:tcPr>
            <w:tcW w:w="1559" w:type="dxa"/>
            <w:tcMar>
              <w:top w:w="60" w:type="dxa"/>
              <w:left w:w="100" w:type="dxa"/>
              <w:bottom w:w="60" w:type="dxa"/>
              <w:right w:w="100" w:type="dxa"/>
            </w:tcMar>
            <w:vAlign w:val="center"/>
          </w:tcPr>
          <w:p w14:paraId="3169DC6D" w14:textId="77777777" w:rsidR="000402C1" w:rsidRPr="002562A0" w:rsidRDefault="00F414B8" w:rsidP="002562A0">
            <w:pPr>
              <w:spacing w:line="276" w:lineRule="auto"/>
              <w:jc w:val="center"/>
              <w:rPr>
                <w:sz w:val="21"/>
                <w:szCs w:val="21"/>
              </w:rPr>
            </w:pPr>
            <w:r w:rsidRPr="002562A0">
              <w:rPr>
                <w:rFonts w:eastAsia="Arial"/>
                <w:sz w:val="21"/>
                <w:szCs w:val="21"/>
              </w:rPr>
              <w:t>15 pontos</w:t>
            </w:r>
          </w:p>
        </w:tc>
        <w:tc>
          <w:tcPr>
            <w:tcW w:w="4963" w:type="dxa"/>
            <w:tcMar>
              <w:top w:w="60" w:type="dxa"/>
              <w:left w:w="100" w:type="dxa"/>
              <w:bottom w:w="60" w:type="dxa"/>
              <w:right w:w="100" w:type="dxa"/>
            </w:tcMar>
            <w:vAlign w:val="center"/>
          </w:tcPr>
          <w:p w14:paraId="453A0DA6" w14:textId="77777777" w:rsidR="000402C1" w:rsidRPr="002562A0" w:rsidRDefault="00F414B8" w:rsidP="002562A0">
            <w:pPr>
              <w:spacing w:line="276" w:lineRule="auto"/>
              <w:rPr>
                <w:sz w:val="21"/>
                <w:szCs w:val="21"/>
              </w:rPr>
            </w:pPr>
            <w:r w:rsidRPr="002562A0">
              <w:rPr>
                <w:rFonts w:eastAsia="Arial"/>
                <w:sz w:val="21"/>
                <w:szCs w:val="21"/>
              </w:rPr>
              <w:t>Projeto aprovado e habite-se ou equivalente</w:t>
            </w:r>
          </w:p>
        </w:tc>
      </w:tr>
      <w:tr w:rsidR="000402C1" w:rsidRPr="002562A0" w14:paraId="2CED84E9" w14:textId="77777777" w:rsidTr="002562A0">
        <w:tc>
          <w:tcPr>
            <w:tcW w:w="3681" w:type="dxa"/>
            <w:tcMar>
              <w:top w:w="60" w:type="dxa"/>
              <w:left w:w="100" w:type="dxa"/>
              <w:bottom w:w="60" w:type="dxa"/>
              <w:right w:w="100" w:type="dxa"/>
            </w:tcMar>
            <w:vAlign w:val="center"/>
          </w:tcPr>
          <w:p w14:paraId="7CA9ABED" w14:textId="77777777" w:rsidR="000402C1" w:rsidRPr="002562A0" w:rsidRDefault="00F414B8" w:rsidP="002562A0">
            <w:pPr>
              <w:spacing w:line="276" w:lineRule="auto"/>
              <w:rPr>
                <w:sz w:val="21"/>
                <w:szCs w:val="21"/>
              </w:rPr>
            </w:pPr>
            <w:r w:rsidRPr="002562A0">
              <w:rPr>
                <w:rFonts w:eastAsia="Arial"/>
                <w:sz w:val="21"/>
                <w:szCs w:val="21"/>
              </w:rPr>
              <w:t>Prazo de início de operação (limite de 12 meses)</w:t>
            </w:r>
          </w:p>
        </w:tc>
        <w:tc>
          <w:tcPr>
            <w:tcW w:w="1559" w:type="dxa"/>
            <w:tcMar>
              <w:top w:w="60" w:type="dxa"/>
              <w:left w:w="100" w:type="dxa"/>
              <w:bottom w:w="60" w:type="dxa"/>
              <w:right w:w="100" w:type="dxa"/>
            </w:tcMar>
            <w:vAlign w:val="center"/>
          </w:tcPr>
          <w:p w14:paraId="14359F7B" w14:textId="77777777" w:rsidR="000402C1" w:rsidRPr="002562A0" w:rsidRDefault="00F414B8" w:rsidP="002562A0">
            <w:pPr>
              <w:spacing w:line="276" w:lineRule="auto"/>
              <w:jc w:val="center"/>
              <w:rPr>
                <w:sz w:val="21"/>
                <w:szCs w:val="21"/>
              </w:rPr>
            </w:pPr>
            <w:r w:rsidRPr="002562A0">
              <w:rPr>
                <w:rFonts w:eastAsia="Arial"/>
                <w:sz w:val="21"/>
                <w:szCs w:val="21"/>
              </w:rPr>
              <w:t>10 pontos</w:t>
            </w:r>
          </w:p>
        </w:tc>
        <w:tc>
          <w:tcPr>
            <w:tcW w:w="4963" w:type="dxa"/>
            <w:tcMar>
              <w:top w:w="60" w:type="dxa"/>
              <w:left w:w="100" w:type="dxa"/>
              <w:bottom w:w="60" w:type="dxa"/>
              <w:right w:w="100" w:type="dxa"/>
            </w:tcMar>
            <w:vAlign w:val="center"/>
          </w:tcPr>
          <w:p w14:paraId="6833F93D" w14:textId="77777777" w:rsidR="000402C1" w:rsidRPr="002562A0" w:rsidRDefault="00F414B8" w:rsidP="002562A0">
            <w:pPr>
              <w:spacing w:line="276" w:lineRule="auto"/>
              <w:rPr>
                <w:sz w:val="21"/>
                <w:szCs w:val="21"/>
              </w:rPr>
            </w:pPr>
            <w:r w:rsidRPr="002562A0">
              <w:rPr>
                <w:rFonts w:eastAsia="Arial"/>
                <w:sz w:val="21"/>
                <w:szCs w:val="21"/>
              </w:rPr>
              <w:t>Cronograma de obra e ato de início de operação</w:t>
            </w:r>
          </w:p>
        </w:tc>
      </w:tr>
      <w:tr w:rsidR="000402C1" w:rsidRPr="002562A0" w14:paraId="679D42E3" w14:textId="77777777" w:rsidTr="002562A0">
        <w:tc>
          <w:tcPr>
            <w:tcW w:w="3681" w:type="dxa"/>
            <w:tcMar>
              <w:top w:w="60" w:type="dxa"/>
              <w:left w:w="100" w:type="dxa"/>
              <w:bottom w:w="60" w:type="dxa"/>
              <w:right w:w="100" w:type="dxa"/>
            </w:tcMar>
            <w:vAlign w:val="center"/>
          </w:tcPr>
          <w:p w14:paraId="2F1099C4" w14:textId="77777777" w:rsidR="000402C1" w:rsidRPr="002562A0" w:rsidRDefault="00F414B8" w:rsidP="002562A0">
            <w:pPr>
              <w:spacing w:line="276" w:lineRule="auto"/>
              <w:rPr>
                <w:sz w:val="21"/>
                <w:szCs w:val="21"/>
              </w:rPr>
            </w:pPr>
            <w:r w:rsidRPr="002562A0">
              <w:rPr>
                <w:rFonts w:eastAsia="Arial"/>
                <w:sz w:val="21"/>
                <w:szCs w:val="21"/>
              </w:rPr>
              <w:t>Investimento social direto (bônus)</w:t>
            </w:r>
          </w:p>
        </w:tc>
        <w:tc>
          <w:tcPr>
            <w:tcW w:w="1559" w:type="dxa"/>
            <w:tcMar>
              <w:top w:w="60" w:type="dxa"/>
              <w:left w:w="100" w:type="dxa"/>
              <w:bottom w:w="60" w:type="dxa"/>
              <w:right w:w="100" w:type="dxa"/>
            </w:tcMar>
            <w:vAlign w:val="center"/>
          </w:tcPr>
          <w:p w14:paraId="2AE7B3BE" w14:textId="77777777" w:rsidR="000402C1" w:rsidRPr="002562A0" w:rsidRDefault="00F414B8" w:rsidP="002562A0">
            <w:pPr>
              <w:spacing w:line="276" w:lineRule="auto"/>
              <w:jc w:val="center"/>
              <w:rPr>
                <w:sz w:val="21"/>
                <w:szCs w:val="21"/>
              </w:rPr>
            </w:pPr>
            <w:r w:rsidRPr="002562A0">
              <w:rPr>
                <w:rFonts w:eastAsia="Arial"/>
                <w:sz w:val="21"/>
                <w:szCs w:val="21"/>
              </w:rPr>
              <w:t>5 pontos</w:t>
            </w:r>
          </w:p>
        </w:tc>
        <w:tc>
          <w:tcPr>
            <w:tcW w:w="4963" w:type="dxa"/>
            <w:tcMar>
              <w:top w:w="60" w:type="dxa"/>
              <w:left w:w="100" w:type="dxa"/>
              <w:bottom w:w="60" w:type="dxa"/>
              <w:right w:w="100" w:type="dxa"/>
            </w:tcMar>
            <w:vAlign w:val="center"/>
          </w:tcPr>
          <w:p w14:paraId="15E75B10" w14:textId="77777777" w:rsidR="000402C1" w:rsidRPr="002562A0" w:rsidRDefault="00F414B8" w:rsidP="002562A0">
            <w:pPr>
              <w:spacing w:line="276" w:lineRule="auto"/>
              <w:rPr>
                <w:sz w:val="21"/>
                <w:szCs w:val="21"/>
              </w:rPr>
            </w:pPr>
            <w:r w:rsidRPr="002562A0">
              <w:rPr>
                <w:rFonts w:eastAsia="Arial"/>
                <w:sz w:val="21"/>
                <w:szCs w:val="21"/>
              </w:rPr>
              <w:t>Declaração de valor, beneficiários e comprovantes de execução</w:t>
            </w:r>
          </w:p>
        </w:tc>
      </w:tr>
    </w:tbl>
    <w:p w14:paraId="42B172D9" w14:textId="77777777" w:rsidR="002562A0" w:rsidRDefault="002562A0" w:rsidP="002562A0">
      <w:pPr>
        <w:spacing w:line="276" w:lineRule="auto"/>
        <w:jc w:val="both"/>
        <w:rPr>
          <w:rFonts w:eastAsia="Arial"/>
          <w:sz w:val="21"/>
          <w:szCs w:val="21"/>
        </w:rPr>
      </w:pPr>
    </w:p>
    <w:p w14:paraId="23D2A82A" w14:textId="7AFFCEE7" w:rsidR="000402C1" w:rsidRDefault="002562A0" w:rsidP="002562A0">
      <w:pPr>
        <w:spacing w:line="276" w:lineRule="auto"/>
        <w:jc w:val="both"/>
        <w:rPr>
          <w:rFonts w:eastAsia="Arial"/>
          <w:sz w:val="21"/>
          <w:szCs w:val="21"/>
        </w:rPr>
      </w:pPr>
      <w:r>
        <w:rPr>
          <w:rFonts w:eastAsia="Arial"/>
          <w:sz w:val="21"/>
          <w:szCs w:val="21"/>
        </w:rPr>
        <w:t xml:space="preserve">8.4. </w:t>
      </w:r>
      <w:r w:rsidR="00F414B8" w:rsidRPr="002562A0">
        <w:rPr>
          <w:rFonts w:eastAsia="Arial"/>
          <w:sz w:val="21"/>
          <w:szCs w:val="21"/>
        </w:rPr>
        <w:t>Persistindo empate após a aplicação da pontuação técnica, observam-se sucessivamente os critérios do art. 60 da Lei Federal nº 14.133/2021 (disputa final, desempenho contratual prévio, equidade de gênero, programa de integridade) e, subsidiariamente, a preferência do art. 60, § 1º, da mesma Lei, decidindo-se por sorteio em caso de persistência do empate. É vedado, em qualquer hipótese, considerar como critério de pontuação ou de desempate o fato de a licitante já estar instalada no Município, por vedação expressa do art. 9º, I, “b”, da Lei Federal nº 14.133/2021.</w:t>
      </w:r>
    </w:p>
    <w:p w14:paraId="4E6E6982" w14:textId="77777777" w:rsidR="00390A30" w:rsidRDefault="00390A30" w:rsidP="002562A0">
      <w:pPr>
        <w:spacing w:line="276" w:lineRule="auto"/>
        <w:jc w:val="both"/>
        <w:rPr>
          <w:rFonts w:eastAsia="Arial"/>
          <w:sz w:val="21"/>
          <w:szCs w:val="21"/>
        </w:rPr>
      </w:pPr>
    </w:p>
    <w:p w14:paraId="638A0D07" w14:textId="33BF2493" w:rsidR="000402C1" w:rsidRPr="002562A0" w:rsidRDefault="002562A0" w:rsidP="002562A0">
      <w:pPr>
        <w:spacing w:line="276" w:lineRule="auto"/>
        <w:jc w:val="both"/>
        <w:rPr>
          <w:rFonts w:eastAsia="Arial"/>
          <w:sz w:val="21"/>
          <w:szCs w:val="21"/>
        </w:rPr>
      </w:pPr>
      <w:r>
        <w:rPr>
          <w:rFonts w:eastAsia="Arial"/>
          <w:sz w:val="21"/>
          <w:szCs w:val="21"/>
        </w:rPr>
        <w:lastRenderedPageBreak/>
        <w:t xml:space="preserve">8.5. </w:t>
      </w:r>
      <w:r w:rsidR="00F414B8" w:rsidRPr="002562A0">
        <w:rPr>
          <w:rFonts w:eastAsia="Arial"/>
          <w:sz w:val="21"/>
          <w:szCs w:val="21"/>
        </w:rPr>
        <w:t>A não comprovação, na execução contratual, dos itens declarados na proposta vencedora e pontuados neste certame sujeita a concessionária às sanções do item 13 e, conforme a gravidade, à resolução do contrato, observados o contraditório e a ampla defesa, sem prejuízo da manutenção do contrato nos parâmetros mínimos legais quando o descumprimento recair apenas sobre o quantitativo excedente ao mínimo exigido em lei.</w:t>
      </w:r>
    </w:p>
    <w:p w14:paraId="6621B2B9" w14:textId="77777777" w:rsidR="00F414B8" w:rsidRPr="002562A0" w:rsidRDefault="00F414B8" w:rsidP="002562A0">
      <w:pPr>
        <w:spacing w:line="276" w:lineRule="auto"/>
        <w:ind w:firstLine="1134"/>
        <w:jc w:val="both"/>
        <w:rPr>
          <w:sz w:val="21"/>
          <w:szCs w:val="21"/>
        </w:rPr>
      </w:pPr>
    </w:p>
    <w:p w14:paraId="4222A11B" w14:textId="46EADB51" w:rsidR="000402C1" w:rsidRPr="002562A0" w:rsidRDefault="00F414B8" w:rsidP="002562A0">
      <w:pPr>
        <w:spacing w:line="276" w:lineRule="auto"/>
        <w:jc w:val="both"/>
        <w:rPr>
          <w:sz w:val="21"/>
          <w:szCs w:val="21"/>
          <w:u w:val="single"/>
        </w:rPr>
      </w:pPr>
      <w:r w:rsidRPr="002562A0">
        <w:rPr>
          <w:rFonts w:eastAsia="Arial"/>
          <w:b/>
          <w:bCs/>
          <w:sz w:val="21"/>
          <w:szCs w:val="21"/>
          <w:u w:val="single"/>
        </w:rPr>
        <w:t>9. ESTIMATIVA DO VALOR DA CONCESSÃO</w:t>
      </w:r>
      <w:r w:rsidR="002562A0">
        <w:rPr>
          <w:rFonts w:eastAsia="Arial"/>
          <w:b/>
          <w:bCs/>
          <w:sz w:val="21"/>
          <w:szCs w:val="21"/>
          <w:u w:val="single"/>
        </w:rPr>
        <w:t>:</w:t>
      </w:r>
    </w:p>
    <w:p w14:paraId="60AA426E" w14:textId="24E819C7" w:rsidR="00F414B8" w:rsidRPr="002562A0" w:rsidRDefault="002562A0" w:rsidP="002562A0">
      <w:pPr>
        <w:spacing w:line="276" w:lineRule="auto"/>
        <w:jc w:val="both"/>
        <w:rPr>
          <w:rFonts w:eastAsia="Arial"/>
          <w:sz w:val="21"/>
          <w:szCs w:val="21"/>
        </w:rPr>
      </w:pPr>
      <w:r>
        <w:rPr>
          <w:rFonts w:eastAsia="Arial"/>
          <w:sz w:val="21"/>
          <w:szCs w:val="21"/>
        </w:rPr>
        <w:t xml:space="preserve">9.1. </w:t>
      </w:r>
      <w:r w:rsidR="00F414B8" w:rsidRPr="002562A0">
        <w:rPr>
          <w:rFonts w:eastAsia="Arial"/>
          <w:sz w:val="21"/>
          <w:szCs w:val="21"/>
        </w:rPr>
        <w:t xml:space="preserve">Embora a concessão seja gratuita quanto ao uso do imóvel, apura-se, para fins de referência, transparência e futura base de cálculo do direito de aquisição, o valor de mercado do bem, obtido pela média de três avaliações técnicas realizadas por corretores inscritos no CRECI, nos termos do art. 5º, III, do Decreto Municipal nº 75/2026, no montante de R$ 765.583,33 (setecentos e sessenta e cinco mil, quinhentos e oitenta e três reais e trinta e três centavos), conforme detalhado no item 7 do Estudo Técnico Preliminar. </w:t>
      </w:r>
    </w:p>
    <w:p w14:paraId="458B614D" w14:textId="49C242EC" w:rsidR="000402C1" w:rsidRPr="002562A0" w:rsidRDefault="002562A0" w:rsidP="002562A0">
      <w:pPr>
        <w:spacing w:line="276" w:lineRule="auto"/>
        <w:jc w:val="both"/>
        <w:rPr>
          <w:rFonts w:eastAsia="Arial"/>
          <w:sz w:val="21"/>
          <w:szCs w:val="21"/>
        </w:rPr>
      </w:pPr>
      <w:r>
        <w:rPr>
          <w:rFonts w:eastAsia="Arial"/>
          <w:sz w:val="21"/>
          <w:szCs w:val="21"/>
        </w:rPr>
        <w:t xml:space="preserve">9.2. </w:t>
      </w:r>
      <w:r w:rsidR="00F414B8" w:rsidRPr="002562A0">
        <w:rPr>
          <w:rFonts w:eastAsia="Arial"/>
          <w:sz w:val="21"/>
          <w:szCs w:val="21"/>
        </w:rPr>
        <w:t>Esse valor não vincula o preço de eventual aquisição futura pela concessionária, que será apurado em nova avaliação, atualizada pelo INPC, no ato da assinatura do contrato (art. 8º, § 5º, da Lei Municipal nº 3.199/2025).</w:t>
      </w:r>
    </w:p>
    <w:p w14:paraId="293A7638" w14:textId="77777777" w:rsidR="00F414B8" w:rsidRPr="002562A0" w:rsidRDefault="00F414B8" w:rsidP="002562A0">
      <w:pPr>
        <w:spacing w:line="276" w:lineRule="auto"/>
        <w:ind w:firstLine="1134"/>
        <w:jc w:val="both"/>
        <w:rPr>
          <w:sz w:val="21"/>
          <w:szCs w:val="21"/>
        </w:rPr>
      </w:pPr>
    </w:p>
    <w:p w14:paraId="0F208E4F" w14:textId="3C8E37F1" w:rsidR="000402C1" w:rsidRPr="002562A0" w:rsidRDefault="00F414B8" w:rsidP="002562A0">
      <w:pPr>
        <w:spacing w:line="276" w:lineRule="auto"/>
        <w:jc w:val="both"/>
        <w:rPr>
          <w:sz w:val="21"/>
          <w:szCs w:val="21"/>
          <w:u w:val="single"/>
        </w:rPr>
      </w:pPr>
      <w:r w:rsidRPr="002562A0">
        <w:rPr>
          <w:rFonts w:eastAsia="Arial"/>
          <w:b/>
          <w:bCs/>
          <w:sz w:val="21"/>
          <w:szCs w:val="21"/>
          <w:u w:val="single"/>
        </w:rPr>
        <w:t>10. ADEQUAÇÃO ORÇAMENTÁRIA</w:t>
      </w:r>
      <w:r w:rsidR="002562A0">
        <w:rPr>
          <w:rFonts w:eastAsia="Arial"/>
          <w:b/>
          <w:bCs/>
          <w:sz w:val="21"/>
          <w:szCs w:val="21"/>
          <w:u w:val="single"/>
        </w:rPr>
        <w:t>:</w:t>
      </w:r>
    </w:p>
    <w:p w14:paraId="290A1F82" w14:textId="61401CBA" w:rsidR="00F414B8" w:rsidRPr="002562A0" w:rsidRDefault="002562A0" w:rsidP="002562A0">
      <w:pPr>
        <w:spacing w:line="276" w:lineRule="auto"/>
        <w:jc w:val="both"/>
        <w:rPr>
          <w:rFonts w:eastAsia="Arial"/>
          <w:sz w:val="21"/>
          <w:szCs w:val="21"/>
        </w:rPr>
      </w:pPr>
      <w:r>
        <w:rPr>
          <w:rFonts w:eastAsia="Arial"/>
          <w:sz w:val="21"/>
          <w:szCs w:val="21"/>
        </w:rPr>
        <w:t xml:space="preserve">10.1. </w:t>
      </w:r>
      <w:r w:rsidR="00F414B8" w:rsidRPr="002562A0">
        <w:rPr>
          <w:rFonts w:eastAsia="Arial"/>
          <w:sz w:val="21"/>
          <w:szCs w:val="21"/>
        </w:rPr>
        <w:t xml:space="preserve">A presente contratação não gera despesa orçamentária para o Município, tratando-se de gestão patrimonial de bem público ocioso, razão pela qual é dispensável a indicação de dotação orçamentária, nos termos do art. 18, § 1º, VII, da Lei Federal nº 14.133/2021, de aplicação subsidiária. Não se configura renúncia de receita na acepção do art. 14 da Lei Complementar nº 101/2000, por inexistir tributo, contribuição ou obrigação tributária objeto de desoneração. </w:t>
      </w:r>
    </w:p>
    <w:p w14:paraId="6F001D2D" w14:textId="77F6E09B" w:rsidR="000402C1" w:rsidRPr="002562A0" w:rsidRDefault="002562A0" w:rsidP="002562A0">
      <w:pPr>
        <w:spacing w:line="276" w:lineRule="auto"/>
        <w:jc w:val="both"/>
        <w:rPr>
          <w:sz w:val="21"/>
          <w:szCs w:val="21"/>
        </w:rPr>
      </w:pPr>
      <w:r>
        <w:rPr>
          <w:rFonts w:eastAsia="Arial"/>
          <w:sz w:val="21"/>
          <w:szCs w:val="21"/>
        </w:rPr>
        <w:t xml:space="preserve">10.2. </w:t>
      </w:r>
      <w:r w:rsidR="00F414B8" w:rsidRPr="002562A0">
        <w:rPr>
          <w:rFonts w:eastAsia="Arial"/>
          <w:sz w:val="21"/>
          <w:szCs w:val="21"/>
        </w:rPr>
        <w:t>Recomenda-se, não obstante, o devido registro contábil da destinação do bem no controle patrimonial do Município, nos termos dos arts. 94 a 96 da Lei nº 4.320/1964.</w:t>
      </w:r>
    </w:p>
    <w:p w14:paraId="68838EB8" w14:textId="77777777" w:rsidR="002562A0" w:rsidRDefault="002562A0" w:rsidP="002562A0">
      <w:pPr>
        <w:spacing w:line="276" w:lineRule="auto"/>
        <w:jc w:val="both"/>
        <w:rPr>
          <w:rFonts w:eastAsia="Arial"/>
          <w:b/>
          <w:bCs/>
          <w:sz w:val="21"/>
          <w:szCs w:val="21"/>
        </w:rPr>
      </w:pPr>
    </w:p>
    <w:p w14:paraId="726C3531" w14:textId="1A071797" w:rsidR="000402C1" w:rsidRPr="002562A0" w:rsidRDefault="00F414B8" w:rsidP="002562A0">
      <w:pPr>
        <w:spacing w:line="276" w:lineRule="auto"/>
        <w:jc w:val="both"/>
        <w:rPr>
          <w:sz w:val="21"/>
          <w:szCs w:val="21"/>
          <w:u w:val="single"/>
        </w:rPr>
      </w:pPr>
      <w:r w:rsidRPr="002562A0">
        <w:rPr>
          <w:rFonts w:eastAsia="Arial"/>
          <w:b/>
          <w:bCs/>
          <w:sz w:val="21"/>
          <w:szCs w:val="21"/>
          <w:u w:val="single"/>
        </w:rPr>
        <w:t>11. GARANTIA CONTRATUAL</w:t>
      </w:r>
      <w:r w:rsidR="002562A0">
        <w:rPr>
          <w:rFonts w:eastAsia="Arial"/>
          <w:b/>
          <w:bCs/>
          <w:sz w:val="21"/>
          <w:szCs w:val="21"/>
          <w:u w:val="single"/>
        </w:rPr>
        <w:t>:</w:t>
      </w:r>
    </w:p>
    <w:p w14:paraId="14A65CD6" w14:textId="79773FD4" w:rsidR="00F414B8" w:rsidRPr="002562A0" w:rsidRDefault="002562A0" w:rsidP="002562A0">
      <w:pPr>
        <w:spacing w:line="276" w:lineRule="auto"/>
        <w:jc w:val="both"/>
        <w:rPr>
          <w:rFonts w:eastAsia="Arial"/>
          <w:sz w:val="21"/>
          <w:szCs w:val="21"/>
        </w:rPr>
      </w:pPr>
      <w:r>
        <w:rPr>
          <w:rFonts w:eastAsia="Arial"/>
          <w:sz w:val="21"/>
          <w:szCs w:val="21"/>
        </w:rPr>
        <w:t xml:space="preserve">11.1. </w:t>
      </w:r>
      <w:r w:rsidR="00F414B8" w:rsidRPr="002562A0">
        <w:rPr>
          <w:rFonts w:eastAsia="Arial"/>
          <w:sz w:val="21"/>
          <w:szCs w:val="21"/>
        </w:rPr>
        <w:t xml:space="preserve">Fica dispensada a exigência de garantia contratual prevista nos arts. 96 e seguintes da Lei Federal nº 14.133/2021, por se tratar de concessão gratuita de uso, sem execução de obra, serviço ou fornecimento a cargo do Município e sem risco financeiro para a Administração a ser coberto por caução, seguro-garantia ou fiança bancária. </w:t>
      </w:r>
    </w:p>
    <w:p w14:paraId="3C417DBB" w14:textId="1ACE5A9F" w:rsidR="000402C1" w:rsidRPr="002562A0" w:rsidRDefault="002562A0" w:rsidP="002562A0">
      <w:pPr>
        <w:spacing w:line="276" w:lineRule="auto"/>
        <w:jc w:val="both"/>
        <w:rPr>
          <w:rFonts w:eastAsia="Arial"/>
          <w:sz w:val="21"/>
          <w:szCs w:val="21"/>
        </w:rPr>
      </w:pPr>
      <w:r>
        <w:rPr>
          <w:rFonts w:eastAsia="Arial"/>
          <w:sz w:val="21"/>
          <w:szCs w:val="21"/>
        </w:rPr>
        <w:t xml:space="preserve">11.2. </w:t>
      </w:r>
      <w:r w:rsidR="00F414B8" w:rsidRPr="002562A0">
        <w:rPr>
          <w:rFonts w:eastAsia="Arial"/>
          <w:sz w:val="21"/>
          <w:szCs w:val="21"/>
        </w:rPr>
        <w:t>A proteção patrimonial do Município é assegurada, em seu lugar, pela cláusula resolutória com reversão do imóvel e perda das benfeitorias sem indenização (arts. 27 a 29 da Lei Municipal nº 3.199/2025) e pela exigência de cobertura securitária da edificação, com o Município como beneficiário, renovada anualmente às expensas exclusivas da concessionária (art. 30, § 2º, da Lei).</w:t>
      </w:r>
    </w:p>
    <w:p w14:paraId="4AEA90FC" w14:textId="77777777" w:rsidR="00F414B8" w:rsidRPr="002562A0" w:rsidRDefault="00F414B8" w:rsidP="002562A0">
      <w:pPr>
        <w:spacing w:line="276" w:lineRule="auto"/>
        <w:ind w:firstLine="1134"/>
        <w:jc w:val="both"/>
        <w:rPr>
          <w:sz w:val="21"/>
          <w:szCs w:val="21"/>
        </w:rPr>
      </w:pPr>
    </w:p>
    <w:p w14:paraId="37813C2F" w14:textId="6ED89F73" w:rsidR="000402C1" w:rsidRPr="002562A0" w:rsidRDefault="00F414B8" w:rsidP="002562A0">
      <w:pPr>
        <w:spacing w:line="276" w:lineRule="auto"/>
        <w:jc w:val="both"/>
        <w:rPr>
          <w:sz w:val="21"/>
          <w:szCs w:val="21"/>
          <w:u w:val="single"/>
        </w:rPr>
      </w:pPr>
      <w:r w:rsidRPr="002562A0">
        <w:rPr>
          <w:rFonts w:eastAsia="Arial"/>
          <w:b/>
          <w:bCs/>
          <w:sz w:val="21"/>
          <w:szCs w:val="21"/>
          <w:u w:val="single"/>
        </w:rPr>
        <w:t>12. VIGÊNCIA E PRORROGAÇÃO</w:t>
      </w:r>
      <w:r w:rsidR="002562A0">
        <w:rPr>
          <w:rFonts w:eastAsia="Arial"/>
          <w:b/>
          <w:bCs/>
          <w:sz w:val="21"/>
          <w:szCs w:val="21"/>
          <w:u w:val="single"/>
        </w:rPr>
        <w:t>:</w:t>
      </w:r>
    </w:p>
    <w:p w14:paraId="6BEC1BCB" w14:textId="63B280D3" w:rsidR="00F414B8" w:rsidRPr="002562A0" w:rsidRDefault="002562A0" w:rsidP="002562A0">
      <w:pPr>
        <w:spacing w:line="276" w:lineRule="auto"/>
        <w:jc w:val="both"/>
        <w:rPr>
          <w:rFonts w:eastAsia="Arial"/>
          <w:sz w:val="21"/>
          <w:szCs w:val="21"/>
        </w:rPr>
      </w:pPr>
      <w:r>
        <w:rPr>
          <w:rFonts w:eastAsia="Arial"/>
          <w:sz w:val="21"/>
          <w:szCs w:val="21"/>
        </w:rPr>
        <w:t xml:space="preserve">12.1. </w:t>
      </w:r>
      <w:r w:rsidR="00F414B8" w:rsidRPr="002562A0">
        <w:rPr>
          <w:rFonts w:eastAsia="Arial"/>
          <w:sz w:val="21"/>
          <w:szCs w:val="21"/>
        </w:rPr>
        <w:t xml:space="preserve">O contrato vigorará por 10 (dez) anos, contados na forma fixada na minuta contratual, prorrogável uma única vez por até 10 (dez) anos, conforme conveniência da Administração, no total máximo de 20 (vinte) anos (art. 6º, V, art. 30, § 4º, e art. 34 da Lei Municipal nº 3.199/2025; art. 13, § 1º, do Decreto Municipal nº 75/2026). </w:t>
      </w:r>
    </w:p>
    <w:p w14:paraId="73EEBB53" w14:textId="274100C3" w:rsidR="000402C1" w:rsidRPr="002562A0" w:rsidRDefault="002562A0" w:rsidP="002562A0">
      <w:pPr>
        <w:spacing w:line="276" w:lineRule="auto"/>
        <w:jc w:val="both"/>
        <w:rPr>
          <w:rFonts w:eastAsia="Arial"/>
          <w:sz w:val="21"/>
          <w:szCs w:val="21"/>
        </w:rPr>
      </w:pPr>
      <w:r>
        <w:rPr>
          <w:rFonts w:eastAsia="Arial"/>
          <w:sz w:val="21"/>
          <w:szCs w:val="21"/>
        </w:rPr>
        <w:t xml:space="preserve">12.2. </w:t>
      </w:r>
      <w:r w:rsidR="00F414B8" w:rsidRPr="002562A0">
        <w:rPr>
          <w:rFonts w:eastAsia="Arial"/>
          <w:sz w:val="21"/>
          <w:szCs w:val="21"/>
        </w:rPr>
        <w:t>A prorrogação dependerá de requerimento fundamentado da concessionária, protocolado antes do término do prazo contratual, instruído com prova de regularidade fiscal e cronograma atualizado quando cabível, condicionada à comprovação de regularidade contratual e à manifestação técnica prévia do órgão gestor (art. 12, § 2º, e art. 15 do Decreto Municipal nº 75/2026). Findo o prazo de vigência sem prorrogação, a concessionária devolverá o imóvel ao Município (art. 30, § 5º, da Lei).</w:t>
      </w:r>
    </w:p>
    <w:p w14:paraId="53C0B19D" w14:textId="77777777" w:rsidR="00AC3A2C" w:rsidRDefault="00AC3A2C" w:rsidP="002562A0">
      <w:pPr>
        <w:spacing w:line="276" w:lineRule="auto"/>
        <w:jc w:val="both"/>
        <w:rPr>
          <w:rFonts w:eastAsia="Arial"/>
          <w:b/>
          <w:bCs/>
          <w:sz w:val="21"/>
          <w:szCs w:val="21"/>
          <w:u w:val="single"/>
        </w:rPr>
      </w:pPr>
    </w:p>
    <w:p w14:paraId="289560B5" w14:textId="64A2C732" w:rsidR="000402C1" w:rsidRPr="002562A0" w:rsidRDefault="00F414B8" w:rsidP="002562A0">
      <w:pPr>
        <w:spacing w:line="276" w:lineRule="auto"/>
        <w:jc w:val="both"/>
        <w:rPr>
          <w:sz w:val="21"/>
          <w:szCs w:val="21"/>
          <w:u w:val="single"/>
        </w:rPr>
      </w:pPr>
      <w:r w:rsidRPr="002562A0">
        <w:rPr>
          <w:rFonts w:eastAsia="Arial"/>
          <w:b/>
          <w:bCs/>
          <w:sz w:val="21"/>
          <w:szCs w:val="21"/>
          <w:u w:val="single"/>
        </w:rPr>
        <w:t>13. SANÇÕES ADMINISTRATIVAS</w:t>
      </w:r>
      <w:r w:rsidR="002562A0">
        <w:rPr>
          <w:rFonts w:eastAsia="Arial"/>
          <w:b/>
          <w:bCs/>
          <w:sz w:val="21"/>
          <w:szCs w:val="21"/>
          <w:u w:val="single"/>
        </w:rPr>
        <w:t>:</w:t>
      </w:r>
    </w:p>
    <w:p w14:paraId="05ABB57B" w14:textId="15F349B8" w:rsidR="000402C1" w:rsidRPr="002562A0" w:rsidRDefault="002562A0" w:rsidP="002562A0">
      <w:pPr>
        <w:spacing w:line="276" w:lineRule="auto"/>
        <w:jc w:val="both"/>
        <w:rPr>
          <w:sz w:val="21"/>
          <w:szCs w:val="21"/>
        </w:rPr>
      </w:pPr>
      <w:r>
        <w:rPr>
          <w:rFonts w:eastAsia="Arial"/>
          <w:sz w:val="21"/>
          <w:szCs w:val="21"/>
        </w:rPr>
        <w:t xml:space="preserve">13.1. </w:t>
      </w:r>
      <w:r w:rsidR="00F414B8" w:rsidRPr="002562A0">
        <w:rPr>
          <w:rFonts w:eastAsia="Arial"/>
          <w:sz w:val="21"/>
          <w:szCs w:val="21"/>
        </w:rPr>
        <w:t xml:space="preserve">O descumprimento das obrigações contratuais sujeita a concessionária, sem prejuízo da resolução do contrato e da reversão do imóvel, às sanções de advertência, multa de 10% (dez por cento) sobre o valor do imóvel apurado na forma do item 9, nas hipóteses de descumprimento dos prazos de implantação e do número mínimo de empregos, com retomada do bem em caso de reincidência, sem direito a indenização por benfeitorias; multa de até 500 (quinhentas) vezes o valor da URM, na hipótese de cessão ou sucessão sem anuência prévia do Município; impedimento de licitar e contratar no </w:t>
      </w:r>
      <w:r w:rsidR="00F414B8" w:rsidRPr="002562A0">
        <w:rPr>
          <w:rFonts w:eastAsia="Arial"/>
          <w:sz w:val="21"/>
          <w:szCs w:val="21"/>
        </w:rPr>
        <w:lastRenderedPageBreak/>
        <w:t>âmbito da Administração Pública municipal, pelo prazo de até 3 (três) anos; e declaração de inidoneidade para licitar ou contratar com toda a Administração Pública, pelo prazo de 3 (três) a 6 (seis) anos, nas hipóteses de fraude, conluio, comportamento inidôneo ou prática de ato lesivo previsto no art. 5º da Lei nº 12.846/2013, tudo nos termos do art. 156 da Lei Federal nº 14.133/2021, aplicado subsidiariamente, e do item 16 da minuta de edital.</w:t>
      </w:r>
    </w:p>
    <w:p w14:paraId="275DEC3A" w14:textId="061AF956" w:rsidR="000402C1" w:rsidRPr="002562A0" w:rsidRDefault="002562A0" w:rsidP="002562A0">
      <w:pPr>
        <w:spacing w:line="276" w:lineRule="auto"/>
        <w:jc w:val="both"/>
        <w:rPr>
          <w:rFonts w:eastAsia="Arial"/>
          <w:sz w:val="21"/>
          <w:szCs w:val="21"/>
        </w:rPr>
      </w:pPr>
      <w:r>
        <w:rPr>
          <w:rFonts w:eastAsia="Arial"/>
          <w:sz w:val="21"/>
          <w:szCs w:val="21"/>
        </w:rPr>
        <w:t xml:space="preserve">13.2. </w:t>
      </w:r>
      <w:r w:rsidR="00F414B8" w:rsidRPr="002562A0">
        <w:rPr>
          <w:rFonts w:eastAsia="Arial"/>
          <w:sz w:val="21"/>
          <w:szCs w:val="21"/>
        </w:rPr>
        <w:t>Antes da aplicação de qualquer sanção, o órgão gestor notificará a concessionária, por escrito, com descrição do fato, indicação do dispositivo violado e prazo de defesa nunca inferior a 15 (quinze) dias úteis, exigindo-se, para a declaração de inidoneidade, a instauração de processo de responsabilização conduzido por comissão de, no mínimo, 2 (dois) servidores estáveis, assegurada a produção de provas, nos termos do item 16.5 da minuta de edital.</w:t>
      </w:r>
    </w:p>
    <w:p w14:paraId="1361F533" w14:textId="77777777" w:rsidR="00F414B8" w:rsidRPr="002562A0" w:rsidRDefault="00F414B8" w:rsidP="002562A0">
      <w:pPr>
        <w:spacing w:line="276" w:lineRule="auto"/>
        <w:ind w:firstLine="1134"/>
        <w:jc w:val="both"/>
        <w:rPr>
          <w:sz w:val="21"/>
          <w:szCs w:val="21"/>
        </w:rPr>
      </w:pPr>
    </w:p>
    <w:p w14:paraId="593C3DEB" w14:textId="53DC0C3E" w:rsidR="000402C1" w:rsidRPr="002562A0" w:rsidRDefault="00F414B8" w:rsidP="002562A0">
      <w:pPr>
        <w:spacing w:line="276" w:lineRule="auto"/>
        <w:jc w:val="both"/>
        <w:rPr>
          <w:sz w:val="21"/>
          <w:szCs w:val="21"/>
          <w:u w:val="single"/>
        </w:rPr>
      </w:pPr>
      <w:r w:rsidRPr="002562A0">
        <w:rPr>
          <w:rFonts w:eastAsia="Arial"/>
          <w:b/>
          <w:bCs/>
          <w:sz w:val="21"/>
          <w:szCs w:val="21"/>
          <w:u w:val="single"/>
        </w:rPr>
        <w:t>14. MATRIZ DE RISCOS</w:t>
      </w:r>
      <w:r w:rsidR="002562A0">
        <w:rPr>
          <w:rFonts w:eastAsia="Arial"/>
          <w:b/>
          <w:bCs/>
          <w:sz w:val="21"/>
          <w:szCs w:val="21"/>
          <w:u w:val="single"/>
        </w:rPr>
        <w:t>:</w:t>
      </w:r>
    </w:p>
    <w:p w14:paraId="772039D5" w14:textId="58D2651B" w:rsidR="000402C1" w:rsidRPr="002562A0" w:rsidRDefault="002562A0" w:rsidP="002562A0">
      <w:pPr>
        <w:spacing w:line="276" w:lineRule="auto"/>
        <w:jc w:val="both"/>
        <w:rPr>
          <w:rFonts w:eastAsia="Arial"/>
          <w:sz w:val="21"/>
          <w:szCs w:val="21"/>
        </w:rPr>
      </w:pPr>
      <w:r>
        <w:rPr>
          <w:rFonts w:eastAsia="Arial"/>
          <w:sz w:val="21"/>
          <w:szCs w:val="21"/>
        </w:rPr>
        <w:t xml:space="preserve">14.1. </w:t>
      </w:r>
      <w:r w:rsidR="00F414B8" w:rsidRPr="002562A0">
        <w:rPr>
          <w:rFonts w:eastAsia="Arial"/>
          <w:sz w:val="21"/>
          <w:szCs w:val="21"/>
        </w:rPr>
        <w:t>A matriz de riscos aplicável a este certame é a constante do item 16 do Estudo Técnico Preliminar, que este Termo de Referência reproduz por remissão.</w:t>
      </w:r>
    </w:p>
    <w:p w14:paraId="123666D1" w14:textId="77777777" w:rsidR="00F414B8" w:rsidRPr="002562A0" w:rsidRDefault="00F414B8" w:rsidP="002562A0">
      <w:pPr>
        <w:spacing w:line="276" w:lineRule="auto"/>
        <w:ind w:firstLine="1134"/>
        <w:jc w:val="both"/>
        <w:rPr>
          <w:rFonts w:eastAsia="Arial"/>
          <w:sz w:val="21"/>
          <w:szCs w:val="21"/>
        </w:rPr>
      </w:pPr>
    </w:p>
    <w:p w14:paraId="2A579BF0" w14:textId="1A7DAF3A" w:rsidR="000402C1" w:rsidRPr="002562A0" w:rsidRDefault="00F414B8" w:rsidP="002562A0">
      <w:pPr>
        <w:spacing w:line="276" w:lineRule="auto"/>
        <w:jc w:val="both"/>
        <w:rPr>
          <w:sz w:val="21"/>
          <w:szCs w:val="21"/>
          <w:u w:val="single"/>
        </w:rPr>
      </w:pPr>
      <w:r w:rsidRPr="002562A0">
        <w:rPr>
          <w:rFonts w:eastAsia="Arial"/>
          <w:b/>
          <w:bCs/>
          <w:sz w:val="21"/>
          <w:szCs w:val="21"/>
          <w:u w:val="single"/>
        </w:rPr>
        <w:t>15. DISPOSIÇÕES FINAIS</w:t>
      </w:r>
      <w:r w:rsidR="002562A0">
        <w:rPr>
          <w:rFonts w:eastAsia="Arial"/>
          <w:b/>
          <w:bCs/>
          <w:sz w:val="21"/>
          <w:szCs w:val="21"/>
          <w:u w:val="single"/>
        </w:rPr>
        <w:t>:</w:t>
      </w:r>
    </w:p>
    <w:p w14:paraId="131D0FB9" w14:textId="5CF0F4E3" w:rsidR="00E44B42" w:rsidRDefault="002562A0" w:rsidP="002562A0">
      <w:pPr>
        <w:spacing w:line="276" w:lineRule="auto"/>
        <w:jc w:val="both"/>
        <w:rPr>
          <w:rFonts w:eastAsia="Arial"/>
          <w:sz w:val="21"/>
          <w:szCs w:val="21"/>
        </w:rPr>
      </w:pPr>
      <w:r>
        <w:rPr>
          <w:rFonts w:eastAsia="Arial"/>
          <w:sz w:val="21"/>
          <w:szCs w:val="21"/>
        </w:rPr>
        <w:t xml:space="preserve">15.1. </w:t>
      </w:r>
      <w:r w:rsidR="00F414B8" w:rsidRPr="002562A0">
        <w:rPr>
          <w:rFonts w:eastAsia="Arial"/>
          <w:sz w:val="21"/>
          <w:szCs w:val="21"/>
        </w:rPr>
        <w:t>Este Termo de Referência integra o Edital de Concorrência, vinculando a Administração e os licitantes em todos os seus termos, e deverá ser lido em conjunto com o Estudo Técnico Preliminar</w:t>
      </w:r>
      <w:r w:rsidR="00E44B42">
        <w:rPr>
          <w:rFonts w:eastAsia="Arial"/>
          <w:sz w:val="21"/>
          <w:szCs w:val="21"/>
        </w:rPr>
        <w:t xml:space="preserve">, </w:t>
      </w:r>
      <w:r w:rsidR="00F414B8" w:rsidRPr="002562A0">
        <w:rPr>
          <w:rFonts w:eastAsia="Arial"/>
          <w:sz w:val="21"/>
          <w:szCs w:val="21"/>
        </w:rPr>
        <w:t>a Lei Municipal nº 3.199/2025 e o Decreto Municipal nº 75/2026, que constituem seu fundamento normativo primário, com aplicação subsidiária da Lei Federal</w:t>
      </w:r>
      <w:r w:rsidR="00E44B42">
        <w:rPr>
          <w:rFonts w:eastAsia="Arial"/>
          <w:sz w:val="21"/>
          <w:szCs w:val="21"/>
        </w:rPr>
        <w:br/>
      </w:r>
      <w:r w:rsidR="00F414B8" w:rsidRPr="002562A0">
        <w:rPr>
          <w:rFonts w:eastAsia="Arial"/>
          <w:sz w:val="21"/>
          <w:szCs w:val="21"/>
        </w:rPr>
        <w:t>nº 14.133/2021 e da Lei Complementar nº 123/2006.</w:t>
      </w:r>
    </w:p>
    <w:p w14:paraId="7E060DE4" w14:textId="4D9D848A" w:rsidR="000402C1" w:rsidRPr="002562A0" w:rsidRDefault="00E44B42" w:rsidP="002562A0">
      <w:pPr>
        <w:spacing w:line="276" w:lineRule="auto"/>
        <w:jc w:val="both"/>
        <w:rPr>
          <w:sz w:val="21"/>
          <w:szCs w:val="21"/>
        </w:rPr>
      </w:pPr>
      <w:r>
        <w:rPr>
          <w:rFonts w:eastAsia="Arial"/>
          <w:sz w:val="21"/>
          <w:szCs w:val="21"/>
        </w:rPr>
        <w:t>15.2.</w:t>
      </w:r>
      <w:r w:rsidR="00F414B8" w:rsidRPr="002562A0">
        <w:rPr>
          <w:rFonts w:eastAsia="Arial"/>
          <w:sz w:val="21"/>
          <w:szCs w:val="21"/>
        </w:rPr>
        <w:t xml:space="preserve"> Os casos omissos serão decididos pela autoridade competente, com manifestação prévia do órgão gestor e, quando necessário, da assessoria jurídica e do controle interno, nos termos do item 18.3 da minuta de edital.</w:t>
      </w:r>
    </w:p>
    <w:p w14:paraId="494FDD83" w14:textId="77777777" w:rsidR="000402C1" w:rsidRDefault="000402C1" w:rsidP="002562A0">
      <w:pPr>
        <w:spacing w:line="276" w:lineRule="auto"/>
        <w:rPr>
          <w:sz w:val="21"/>
          <w:szCs w:val="21"/>
        </w:rPr>
      </w:pPr>
    </w:p>
    <w:p w14:paraId="310AAFB0" w14:textId="77777777" w:rsidR="002562A0" w:rsidRDefault="002562A0" w:rsidP="002562A0">
      <w:pPr>
        <w:spacing w:line="276" w:lineRule="auto"/>
        <w:rPr>
          <w:sz w:val="21"/>
          <w:szCs w:val="21"/>
        </w:rPr>
      </w:pPr>
    </w:p>
    <w:p w14:paraId="405FC100" w14:textId="77777777" w:rsidR="002562A0" w:rsidRPr="002562A0" w:rsidRDefault="002562A0" w:rsidP="002562A0">
      <w:pPr>
        <w:spacing w:line="276" w:lineRule="auto"/>
        <w:rPr>
          <w:sz w:val="21"/>
          <w:szCs w:val="21"/>
        </w:rPr>
      </w:pPr>
    </w:p>
    <w:p w14:paraId="0ADE9FF0" w14:textId="77777777" w:rsidR="002562A0" w:rsidRPr="005E5033" w:rsidRDefault="002562A0" w:rsidP="002562A0">
      <w:pPr>
        <w:spacing w:line="264" w:lineRule="auto"/>
        <w:jc w:val="center"/>
        <w:rPr>
          <w:b/>
          <w:bCs/>
          <w:sz w:val="21"/>
          <w:szCs w:val="21"/>
        </w:rPr>
      </w:pPr>
      <w:r w:rsidRPr="005E5033">
        <w:rPr>
          <w:rFonts w:eastAsia="Arial"/>
          <w:b/>
          <w:bCs/>
          <w:sz w:val="21"/>
          <w:szCs w:val="21"/>
        </w:rPr>
        <w:t>Palmitinho/RS, 23 de setembro de 2026</w:t>
      </w:r>
    </w:p>
    <w:p w14:paraId="19AA7934" w14:textId="77777777" w:rsidR="002562A0" w:rsidRDefault="002562A0" w:rsidP="002562A0">
      <w:pPr>
        <w:spacing w:line="264" w:lineRule="auto"/>
        <w:rPr>
          <w:sz w:val="21"/>
          <w:szCs w:val="21"/>
        </w:rPr>
      </w:pPr>
    </w:p>
    <w:p w14:paraId="3BF89084" w14:textId="77777777" w:rsidR="002562A0" w:rsidRPr="00B3044F" w:rsidRDefault="002562A0" w:rsidP="002562A0">
      <w:pPr>
        <w:spacing w:line="264" w:lineRule="auto"/>
        <w:rPr>
          <w:sz w:val="21"/>
          <w:szCs w:val="21"/>
        </w:rPr>
      </w:pPr>
    </w:p>
    <w:p w14:paraId="49CCDC83" w14:textId="77777777" w:rsidR="002562A0" w:rsidRPr="00B3044F" w:rsidRDefault="002562A0" w:rsidP="002562A0">
      <w:pPr>
        <w:spacing w:line="264" w:lineRule="auto"/>
        <w:rPr>
          <w:sz w:val="21"/>
          <w:szCs w:val="21"/>
        </w:rPr>
      </w:pPr>
    </w:p>
    <w:p w14:paraId="11D948DF" w14:textId="77777777" w:rsidR="002562A0" w:rsidRDefault="002562A0" w:rsidP="002562A0">
      <w:pPr>
        <w:spacing w:line="264" w:lineRule="auto"/>
        <w:jc w:val="center"/>
        <w:rPr>
          <w:rFonts w:eastAsia="Arial"/>
          <w:b/>
          <w:bCs/>
          <w:sz w:val="21"/>
          <w:szCs w:val="21"/>
        </w:rPr>
      </w:pPr>
    </w:p>
    <w:p w14:paraId="53346F25" w14:textId="347BF0FF" w:rsidR="002562A0" w:rsidRPr="005E5033" w:rsidRDefault="002562A0" w:rsidP="002562A0">
      <w:pPr>
        <w:spacing w:line="264" w:lineRule="auto"/>
        <w:jc w:val="center"/>
        <w:rPr>
          <w:rFonts w:eastAsia="Arial"/>
          <w:b/>
          <w:bCs/>
          <w:sz w:val="21"/>
          <w:szCs w:val="21"/>
        </w:rPr>
      </w:pPr>
      <w:r w:rsidRPr="005E5033">
        <w:rPr>
          <w:rFonts w:eastAsia="Arial"/>
          <w:b/>
          <w:bCs/>
          <w:sz w:val="21"/>
          <w:szCs w:val="21"/>
        </w:rPr>
        <w:t>_____________________________________</w:t>
      </w:r>
      <w:r>
        <w:rPr>
          <w:rFonts w:eastAsia="Arial"/>
          <w:b/>
          <w:bCs/>
          <w:sz w:val="21"/>
          <w:szCs w:val="21"/>
        </w:rPr>
        <w:t>___</w:t>
      </w:r>
      <w:r w:rsidRPr="005E5033">
        <w:rPr>
          <w:rFonts w:eastAsia="Arial"/>
          <w:b/>
          <w:bCs/>
          <w:sz w:val="21"/>
          <w:szCs w:val="21"/>
        </w:rPr>
        <w:t>_______</w:t>
      </w:r>
    </w:p>
    <w:p w14:paraId="1D98CB51" w14:textId="77777777" w:rsidR="002562A0" w:rsidRPr="005E5033" w:rsidRDefault="002562A0" w:rsidP="002562A0">
      <w:pPr>
        <w:spacing w:line="264" w:lineRule="auto"/>
        <w:jc w:val="center"/>
        <w:rPr>
          <w:b/>
          <w:bCs/>
          <w:sz w:val="21"/>
          <w:szCs w:val="21"/>
        </w:rPr>
      </w:pPr>
      <w:r w:rsidRPr="005E5033">
        <w:rPr>
          <w:b/>
          <w:bCs/>
          <w:sz w:val="21"/>
          <w:szCs w:val="21"/>
        </w:rPr>
        <w:t>JAIRA MARIA DA MOTTA DETERS</w:t>
      </w:r>
    </w:p>
    <w:p w14:paraId="09BC92FC" w14:textId="77777777" w:rsidR="002562A0" w:rsidRPr="005E5033" w:rsidRDefault="002562A0" w:rsidP="002562A0">
      <w:pPr>
        <w:spacing w:line="264" w:lineRule="auto"/>
        <w:jc w:val="center"/>
        <w:rPr>
          <w:rFonts w:eastAsia="Arial"/>
          <w:b/>
          <w:bCs/>
          <w:sz w:val="21"/>
          <w:szCs w:val="21"/>
        </w:rPr>
      </w:pPr>
      <w:r w:rsidRPr="005E5033">
        <w:rPr>
          <w:rFonts w:eastAsia="Arial"/>
          <w:b/>
          <w:bCs/>
          <w:sz w:val="21"/>
          <w:szCs w:val="21"/>
        </w:rPr>
        <w:t>Secretária Municipal da Indústria e Comércio</w:t>
      </w:r>
    </w:p>
    <w:p w14:paraId="68E5D50B" w14:textId="4C132D07" w:rsidR="000402C1" w:rsidRPr="002562A0" w:rsidRDefault="000402C1" w:rsidP="002562A0">
      <w:pPr>
        <w:spacing w:line="276" w:lineRule="auto"/>
        <w:jc w:val="center"/>
        <w:rPr>
          <w:sz w:val="21"/>
          <w:szCs w:val="21"/>
        </w:rPr>
      </w:pPr>
    </w:p>
    <w:sectPr w:rsidR="000402C1" w:rsidRPr="002562A0" w:rsidSect="002562A0">
      <w:pgSz w:w="11906" w:h="16838"/>
      <w:pgMar w:top="1985" w:right="851" w:bottom="1701" w:left="851" w:header="0"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72BB1"/>
    <w:multiLevelType w:val="hybridMultilevel"/>
    <w:tmpl w:val="9F18C45E"/>
    <w:lvl w:ilvl="0" w:tplc="E81C3396">
      <w:start w:val="1"/>
      <w:numFmt w:val="bullet"/>
      <w:lvlText w:val="●"/>
      <w:lvlJc w:val="left"/>
      <w:pPr>
        <w:ind w:left="720" w:hanging="360"/>
      </w:pPr>
    </w:lvl>
    <w:lvl w:ilvl="1" w:tplc="8664150E">
      <w:start w:val="1"/>
      <w:numFmt w:val="bullet"/>
      <w:lvlText w:val="○"/>
      <w:lvlJc w:val="left"/>
      <w:pPr>
        <w:ind w:left="1440" w:hanging="360"/>
      </w:pPr>
    </w:lvl>
    <w:lvl w:ilvl="2" w:tplc="19A2B862">
      <w:start w:val="1"/>
      <w:numFmt w:val="bullet"/>
      <w:lvlText w:val="■"/>
      <w:lvlJc w:val="left"/>
      <w:pPr>
        <w:ind w:left="2160" w:hanging="360"/>
      </w:pPr>
    </w:lvl>
    <w:lvl w:ilvl="3" w:tplc="37ECBA5E">
      <w:start w:val="1"/>
      <w:numFmt w:val="bullet"/>
      <w:lvlText w:val="●"/>
      <w:lvlJc w:val="left"/>
      <w:pPr>
        <w:ind w:left="2880" w:hanging="360"/>
      </w:pPr>
    </w:lvl>
    <w:lvl w:ilvl="4" w:tplc="3774DED2">
      <w:start w:val="1"/>
      <w:numFmt w:val="bullet"/>
      <w:lvlText w:val="○"/>
      <w:lvlJc w:val="left"/>
      <w:pPr>
        <w:ind w:left="3600" w:hanging="360"/>
      </w:pPr>
    </w:lvl>
    <w:lvl w:ilvl="5" w:tplc="B42229C6">
      <w:start w:val="1"/>
      <w:numFmt w:val="bullet"/>
      <w:lvlText w:val="■"/>
      <w:lvlJc w:val="left"/>
      <w:pPr>
        <w:ind w:left="4320" w:hanging="360"/>
      </w:pPr>
    </w:lvl>
    <w:lvl w:ilvl="6" w:tplc="E25CA918">
      <w:start w:val="1"/>
      <w:numFmt w:val="bullet"/>
      <w:lvlText w:val="●"/>
      <w:lvlJc w:val="left"/>
      <w:pPr>
        <w:ind w:left="5040" w:hanging="360"/>
      </w:pPr>
    </w:lvl>
    <w:lvl w:ilvl="7" w:tplc="A516CF16">
      <w:start w:val="1"/>
      <w:numFmt w:val="bullet"/>
      <w:lvlText w:val="●"/>
      <w:lvlJc w:val="left"/>
      <w:pPr>
        <w:ind w:left="5760" w:hanging="360"/>
      </w:pPr>
    </w:lvl>
    <w:lvl w:ilvl="8" w:tplc="19D8D9A2">
      <w:start w:val="1"/>
      <w:numFmt w:val="bullet"/>
      <w:lvlText w:val="●"/>
      <w:lvlJc w:val="left"/>
      <w:pPr>
        <w:ind w:left="6480" w:hanging="360"/>
      </w:pPr>
    </w:lvl>
  </w:abstractNum>
  <w:abstractNum w:abstractNumId="1" w15:restartNumberingAfterBreak="0">
    <w:nsid w:val="5C5163A3"/>
    <w:multiLevelType w:val="hybridMultilevel"/>
    <w:tmpl w:val="A5704088"/>
    <w:lvl w:ilvl="0" w:tplc="0796618A">
      <w:start w:val="1"/>
      <w:numFmt w:val="lowerRoman"/>
      <w:lvlText w:val="(%1)"/>
      <w:lvlJc w:val="left"/>
      <w:pPr>
        <w:ind w:left="1854" w:hanging="720"/>
      </w:pPr>
      <w:rPr>
        <w:rFonts w:ascii="Arial" w:hAnsi="Arial" w:cs="Arial"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1765496181">
    <w:abstractNumId w:val="0"/>
    <w:lvlOverride w:ilvl="0">
      <w:startOverride w:val="1"/>
    </w:lvlOverride>
  </w:num>
  <w:num w:numId="2" w16cid:durableId="1643652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2C1"/>
    <w:rsid w:val="000402C1"/>
    <w:rsid w:val="00226E2C"/>
    <w:rsid w:val="002562A0"/>
    <w:rsid w:val="00390A30"/>
    <w:rsid w:val="006444F5"/>
    <w:rsid w:val="007B777F"/>
    <w:rsid w:val="007F3982"/>
    <w:rsid w:val="00AC3A2C"/>
    <w:rsid w:val="00BB2A8F"/>
    <w:rsid w:val="00C06655"/>
    <w:rsid w:val="00DF67F4"/>
    <w:rsid w:val="00E44B42"/>
    <w:rsid w:val="00EE3E26"/>
    <w:rsid w:val="00F414B8"/>
    <w:rsid w:val="00FC38EE"/>
    <w:rsid w:val="00FD0B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82A96"/>
  <w15:docId w15:val="{8E549E92-9136-4065-89AB-349AD7D2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Textodecomentrio">
    <w:name w:val="annotation text"/>
    <w:basedOn w:val="Normal"/>
    <w:link w:val="TextodecomentrioChar"/>
    <w:uiPriority w:val="99"/>
    <w:semiHidden/>
    <w:unhideWhenUsed/>
  </w:style>
  <w:style w:type="character" w:customStyle="1" w:styleId="TextodecomentrioChar">
    <w:name w:val="Texto de comentário Char"/>
    <w:basedOn w:val="Fontepargpadro"/>
    <w:link w:val="Textodecomentrio"/>
    <w:uiPriority w:val="99"/>
    <w:semiHidden/>
  </w:style>
  <w:style w:type="character" w:styleId="Refdecomentrio">
    <w:name w:val="annotation reference"/>
    <w:basedOn w:val="Fontepargpadr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2878</Words>
  <Characters>15547</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Licitação</cp:lastModifiedBy>
  <cp:revision>11</cp:revision>
  <dcterms:created xsi:type="dcterms:W3CDTF">2026-09-21T14:44:00Z</dcterms:created>
  <dcterms:modified xsi:type="dcterms:W3CDTF">2026-10-06T17:15:00Z</dcterms:modified>
</cp:coreProperties>
</file>