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sz w:val="22"/>
          <w:szCs w:val="22"/>
        </w:rPr>
      </w:pPr>
      <w:r>
        <w:rPr>
          <w:b/>
          <w:color w:val="auto"/>
          <w:sz w:val="22"/>
          <w:szCs w:val="22"/>
        </w:rPr>
        <w:t>ESTUDO TÉCNICO PRELIMINAR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PROCESSO ADMINISTRATIVO Nº 026/2024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Município de Giruá – RS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Secretaria Municipal de </w:t>
      </w:r>
      <w:r>
        <w:rPr>
          <w:rFonts w:eastAsia="Times New Roman" w:cs="Arial"/>
          <w:b/>
          <w:bCs/>
          <w:color w:val="auto"/>
          <w:kern w:val="0"/>
          <w:sz w:val="22"/>
          <w:szCs w:val="22"/>
          <w:lang w:val="pt-BR" w:eastAsia="zh-CN" w:bidi="ar-SA"/>
        </w:rPr>
        <w:t>Educação e Cultura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Necessidade da Administração: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Contratação de banda, para realização de show musical na 15ª Feira do Butiá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1. DESCRIÇÃO DA NECESSIDADE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O objeto da presente contratação é a prestação de serviços de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 xml:space="preserve"> banda para realizar show musical na 15ª Feira do Butiá 2024, no dia 08 de março de 2024.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A contratação é necessária pa</w:t>
      </w:r>
      <w:r>
        <w:rPr>
          <w:b w:val="false"/>
          <w:bCs w:val="false"/>
          <w:color w:val="auto"/>
          <w:sz w:val="22"/>
          <w:szCs w:val="22"/>
        </w:rPr>
        <w:t>ra proporcionar show musical a comunidade giruaense e demais visitantes, que atenda diversas faixas etárias, com trilha sonora diversificada, para  integrar as programações de entretenimento da 15ª Feira do Butiá 2024.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eastAsia="Courier New" w:cs="Courier New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  <w:lang w:val="pt-BR"/>
        </w:rPr>
        <w:tab/>
        <w:t>A contratação visa proporcionar momentos de integração e entretenimento para o público que irá  prestigiar o evento. A referida Banda d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esde a sua fundação, datada no dia 01 de agosto de 1999, acumulou inúmeras histórias, amizades e fãs em inúmeros palcos em todo o Sul do Brasil. Realiza em média 200 shows anuais e seu público alvo, possui idades entre 15 e 60 anos. Já participou de programas como o Jornal do Almoço (RBS TV), Studio Pampa (Rede Pampa), Mistura com Rodaika (RBS TV), Rio Grande sem Fronteiras (Rede Record), além de outros e possui sem sombra de dúvidas, umas das melhores estruturas de som e luzes do sul do país. Lançou 11 álbuns com músicas autorais, que tocaram a alma e o coração de muitas pessoas e como fruto disso, foram premiados com Disco de Ouro em 2012  mesmo ano em que gravaram o primeiro DVD, fazendo um apanhado dos sucessos da carreira e apresentando novas canções.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ab/>
        <w:t>O Show da banda Porto do Som é eclético, fazendo uma viagem no tempo e relembrando grandes sucessos do passado e também da atualidade, incluindo músicas regionais, tradicionalistas e até mesmo nacionais e internacionais. Um show animado que agrada tanto pela qualidade musical, quanto a sua versatilidade.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eastAsia="Courier New" w:cs="Courier New"/>
          <w:sz w:val="22"/>
          <w:szCs w:val="22"/>
          <w:lang w:val="pt-BR"/>
        </w:rPr>
        <w:tab/>
        <w:t xml:space="preserve">Visando atender e proporcionar show com diversificados estilos musicais ao público presente, optou-se pela contratação da banda   </w:t>
      </w:r>
      <w:r>
        <w:rPr>
          <w:rFonts w:eastAsia="Courier New" w:cs="Courier New"/>
          <w:b w:val="false"/>
          <w:bCs w:val="false"/>
          <w:color w:val="000000"/>
          <w:sz w:val="22"/>
          <w:szCs w:val="22"/>
          <w:shd w:fill="auto" w:val="clear"/>
          <w:lang w:val="pt-BR"/>
        </w:rPr>
        <w:t xml:space="preserve">Porto do Som </w:t>
      </w:r>
      <w:r>
        <w:rPr>
          <w:rFonts w:eastAsia="Courier New" w:cs="Courier New"/>
          <w:sz w:val="22"/>
          <w:szCs w:val="22"/>
          <w:lang w:val="pt-BR"/>
        </w:rPr>
        <w:t xml:space="preserve">, sabendo que os mesmos são referência no ramo de show artístico; considerando a experiência em shows e o reconhecimento regional, estadual e nacional, conforme pode ser verificado em buscas realizadas em sua agenda de shows e em outros sites de informações disponíveis na internet.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eastAsia="Courier New" w:cs="Courier New"/>
          <w:sz w:val="22"/>
          <w:szCs w:val="22"/>
          <w:lang w:val="pt-BR"/>
        </w:rPr>
        <w:tab/>
        <w:t>O show realizar-se-á no dia 08 de março de 2024, no Palco Cultural da 15ª Feira do Butiá 2024, do parque de exposições Olmiro callai, com início as 21h e 30min, com duração de aproximadamente 2h e 30min de show.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eastAsia="Courier New" w:cs="Courier New"/>
          <w:sz w:val="22"/>
          <w:szCs w:val="22"/>
          <w:u w:val="single"/>
          <w:lang w:val="pt-BR"/>
        </w:rPr>
        <w:t>01 serv. de Show Musical: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eastAsia="Courier New" w:cs="Courier New"/>
          <w:b w:val="false"/>
          <w:bCs w:val="false"/>
          <w:color w:val="000000"/>
          <w:sz w:val="22"/>
          <w:szCs w:val="22"/>
          <w:shd w:fill="auto" w:val="clear"/>
          <w:lang w:val="pt-BR"/>
        </w:rPr>
        <w:t>* Os equipamentos e instrumentos musicais de uso pessoal dos componentes ou da banda como um todo, é de responsabilidade da banda para realização do show;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A contratação pretendida está prevista no Plano de Contratações Anual do Município de Giruá,</w:t>
      </w:r>
      <w:r>
        <w:rPr>
          <w:strike w:val="false"/>
          <w:dstrike w:val="false"/>
          <w:color w:val="auto"/>
          <w:sz w:val="22"/>
          <w:szCs w:val="22"/>
        </w:rPr>
        <w:t xml:space="preserve"> </w:t>
      </w:r>
      <w:r>
        <w:rPr>
          <w:b/>
          <w:bCs/>
          <w:strike w:val="false"/>
          <w:dstrike w:val="false"/>
          <w:color w:val="auto"/>
          <w:sz w:val="22"/>
          <w:szCs w:val="22"/>
        </w:rPr>
        <w:t xml:space="preserve">como se vê no item Nº 27711 </w:t>
      </w:r>
      <w:r>
        <w:rPr>
          <w:b w:val="false"/>
          <w:bCs w:val="false"/>
          <w:strike w:val="false"/>
          <w:dstrike w:val="false"/>
          <w:color w:val="auto"/>
          <w:sz w:val="22"/>
          <w:szCs w:val="22"/>
        </w:rPr>
        <w:t>daquele documento,</w:t>
      </w:r>
      <w:r>
        <w:rPr>
          <w:b w:val="false"/>
          <w:bCs w:val="false"/>
          <w:color w:val="auto"/>
          <w:sz w:val="22"/>
          <w:szCs w:val="22"/>
        </w:rPr>
        <w:t xml:space="preserve"> e</w:t>
      </w:r>
      <w:r>
        <w:rPr>
          <w:color w:val="auto"/>
          <w:sz w:val="22"/>
          <w:szCs w:val="22"/>
        </w:rPr>
        <w:t xml:space="preserve">stando assim alinhada com o planejamento desta Administração.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3. DESCRIÇÃO DOS REQUISITOS DA CONTRATAÇÃO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>A presente contratação visa a realização de show musical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,</w:t>
      </w:r>
      <w:r>
        <w:rPr>
          <w:color w:val="auto"/>
          <w:sz w:val="22"/>
          <w:szCs w:val="22"/>
          <w:lang w:val="pt-BR"/>
        </w:rPr>
        <w:t xml:space="preserve"> o qual já teve sua importância destacada no tópico precedente.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 xml:space="preserve">A vigência, a contar da assinatura do instrumento contratual, deverá ser pelo prazo de 45 (quarenta e cinco) dias, podendo ser prorrogado por período igual e sucessivamente, mediante termos aditivos conforme a Lei nº 14.133/2021. 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A empresa contratada será responsável pela </w:t>
      </w:r>
      <w:r>
        <w:rPr>
          <w:rFonts w:eastAsia="Times New Roman" w:cs="Times New Roman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prestação dos serviços que deverá ser feita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 no dia 08 de março de 2024, às 21:30h, no Palco Cultural, no parque de exposições Olmiro Callai, na Rua Padre Dionísio Basso, Vila Hípica, no município de Giruá.</w:t>
      </w:r>
    </w:p>
    <w:p>
      <w:pPr>
        <w:pStyle w:val="BodyText"/>
        <w:spacing w:lineRule="auto" w:line="36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BodyText"/>
        <w:spacing w:lineRule="auto" w:line="360"/>
        <w:rPr>
          <w:sz w:val="22"/>
          <w:szCs w:val="22"/>
        </w:rPr>
      </w:pP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ab/>
        <w:t xml:space="preserve">A gestão e a fiscalização do objeto contratado serão realizadas conforme o disposto na 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Portaria nº </w:t>
      </w:r>
      <w:r>
        <w:rPr>
          <w:rFonts w:eastAsia="Arial" w:cs="Arial" w:ascii="Arial" w:hAnsi="Arial"/>
          <w:b/>
          <w:bCs/>
          <w:color w:val="000000"/>
          <w:spacing w:val="0"/>
          <w:kern w:val="0"/>
          <w:sz w:val="22"/>
          <w:szCs w:val="22"/>
          <w:shd w:fill="auto" w:val="clear"/>
          <w:lang w:val="pt-BR" w:eastAsia="zh-CN" w:bidi="ar-SA"/>
        </w:rPr>
        <w:t>21.293/2024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>,</w:t>
      </w: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 xml:space="preserve"> q</w:t>
      </w:r>
      <w:r>
        <w:rPr>
          <w:rFonts w:eastAsia="Arial" w:cs="Arial" w:ascii="Arial" w:hAnsi="Arial"/>
          <w:color w:val="000000"/>
          <w:spacing w:val="0"/>
          <w:sz w:val="22"/>
          <w:szCs w:val="22"/>
          <w:shd w:fill="auto" w:val="clear"/>
        </w:rPr>
        <w:t>ue “Designa Fiscais de contrato, para acompanhar e fiscalizar a execução do(s) Contrato(s) celebrado(s) entre o MUNICÍPIO DE GIRUÁ e a empresas contratadas, de acordo com cada Secretaria municipal, onde está lotado o servidor, a qual passa a vigorar conforme segue”, nos termos do Art. 92, XVIII, da Lei Federal nº 14.133/2021.</w:t>
      </w:r>
    </w:p>
    <w:p>
      <w:pPr>
        <w:pStyle w:val="BodyText"/>
        <w:spacing w:lineRule="auto" w:line="360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Os </w:t>
      </w:r>
      <w:r>
        <w:rPr>
          <w:rFonts w:eastAsia="Times New Roman" w:cs="Times New Roman" w:ascii="Arial" w:hAnsi="Arial"/>
          <w:color w:val="000000"/>
          <w:kern w:val="0"/>
          <w:sz w:val="22"/>
          <w:szCs w:val="22"/>
          <w:shd w:fill="auto" w:val="clear"/>
          <w:lang w:val="pt-BR" w:eastAsia="zh-CN" w:bidi="ar-SA"/>
        </w:rPr>
        <w:t>serviços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deverão ser os mesmos indicados na proposta apresentada pela vencedora, sob pena de aplicação das penalidades previstas.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ab/>
        <w:t>A empresa deverá estar com os equipamentos montados e testados 30 (trinta) minutos antes do início do show, bem, como fazer a passagem de som, evitando transtornos e ruídos, na hora da apresentação;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ab/>
        <w:t>É de responsabilidade da empresa equipamentos e instrumentos musicais, para realização do show;</w:t>
      </w:r>
    </w:p>
    <w:p>
      <w:pPr>
        <w:pStyle w:val="BodyText"/>
        <w:spacing w:lineRule="auto" w:line="360"/>
        <w:rPr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ab/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auto" w:val="clear"/>
        </w:rPr>
        <w:tab/>
        <w:t xml:space="preserve">Os </w:t>
      </w:r>
      <w:r>
        <w:rPr>
          <w:b/>
          <w:bCs/>
          <w:color w:val="000000"/>
          <w:sz w:val="22"/>
          <w:szCs w:val="22"/>
          <w:shd w:fill="auto" w:val="clear"/>
        </w:rPr>
        <w:t>requisitos de contratação estarão presentes no Termo de Referência</w:t>
      </w:r>
      <w:r>
        <w:rPr>
          <w:color w:val="000000"/>
          <w:sz w:val="22"/>
          <w:szCs w:val="22"/>
          <w:shd w:fill="auto" w:val="clear"/>
        </w:rPr>
        <w:t xml:space="preserve"> da presente contratação, onde constam descritos os </w:t>
      </w:r>
      <w:r>
        <w:rPr>
          <w:b/>
          <w:bCs/>
          <w:color w:val="000000"/>
          <w:sz w:val="22"/>
          <w:szCs w:val="22"/>
          <w:shd w:fill="auto" w:val="clear"/>
        </w:rPr>
        <w:t>requisitos de habilitação mínimos</w:t>
      </w:r>
      <w:r>
        <w:rPr>
          <w:color w:val="000000"/>
          <w:sz w:val="22"/>
          <w:szCs w:val="22"/>
          <w:shd w:fill="auto" w:val="clear"/>
        </w:rPr>
        <w:t>, nos termos do Artigo 62 e seguintes da Lei N°  14.133/2021.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ab/>
        <w:t>Os serviços têm natureza de serviços comuns, tendo em vista que seus padrões de desempenho e qualidade podem ser objetivamente definidos, por meio de especificações usuais de mercado, nos termos do art. 6º, inciso XIII, da Lei Federal nº 14.133/2021.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shd w:fill="auto" w:val="clear"/>
        </w:rPr>
        <w:tab/>
        <w:t>A contratação será realizada diretamente por meio de</w:t>
      </w:r>
      <w:r>
        <w:rPr>
          <w:b/>
          <w:bCs/>
          <w:color w:val="000000"/>
          <w:sz w:val="22"/>
          <w:szCs w:val="22"/>
          <w:shd w:fill="auto" w:val="clear"/>
        </w:rPr>
        <w:t xml:space="preserve"> inexigibilidade de licitação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 xml:space="preserve">, 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com arrimo no art. 72 e seguintes da Lei n° 14.133/2021</w:t>
      </w:r>
      <w:r>
        <w:rPr>
          <w:b w:val="false"/>
          <w:bCs w:val="false"/>
          <w:color w:val="000000"/>
          <w:sz w:val="22"/>
          <w:szCs w:val="22"/>
          <w:shd w:fill="auto" w:val="clear"/>
        </w:rPr>
        <w:t>, com a demonstração de que o preço pago está de acordo com os já praticados pelo contratado, comprovado a partir da juntada de notas fiscais e/ou outros meios idôneos.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auto" w:val="clear"/>
        </w:rPr>
        <w:tab/>
        <w:t>Para a prestação dos serviços pretendidos os eventuais interessados deverão comprovar que atuam em ramo de atividade compatível com o objeto da licitação, bem como apresentar os documentos a título habilitação, nos termos do art. 62, da Lei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4. ESTIMATIVA DAS QUANTIDADES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Os quantitativos estimados para a contratação pretendida têm como parâmetro as últimas contratações com o mesmo objeto, realizadas por esta Administração. Neste sentido, segue memória de cálculo: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tbl>
      <w:tblPr>
        <w:tblStyle w:val="Tabelacomgrade"/>
        <w:tblW w:w="9525" w:type="dxa"/>
        <w:jc w:val="left"/>
        <w:tblInd w:w="-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75"/>
        <w:gridCol w:w="2550"/>
        <w:gridCol w:w="2493"/>
        <w:gridCol w:w="2606"/>
      </w:tblGrid>
      <w:tr>
        <w:trPr>
          <w:trHeight w:val="675" w:hRule="atLeast"/>
        </w:trPr>
        <w:tc>
          <w:tcPr>
            <w:tcW w:w="187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 w:val="false"/>
                <w:bCs w:val="false"/>
                <w:color w:val="auto"/>
                <w:kern w:val="0"/>
                <w:sz w:val="22"/>
                <w:szCs w:val="22"/>
                <w:lang w:val="pt-BR" w:bidi="ar-SA"/>
              </w:rPr>
              <w:t>LICITAÇÃO Nº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 w:val="false"/>
                <w:bCs w:val="false"/>
                <w:color w:val="auto"/>
                <w:kern w:val="0"/>
                <w:sz w:val="22"/>
                <w:szCs w:val="22"/>
                <w:lang w:val="pt-BR" w:bidi="ar-SA"/>
              </w:rPr>
              <w:t>OBJETO</w:t>
            </w:r>
          </w:p>
        </w:tc>
        <w:tc>
          <w:tcPr>
            <w:tcW w:w="249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 w:val="false"/>
                <w:bCs w:val="false"/>
                <w:color w:val="auto"/>
                <w:kern w:val="0"/>
                <w:sz w:val="22"/>
                <w:szCs w:val="22"/>
                <w:lang w:val="pt-BR" w:bidi="ar-SA"/>
              </w:rPr>
              <w:t>CONSUMO (quantidade)</w:t>
            </w:r>
          </w:p>
        </w:tc>
        <w:tc>
          <w:tcPr>
            <w:tcW w:w="26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 w:val="false"/>
                <w:bCs w:val="false"/>
                <w:color w:val="auto"/>
                <w:kern w:val="0"/>
                <w:sz w:val="22"/>
                <w:szCs w:val="22"/>
                <w:lang w:val="pt-BR" w:bidi="ar-SA"/>
              </w:rPr>
              <w:t>PERÍODO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043/2023</w:t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Contratação de banda, para realização de show musical</w:t>
            </w:r>
          </w:p>
        </w:tc>
        <w:tc>
          <w:tcPr>
            <w:tcW w:w="24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01(serviço)</w:t>
            </w:r>
          </w:p>
        </w:tc>
        <w:tc>
          <w:tcPr>
            <w:tcW w:w="26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Duração de aproximadamente 2h de show; das 20h as 22h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Valor cobrado R$ 26.500,00;</w:t>
            </w:r>
          </w:p>
        </w:tc>
      </w:tr>
      <w:tr>
        <w:trPr/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029/2022</w:t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Contratação de banda, para realização de show musical</w:t>
            </w:r>
          </w:p>
        </w:tc>
        <w:tc>
          <w:tcPr>
            <w:tcW w:w="24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01(serviço)</w:t>
            </w:r>
          </w:p>
        </w:tc>
        <w:tc>
          <w:tcPr>
            <w:tcW w:w="26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Duração de aproximadamente 2h de show; das 20 as 22h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Valor cobrado R$ 22.000,00;</w:t>
            </w:r>
          </w:p>
        </w:tc>
      </w:tr>
      <w:tr>
        <w:trPr/>
        <w:tc>
          <w:tcPr>
            <w:tcW w:w="18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011//2024</w:t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Contratação de banda, para realização de show musical</w:t>
            </w:r>
          </w:p>
        </w:tc>
        <w:tc>
          <w:tcPr>
            <w:tcW w:w="249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01(serviço)</w:t>
            </w:r>
          </w:p>
        </w:tc>
        <w:tc>
          <w:tcPr>
            <w:tcW w:w="260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Duração de aproximadamente 3h de show; das 20h 30min as 11h 30min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Valor cobrado R$ 13.500,00</w:t>
            </w:r>
          </w:p>
        </w:tc>
      </w:tr>
    </w:tbl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 w:val="false"/>
          <w:bCs w:val="false"/>
          <w:strike w:val="false"/>
          <w:dstrike w:val="false"/>
          <w:color w:val="000000"/>
          <w:sz w:val="22"/>
          <w:szCs w:val="22"/>
          <w:shd w:fill="auto" w:val="clear"/>
        </w:rPr>
        <w:tab/>
      </w:r>
      <w:r>
        <w:rPr>
          <w:color w:val="auto"/>
          <w:sz w:val="22"/>
          <w:szCs w:val="22"/>
        </w:rPr>
        <w:t>Não há parâmetro para esta contratação, em razão desta Administração não haver licitado esta banda até o momento, entretanto o valor cobrado está dentro do preço de mercado, conforme valores constantes acima.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5. ALTERNATIVAS DISPONÍVEIS NO MERCADO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Conforme pesquisa de mercado realizada para solução da necessidade administrativa, objeto do presente Estudo Técnico Preliminar, vislumbra-se possível, sob o aspecto técnico, </w:t>
      </w:r>
      <w:r>
        <w:rPr>
          <w:color w:val="auto"/>
          <w:sz w:val="22"/>
          <w:szCs w:val="22"/>
        </w:rPr>
        <w:t>a contratação da seguinte banda:</w:t>
      </w:r>
      <w:r>
        <w:rPr>
          <w:color w:val="auto"/>
          <w:sz w:val="22"/>
          <w:szCs w:val="22"/>
        </w:rPr>
        <w:t xml:space="preserve"> </w:t>
      </w:r>
    </w:p>
    <w:p>
      <w:pPr>
        <w:pStyle w:val="Normal"/>
        <w:spacing w:lineRule="auto" w:line="360"/>
        <w:jc w:val="both"/>
        <w:rPr>
          <w:b/>
          <w:bCs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NOME E CNPJ: PORTO DO SOM PRODUÇÕES MUSICAIS LTDA – 10.361.306/0001-27</w:t>
      </w:r>
    </w:p>
    <w:p>
      <w:pPr>
        <w:pStyle w:val="Normal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6. ESTIMATIVA DO VALOR DA CONTRATAÇÃO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Estima-se para a contratação almejada o valor total de R$ 12.500,00 (doze mil e quinhentos reais), tendo incluso todas as despesas com hospedagem, deslocamento, hidratação (água), e alimentação.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Vislumbra-se que tal valor é compatível com o praticado pelo mercado correspondente, observando-se o disposto no</w:t>
      </w:r>
      <w:r>
        <w:rPr>
          <w:b/>
          <w:bCs/>
          <w:color w:val="auto"/>
          <w:sz w:val="22"/>
          <w:szCs w:val="22"/>
        </w:rPr>
        <w:t xml:space="preserve"> Decreto Municipal nº </w:t>
      </w:r>
      <w:r>
        <w:rPr>
          <w:rFonts w:cs="Arial"/>
          <w:b/>
          <w:bCs/>
          <w:color w:val="auto"/>
          <w:sz w:val="22"/>
          <w:szCs w:val="22"/>
          <w:lang w:eastAsia="zh-CN"/>
        </w:rPr>
        <w:t>1911/2022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7. DESCRIÇÃO DA SOLUÇÃO COMO UM TODO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  <w:t>A solução proposta é a contratação de empresa especializada para prestação de serviços de banda para realização de show musical, conforme a necessidade descrita no item 1, atendendo aos requisitos já expostos no item 3.</w:t>
      </w:r>
    </w:p>
    <w:p>
      <w:pPr>
        <w:pStyle w:val="Normal"/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8. JUSTIFICATIVA PARA O PARCELAMENTO OU NÃO DA CONTRATAÇÃO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as vantagens da redução de custos, com divisão do objeto em itens, </w:t>
      </w:r>
      <w:bookmarkStart w:id="0" w:name="art47§1iii"/>
      <w:bookmarkEnd w:id="0"/>
      <w:r>
        <w:rPr>
          <w:rFonts w:cs="Arial" w:ascii="Arial" w:hAnsi="Arial"/>
          <w:color w:val="auto"/>
          <w:sz w:val="22"/>
          <w:szCs w:val="22"/>
        </w:rPr>
        <w:t>e o dever de buscar a ampliação da competição e de evitar a concentração de mercado.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</w:r>
      <w:r>
        <w:rPr>
          <w:rFonts w:cs="Arial" w:ascii="Arial" w:hAnsi="Arial"/>
          <w:color w:val="000000"/>
          <w:sz w:val="22"/>
          <w:szCs w:val="22"/>
          <w:shd w:fill="FFFF00" w:val="clear"/>
        </w:rPr>
        <w:t>Em vista disto, o princípio do parcelamento não deverá ser aplicado à presente contratação, tendo em vista que o objeto é indivisível, sendo a apresentação artística um item singular.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9. RESULTADOS PRETENDIDOS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color w:val="000000"/>
          <w:sz w:val="22"/>
          <w:szCs w:val="22"/>
          <w:shd w:fill="FFFF00" w:val="clear"/>
        </w:rPr>
        <w:t xml:space="preserve">Pretende-se com a presente contratação, assegurar a disponibilização na 15° Feira do Butiá (que é um evento municipal), de apresentação artística </w:t>
      </w:r>
      <w:r>
        <w:rPr>
          <w:color w:val="000000"/>
          <w:sz w:val="22"/>
          <w:szCs w:val="22"/>
          <w:shd w:fill="FFFF00" w:val="clear"/>
        </w:rPr>
        <w:t>integrante</w:t>
      </w:r>
      <w:r>
        <w:rPr>
          <w:color w:val="000000"/>
          <w:sz w:val="22"/>
          <w:szCs w:val="22"/>
          <w:shd w:fill="FFFF00" w:val="clear"/>
        </w:rPr>
        <w:t xml:space="preserve"> da nossa cultura local, agregando aos visitantes da Feira </w:t>
      </w:r>
      <w:r>
        <w:rPr>
          <w:color w:val="000000"/>
          <w:sz w:val="22"/>
          <w:szCs w:val="22"/>
          <w:shd w:fill="FFFF00" w:val="clear"/>
        </w:rPr>
        <w:t>momentos de lazer e confraternização.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10. PROVIDÊNCIAS PRÉVIAS AO CONTRATO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</w:r>
      <w:r>
        <w:rPr>
          <w:rFonts w:cs="Arial" w:ascii="Arial" w:hAnsi="Arial"/>
          <w:color w:val="000000"/>
          <w:sz w:val="22"/>
          <w:szCs w:val="22"/>
          <w:shd w:fill="FFFF00" w:val="clear"/>
        </w:rPr>
        <w:t xml:space="preserve">Para que a pretendida contratação tenha sucesso, é preciso que outras etapas sejam concluídas, quais sejam: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highlight w:val="none"/>
          <w:shd w:fill="FFFF00" w:val="clear"/>
        </w:rPr>
      </w:pPr>
      <w:r>
        <w:rPr>
          <w:rFonts w:cs="Arial" w:ascii="Arial" w:hAnsi="Arial"/>
          <w:b/>
          <w:bCs/>
          <w:color w:val="000000"/>
          <w:sz w:val="22"/>
          <w:szCs w:val="22"/>
          <w:shd w:fill="FFFF00" w:val="clear"/>
        </w:rPr>
        <w:t xml:space="preserve">a) 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shd w:fill="FFFF00" w:val="clear"/>
        </w:rPr>
        <w:t>elaboração do termo de referência, após aprovação do estudo técnico preliminar pela autoridade competente;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highlight w:val="none"/>
          <w:shd w:fill="FFFF00" w:val="clear"/>
        </w:rPr>
      </w:pPr>
      <w:r>
        <w:rPr>
          <w:rFonts w:cs="Arial" w:ascii="Arial" w:hAnsi="Arial"/>
          <w:b/>
          <w:bCs/>
          <w:color w:val="000000"/>
          <w:sz w:val="22"/>
          <w:szCs w:val="22"/>
          <w:shd w:fill="FFFF00" w:val="clear"/>
        </w:rPr>
        <w:t xml:space="preserve">b) </w:t>
      </w:r>
      <w:r>
        <w:rPr>
          <w:rFonts w:cs="Arial" w:ascii="Arial" w:hAnsi="Arial"/>
          <w:color w:val="000000"/>
          <w:sz w:val="22"/>
          <w:szCs w:val="22"/>
          <w:shd w:fill="FFFF00" w:val="clear"/>
        </w:rPr>
        <w:t xml:space="preserve">realização de certificação de disponibilidade orçamentária;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highlight w:val="none"/>
          <w:shd w:fill="FFFF00" w:val="clear"/>
        </w:rPr>
      </w:pPr>
      <w:r>
        <w:rPr>
          <w:rFonts w:cs="Arial" w:ascii="Arial" w:hAnsi="Arial"/>
          <w:b/>
          <w:bCs/>
          <w:color w:val="000000"/>
          <w:sz w:val="22"/>
          <w:szCs w:val="22"/>
          <w:shd w:fill="FFFF00" w:val="clear"/>
        </w:rPr>
        <w:t>c)</w:t>
      </w:r>
      <w:r>
        <w:rPr>
          <w:rFonts w:cs="Arial" w:ascii="Arial" w:hAnsi="Arial"/>
          <w:color w:val="000000"/>
          <w:sz w:val="22"/>
          <w:szCs w:val="22"/>
          <w:shd w:fill="FFFF00" w:val="clear"/>
        </w:rPr>
        <w:t xml:space="preserve"> elaboração de minuta do contrato;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highlight w:val="none"/>
          <w:shd w:fill="FFFF00" w:val="clear"/>
        </w:rPr>
      </w:pPr>
      <w:r>
        <w:rPr>
          <w:rFonts w:cs="Arial" w:ascii="Arial" w:hAnsi="Arial"/>
          <w:b/>
          <w:bCs/>
          <w:color w:val="000000"/>
          <w:sz w:val="22"/>
          <w:szCs w:val="22"/>
          <w:shd w:fill="FFFF00" w:val="clear"/>
        </w:rPr>
        <w:t>d)</w:t>
      </w:r>
      <w:r>
        <w:rPr>
          <w:rFonts w:cs="Arial" w:ascii="Arial" w:hAnsi="Arial"/>
          <w:color w:val="000000"/>
          <w:sz w:val="22"/>
          <w:szCs w:val="22"/>
          <w:shd w:fill="FFFF00" w:val="clear"/>
        </w:rPr>
        <w:t xml:space="preserve"> encaminhamento do processo para análise jurídica; </w:t>
      </w:r>
    </w:p>
    <w:p>
      <w:pPr>
        <w:pStyle w:val="NormalWeb"/>
        <w:widowControl/>
        <w:bidi w:val="0"/>
        <w:spacing w:lineRule="auto" w:line="360" w:before="0" w:after="0"/>
        <w:ind w:hanging="0" w:left="0" w:right="0"/>
        <w:jc w:val="both"/>
        <w:rPr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  <w:shd w:fill="FFFF00" w:val="clear"/>
        </w:rPr>
        <w:t>e)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  <w:shd w:fill="FFFF00" w:val="clear"/>
        </w:rPr>
        <w:t xml:space="preserve"> análise da manifestação jurídica e atendimento aos eventuais apontamentos constantes no parecer.</w:t>
      </w:r>
    </w:p>
    <w:p>
      <w:pPr>
        <w:pStyle w:val="NormalWeb"/>
        <w:widowControl/>
        <w:bidi w:val="0"/>
        <w:spacing w:lineRule="auto" w:line="240" w:beforeAutospacing="0" w:before="0" w:afterAutospacing="0" w:after="0"/>
        <w:ind w:hanging="0" w:left="0" w:right="0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11. CONTRATAÇÕES CORRELATAS E/OU INTERDEPENDENTES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Este estudo não identificou a necessidade de realizar contratações acessórias para a perfeita execução do objeto, uma vez que todos os meios necessários para a operacionalização dos serviços podem ser supridos apenas com a contratação ora proposta. Os serviços que se pretende, portanto, são autônomos e prescindem de contratações correlatas ou interdependentes.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12. POSSÍVEIS IMPACTOS AMBIENTAIS </w:t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hanging="0" w:left="0" w:right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Em razão da natureza da aquisição do objeto, não se vislumbram impactos ambientais provenientes desta contratação.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bookmarkStart w:id="1" w:name="art18§1xiii"/>
      <w:bookmarkEnd w:id="1"/>
      <w:r>
        <w:rPr>
          <w:rFonts w:cs="Arial" w:ascii="Arial" w:hAnsi="Arial"/>
          <w:b/>
          <w:bCs/>
          <w:color w:val="auto"/>
          <w:sz w:val="22"/>
          <w:szCs w:val="22"/>
        </w:rPr>
        <w:t xml:space="preserve">13. DECLARAÇÃO DE VIABILIDADE 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Por derradeiro, grifamos que para aferição do valor dos serviços, foi observado o art. 23, §§ 1° e 4° da Lei n° 14.133/2021.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color w:val="auto"/>
          <w:sz w:val="22"/>
          <w:szCs w:val="22"/>
        </w:rPr>
        <w:t>Giruá – RS, 06 de março de 2024.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240"/>
        <w:jc w:val="center"/>
        <w:rPr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_______________________________________</w:t>
      </w:r>
    </w:p>
    <w:p>
      <w:pPr>
        <w:pStyle w:val="Normal"/>
        <w:widowControl/>
        <w:suppressAutoHyphens w:val="false"/>
        <w:spacing w:lineRule="auto" w:line="240" w:before="100" w:after="0"/>
        <w:jc w:val="center"/>
        <w:rPr/>
      </w:pPr>
      <w:r>
        <w:rPr>
          <w:rFonts w:cs="Courier New"/>
          <w:b/>
          <w:bCs/>
          <w:sz w:val="22"/>
          <w:szCs w:val="22"/>
          <w:lang w:val="pt-BR"/>
        </w:rPr>
        <w:t>Palmiéri Ruschel Wielens</w:t>
      </w:r>
    </w:p>
    <w:p>
      <w:pPr>
        <w:pStyle w:val="Normal"/>
        <w:widowControl/>
        <w:suppressAutoHyphens w:val="false"/>
        <w:spacing w:lineRule="auto" w:line="240" w:before="0" w:after="0"/>
        <w:jc w:val="center"/>
        <w:rPr>
          <w:b/>
          <w:bCs/>
        </w:rPr>
      </w:pPr>
      <w:r>
        <w:rPr>
          <w:rFonts w:cs="Courier New"/>
          <w:b/>
          <w:bCs/>
          <w:sz w:val="22"/>
          <w:szCs w:val="22"/>
          <w:lang w:val="pt-BR"/>
        </w:rPr>
        <w:t>Secretária Municipal de Educação e Cultura</w:t>
      </w:r>
    </w:p>
    <w:p>
      <w:pPr>
        <w:pStyle w:val="Normal"/>
        <w:widowControl/>
        <w:suppressAutoHyphens w:val="false"/>
        <w:spacing w:lineRule="auto" w:line="240" w:before="0" w:after="0"/>
        <w:jc w:val="center"/>
        <w:rPr>
          <w:b w:val="false"/>
          <w:bCs w:val="false"/>
        </w:rPr>
      </w:pPr>
      <w:r>
        <w:rPr>
          <w:rFonts w:eastAsia="Times New Roman" w:cs="Courier New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Portaria nº </w:t>
      </w:r>
      <w:r>
        <w:rPr>
          <w:rFonts w:eastAsia="Lucida Sans Unicode" w:cs="Courier New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en-US"/>
        </w:rPr>
        <w:t>13.687</w:t>
      </w:r>
      <w:r>
        <w:rPr>
          <w:rFonts w:eastAsia="Times New Roman" w:cs="Courier New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/2021</w:t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________________________________________</w:t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RUBEN WEIMER</w:t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PREFEITO MUNICIPAL</w:t>
      </w:r>
    </w:p>
    <w:sectPr>
      <w:type w:val="nextPage"/>
      <w:pgSz w:w="11906" w:h="16838"/>
      <w:pgMar w:left="1276" w:right="1134" w:gutter="0" w:header="0" w:top="141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Heading2">
    <w:name w:val="Heading 2"/>
    <w:basedOn w:val="Normal"/>
    <w:next w:val="Normal"/>
    <w:link w:val="Ttulo2Cha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Ttulo3Cha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Heading7">
    <w:name w:val="Heading 7"/>
    <w:basedOn w:val="Normal"/>
    <w:next w:val="Normal"/>
    <w:link w:val="Ttulo7Char"/>
    <w:qFormat/>
    <w:rsid w:val="00b96d5c"/>
    <w:pPr>
      <w:keepNext w:val="true"/>
      <w:numPr>
        <w:ilvl w:val="6"/>
        <w:numId w:val="1"/>
      </w:numPr>
      <w:tabs>
        <w:tab w:val="clear" w:pos="708"/>
        <w:tab w:val="left" w:pos="2835" w:leader="none"/>
      </w:tabs>
      <w:spacing w:lineRule="exact" w:line="280"/>
      <w:ind w:hanging="57" w:left="57" w:right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4" w:customStyle="1">
    <w:name w:val="Fonte parág. padrão4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3" w:customStyle="1">
    <w:name w:val="Fonte parág. padrão3"/>
    <w:qFormat/>
    <w:rPr/>
  </w:style>
  <w:style w:type="character" w:styleId="WW-Absatz-Standardschriftart" w:customStyle="1">
    <w:name w:val="WW-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WW-Caracteresdenotadefim" w:customStyle="1">
    <w:name w:val="WW-Caracteres de nota de fim"/>
    <w:qFormat/>
    <w:rPr/>
  </w:style>
  <w:style w:type="character" w:styleId="Smbolosdenumerao" w:customStyle="1">
    <w:name w:val="Símbolos de numeração"/>
    <w:qFormat/>
    <w:rPr/>
  </w:style>
  <w:style w:type="character" w:styleId="Refdenotadefim1" w:customStyle="1">
    <w:name w:val="Ref. de nota de fim1"/>
    <w:qFormat/>
    <w:rPr>
      <w:vertAlign w:val="superscript"/>
    </w:rPr>
  </w:style>
  <w:style w:type="character" w:styleId="Refdenotaderodap2" w:customStyle="1">
    <w:name w:val="Ref. de nota de rodapé2"/>
    <w:qFormat/>
    <w:rPr>
      <w:vertAlign w:val="superscript"/>
    </w:rPr>
  </w:style>
  <w:style w:type="character" w:styleId="Refdenotadefim2" w:customStyle="1">
    <w:name w:val="Ref. de nota de fim2"/>
    <w:qFormat/>
    <w:rPr>
      <w:vertAlign w:val="superscript"/>
    </w:rPr>
  </w:style>
  <w:style w:type="character" w:styleId="Refdenotaderodap3" w:customStyle="1">
    <w:name w:val="Ref. de nota de rodapé3"/>
    <w:qFormat/>
    <w:rPr>
      <w:vertAlign w:val="superscript"/>
    </w:rPr>
  </w:style>
  <w:style w:type="character" w:styleId="Refdenotadefim3" w:customStyle="1">
    <w:name w:val="Ref. de nota de fim3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 w:customStyle="1">
    <w:name w:val="Rodapé Char"/>
    <w:uiPriority w:val="99"/>
    <w:qFormat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qFormat/>
    <w:rsid w:val="00e80693"/>
    <w:rPr>
      <w:vertAlign w:val="superscript"/>
    </w:rPr>
  </w:style>
  <w:style w:type="character" w:styleId="TextodebaloChar" w:customStyle="1">
    <w:name w:val="Texto de balão Char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89786b"/>
    <w:rPr>
      <w:color w:val="808080"/>
      <w:shd w:fill="E6E6E6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ac6de8"/>
    <w:rPr>
      <w:color w:themeColor="followedHyperlink" w:val="954F72"/>
      <w:u w:val="single"/>
    </w:rPr>
  </w:style>
  <w:style w:type="character" w:styleId="Ttulo2Char" w:customStyle="1">
    <w:name w:val="Título 2 Char"/>
    <w:basedOn w:val="DefaultParagraphFont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styleId="Ttulo7Char" w:customStyle="1">
    <w:name w:val="Título 7 Char"/>
    <w:basedOn w:val="DefaultParagraphFont"/>
    <w:qFormat/>
    <w:rsid w:val="00b96d5c"/>
    <w:rPr>
      <w:b/>
      <w:spacing w:val="14"/>
      <w:sz w:val="24"/>
    </w:rPr>
  </w:style>
  <w:style w:type="character" w:styleId="WW8Num2z0" w:customStyle="1">
    <w:name w:val="WW8Num2z0"/>
    <w:qFormat/>
    <w:rsid w:val="00b96d5c"/>
    <w:rPr>
      <w:rFonts w:ascii="Monotype Sorts" w:hAnsi="Monotype Sorts"/>
    </w:rPr>
  </w:style>
  <w:style w:type="character" w:styleId="WW8Num3z0" w:customStyle="1">
    <w:name w:val="WW8Num3z0"/>
    <w:qFormat/>
    <w:rsid w:val="00b96d5c"/>
    <w:rPr>
      <w:b/>
    </w:rPr>
  </w:style>
  <w:style w:type="character" w:styleId="WW8Num4z0" w:customStyle="1">
    <w:name w:val="WW8Num4z0"/>
    <w:qFormat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96d5c"/>
    <w:rPr>
      <w:rFonts w:ascii="Courier New" w:hAnsi="Courier New"/>
    </w:rPr>
  </w:style>
  <w:style w:type="character" w:styleId="WW8Num4z2" w:customStyle="1">
    <w:name w:val="WW8Num4z2"/>
    <w:qFormat/>
    <w:rsid w:val="00b96d5c"/>
    <w:rPr>
      <w:rFonts w:ascii="Wingdings" w:hAnsi="Wingdings"/>
    </w:rPr>
  </w:style>
  <w:style w:type="character" w:styleId="WW8Num4z3" w:customStyle="1">
    <w:name w:val="WW8Num4z3"/>
    <w:qFormat/>
    <w:rsid w:val="00b96d5c"/>
    <w:rPr>
      <w:rFonts w:ascii="Symbol" w:hAnsi="Symbol"/>
    </w:rPr>
  </w:style>
  <w:style w:type="character" w:styleId="WW8Num5z0" w:customStyle="1">
    <w:name w:val="WW8Num5z0"/>
    <w:qFormat/>
    <w:rsid w:val="00b96d5c"/>
    <w:rPr>
      <w:rFonts w:ascii="Times New Roman" w:hAnsi="Times New Roman"/>
      <w:b/>
    </w:rPr>
  </w:style>
  <w:style w:type="character" w:styleId="WW8Num6z0" w:customStyle="1">
    <w:name w:val="WW8Num6z0"/>
    <w:qFormat/>
    <w:rsid w:val="00b96d5c"/>
    <w:rPr>
      <w:b/>
    </w:rPr>
  </w:style>
  <w:style w:type="character" w:styleId="WW8Num7z0" w:customStyle="1">
    <w:name w:val="WW8Num7z0"/>
    <w:qFormat/>
    <w:rsid w:val="00b96d5c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itle">
    <w:name w:val="Subtitle"/>
    <w:basedOn w:val="Captulo"/>
    <w:next w:val="BodyText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Heading1"/>
    <w:qFormat/>
    <w:pPr>
      <w:numPr>
        <w:ilvl w:val="0"/>
        <w:numId w:val="0"/>
      </w:numPr>
      <w:suppressAutoHyphens w:val="true"/>
      <w:jc w:val="center"/>
    </w:pPr>
    <w:rPr/>
  </w:style>
  <w:style w:type="paragraph" w:styleId="BodyTextIndent">
    <w:name w:val="Body Text Indent"/>
    <w:basedOn w:val="Normal"/>
    <w:pPr>
      <w:suppressAutoHyphens w:val="true"/>
      <w:ind w:hanging="0" w:left="2410"/>
      <w:jc w:val="both"/>
    </w:pPr>
    <w:rPr>
      <w:b/>
      <w:sz w:val="24"/>
    </w:rPr>
  </w:style>
  <w:style w:type="paragraph" w:styleId="FootnoteText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qFormat/>
    <w:pPr>
      <w:jc w:val="both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e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BodyText"/>
    <w:qFormat/>
    <w:pPr/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BodyText"/>
    <w:qFormat/>
    <w:pPr/>
    <w:rPr/>
  </w:style>
  <w:style w:type="paragraph" w:styleId="BalloonText">
    <w:name w:val="Balloon Text"/>
    <w:basedOn w:val="Normal"/>
    <w:link w:val="TextodebaloChar"/>
    <w:unhideWhenUsed/>
    <w:qFormat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qFormat/>
    <w:rsid w:val="00b96d5c"/>
    <w:pPr>
      <w:ind w:firstLine="1134" w:left="4253" w:right="57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e07291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Application>LibreOffice/7.6.1.2$Windows_X86_64 LibreOffice_project/f5defcebd022c5bc36bbb79be232cb6926d8f674</Application>
  <AppVersion>15.0000</AppVersion>
  <Pages>5</Pages>
  <Words>1595</Words>
  <Characters>8841</Characters>
  <CharactersWithSpaces>10403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2022-10-06T14:25:00Z</dcterms:created>
  <dc:creator>Marcia Bello</dc:creator>
  <dc:description/>
  <dc:language>pt-BR</dc:language>
  <cp:lastModifiedBy/>
  <cp:lastPrinted>2022-11-10T17:28:00Z</cp:lastPrinted>
  <dcterms:modified xsi:type="dcterms:W3CDTF">2024-03-12T15:04:16Z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