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sz w:val="22"/>
          <w:szCs w:val="22"/>
        </w:rPr>
      </w:pPr>
      <w:r>
        <w:rPr>
          <w:b/>
          <w:sz w:val="22"/>
          <w:szCs w:val="22"/>
        </w:rPr>
        <w:t>TERMO DE REFERÊNCIA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sz w:val="22"/>
          <w:szCs w:val="22"/>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sz w:val="22"/>
          <w:szCs w:val="22"/>
        </w:rPr>
      </w:pPr>
      <w:r>
        <w:rPr>
          <w:b/>
          <w:bCs/>
          <w:sz w:val="22"/>
          <w:szCs w:val="22"/>
        </w:rPr>
        <w:t>PROCESSO ADMINISTRATIVO Nº 029/2024</w:t>
      </w:r>
    </w:p>
    <w:p>
      <w:pPr>
        <w:pStyle w:val="Normal"/>
        <w:spacing w:lineRule="auto" w:line="360"/>
        <w:jc w:val="both"/>
        <w:rPr>
          <w:sz w:val="22"/>
          <w:szCs w:val="22"/>
        </w:rPr>
      </w:pPr>
      <w:r>
        <w:rPr>
          <w:b/>
          <w:bCs/>
          <w:sz w:val="22"/>
          <w:szCs w:val="22"/>
        </w:rPr>
        <w:t>Município de Giruá – RS</w:t>
      </w:r>
    </w:p>
    <w:p>
      <w:pPr>
        <w:pStyle w:val="Normal"/>
        <w:spacing w:lineRule="auto" w:line="360"/>
        <w:jc w:val="both"/>
        <w:rPr>
          <w:sz w:val="22"/>
          <w:szCs w:val="22"/>
        </w:rPr>
      </w:pPr>
      <w:r>
        <w:rPr>
          <w:b/>
          <w:bCs/>
          <w:sz w:val="22"/>
          <w:szCs w:val="22"/>
        </w:rPr>
        <w:t xml:space="preserve">Secretaria Municipal de </w:t>
      </w:r>
      <w:r>
        <w:rPr>
          <w:rFonts w:eastAsia="Times New Roman" w:cs="Arial"/>
          <w:b/>
          <w:bCs/>
          <w:color w:val="auto"/>
          <w:kern w:val="0"/>
          <w:sz w:val="22"/>
          <w:szCs w:val="22"/>
          <w:lang w:val="pt-BR" w:eastAsia="zh-CN" w:bidi="ar-SA"/>
        </w:rPr>
        <w:t>Educação e Cultura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sz w:val="22"/>
          <w:szCs w:val="22"/>
        </w:rPr>
      </w:pPr>
      <w:r>
        <w:rPr>
          <w:b/>
          <w:bCs/>
          <w:sz w:val="22"/>
          <w:szCs w:val="22"/>
        </w:rPr>
        <w:t xml:space="preserve">Necessidade da Administração: </w:t>
      </w:r>
      <w:r>
        <w:rPr>
          <w:b w:val="false"/>
          <w:bCs w:val="false"/>
          <w:color w:val="auto"/>
          <w:sz w:val="22"/>
          <w:szCs w:val="22"/>
        </w:rPr>
        <w:t xml:space="preserve">Contratação de serviços </w:t>
      </w:r>
      <w:r>
        <w:rPr>
          <w:rFonts w:eastAsia="Times New Roman" w:cs="Arial"/>
          <w:b w:val="false"/>
          <w:bCs w:val="false"/>
          <w:color w:val="auto"/>
          <w:kern w:val="0"/>
          <w:sz w:val="22"/>
          <w:szCs w:val="22"/>
          <w:lang w:val="pt-BR" w:eastAsia="zh-CN" w:bidi="ar-SA"/>
        </w:rPr>
        <w:t>para coleta, processamento e destino final de todo o lixo na 15ª Feira do Butiá 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b/>
          <w:bCs/>
          <w:sz w:val="22"/>
          <w:szCs w:val="22"/>
        </w:rPr>
      </w:pPr>
      <w:r>
        <w:rPr>
          <w:b/>
          <w:bCs/>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1. DEFINIÇÃO DO OBJETO</w:t>
      </w:r>
    </w:p>
    <w:p>
      <w:pPr>
        <w:pStyle w:val="Normal"/>
        <w:spacing w:lineRule="auto" w:line="360"/>
        <w:jc w:val="both"/>
        <w:rPr>
          <w:sz w:val="22"/>
          <w:szCs w:val="22"/>
        </w:rPr>
      </w:pPr>
      <w:r>
        <w:rPr>
          <w:rFonts w:eastAsia="Times New Roman" w:cs="Arial"/>
          <w:b w:val="false"/>
          <w:bCs w:val="false"/>
          <w:color w:val="auto"/>
          <w:kern w:val="0"/>
          <w:sz w:val="22"/>
          <w:szCs w:val="22"/>
          <w:lang w:val="pt-BR" w:eastAsia="zh-CN" w:bidi="ar-SA"/>
        </w:rPr>
        <w:tab/>
        <w:t>O objeto da presente contratação é a prestação de serviços de coleta, processamento e destino final de todo o lixo produzido na 15ª Feira do Butiá 2024.</w:t>
      </w:r>
    </w:p>
    <w:p>
      <w:pPr>
        <w:pStyle w:val="Normal"/>
        <w:spacing w:lineRule="auto" w:line="360" w:beforeAutospacing="0" w:before="0" w:afterAutospacing="0" w:after="0"/>
        <w:jc w:val="both"/>
        <w:rPr>
          <w:sz w:val="22"/>
          <w:szCs w:val="22"/>
        </w:rPr>
      </w:pPr>
      <w:r>
        <w:rPr>
          <w:rFonts w:cs="Arial"/>
          <w:color w:val="000000"/>
          <w:sz w:val="22"/>
          <w:szCs w:val="22"/>
        </w:rPr>
        <w:tab/>
        <w:t xml:space="preserve">Os serviços objeto da contratação pretendida possuem as seguintes especificações: </w:t>
      </w:r>
    </w:p>
    <w:p>
      <w:pPr>
        <w:pStyle w:val="Normal"/>
        <w:spacing w:lineRule="auto" w:line="360" w:beforeAutospacing="0" w:before="0" w:afterAutospacing="0" w:after="0"/>
        <w:jc w:val="both"/>
        <w:rPr>
          <w:sz w:val="22"/>
          <w:szCs w:val="22"/>
        </w:rPr>
      </w:pPr>
      <w:r>
        <w:rPr>
          <w:rFonts w:eastAsia="Times New Roman" w:cs="Arial"/>
          <w:b w:val="false"/>
          <w:bCs w:val="false"/>
          <w:color w:val="auto"/>
          <w:kern w:val="0"/>
          <w:sz w:val="22"/>
          <w:szCs w:val="22"/>
          <w:u w:val="single"/>
          <w:lang w:val="pt-BR" w:eastAsia="zh-CN" w:bidi="ar-SA"/>
        </w:rPr>
        <w:t>01 – SERV. COLETA E PROCESSAMENTO DE LIXO</w:t>
      </w:r>
    </w:p>
    <w:p>
      <w:pPr>
        <w:pStyle w:val="Normal"/>
        <w:spacing w:lineRule="auto" w:line="360" w:beforeAutospacing="0" w:before="0" w:afterAutospacing="0" w:after="0"/>
        <w:jc w:val="both"/>
        <w:rPr>
          <w:sz w:val="22"/>
          <w:szCs w:val="22"/>
        </w:rPr>
      </w:pPr>
      <w:r>
        <w:rPr>
          <w:rFonts w:cs="Arial"/>
          <w:color w:val="000000"/>
          <w:sz w:val="22"/>
          <w:szCs w:val="22"/>
          <w:lang w:val="pt-BR"/>
        </w:rPr>
        <w:tab/>
        <w:t xml:space="preserve">A vigência, a contar da assinatura do instrumento contratual, deverá ser pelo prazo de </w:t>
      </w:r>
      <w:r>
        <w:rPr>
          <w:rFonts w:eastAsia="Times New Roman" w:cs="Arial"/>
          <w:b w:val="false"/>
          <w:bCs w:val="false"/>
          <w:color w:val="000000"/>
          <w:kern w:val="0"/>
          <w:sz w:val="22"/>
          <w:szCs w:val="22"/>
          <w:shd w:fill="auto" w:val="clear"/>
          <w:lang w:val="pt-BR" w:eastAsia="zh-CN" w:bidi="ar-SA"/>
        </w:rPr>
        <w:t>45 (quarenta e cinco) dias</w:t>
      </w:r>
      <w:r>
        <w:rPr>
          <w:rFonts w:cs="Arial"/>
          <w:color w:val="000000"/>
          <w:sz w:val="22"/>
          <w:szCs w:val="22"/>
          <w:lang w:val="pt-BR"/>
        </w:rPr>
        <w:t xml:space="preserve">, podendo ser prorrogado por período igual e sucessivo, mediante termos aditivos conforme a Lei nº 14.133/2021. </w:t>
      </w:r>
    </w:p>
    <w:p>
      <w:pPr>
        <w:pStyle w:val="NormalWeb"/>
        <w:spacing w:lineRule="auto" w:line="360" w:beforeAutospacing="0" w:before="0" w:afterAutospacing="0" w:after="0"/>
        <w:jc w:val="both"/>
        <w:rPr>
          <w:sz w:val="22"/>
          <w:szCs w:val="22"/>
        </w:rPr>
      </w:pPr>
      <w:r>
        <w:rPr>
          <w:sz w:val="22"/>
          <w:szCs w:val="22"/>
        </w:rPr>
      </w:r>
      <w:bookmarkStart w:id="0" w:name="art6xxiiib"/>
      <w:bookmarkStart w:id="1" w:name="art6xxiiib"/>
      <w:bookmarkEnd w:id="1"/>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2. FUNDAMENTAÇÃO DA CONTRATAÇÃO</w:t>
      </w:r>
    </w:p>
    <w:p>
      <w:pPr>
        <w:pStyle w:val="Normal"/>
        <w:suppressAutoHyphens w:val="true"/>
        <w:spacing w:lineRule="exact" w:line="360" w:beforeAutospacing="0" w:before="0" w:afterAutospacing="0" w:after="0"/>
        <w:ind w:left="0" w:right="0" w:hanging="0"/>
        <w:jc w:val="both"/>
        <w:rPr>
          <w:sz w:val="22"/>
          <w:szCs w:val="22"/>
        </w:rPr>
      </w:pPr>
      <w:r>
        <w:rPr>
          <w:rFonts w:eastAsia="Arial" w:cs="Arial"/>
          <w:b w:val="false"/>
          <w:bCs w:val="false"/>
          <w:color w:val="000000"/>
          <w:spacing w:val="0"/>
          <w:sz w:val="22"/>
          <w:szCs w:val="22"/>
          <w:shd w:fill="auto" w:val="clear"/>
        </w:rPr>
        <w:tab/>
        <w:t xml:space="preserve">O presente Termo de Referência faz remissão ao Estudo Técnico Preliminar Nº 029/2024 </w:t>
      </w:r>
      <w:r>
        <w:rPr>
          <w:rFonts w:eastAsia="Arial" w:cs="Arial"/>
          <w:color w:val="000000"/>
          <w:spacing w:val="0"/>
          <w:sz w:val="22"/>
          <w:szCs w:val="22"/>
          <w:shd w:fill="auto" w:val="clear"/>
        </w:rPr>
        <w:t>desta Secretaria, onde já está descrita a necessidade da contratação.</w:t>
      </w:r>
    </w:p>
    <w:p>
      <w:pPr>
        <w:pStyle w:val="Normal"/>
        <w:suppressAutoHyphens w:val="true"/>
        <w:spacing w:lineRule="exact" w:line="360" w:beforeAutospacing="0" w:before="0" w:afterAutospacing="0" w:after="0"/>
        <w:ind w:left="0" w:right="0" w:hanging="0"/>
        <w:jc w:val="both"/>
        <w:rPr>
          <w:rFonts w:ascii="Arial" w:hAnsi="Arial" w:cs="Arial"/>
          <w:color w:val="000000"/>
          <w:sz w:val="22"/>
          <w:szCs w:val="22"/>
        </w:rPr>
      </w:pPr>
      <w:r>
        <w:rPr>
          <w:rFonts w:cs="Arial"/>
          <w:color w:val="000000"/>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3. DESCRIÇÃO DA SOLUÇÃO COMO UM TODO</w:t>
      </w:r>
    </w:p>
    <w:p>
      <w:pPr>
        <w:pStyle w:val="Normal"/>
        <w:spacing w:lineRule="auto" w:line="360"/>
        <w:jc w:val="both"/>
        <w:rPr>
          <w:sz w:val="22"/>
          <w:szCs w:val="22"/>
        </w:rPr>
      </w:pPr>
      <w:r>
        <w:rPr>
          <w:sz w:val="22"/>
          <w:szCs w:val="22"/>
        </w:rPr>
        <w:tab/>
        <w:t xml:space="preserve">A solução proposta é a contratação de empresa para prestação de serviços de </w:t>
      </w:r>
      <w:r>
        <w:rPr>
          <w:rFonts w:eastAsia="Times New Roman" w:cs="Arial"/>
          <w:b w:val="false"/>
          <w:bCs w:val="false"/>
          <w:color w:val="000000"/>
          <w:spacing w:val="0"/>
          <w:kern w:val="0"/>
          <w:sz w:val="22"/>
          <w:szCs w:val="22"/>
          <w:shd w:fill="auto" w:val="clear"/>
          <w:lang w:val="pt-BR" w:eastAsia="zh-CN" w:bidi="ar-SA"/>
        </w:rPr>
        <w:t>coleta e processamento de lixo</w:t>
      </w:r>
      <w:r>
        <w:rPr>
          <w:sz w:val="22"/>
          <w:szCs w:val="22"/>
        </w:rPr>
        <w:t xml:space="preserve">, conforme as seguintes especificações/condições: </w:t>
      </w:r>
    </w:p>
    <w:p>
      <w:pPr>
        <w:pStyle w:val="Normal"/>
        <w:spacing w:lineRule="auto" w:line="360" w:beforeAutospacing="0" w:before="0" w:afterAutospacing="0" w:after="0"/>
        <w:jc w:val="both"/>
        <w:rPr>
          <w:sz w:val="22"/>
          <w:szCs w:val="22"/>
        </w:rPr>
      </w:pPr>
      <w:r>
        <w:rPr>
          <w:rFonts w:eastAsia="Times New Roman" w:cs="Arial"/>
          <w:b w:val="false"/>
          <w:bCs w:val="false"/>
          <w:color w:val="auto"/>
          <w:kern w:val="0"/>
          <w:sz w:val="22"/>
          <w:szCs w:val="22"/>
          <w:u w:val="single"/>
          <w:lang w:val="pt-BR" w:eastAsia="zh-CN" w:bidi="ar-SA"/>
        </w:rPr>
        <w:t>01 – SERV. COLETA E PROCESSAMENTO DE LIXO</w:t>
      </w:r>
    </w:p>
    <w:p>
      <w:pPr>
        <w:pStyle w:val="Normal"/>
        <w:spacing w:lineRule="auto" w:line="360"/>
        <w:jc w:val="both"/>
        <w:rPr>
          <w:sz w:val="22"/>
          <w:szCs w:val="22"/>
        </w:rPr>
      </w:pPr>
      <w:r>
        <w:rPr>
          <w:rFonts w:cs="Arial"/>
          <w:b w:val="false"/>
          <w:bCs w:val="false"/>
          <w:sz w:val="22"/>
          <w:szCs w:val="22"/>
          <w:shd w:fill="auto" w:val="clear"/>
        </w:rPr>
        <w:t>OBSERVAÇÕES QUANTO AO RECOLHIMENTO, TRANSPORTE E DESTINAÇÃO DO LIXO SECO E ÚMIDO:</w:t>
      </w:r>
    </w:p>
    <w:p>
      <w:pPr>
        <w:pStyle w:val="Normal"/>
        <w:spacing w:lineRule="auto" w:line="360"/>
        <w:jc w:val="both"/>
        <w:rPr>
          <w:sz w:val="22"/>
          <w:szCs w:val="22"/>
        </w:rPr>
      </w:pPr>
      <w:r>
        <w:rPr>
          <w:rFonts w:cs="Arial"/>
          <w:b/>
          <w:bCs/>
          <w:sz w:val="22"/>
          <w:szCs w:val="22"/>
          <w:shd w:fill="auto" w:val="clear"/>
        </w:rPr>
        <w:t xml:space="preserve">a) </w:t>
      </w:r>
      <w:r>
        <w:rPr>
          <w:rFonts w:cs="Arial"/>
          <w:sz w:val="22"/>
          <w:szCs w:val="22"/>
          <w:shd w:fill="auto" w:val="clear"/>
        </w:rPr>
        <w:t>Todo o pessoal envolvido na prestação dos serviços objeto desse instrumento, seus respectivos encargos e equipamentos de proteção individual ficarão sob inteira responsabilidade da contratada.</w:t>
      </w:r>
    </w:p>
    <w:p>
      <w:pPr>
        <w:pStyle w:val="Normal"/>
        <w:spacing w:lineRule="auto" w:line="360"/>
        <w:jc w:val="both"/>
        <w:rPr>
          <w:sz w:val="22"/>
          <w:szCs w:val="22"/>
        </w:rPr>
      </w:pPr>
      <w:r>
        <w:rPr>
          <w:rFonts w:eastAsia="Times New Roman" w:cs="Arial"/>
          <w:b/>
          <w:bCs/>
          <w:color w:val="000000"/>
          <w:kern w:val="0"/>
          <w:sz w:val="22"/>
          <w:szCs w:val="22"/>
          <w:shd w:fill="auto" w:val="clear"/>
          <w:lang w:val="pt-BR" w:eastAsia="zh-CN" w:bidi="ar-SA"/>
        </w:rPr>
        <w:t xml:space="preserve">b) </w:t>
      </w:r>
      <w:r>
        <w:rPr>
          <w:rFonts w:eastAsia="Times New Roman" w:cs="Arial"/>
          <w:b w:val="false"/>
          <w:bCs w:val="false"/>
          <w:color w:val="000000"/>
          <w:kern w:val="0"/>
          <w:sz w:val="22"/>
          <w:szCs w:val="22"/>
          <w:shd w:fill="auto" w:val="clear"/>
          <w:lang w:val="pt-BR" w:eastAsia="zh-CN" w:bidi="ar-SA"/>
        </w:rPr>
        <w:t>A Contratada deverá disponibilizar para uso de seus funcionários os equipamentos de proteção individual – EPI's necessários e vestimentas adequadas à execução dos serviços, bem como ferramentas e utensílios necessários à perfeita realização dos trabalhos.</w:t>
      </w:r>
    </w:p>
    <w:p>
      <w:pPr>
        <w:pStyle w:val="Normal"/>
        <w:spacing w:lineRule="auto" w:line="360"/>
        <w:jc w:val="both"/>
        <w:rPr>
          <w:sz w:val="22"/>
          <w:szCs w:val="22"/>
        </w:rPr>
      </w:pPr>
      <w:r>
        <w:rPr>
          <w:rFonts w:eastAsia="Times New Roman" w:cs="Arial"/>
          <w:b/>
          <w:bCs/>
          <w:color w:val="000000"/>
          <w:kern w:val="0"/>
          <w:sz w:val="22"/>
          <w:szCs w:val="22"/>
          <w:shd w:fill="auto" w:val="clear"/>
          <w:lang w:val="pt-BR" w:eastAsia="zh-CN" w:bidi="ar-SA"/>
        </w:rPr>
        <w:t xml:space="preserve">c) </w:t>
      </w:r>
      <w:r>
        <w:rPr>
          <w:rFonts w:eastAsia="Times New Roman" w:cs="Arial"/>
          <w:b w:val="false"/>
          <w:bCs w:val="false"/>
          <w:color w:val="000000"/>
          <w:kern w:val="0"/>
          <w:sz w:val="22"/>
          <w:szCs w:val="22"/>
          <w:shd w:fill="auto" w:val="clear"/>
          <w:lang w:val="pt-BR" w:eastAsia="zh-CN" w:bidi="ar-SA"/>
        </w:rPr>
        <w:t>Para execução dos serviços de transporte de lixo até o destino final deverá ser usado caminhão com caçamba coletora. O veículo, de responsabilidade da Contratada, deverá estar devidamente licenciado e em perfeitas condições de trabalho.</w:t>
      </w:r>
    </w:p>
    <w:p>
      <w:pPr>
        <w:pStyle w:val="Normal"/>
        <w:spacing w:lineRule="auto" w:line="360"/>
        <w:jc w:val="both"/>
        <w:rPr>
          <w:sz w:val="22"/>
          <w:szCs w:val="22"/>
        </w:rPr>
      </w:pPr>
      <w:r>
        <w:rPr>
          <w:rFonts w:cs="Arial"/>
          <w:b/>
          <w:bCs/>
          <w:sz w:val="22"/>
          <w:szCs w:val="22"/>
          <w:shd w:fill="auto" w:val="clear"/>
        </w:rPr>
        <w:t>d)</w:t>
      </w:r>
      <w:r>
        <w:rPr>
          <w:rFonts w:cs="Arial"/>
          <w:sz w:val="22"/>
          <w:szCs w:val="22"/>
          <w:shd w:fill="auto" w:val="clear"/>
        </w:rPr>
        <w:t xml:space="preserve"> A Contratada deverá realizar a coleta dos resíduos sejam quais forem os recipientes/lixeiras utilizados para seu acondicionamento.</w:t>
      </w:r>
    </w:p>
    <w:p>
      <w:pPr>
        <w:pStyle w:val="Normal"/>
        <w:spacing w:lineRule="auto" w:line="360"/>
        <w:jc w:val="both"/>
        <w:rPr>
          <w:sz w:val="22"/>
          <w:szCs w:val="22"/>
        </w:rPr>
      </w:pPr>
      <w:r>
        <w:rPr>
          <w:rFonts w:cs="Arial"/>
          <w:b/>
          <w:bCs/>
          <w:sz w:val="22"/>
          <w:szCs w:val="22"/>
          <w:shd w:fill="auto" w:val="clear"/>
        </w:rPr>
        <w:t>e)</w:t>
      </w:r>
      <w:r>
        <w:rPr>
          <w:rFonts w:cs="Arial"/>
          <w:sz w:val="22"/>
          <w:szCs w:val="22"/>
          <w:shd w:fill="auto" w:val="clear"/>
        </w:rPr>
        <w:t xml:space="preserve"> </w:t>
      </w:r>
      <w:r>
        <w:rPr>
          <w:rFonts w:cs="Arial"/>
          <w:b w:val="false"/>
          <w:bCs w:val="false"/>
          <w:sz w:val="22"/>
          <w:szCs w:val="22"/>
          <w:shd w:fill="auto" w:val="clear"/>
        </w:rPr>
        <w:t>A coleta deverá ser realizada de sexta-feira (dia 08 de março) à domingo (dia 10 de março), durante todo o horário em que a Feira do Butiá estiver sendo realizada.</w:t>
      </w:r>
    </w:p>
    <w:p>
      <w:pPr>
        <w:pStyle w:val="Normal"/>
        <w:spacing w:lineRule="auto" w:line="360"/>
        <w:jc w:val="both"/>
        <w:rPr>
          <w:sz w:val="22"/>
          <w:szCs w:val="22"/>
        </w:rPr>
      </w:pPr>
      <w:r>
        <w:rPr>
          <w:rFonts w:eastAsia="Times New Roman" w:cs="Arial"/>
          <w:b/>
          <w:bCs/>
          <w:color w:val="000000"/>
          <w:kern w:val="0"/>
          <w:sz w:val="22"/>
          <w:szCs w:val="22"/>
          <w:shd w:fill="auto" w:val="clear"/>
          <w:lang w:val="pt-BR" w:eastAsia="zh-CN" w:bidi="ar-SA"/>
        </w:rPr>
        <w:t>f)</w:t>
      </w:r>
      <w:r>
        <w:rPr>
          <w:rFonts w:eastAsia="Times New Roman" w:cs="Arial"/>
          <w:b w:val="false"/>
          <w:bCs w:val="false"/>
          <w:color w:val="000000"/>
          <w:kern w:val="0"/>
          <w:sz w:val="22"/>
          <w:szCs w:val="22"/>
          <w:shd w:fill="auto" w:val="clear"/>
          <w:lang w:val="pt-BR" w:eastAsia="zh-CN" w:bidi="ar-SA"/>
        </w:rPr>
        <w:t xml:space="preserve"> A Contratada declara ter pleno conhecimento dos locais onde se executará o objeto desse instrumento e de suas condições, pelo que reconhece ser perfeitamente viável o cumprimento integral e pontual das obrigações que aqui são assumidas.</w:t>
      </w:r>
    </w:p>
    <w:p>
      <w:pPr>
        <w:pStyle w:val="Normal"/>
        <w:spacing w:lineRule="auto" w:line="360"/>
        <w:jc w:val="both"/>
        <w:rPr>
          <w:sz w:val="22"/>
          <w:szCs w:val="22"/>
        </w:rPr>
      </w:pPr>
      <w:r>
        <w:rPr>
          <w:rFonts w:cs="Arial"/>
          <w:b/>
          <w:bCs/>
          <w:sz w:val="22"/>
          <w:szCs w:val="22"/>
          <w:shd w:fill="auto" w:val="clear"/>
        </w:rPr>
        <w:t>g)</w:t>
      </w:r>
      <w:r>
        <w:rPr>
          <w:rFonts w:cs="Arial"/>
          <w:sz w:val="22"/>
          <w:szCs w:val="22"/>
          <w:shd w:fill="auto" w:val="clear"/>
        </w:rPr>
        <w:t xml:space="preserve"> É atribuição estrita da Contratada apresentar-se nos locais e no horário de trabalho, os funcionários devidamente equipados e uniformizados.</w:t>
      </w:r>
    </w:p>
    <w:p>
      <w:pPr>
        <w:pStyle w:val="Normal"/>
        <w:spacing w:lineRule="auto" w:line="360"/>
        <w:jc w:val="both"/>
        <w:rPr>
          <w:sz w:val="22"/>
          <w:szCs w:val="22"/>
        </w:rPr>
      </w:pPr>
      <w:r>
        <w:rPr>
          <w:rFonts w:cs="Arial"/>
          <w:b/>
          <w:bCs/>
          <w:sz w:val="22"/>
          <w:szCs w:val="22"/>
          <w:shd w:fill="auto" w:val="clear"/>
        </w:rPr>
        <w:t>h)</w:t>
      </w:r>
      <w:r>
        <w:rPr>
          <w:rFonts w:cs="Arial"/>
          <w:sz w:val="22"/>
          <w:szCs w:val="22"/>
          <w:shd w:fill="auto" w:val="clear"/>
        </w:rPr>
        <w:t xml:space="preserve"> Os coletores deverão recolher e transportar os recipientes e sacos plásticos com cuidado ao depositá-los no veículo coletor, evitando o derramamento de resíduos nas vias públicas, e se isso ocorrer o mesmo deverá ser recolhido imediatamente na hora da execução do trabalho.</w:t>
      </w:r>
    </w:p>
    <w:p>
      <w:pPr>
        <w:pStyle w:val="Normal"/>
        <w:spacing w:lineRule="auto" w:line="360"/>
        <w:jc w:val="both"/>
        <w:rPr>
          <w:sz w:val="22"/>
          <w:szCs w:val="22"/>
        </w:rPr>
      </w:pPr>
      <w:r>
        <w:rPr>
          <w:rFonts w:cs="Arial"/>
          <w:b/>
          <w:bCs/>
          <w:sz w:val="22"/>
          <w:szCs w:val="22"/>
          <w:shd w:fill="auto" w:val="clear"/>
        </w:rPr>
        <w:t>i)</w:t>
      </w:r>
      <w:r>
        <w:rPr>
          <w:rFonts w:cs="Arial"/>
          <w:sz w:val="22"/>
          <w:szCs w:val="22"/>
          <w:shd w:fill="auto" w:val="clear"/>
        </w:rPr>
        <w:t xml:space="preserve"> Constituem-se ferramentas obrigatórias, pás e vassouras, para a eficiente coleta e separação.</w:t>
      </w:r>
    </w:p>
    <w:p>
      <w:pPr>
        <w:pStyle w:val="Normal"/>
        <w:spacing w:lineRule="auto" w:line="360"/>
        <w:jc w:val="both"/>
        <w:rPr>
          <w:sz w:val="22"/>
          <w:szCs w:val="22"/>
        </w:rPr>
      </w:pPr>
      <w:r>
        <w:rPr>
          <w:rFonts w:eastAsia="Times New Roman" w:cs="Arial"/>
          <w:b/>
          <w:bCs/>
          <w:color w:val="000000"/>
          <w:kern w:val="0"/>
          <w:sz w:val="22"/>
          <w:szCs w:val="22"/>
          <w:shd w:fill="auto" w:val="clear"/>
          <w:lang w:val="pt-BR" w:eastAsia="zh-CN" w:bidi="ar-SA"/>
        </w:rPr>
        <w:t>j)</w:t>
      </w:r>
      <w:r>
        <w:rPr>
          <w:rFonts w:eastAsia="Times New Roman" w:cs="Arial"/>
          <w:b w:val="false"/>
          <w:bCs w:val="false"/>
          <w:color w:val="000000"/>
          <w:kern w:val="0"/>
          <w:sz w:val="22"/>
          <w:szCs w:val="22"/>
          <w:shd w:fill="auto" w:val="clear"/>
          <w:lang w:val="pt-BR" w:eastAsia="zh-CN" w:bidi="ar-SA"/>
        </w:rPr>
        <w:t xml:space="preserve"> Os resíduos apresentados nas vias públicas, que estiver tombado dos recipientes por qualquer motivo, ou que caírem durante o processo de coleta, deverão necessariamente serem varridos e recolhidos.</w:t>
      </w:r>
    </w:p>
    <w:p>
      <w:pPr>
        <w:pStyle w:val="Normal"/>
        <w:spacing w:lineRule="auto" w:line="360"/>
        <w:jc w:val="both"/>
        <w:rPr>
          <w:sz w:val="22"/>
          <w:szCs w:val="22"/>
        </w:rPr>
      </w:pPr>
      <w:r>
        <w:rPr>
          <w:rFonts w:cs="Arial"/>
          <w:b/>
          <w:bCs/>
          <w:sz w:val="22"/>
          <w:szCs w:val="22"/>
          <w:shd w:fill="auto" w:val="clear"/>
        </w:rPr>
        <w:t>l)</w:t>
      </w:r>
      <w:r>
        <w:rPr>
          <w:rFonts w:cs="Arial"/>
          <w:sz w:val="22"/>
          <w:szCs w:val="22"/>
          <w:shd w:fill="auto" w:val="clear"/>
        </w:rPr>
        <w:t xml:space="preserve"> No caso dos resíduos serem apresentados em sacos plásticos, a equipe deverá tomar todas as precauções no sentido de evitar o rompimento dos mesmos antes de depositá-los na c</w:t>
      </w:r>
      <w:r>
        <w:rPr>
          <w:rFonts w:cs="Arial"/>
          <w:sz w:val="22"/>
          <w:szCs w:val="22"/>
          <w:u w:val="none"/>
          <w:shd w:fill="auto" w:val="clear"/>
        </w:rPr>
        <w:t>açamba. Se houver derrame de resíduos estes deverão ser varridos e carregados.</w:t>
      </w:r>
    </w:p>
    <w:p>
      <w:pPr>
        <w:pStyle w:val="Normal"/>
        <w:spacing w:lineRule="auto" w:line="360"/>
        <w:jc w:val="both"/>
        <w:rPr>
          <w:sz w:val="22"/>
          <w:szCs w:val="22"/>
        </w:rPr>
      </w:pPr>
      <w:r>
        <w:rPr>
          <w:rFonts w:eastAsia="Times New Roman" w:cs="Arial"/>
          <w:b/>
          <w:bCs/>
          <w:color w:val="000000"/>
          <w:kern w:val="0"/>
          <w:sz w:val="22"/>
          <w:szCs w:val="22"/>
          <w:u w:val="none"/>
          <w:shd w:fill="auto" w:val="clear"/>
          <w:lang w:val="pt-BR" w:eastAsia="zh-CN" w:bidi="ar-SA"/>
        </w:rPr>
        <w:t>m)</w:t>
      </w:r>
      <w:r>
        <w:rPr>
          <w:rFonts w:eastAsia="Times New Roman" w:cs="Arial"/>
          <w:b w:val="false"/>
          <w:bCs w:val="false"/>
          <w:color w:val="000000"/>
          <w:kern w:val="0"/>
          <w:sz w:val="22"/>
          <w:szCs w:val="22"/>
          <w:u w:val="none"/>
          <w:shd w:fill="auto" w:val="clear"/>
          <w:lang w:val="pt-BR" w:eastAsia="zh-CN" w:bidi="ar-SA"/>
        </w:rPr>
        <w:t xml:space="preserve"> No processo de carregamento do veículo coletor, os funcionários deverão tomar todas as precauções no sentido de evitar o transbordamento de resíduos de carga do veículo para a via pública.</w:t>
      </w:r>
    </w:p>
    <w:p>
      <w:pPr>
        <w:pStyle w:val="Normal"/>
        <w:spacing w:lineRule="auto" w:line="360"/>
        <w:jc w:val="both"/>
        <w:rPr>
          <w:rFonts w:eastAsia="Times New Roman" w:cs="Arial"/>
          <w:b w:val="false"/>
          <w:bCs w:val="false"/>
          <w:color w:val="000000"/>
          <w:kern w:val="0"/>
          <w:u w:val="none"/>
          <w:shd w:fill="auto" w:val="clear"/>
          <w:lang w:val="pt-BR" w:eastAsia="zh-CN" w:bidi="ar-SA"/>
        </w:rPr>
      </w:pPr>
      <w:r>
        <w:rPr>
          <w:rFonts w:eastAsia="Times New Roman" w:cs="Arial"/>
          <w:b w:val="false"/>
          <w:bCs w:val="false"/>
          <w:color w:val="000000"/>
          <w:kern w:val="0"/>
          <w:u w:val="none"/>
          <w:shd w:fill="auto" w:val="clear"/>
          <w:lang w:val="pt-BR" w:eastAsia="zh-CN" w:bidi="ar-SA"/>
        </w:rPr>
      </w:r>
    </w:p>
    <w:p>
      <w:pPr>
        <w:pStyle w:val="Normal"/>
        <w:spacing w:lineRule="auto" w:line="360" w:beforeAutospacing="0" w:before="0" w:afterAutospacing="0" w:after="0"/>
        <w:jc w:val="both"/>
        <w:rPr>
          <w:rFonts w:eastAsia="Times New Roman" w:cs="Arial"/>
          <w:b w:val="false"/>
          <w:bCs w:val="false"/>
          <w:color w:val="auto"/>
          <w:kern w:val="0"/>
          <w:sz w:val="22"/>
          <w:szCs w:val="22"/>
          <w:u w:val="none"/>
          <w:lang w:val="pt-BR" w:eastAsia="zh-CN" w:bidi="ar-SA"/>
        </w:rPr>
      </w:pPr>
      <w:r>
        <w:rPr>
          <w:rFonts w:eastAsia="Times New Roman" w:cs="Arial"/>
          <w:b/>
          <w:bCs/>
          <w:color w:val="auto"/>
          <w:kern w:val="0"/>
          <w:sz w:val="22"/>
          <w:szCs w:val="22"/>
          <w:u w:val="none"/>
          <w:lang w:val="pt-BR" w:eastAsia="zh-CN" w:bidi="ar-SA"/>
        </w:rPr>
        <w:t>OBS: A empresa contratada deverá entregar um relatório no final de cada dia, para a Comissão de Meio Ambiente da 15ª Feira do Butiá 2024, referente a quantidade de (resíduo) lixo produzido.</w:t>
      </w:r>
    </w:p>
    <w:p>
      <w:pPr>
        <w:pStyle w:val="Normal"/>
        <w:spacing w:lineRule="auto" w:line="360" w:beforeAutospacing="0" w:before="0" w:afterAutospacing="0" w:after="0"/>
        <w:jc w:val="both"/>
        <w:rPr>
          <w:rFonts w:eastAsia="Times New Roman" w:cs="Arial"/>
          <w:b w:val="false"/>
          <w:bCs w:val="false"/>
          <w:color w:val="auto"/>
          <w:kern w:val="0"/>
          <w:sz w:val="22"/>
          <w:szCs w:val="22"/>
          <w:u w:val="none"/>
          <w:lang w:val="pt-BR" w:eastAsia="zh-CN" w:bidi="ar-SA"/>
        </w:rPr>
      </w:pPr>
      <w:r>
        <w:rPr>
          <w:rFonts w:eastAsia="Times New Roman" w:cs="Arial"/>
          <w:b w:val="false"/>
          <w:bCs w:val="false"/>
          <w:color w:val="auto"/>
          <w:kern w:val="0"/>
          <w:sz w:val="22"/>
          <w:szCs w:val="22"/>
          <w:u w:val="none"/>
          <w:lang w:val="pt-BR" w:eastAsia="zh-CN" w:bidi="ar-SA"/>
        </w:rPr>
      </w:r>
    </w:p>
    <w:p>
      <w:pPr>
        <w:pStyle w:val="NormalWeb"/>
        <w:spacing w:lineRule="auto" w:line="360" w:beforeAutospacing="0" w:before="0" w:afterAutospacing="0" w:after="0"/>
        <w:jc w:val="both"/>
        <w:rPr>
          <w:sz w:val="22"/>
          <w:szCs w:val="22"/>
        </w:rPr>
      </w:pPr>
      <w:bookmarkStart w:id="2" w:name="art6xxiiid"/>
      <w:bookmarkEnd w:id="2"/>
      <w:r>
        <w:rPr>
          <w:rFonts w:cs="Arial" w:ascii="Arial" w:hAnsi="Arial"/>
          <w:b/>
          <w:bCs/>
          <w:color w:val="000000"/>
          <w:sz w:val="22"/>
          <w:szCs w:val="22"/>
        </w:rPr>
        <w:t>4. REQUISITOS DA CONTRATAÇÃO</w:t>
      </w:r>
    </w:p>
    <w:p>
      <w:pPr>
        <w:pStyle w:val="Normal"/>
        <w:spacing w:lineRule="auto" w:line="360"/>
        <w:jc w:val="both"/>
        <w:rPr>
          <w:sz w:val="22"/>
          <w:szCs w:val="22"/>
        </w:rPr>
      </w:pPr>
      <w:r>
        <w:rPr>
          <w:color w:val="auto"/>
          <w:sz w:val="22"/>
          <w:szCs w:val="22"/>
          <w:lang w:val="pt-BR"/>
        </w:rPr>
        <w:tab/>
        <w:t>A presente contratação visa a coleta, processamento e destino final de todo o lixo</w:t>
      </w:r>
      <w:r>
        <w:rPr>
          <w:rFonts w:eastAsia="Times New Roman" w:cs="Arial"/>
          <w:b w:val="false"/>
          <w:bCs w:val="false"/>
          <w:color w:val="000000"/>
          <w:kern w:val="0"/>
          <w:sz w:val="22"/>
          <w:szCs w:val="22"/>
          <w:shd w:fill="auto" w:val="clear"/>
          <w:lang w:val="pt-BR" w:eastAsia="zh-CN" w:bidi="ar-SA"/>
        </w:rPr>
        <w:t>,</w:t>
      </w:r>
      <w:r>
        <w:rPr>
          <w:color w:val="auto"/>
          <w:sz w:val="22"/>
          <w:szCs w:val="22"/>
          <w:lang w:val="pt-BR"/>
        </w:rPr>
        <w:t xml:space="preserve"> o qual já teve sua importância destacada no tópico precedente.</w:t>
      </w:r>
    </w:p>
    <w:p>
      <w:pPr>
        <w:pStyle w:val="Normal"/>
        <w:spacing w:lineRule="auto" w:line="360"/>
        <w:jc w:val="both"/>
        <w:rPr>
          <w:sz w:val="22"/>
          <w:szCs w:val="22"/>
        </w:rPr>
      </w:pPr>
      <w:r>
        <w:rPr>
          <w:color w:val="000000"/>
          <w:sz w:val="22"/>
          <w:szCs w:val="22"/>
          <w:lang w:val="pt-BR"/>
        </w:rPr>
        <w:tab/>
        <w:t xml:space="preserve">A vigência, a contar da assinatura do instrumento contratual, deverá ser pelo prazo de </w:t>
      </w:r>
      <w:r>
        <w:rPr>
          <w:rFonts w:eastAsia="Times New Roman" w:cs="Arial"/>
          <w:b w:val="false"/>
          <w:bCs w:val="false"/>
          <w:color w:val="000000"/>
          <w:kern w:val="0"/>
          <w:sz w:val="22"/>
          <w:szCs w:val="22"/>
          <w:shd w:fill="auto" w:val="clear"/>
          <w:lang w:val="pt-BR" w:eastAsia="zh-CN" w:bidi="ar-SA"/>
        </w:rPr>
        <w:t>45 (quarenta e cinco) dias</w:t>
      </w:r>
      <w:r>
        <w:rPr>
          <w:color w:val="000000"/>
          <w:sz w:val="22"/>
          <w:szCs w:val="22"/>
          <w:lang w:val="pt-BR"/>
        </w:rPr>
        <w:t xml:space="preserve">, podendo ser prorrogado por período igual e sucessivamente, mediante termos aditivos conforme a Lei nº 14.133/2021. </w:t>
      </w:r>
    </w:p>
    <w:p>
      <w:pPr>
        <w:pStyle w:val="Normal"/>
        <w:spacing w:lineRule="auto" w:line="360"/>
        <w:jc w:val="both"/>
        <w:rPr>
          <w:sz w:val="22"/>
          <w:szCs w:val="22"/>
        </w:rPr>
      </w:pPr>
      <w:r>
        <w:rPr>
          <w:sz w:val="22"/>
          <w:szCs w:val="22"/>
        </w:rPr>
        <w:tab/>
      </w:r>
      <w:r>
        <w:rPr>
          <w:b w:val="false"/>
          <w:bCs w:val="false"/>
          <w:sz w:val="22"/>
          <w:szCs w:val="22"/>
        </w:rPr>
        <w:t xml:space="preserve">Os serviços têm natureza de serviços comuns, tendo em vista que seus </w:t>
      </w:r>
      <w:r>
        <w:rPr>
          <w:b w:val="false"/>
          <w:bCs w:val="false"/>
          <w:color w:val="000000"/>
          <w:sz w:val="22"/>
          <w:szCs w:val="22"/>
        </w:rPr>
        <w:t xml:space="preserve">padrões de desempenho e qualidade podem ser objetivamente definidos, por meio de especificações usuais de mercado, </w:t>
      </w:r>
      <w:r>
        <w:rPr>
          <w:b w:val="false"/>
          <w:bCs w:val="false"/>
          <w:sz w:val="22"/>
          <w:szCs w:val="22"/>
        </w:rPr>
        <w:t>nos termos do art. 6º, inciso XIII, da Lei Federal nº 14.133/2021.</w:t>
      </w:r>
    </w:p>
    <w:p>
      <w:pPr>
        <w:pStyle w:val="Normal"/>
        <w:widowControl/>
        <w:bidi w:val="0"/>
        <w:spacing w:lineRule="auto" w:line="360" w:before="0" w:after="0"/>
        <w:ind w:left="0" w:right="0" w:hanging="0"/>
        <w:jc w:val="both"/>
        <w:rPr>
          <w:sz w:val="22"/>
          <w:szCs w:val="22"/>
        </w:rPr>
      </w:pPr>
      <w:r>
        <w:rPr>
          <w:b w:val="false"/>
          <w:bCs w:val="false"/>
          <w:color w:val="000000"/>
          <w:sz w:val="22"/>
          <w:szCs w:val="22"/>
        </w:rPr>
        <w:tab/>
        <w:t xml:space="preserve">A contratação será realizada diretamente por meio de </w:t>
      </w:r>
      <w:r>
        <w:rPr>
          <w:b/>
          <w:bCs/>
          <w:color w:val="000000"/>
          <w:sz w:val="22"/>
          <w:szCs w:val="22"/>
        </w:rPr>
        <w:t>dispensa de licitação</w:t>
      </w:r>
      <w:r>
        <w:rPr>
          <w:b w:val="false"/>
          <w:bCs w:val="false"/>
          <w:color w:val="000000"/>
          <w:sz w:val="22"/>
          <w:szCs w:val="22"/>
        </w:rPr>
        <w:t xml:space="preserve">, </w:t>
      </w:r>
      <w:r>
        <w:rPr>
          <w:rFonts w:eastAsia="Times New Roman" w:cs="Arial"/>
          <w:b w:val="false"/>
          <w:bCs w:val="false"/>
          <w:color w:val="000000"/>
          <w:kern w:val="0"/>
          <w:sz w:val="22"/>
          <w:szCs w:val="22"/>
          <w:lang w:val="pt-BR" w:eastAsia="zh-CN" w:bidi="ar-SA"/>
        </w:rPr>
        <w:t>com arrimo no art. 72 e seguintes da Lei n° 14.133/2021</w:t>
      </w:r>
      <w:r>
        <w:rPr>
          <w:b w:val="false"/>
          <w:bCs w:val="false"/>
          <w:color w:val="000000"/>
          <w:sz w:val="22"/>
          <w:szCs w:val="22"/>
        </w:rPr>
        <w:t>, com critério de julgamento por menor preço, nos termos do art. 34 da Lei nº 14.133/2021.</w:t>
      </w:r>
    </w:p>
    <w:p>
      <w:pPr>
        <w:pStyle w:val="Normal"/>
        <w:widowControl/>
        <w:bidi w:val="0"/>
        <w:spacing w:lineRule="auto" w:line="360" w:before="0" w:after="0"/>
        <w:ind w:left="0" w:right="0" w:hanging="0"/>
        <w:jc w:val="both"/>
        <w:rPr>
          <w:sz w:val="22"/>
          <w:szCs w:val="22"/>
        </w:rPr>
      </w:pPr>
      <w:r>
        <w:rPr>
          <w:color w:val="000000"/>
          <w:sz w:val="22"/>
          <w:szCs w:val="22"/>
        </w:rPr>
        <w:tab/>
      </w:r>
      <w:r>
        <w:rPr>
          <w:color w:val="000000"/>
          <w:sz w:val="22"/>
          <w:szCs w:val="22"/>
          <w:shd w:fill="auto" w:val="clear"/>
        </w:rPr>
        <w:t>Para prestação dos serviços pretendido, os eventuais interessados deverão comprovar que atuam em ramo de atividade compatível com o objeto da licitação e de que não incidem em nenhuma das hipóteses de impedimento de contratar com a administração pública (art. 14, Lei n° 14.133/2021), bem como apresentar os seguintes documentos a título habilitação, nos termos do art. 62 e 66, da Lei nº 14.133/2021, conforme segue:</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r>
    </w:p>
    <w:p>
      <w:pPr>
        <w:pStyle w:val="Normal"/>
        <w:widowControl/>
        <w:bidi w:val="0"/>
        <w:spacing w:lineRule="auto" w:line="360" w:before="0" w:after="0"/>
        <w:ind w:left="0" w:right="0" w:hanging="0"/>
        <w:jc w:val="both"/>
        <w:rPr>
          <w:sz w:val="22"/>
          <w:szCs w:val="22"/>
        </w:rPr>
      </w:pPr>
      <w:r>
        <w:rPr>
          <w:color w:val="000000"/>
          <w:sz w:val="22"/>
          <w:szCs w:val="22"/>
          <w:u w:val="single"/>
        </w:rPr>
        <w:t>HABILITAÇÃO JURÍDICA:</w:t>
      </w:r>
    </w:p>
    <w:p>
      <w:pPr>
        <w:pStyle w:val="Normal"/>
        <w:widowControl/>
        <w:bidi w:val="0"/>
        <w:spacing w:lineRule="auto" w:line="360" w:before="0" w:after="0"/>
        <w:ind w:left="0" w:right="0" w:hanging="0"/>
        <w:jc w:val="both"/>
        <w:rPr>
          <w:sz w:val="22"/>
          <w:szCs w:val="22"/>
        </w:rPr>
      </w:pPr>
      <w:r>
        <w:rPr>
          <w:color w:val="000000"/>
          <w:sz w:val="22"/>
          <w:szCs w:val="22"/>
        </w:rPr>
        <w:t xml:space="preserve">a) registro comercial, no caso de empresa individual; </w:t>
      </w:r>
    </w:p>
    <w:p>
      <w:pPr>
        <w:pStyle w:val="Normal"/>
        <w:widowControl/>
        <w:bidi w:val="0"/>
        <w:spacing w:lineRule="auto" w:line="360" w:before="0" w:after="0"/>
        <w:ind w:left="0" w:right="0" w:hanging="0"/>
        <w:jc w:val="both"/>
        <w:rPr>
          <w:sz w:val="22"/>
          <w:szCs w:val="22"/>
        </w:rPr>
      </w:pPr>
      <w:r>
        <w:rPr>
          <w:color w:val="000000"/>
          <w:sz w:val="22"/>
          <w:szCs w:val="22"/>
        </w:rPr>
        <w:t xml:space="preserve">b) ato constitutivo, estatuto ou contrato social em vigor, devidamente registrado, em se tratando de sociedades comerciais, e, no caso de sociedade por ações, acompanhado de documentos de eleição de seus administradores; </w:t>
      </w:r>
    </w:p>
    <w:p>
      <w:pPr>
        <w:pStyle w:val="Normal"/>
        <w:widowControl/>
        <w:bidi w:val="0"/>
        <w:spacing w:lineRule="auto" w:line="360" w:before="0" w:after="0"/>
        <w:ind w:left="0" w:right="0" w:hanging="0"/>
        <w:jc w:val="both"/>
        <w:rPr>
          <w:sz w:val="22"/>
          <w:szCs w:val="22"/>
        </w:rPr>
      </w:pPr>
      <w:r>
        <w:rPr>
          <w:color w:val="000000"/>
          <w:sz w:val="22"/>
          <w:szCs w:val="22"/>
        </w:rPr>
        <w:t>c) decreto de autorização, em se tratando de empresa ou sociedade estrangeira em funcionamento no País, e ato de registro ou autorização para funcionamento expedido pelo órgão competente, quando a atividade assim o exigir;</w:t>
      </w:r>
    </w:p>
    <w:p>
      <w:pPr>
        <w:pStyle w:val="Normal"/>
        <w:widowControl/>
        <w:bidi w:val="0"/>
        <w:spacing w:lineRule="auto" w:line="360" w:before="0" w:after="0"/>
        <w:ind w:left="0" w:right="0" w:firstLine="1134"/>
        <w:jc w:val="both"/>
        <w:rPr>
          <w:rFonts w:ascii="Arial" w:hAnsi="Arial"/>
          <w:color w:val="000000"/>
          <w:sz w:val="22"/>
          <w:szCs w:val="22"/>
        </w:rPr>
      </w:pPr>
      <w:r>
        <w:rPr>
          <w:color w:val="000000"/>
          <w:sz w:val="22"/>
          <w:szCs w:val="22"/>
        </w:rPr>
      </w:r>
    </w:p>
    <w:p>
      <w:pPr>
        <w:pStyle w:val="Normal"/>
        <w:widowControl/>
        <w:bidi w:val="0"/>
        <w:spacing w:lineRule="auto" w:line="360" w:before="0" w:after="0"/>
        <w:ind w:left="0" w:right="0" w:hanging="0"/>
        <w:jc w:val="both"/>
        <w:rPr>
          <w:sz w:val="22"/>
          <w:szCs w:val="22"/>
        </w:rPr>
      </w:pPr>
      <w:r>
        <w:rPr>
          <w:color w:val="000000"/>
          <w:sz w:val="22"/>
          <w:szCs w:val="22"/>
          <w:u w:val="single"/>
        </w:rPr>
        <w:t>REGULARIDADE FISCAL:</w:t>
      </w:r>
      <w:r>
        <w:rPr>
          <w:color w:val="000000"/>
          <w:sz w:val="22"/>
          <w:szCs w:val="22"/>
        </w:rPr>
        <w:t xml:space="preserve"> </w:t>
      </w:r>
    </w:p>
    <w:p>
      <w:pPr>
        <w:pStyle w:val="Normal"/>
        <w:widowControl/>
        <w:bidi w:val="0"/>
        <w:spacing w:lineRule="auto" w:line="360" w:before="0" w:after="0"/>
        <w:ind w:left="0" w:right="0" w:hanging="0"/>
        <w:jc w:val="both"/>
        <w:rPr>
          <w:sz w:val="22"/>
          <w:szCs w:val="22"/>
        </w:rPr>
      </w:pPr>
      <w:r>
        <w:rPr>
          <w:color w:val="000000"/>
          <w:sz w:val="22"/>
          <w:szCs w:val="22"/>
        </w:rPr>
        <w:t xml:space="preserve">a) prova de inscrição no Cadastro de Contribuintes do Estado ou do Município, se houver, relativo ao domicílio ou sede do licitante, pertinente ao seu ramo de atividades; </w:t>
      </w:r>
    </w:p>
    <w:p>
      <w:pPr>
        <w:pStyle w:val="Normal"/>
        <w:widowControl/>
        <w:bidi w:val="0"/>
        <w:spacing w:lineRule="auto" w:line="360" w:before="0" w:after="0"/>
        <w:ind w:left="0" w:right="0" w:hanging="0"/>
        <w:jc w:val="both"/>
        <w:rPr>
          <w:sz w:val="22"/>
          <w:szCs w:val="22"/>
        </w:rPr>
      </w:pPr>
      <w:r>
        <w:rPr>
          <w:color w:val="000000"/>
          <w:sz w:val="22"/>
          <w:szCs w:val="22"/>
        </w:rPr>
        <w:t xml:space="preserve">b) prova de inscrição no Cadastro Nacional de Pessoa Jurídica (CNPJ/MF); </w:t>
      </w:r>
    </w:p>
    <w:p>
      <w:pPr>
        <w:pStyle w:val="Normal"/>
        <w:widowControl/>
        <w:bidi w:val="0"/>
        <w:spacing w:lineRule="auto" w:line="360" w:before="0" w:after="0"/>
        <w:ind w:left="0" w:right="0" w:hanging="0"/>
        <w:jc w:val="both"/>
        <w:rPr>
          <w:sz w:val="22"/>
          <w:szCs w:val="22"/>
        </w:rPr>
      </w:pPr>
      <w:r>
        <w:rPr>
          <w:color w:val="000000"/>
          <w:sz w:val="22"/>
          <w:szCs w:val="22"/>
        </w:rPr>
        <w:t>c) comprovante de regularidade relativo aos Tributos Federais e à Dívida Ativa da União;</w:t>
      </w:r>
    </w:p>
    <w:p>
      <w:pPr>
        <w:pStyle w:val="Normal"/>
        <w:widowControl/>
        <w:bidi w:val="0"/>
        <w:spacing w:lineRule="auto" w:line="360" w:before="0" w:after="0"/>
        <w:ind w:left="0" w:right="0" w:hanging="0"/>
        <w:jc w:val="both"/>
        <w:rPr>
          <w:sz w:val="22"/>
          <w:szCs w:val="22"/>
        </w:rPr>
      </w:pPr>
      <w:r>
        <w:rPr>
          <w:color w:val="000000"/>
          <w:sz w:val="22"/>
          <w:szCs w:val="22"/>
        </w:rPr>
        <w:t xml:space="preserve">d) prova de regularidade com a Fazenda Estadual, relativa ao domicílio ou sede do licitante; </w:t>
      </w:r>
    </w:p>
    <w:p>
      <w:pPr>
        <w:pStyle w:val="Normal"/>
        <w:widowControl/>
        <w:bidi w:val="0"/>
        <w:spacing w:lineRule="auto" w:line="360" w:before="0" w:after="0"/>
        <w:ind w:left="0" w:right="0" w:hanging="0"/>
        <w:jc w:val="both"/>
        <w:rPr>
          <w:sz w:val="22"/>
          <w:szCs w:val="22"/>
        </w:rPr>
      </w:pPr>
      <w:r>
        <w:rPr>
          <w:color w:val="000000"/>
          <w:sz w:val="22"/>
          <w:szCs w:val="22"/>
        </w:rPr>
        <w:t xml:space="preserve">e) prova de regularidade com a Fazenda Municipal, relativa ao domicílio ou sede do licitante; </w:t>
      </w:r>
    </w:p>
    <w:p>
      <w:pPr>
        <w:pStyle w:val="Normal"/>
        <w:widowControl/>
        <w:bidi w:val="0"/>
        <w:spacing w:lineRule="auto" w:line="360" w:before="0" w:after="0"/>
        <w:ind w:left="0" w:right="0" w:hanging="0"/>
        <w:jc w:val="both"/>
        <w:rPr>
          <w:sz w:val="22"/>
          <w:szCs w:val="22"/>
        </w:rPr>
      </w:pPr>
      <w:r>
        <w:rPr>
          <w:color w:val="000000"/>
          <w:sz w:val="22"/>
          <w:szCs w:val="22"/>
        </w:rPr>
        <w:t xml:space="preserve">f) prova de regularidade (CRF) junto ao Fundo de Garantia por Tempo de Serviço (FGTS). </w:t>
      </w:r>
    </w:p>
    <w:p>
      <w:pPr>
        <w:pStyle w:val="Normal"/>
        <w:spacing w:lineRule="auto" w:line="360"/>
        <w:jc w:val="both"/>
        <w:rPr>
          <w:rFonts w:ascii="Arial" w:hAnsi="Arial"/>
          <w:color w:val="000000"/>
          <w:sz w:val="22"/>
          <w:szCs w:val="22"/>
        </w:rPr>
      </w:pPr>
      <w:r>
        <w:rPr>
          <w:color w:val="000000"/>
          <w:sz w:val="22"/>
          <w:szCs w:val="22"/>
        </w:rPr>
      </w:r>
    </w:p>
    <w:p>
      <w:pPr>
        <w:pStyle w:val="Normal"/>
        <w:widowControl/>
        <w:bidi w:val="0"/>
        <w:spacing w:lineRule="auto" w:line="360" w:before="0" w:after="0"/>
        <w:ind w:left="0" w:right="0" w:hanging="0"/>
        <w:jc w:val="both"/>
        <w:rPr>
          <w:sz w:val="22"/>
          <w:szCs w:val="22"/>
        </w:rPr>
      </w:pPr>
      <w:r>
        <w:rPr>
          <w:color w:val="000000"/>
          <w:sz w:val="22"/>
          <w:szCs w:val="22"/>
          <w:u w:val="single"/>
        </w:rPr>
        <w:t>REGULARIDADE TRABALHISTA:</w:t>
      </w:r>
    </w:p>
    <w:p>
      <w:pPr>
        <w:pStyle w:val="Normal"/>
        <w:widowControl/>
        <w:bidi w:val="0"/>
        <w:spacing w:lineRule="auto" w:line="360" w:before="0" w:after="0"/>
        <w:ind w:left="0" w:right="0" w:hanging="0"/>
        <w:jc w:val="both"/>
        <w:rPr>
          <w:sz w:val="22"/>
          <w:szCs w:val="22"/>
        </w:rPr>
      </w:pPr>
      <w:r>
        <w:rPr>
          <w:color w:val="000000"/>
          <w:sz w:val="22"/>
          <w:szCs w:val="22"/>
        </w:rPr>
        <w:t xml:space="preserve">a) prova de inexistência de débitos inadimplidos perante a Justiça do Trabalho, mediante a apresentação de certidão negativa, nos termos do Título VII-A da Consolidação das Leis do Trabalho, aprovada pelo Decreto-Lei nº 5.452, de 1º de maio de 1943. </w:t>
      </w:r>
    </w:p>
    <w:p>
      <w:pPr>
        <w:pStyle w:val="Normal"/>
        <w:widowControl/>
        <w:bidi w:val="0"/>
        <w:spacing w:lineRule="auto" w:line="240" w:before="0" w:after="0"/>
        <w:ind w:left="0" w:right="0" w:firstLine="1134"/>
        <w:jc w:val="both"/>
        <w:rPr>
          <w:rFonts w:ascii="Arial" w:hAnsi="Arial"/>
          <w:color w:val="000000"/>
          <w:sz w:val="22"/>
          <w:szCs w:val="22"/>
        </w:rPr>
      </w:pPr>
      <w:r>
        <w:rPr>
          <w:color w:val="000000"/>
          <w:sz w:val="22"/>
          <w:szCs w:val="22"/>
        </w:rPr>
      </w:r>
    </w:p>
    <w:p>
      <w:pPr>
        <w:pStyle w:val="Normal"/>
        <w:spacing w:lineRule="auto" w:line="360"/>
        <w:jc w:val="both"/>
        <w:rPr>
          <w:sz w:val="22"/>
          <w:szCs w:val="22"/>
        </w:rPr>
      </w:pPr>
      <w:r>
        <w:rPr>
          <w:b w:val="false"/>
          <w:bCs w:val="false"/>
          <w:color w:val="000000"/>
          <w:sz w:val="22"/>
          <w:szCs w:val="22"/>
          <w:u w:val="single"/>
        </w:rPr>
        <w:t>QUALIFICAÇÃO ECONÔMICO-FINANCEIRA:</w:t>
      </w:r>
      <w:r>
        <w:rPr>
          <w:b w:val="false"/>
          <w:bCs w:val="false"/>
          <w:color w:val="000000"/>
          <w:sz w:val="22"/>
          <w:szCs w:val="22"/>
        </w:rPr>
        <w:t xml:space="preserve"> </w:t>
      </w:r>
    </w:p>
    <w:p>
      <w:pPr>
        <w:pStyle w:val="Normal"/>
        <w:widowControl/>
        <w:bidi w:val="0"/>
        <w:spacing w:lineRule="auto" w:line="360" w:before="0" w:after="0"/>
        <w:ind w:left="0" w:right="0" w:hanging="0"/>
        <w:jc w:val="both"/>
        <w:rPr>
          <w:sz w:val="22"/>
          <w:szCs w:val="22"/>
        </w:rPr>
      </w:pPr>
      <w:r>
        <w:rPr>
          <w:b w:val="false"/>
          <w:bCs w:val="false"/>
          <w:color w:val="000000"/>
          <w:sz w:val="22"/>
          <w:szCs w:val="22"/>
        </w:rPr>
        <w:t xml:space="preserve">a) Certidão negativa em matéria falimentar, concordatária, recuperação judicial e extrajudicial, expedida pelo distribuidor da sede da pessoa jurídica, com prazo de validade de até 03 (três) meses, contados a partir da data de emissão da certidão, conforme Decreto Municipal nº. 012/2002, porém não há óbice que a empresa em recuperação judicial participe do certame desde que comprove a capacidade econômica e financeira para execução do objeto. </w:t>
      </w:r>
    </w:p>
    <w:p>
      <w:pPr>
        <w:pStyle w:val="Normal"/>
        <w:widowControl/>
        <w:bidi w:val="0"/>
        <w:spacing w:lineRule="auto" w:line="360" w:before="0" w:after="0"/>
        <w:ind w:left="0" w:right="0" w:hanging="0"/>
        <w:jc w:val="both"/>
        <w:rPr>
          <w:rFonts w:ascii="Arial" w:hAnsi="Arial"/>
          <w:b w:val="false"/>
          <w:bCs w:val="false"/>
          <w:color w:val="000000"/>
          <w:sz w:val="22"/>
          <w:szCs w:val="22"/>
        </w:rPr>
      </w:pPr>
      <w:r>
        <w:rPr>
          <w:b w:val="false"/>
          <w:bCs w:val="false"/>
          <w:color w:val="000000"/>
          <w:sz w:val="22"/>
          <w:szCs w:val="22"/>
        </w:rPr>
      </w:r>
    </w:p>
    <w:p>
      <w:pPr>
        <w:pStyle w:val="Normal"/>
        <w:widowControl/>
        <w:bidi w:val="0"/>
        <w:spacing w:lineRule="auto" w:line="360" w:before="0" w:after="0"/>
        <w:ind w:left="0" w:right="0" w:hanging="0"/>
        <w:jc w:val="both"/>
        <w:rPr>
          <w:sz w:val="22"/>
          <w:szCs w:val="22"/>
        </w:rPr>
      </w:pPr>
      <w:r>
        <w:rPr>
          <w:b w:val="false"/>
          <w:bCs w:val="false"/>
          <w:color w:val="000000"/>
          <w:sz w:val="22"/>
          <w:szCs w:val="22"/>
          <w:u w:val="single"/>
        </w:rPr>
        <w:t>HABILITAÇÃO SOCIAL:</w:t>
      </w:r>
      <w:r>
        <w:rPr>
          <w:b w:val="false"/>
          <w:bCs w:val="false"/>
          <w:color w:val="000000"/>
          <w:sz w:val="22"/>
          <w:szCs w:val="22"/>
        </w:rPr>
        <w:br/>
        <w:t>a) declaração de que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br/>
        <w:t>b) declaração de que cumpre as exigências de reserva de cargos para pessoa com deficiência e para reabilitado da Previdência Social, previstas em lei e em outras normas específicas.</w:t>
      </w:r>
    </w:p>
    <w:p>
      <w:pPr>
        <w:pStyle w:val="Normal"/>
        <w:widowControl/>
        <w:bidi w:val="0"/>
        <w:spacing w:lineRule="auto" w:line="240" w:before="0" w:after="0"/>
        <w:ind w:left="0" w:right="0" w:hanging="0"/>
        <w:jc w:val="both"/>
        <w:rPr>
          <w:sz w:val="22"/>
          <w:szCs w:val="22"/>
        </w:rPr>
      </w:pPr>
      <w:r>
        <w:rPr>
          <w:sz w:val="22"/>
          <w:szCs w:val="22"/>
        </w:rPr>
      </w:r>
    </w:p>
    <w:p>
      <w:pPr>
        <w:pStyle w:val="Normal"/>
        <w:widowControl/>
        <w:bidi w:val="0"/>
        <w:spacing w:lineRule="auto" w:line="360" w:before="0" w:after="0"/>
        <w:ind w:left="0" w:right="0" w:hanging="0"/>
        <w:jc w:val="both"/>
        <w:rPr>
          <w:sz w:val="22"/>
          <w:szCs w:val="22"/>
        </w:rPr>
      </w:pPr>
      <w:r>
        <w:rPr>
          <w:b w:val="false"/>
          <w:bCs w:val="false"/>
          <w:color w:val="000000"/>
          <w:sz w:val="22"/>
          <w:szCs w:val="22"/>
          <w:u w:val="single"/>
        </w:rPr>
        <w:t>COMPROVAÇÕES DE APTIDÃO PARA CONTRATAR COM O PODER PÚBLICO:</w:t>
      </w:r>
    </w:p>
    <w:p>
      <w:pPr>
        <w:pStyle w:val="Normal"/>
        <w:bidi w:val="0"/>
        <w:rPr>
          <w:sz w:val="22"/>
          <w:szCs w:val="22"/>
        </w:rPr>
      </w:pPr>
      <w:r>
        <w:rPr>
          <w:sz w:val="22"/>
          <w:szCs w:val="22"/>
        </w:rPr>
        <w:t xml:space="preserve">Para fins de contratação, a empresa proponente deverá comprovar não constar: </w:t>
      </w:r>
    </w:p>
    <w:p>
      <w:pPr>
        <w:pStyle w:val="Normal"/>
        <w:bidi w:val="0"/>
        <w:rPr>
          <w:sz w:val="22"/>
          <w:szCs w:val="22"/>
        </w:rPr>
      </w:pPr>
      <w:r>
        <w:rPr>
          <w:sz w:val="22"/>
          <w:szCs w:val="22"/>
        </w:rPr>
      </w:r>
    </w:p>
    <w:p>
      <w:pPr>
        <w:pStyle w:val="Normal"/>
        <w:bidi w:val="0"/>
        <w:spacing w:lineRule="auto" w:line="360"/>
        <w:rPr>
          <w:sz w:val="22"/>
          <w:szCs w:val="22"/>
        </w:rPr>
      </w:pPr>
      <w:r>
        <w:rPr>
          <w:sz w:val="22"/>
          <w:szCs w:val="22"/>
        </w:rPr>
        <w:t>I. No cadastro de empresas inidôneas do Tribunal de Contas da União (art. 46, Lei 8.443/92);</w:t>
      </w:r>
    </w:p>
    <w:p>
      <w:pPr>
        <w:pStyle w:val="Normal"/>
        <w:bidi w:val="0"/>
        <w:spacing w:lineRule="auto" w:line="360"/>
        <w:rPr>
          <w:sz w:val="22"/>
          <w:szCs w:val="22"/>
        </w:rPr>
      </w:pPr>
      <w:r>
        <w:rPr>
          <w:sz w:val="22"/>
          <w:szCs w:val="22"/>
        </w:rPr>
        <w:t>II. No Cadastro Nacional de Empresas Inidôneas e Suspensas (CEIS), por sanção do inciso IV, art. 87 da Lei n° 8.666/93, ou do art. 156, IV da Lei N° 14.133/21.</w:t>
      </w:r>
    </w:p>
    <w:p>
      <w:pPr>
        <w:pStyle w:val="Normal"/>
        <w:bidi w:val="0"/>
        <w:spacing w:lineRule="auto" w:line="360"/>
        <w:rPr>
          <w:sz w:val="22"/>
          <w:szCs w:val="22"/>
        </w:rPr>
      </w:pPr>
      <w:r>
        <w:rPr>
          <w:sz w:val="22"/>
          <w:szCs w:val="22"/>
        </w:rPr>
        <w:t>III. No Cadastro Nacional de Empresas Punidas (CNEP);</w:t>
      </w:r>
    </w:p>
    <w:p>
      <w:pPr>
        <w:pStyle w:val="Normal"/>
        <w:bidi w:val="0"/>
        <w:spacing w:lineRule="auto" w:line="360"/>
        <w:rPr>
          <w:sz w:val="22"/>
          <w:szCs w:val="22"/>
        </w:rPr>
      </w:pPr>
      <w:r>
        <w:rPr>
          <w:sz w:val="22"/>
          <w:szCs w:val="22"/>
        </w:rPr>
        <w:t xml:space="preserve">IV. No cadastro Nacional de Condenações Civis por Ato de Improbidade Administrativa e Inelegibilidade, </w:t>
      </w:r>
      <w:r>
        <w:rPr>
          <w:sz w:val="22"/>
          <w:szCs w:val="22"/>
          <w:lang w:val="pt-BR" w:eastAsia="zh-CN" w:bidi="ar-SA"/>
        </w:rPr>
        <w:t>supervisionado</w:t>
      </w:r>
      <w:r>
        <w:rPr>
          <w:sz w:val="22"/>
          <w:szCs w:val="22"/>
        </w:rPr>
        <w:t xml:space="preserve"> pelo Conselho Nacional da Justiça.</w:t>
      </w:r>
    </w:p>
    <w:p>
      <w:pPr>
        <w:pStyle w:val="Normal"/>
        <w:bidi w:val="0"/>
        <w:spacing w:lineRule="auto" w:line="276"/>
        <w:rPr/>
      </w:pPr>
      <w:r>
        <w:rPr>
          <w:b w:val="false"/>
          <w:bCs w:val="false"/>
          <w:color w:val="000000"/>
          <w:sz w:val="22"/>
          <w:szCs w:val="22"/>
        </w:rPr>
        <w:t xml:space="preserve">Para comprovação dos itens I, II, III e IV conjuntamente, poderá ser emitida certidão através do site: </w:t>
      </w:r>
      <w:r>
        <w:rPr>
          <w:rStyle w:val="LinkdaInternet"/>
          <w:b w:val="false"/>
          <w:bCs w:val="false"/>
          <w:color w:val="000000"/>
          <w:sz w:val="22"/>
          <w:szCs w:val="22"/>
        </w:rPr>
        <w:t>https://certidoes-apf.apps.tcu.gov.br</w:t>
      </w:r>
    </w:p>
    <w:p>
      <w:pPr>
        <w:pStyle w:val="Normal"/>
        <w:bidi w:val="0"/>
        <w:spacing w:lineRule="auto" w:line="276"/>
        <w:rPr>
          <w:rFonts w:ascii="Arial" w:hAnsi="Arial"/>
          <w:b w:val="false"/>
          <w:bCs w:val="false"/>
          <w:color w:val="000000"/>
          <w:sz w:val="22"/>
          <w:szCs w:val="22"/>
          <w:highlight w:val="none"/>
          <w:shd w:fill="FFFF00" w:val="clear"/>
        </w:rPr>
      </w:pPr>
      <w:r>
        <w:rPr>
          <w:b w:val="false"/>
          <w:bCs w:val="false"/>
          <w:color w:val="000000"/>
          <w:sz w:val="22"/>
          <w:szCs w:val="22"/>
          <w:shd w:fill="FFFF00" w:val="clear"/>
        </w:rPr>
      </w:r>
    </w:p>
    <w:p>
      <w:pPr>
        <w:pStyle w:val="Normal"/>
        <w:bidi w:val="0"/>
        <w:spacing w:lineRule="auto" w:line="276"/>
        <w:rPr>
          <w:rFonts w:ascii="Arial" w:hAnsi="Arial"/>
          <w:b w:val="false"/>
          <w:bCs w:val="false"/>
          <w:color w:val="000000"/>
          <w:sz w:val="22"/>
          <w:szCs w:val="22"/>
        </w:rPr>
      </w:pPr>
      <w:r>
        <w:rPr>
          <w:b w:val="false"/>
          <w:bCs w:val="false"/>
          <w:color w:val="000000"/>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5. MODELO DE EXECUÇÃO DO OBJETO</w:t>
      </w:r>
    </w:p>
    <w:p>
      <w:pPr>
        <w:pStyle w:val="Normal"/>
        <w:widowControl/>
        <w:bidi w:val="0"/>
        <w:spacing w:lineRule="auto" w:line="360" w:before="0" w:after="0"/>
        <w:ind w:left="0" w:right="0" w:hanging="0"/>
        <w:jc w:val="both"/>
        <w:rPr>
          <w:sz w:val="22"/>
          <w:szCs w:val="22"/>
        </w:rPr>
      </w:pPr>
      <w:r>
        <w:rPr>
          <w:b w:val="false"/>
          <w:bCs w:val="false"/>
          <w:color w:val="000000"/>
          <w:sz w:val="22"/>
          <w:szCs w:val="22"/>
          <w:shd w:fill="auto" w:val="clear"/>
        </w:rPr>
        <w:tab/>
        <w:t xml:space="preserve">A empresa contratada será responsável pela </w:t>
      </w:r>
      <w:r>
        <w:rPr>
          <w:rFonts w:eastAsia="Times New Roman" w:cs="Times New Roman"/>
          <w:b w:val="false"/>
          <w:bCs w:val="false"/>
          <w:color w:val="000000"/>
          <w:kern w:val="0"/>
          <w:sz w:val="22"/>
          <w:szCs w:val="22"/>
          <w:shd w:fill="auto" w:val="clear"/>
          <w:lang w:val="pt-BR" w:eastAsia="zh-CN" w:bidi="ar-SA"/>
        </w:rPr>
        <w:t>prestação dos serviços que deverá ser feita</w:t>
      </w:r>
      <w:r>
        <w:rPr>
          <w:b w:val="false"/>
          <w:bCs w:val="false"/>
          <w:color w:val="000000"/>
          <w:sz w:val="22"/>
          <w:szCs w:val="22"/>
          <w:shd w:fill="auto" w:val="clear"/>
        </w:rPr>
        <w:t xml:space="preserve"> de 08 a 10 de março de 2024, no Parque de exposições Olmiro Callai, na Rua Padre Dionísio Basso, Vila Hípica, município de Giruá. </w:t>
      </w:r>
    </w:p>
    <w:p>
      <w:pPr>
        <w:pStyle w:val="Corpodotexto"/>
        <w:spacing w:lineRule="auto" w:line="360"/>
        <w:rPr>
          <w:sz w:val="22"/>
          <w:szCs w:val="22"/>
        </w:rPr>
      </w:pPr>
      <w:r>
        <w:rPr>
          <w:rFonts w:ascii="Arial" w:hAnsi="Arial"/>
          <w:sz w:val="22"/>
          <w:szCs w:val="22"/>
          <w:shd w:fill="auto" w:val="clear"/>
        </w:rPr>
        <w:tab/>
        <w:t xml:space="preserve">O responsável pela fiscalização do Contrato será o servidor designado da Secretaria requisitante que fará o acompanhamento da </w:t>
      </w:r>
      <w:r>
        <w:rPr>
          <w:rFonts w:ascii="Arial" w:hAnsi="Arial"/>
          <w:b w:val="false"/>
          <w:bCs w:val="false"/>
          <w:sz w:val="22"/>
          <w:szCs w:val="22"/>
          <w:shd w:fill="auto" w:val="clear"/>
        </w:rPr>
        <w:t>entrega.</w:t>
      </w:r>
    </w:p>
    <w:p>
      <w:pPr>
        <w:pStyle w:val="Corpodotexto"/>
        <w:spacing w:lineRule="auto" w:line="360"/>
        <w:rPr>
          <w:sz w:val="22"/>
          <w:szCs w:val="22"/>
        </w:rPr>
      </w:pPr>
      <w:r>
        <w:rPr>
          <w:rFonts w:eastAsia="Arial" w:cs="Arial" w:ascii="Arial" w:hAnsi="Arial"/>
          <w:b w:val="false"/>
          <w:bCs w:val="false"/>
          <w:color w:val="000000"/>
          <w:spacing w:val="0"/>
          <w:sz w:val="22"/>
          <w:szCs w:val="22"/>
          <w:shd w:fill="auto" w:val="clear"/>
        </w:rPr>
        <w:tab/>
      </w:r>
      <w:r>
        <w:rPr>
          <w:rFonts w:ascii="Arial" w:hAnsi="Arial"/>
          <w:sz w:val="22"/>
          <w:szCs w:val="22"/>
          <w:shd w:fill="auto" w:val="clear"/>
        </w:rPr>
        <w:t xml:space="preserve">Os </w:t>
      </w:r>
      <w:r>
        <w:rPr>
          <w:rFonts w:eastAsia="Times New Roman" w:cs="Times New Roman" w:ascii="Arial" w:hAnsi="Arial"/>
          <w:color w:val="000000"/>
          <w:kern w:val="0"/>
          <w:sz w:val="22"/>
          <w:szCs w:val="22"/>
          <w:shd w:fill="auto" w:val="clear"/>
          <w:lang w:val="pt-BR" w:eastAsia="zh-CN" w:bidi="ar-SA"/>
        </w:rPr>
        <w:t>serviços</w:t>
      </w:r>
      <w:r>
        <w:rPr>
          <w:rFonts w:ascii="Arial" w:hAnsi="Arial"/>
          <w:sz w:val="22"/>
          <w:szCs w:val="22"/>
          <w:shd w:fill="auto" w:val="clear"/>
        </w:rPr>
        <w:t xml:space="preserve"> deverão ser os mesmos indicados na proposta apresentada pela vencedora, </w:t>
      </w:r>
      <w:r>
        <w:rPr>
          <w:rFonts w:ascii="Arial" w:hAnsi="Arial"/>
          <w:color w:val="000000"/>
          <w:sz w:val="22"/>
          <w:szCs w:val="22"/>
          <w:shd w:fill="auto" w:val="clear"/>
        </w:rPr>
        <w:t>sob pena de aplicação das penalidades previstas.</w:t>
      </w:r>
    </w:p>
    <w:p>
      <w:pPr>
        <w:pStyle w:val="Corpodotexto"/>
        <w:widowControl/>
        <w:bidi w:val="0"/>
        <w:spacing w:lineRule="auto" w:line="360" w:beforeAutospacing="0" w:before="0" w:afterAutospacing="0" w:after="0"/>
        <w:ind w:left="0" w:right="0" w:firstLine="737"/>
        <w:jc w:val="both"/>
        <w:rPr>
          <w:sz w:val="22"/>
          <w:szCs w:val="22"/>
        </w:rPr>
      </w:pPr>
      <w:r>
        <w:rPr>
          <w:rFonts w:cs="Arial" w:ascii="Arial" w:hAnsi="Arial"/>
          <w:b w:val="false"/>
          <w:bCs w:val="false"/>
          <w:color w:val="000000"/>
          <w:sz w:val="22"/>
          <w:szCs w:val="22"/>
          <w:shd w:fill="auto" w:val="clear"/>
          <w:lang w:val="pt-BR"/>
        </w:rPr>
        <w:t>Verificada a desconformidade de algum dos materiais pelo servidor designado, o licitante vencedor deverá promover as correções necessárias no prazo máximo de até 20 (vinte minutos), sujeitando-se às penalidades previstas no instrumento contratual.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sz w:val="22"/>
          <w:szCs w:val="22"/>
        </w:rPr>
      </w:pPr>
      <w:bookmarkStart w:id="3" w:name="art6xxiiif"/>
      <w:bookmarkEnd w:id="3"/>
      <w:r>
        <w:rPr>
          <w:rFonts w:cs="Arial" w:ascii="Arial" w:hAnsi="Arial"/>
          <w:b/>
          <w:bCs/>
          <w:color w:val="000000"/>
          <w:sz w:val="22"/>
          <w:szCs w:val="22"/>
        </w:rPr>
        <w:t>6. MODELO DE GESTÃO DO CONTRATO</w:t>
      </w:r>
    </w:p>
    <w:p>
      <w:pPr>
        <w:pStyle w:val="Corpodotexto"/>
        <w:spacing w:lineRule="auto" w:line="360" w:beforeAutospacing="0" w:before="0" w:afterAutospacing="0" w:after="0"/>
        <w:jc w:val="both"/>
        <w:rPr>
          <w:sz w:val="22"/>
          <w:szCs w:val="22"/>
        </w:rPr>
      </w:pPr>
      <w:r>
        <w:rPr>
          <w:rFonts w:eastAsia="Arial" w:cs="Arial" w:ascii="Arial" w:hAnsi="Arial"/>
          <w:b w:val="false"/>
          <w:bCs w:val="false"/>
          <w:color w:val="000000"/>
          <w:spacing w:val="0"/>
          <w:sz w:val="22"/>
          <w:szCs w:val="22"/>
          <w:shd w:fill="auto" w:val="clear"/>
        </w:rPr>
        <w:tab/>
        <w:t xml:space="preserve">A gestão e a fiscalização do objeto contratado serão realizadas conforme o disposto na </w:t>
      </w:r>
      <w:r>
        <w:rPr>
          <w:rFonts w:eastAsia="Arial" w:cs="Arial" w:ascii="Arial" w:hAnsi="Arial"/>
          <w:b/>
          <w:bCs/>
          <w:color w:val="000000"/>
          <w:spacing w:val="0"/>
          <w:sz w:val="22"/>
          <w:szCs w:val="22"/>
          <w:shd w:fill="auto" w:val="clear"/>
        </w:rPr>
        <w:t xml:space="preserve">Portaria nº </w:t>
      </w:r>
      <w:r>
        <w:rPr>
          <w:rFonts w:eastAsia="Arial" w:cs="Arial" w:ascii="Arial" w:hAnsi="Arial"/>
          <w:b/>
          <w:bCs/>
          <w:color w:val="000000"/>
          <w:spacing w:val="0"/>
          <w:kern w:val="0"/>
          <w:sz w:val="22"/>
          <w:szCs w:val="22"/>
          <w:shd w:fill="auto" w:val="clear"/>
          <w:lang w:val="pt-BR" w:eastAsia="zh-CN" w:bidi="ar-SA"/>
        </w:rPr>
        <w:t>21.293/2024,</w:t>
      </w:r>
      <w:r>
        <w:rPr>
          <w:rFonts w:eastAsia="Arial" w:cs="Arial" w:ascii="Arial" w:hAnsi="Arial"/>
          <w:b w:val="false"/>
          <w:bCs w:val="false"/>
          <w:color w:val="000000"/>
          <w:spacing w:val="0"/>
          <w:sz w:val="22"/>
          <w:szCs w:val="22"/>
          <w:shd w:fill="auto" w:val="clear"/>
        </w:rPr>
        <w:t xml:space="preserve"> que “Designa Fiscais de contrato, para acompanhar e fiscalizar a execução do(s) Contrato(s) celebrado(s) entre o MUNICÍPIO DE GIRUÁ e a empresas contratadas, de acordo com cada Secretaria municipal, onde está lotado o servidor, a qual passa a vigorar conforme segue”, nos termos do Art. 92, XVIII, da Lei Federal nº 14.133/2021.</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bookmarkStart w:id="4" w:name="art6xxiiig"/>
      <w:bookmarkStart w:id="5" w:name="art6xxiiig"/>
      <w:bookmarkEnd w:id="5"/>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7. CRITÉRIOS DE MEDIÇÃO E DE PAGAMENTO</w:t>
      </w:r>
    </w:p>
    <w:p>
      <w:pPr>
        <w:pStyle w:val="Normal"/>
        <w:spacing w:lineRule="auto" w:line="360" w:beforeAutospacing="0" w:before="0" w:afterAutospacing="0" w:after="0"/>
        <w:jc w:val="both"/>
        <w:rPr>
          <w:sz w:val="22"/>
          <w:szCs w:val="22"/>
        </w:rPr>
      </w:pPr>
      <w:r>
        <w:rPr>
          <w:rFonts w:cs="Arial"/>
          <w:color w:val="000000"/>
          <w:sz w:val="22"/>
          <w:szCs w:val="22"/>
        </w:rPr>
        <w:tab/>
        <w:t xml:space="preserve">O pagamento a empresa será realizado mediante apresentação de nota fiscal, no valor do contrato, sendo a nota emitida e entregue para a Secretaria Municipal </w:t>
      </w:r>
      <w:r>
        <w:rPr>
          <w:rFonts w:eastAsia="Times New Roman" w:cs="Arial"/>
          <w:color w:val="000000"/>
          <w:kern w:val="0"/>
          <w:sz w:val="22"/>
          <w:szCs w:val="22"/>
          <w:lang w:val="pt-BR" w:eastAsia="zh-CN" w:bidi="ar-SA"/>
        </w:rPr>
        <w:t>requisitante,</w:t>
      </w:r>
      <w:r>
        <w:rPr>
          <w:rFonts w:cs="Arial"/>
          <w:color w:val="000000"/>
          <w:sz w:val="22"/>
          <w:szCs w:val="22"/>
        </w:rPr>
        <w:t xml:space="preserve"> dentro do prazo de vigência do contrato;</w:t>
      </w:r>
    </w:p>
    <w:p>
      <w:pPr>
        <w:pStyle w:val="NormalWeb"/>
        <w:spacing w:lineRule="auto" w:line="360" w:beforeAutospacing="0" w:before="0" w:afterAutospacing="0" w:after="0"/>
        <w:jc w:val="both"/>
        <w:rPr>
          <w:sz w:val="22"/>
          <w:szCs w:val="22"/>
        </w:rPr>
      </w:pPr>
      <w:r>
        <w:rPr>
          <w:rFonts w:cs="Arial" w:ascii="Arial" w:hAnsi="Arial"/>
          <w:color w:val="000000"/>
          <w:sz w:val="22"/>
          <w:szCs w:val="22"/>
        </w:rPr>
        <w:tab/>
        <w:t>Considera-se ocorrido o recebimento da nota fiscal no momento em que o órgão contratante atestar a execução do objeto do contrato;</w:t>
      </w:r>
    </w:p>
    <w:p>
      <w:pPr>
        <w:pStyle w:val="NormalWeb"/>
        <w:spacing w:lineRule="auto" w:line="360" w:beforeAutospacing="0" w:before="0" w:afterAutospacing="0" w:after="0"/>
        <w:jc w:val="both"/>
        <w:rPr>
          <w:sz w:val="22"/>
          <w:szCs w:val="22"/>
        </w:rPr>
      </w:pPr>
      <w:r>
        <w:rPr>
          <w:rFonts w:cs="Arial" w:ascii="Arial" w:hAnsi="Arial"/>
          <w:color w:val="000000"/>
          <w:sz w:val="22"/>
          <w:szCs w:val="22"/>
        </w:rPr>
        <w:tab/>
        <w:t>O pagamento será realizado por depósito bancário ou boleto (no caso de depósito, as informações de banco, agência e conta-corrente devem estar descritas na nota fiscal);</w:t>
      </w:r>
    </w:p>
    <w:p>
      <w:pPr>
        <w:pStyle w:val="NormalWeb"/>
        <w:spacing w:lineRule="auto" w:line="360" w:beforeAutospacing="0" w:before="0" w:afterAutospacing="0" w:after="0"/>
        <w:jc w:val="both"/>
        <w:rPr>
          <w:sz w:val="22"/>
          <w:szCs w:val="22"/>
        </w:rPr>
      </w:pPr>
      <w:r>
        <w:rPr>
          <w:rFonts w:cs="Arial" w:ascii="Arial" w:hAnsi="Arial"/>
          <w:color w:val="000000"/>
          <w:sz w:val="22"/>
          <w:szCs w:val="22"/>
        </w:rPr>
        <w:tab/>
        <w:t>O pagamento será realizado em até 15 (quinze) dias após a prestação do serviço e a entrega da nota fiscal ao setor competente;</w:t>
      </w:r>
    </w:p>
    <w:p>
      <w:pPr>
        <w:pStyle w:val="NormalWeb"/>
        <w:spacing w:lineRule="auto" w:line="360" w:beforeAutospacing="0" w:before="0" w:afterAutospacing="0" w:after="0"/>
        <w:jc w:val="both"/>
        <w:rPr>
          <w:sz w:val="22"/>
          <w:szCs w:val="22"/>
        </w:rPr>
      </w:pPr>
      <w:r>
        <w:rPr>
          <w:rFonts w:cs="Arial" w:ascii="Arial" w:hAnsi="Arial"/>
          <w:color w:val="000000"/>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Web"/>
        <w:spacing w:lineRule="auto" w:line="360" w:beforeAutospacing="0" w:before="0" w:afterAutospacing="0" w:after="0"/>
        <w:jc w:val="both"/>
        <w:rPr>
          <w:sz w:val="22"/>
          <w:szCs w:val="22"/>
        </w:rPr>
      </w:pPr>
      <w:r>
        <w:rPr>
          <w:rFonts w:cs="Arial" w:ascii="Arial" w:hAnsi="Arial"/>
          <w:color w:val="000000"/>
          <w:sz w:val="22"/>
          <w:szCs w:val="22"/>
        </w:rPr>
        <w:tab/>
        <w:t>Quando do pagamento, será efetuada a retenção tributária prevista na legislação aplicável;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8. FORMA E CRITÉRIOS DE SELEÇÃO DO FORNECEDOR/PRESTADOR DE SERVIÇO</w:t>
      </w:r>
    </w:p>
    <w:p>
      <w:pPr>
        <w:pStyle w:val="Normal"/>
        <w:suppressAutoHyphens w:val="true"/>
        <w:spacing w:lineRule="exact" w:line="360" w:beforeAutospacing="0" w:before="0" w:afterAutospacing="0" w:after="0"/>
        <w:ind w:left="0" w:right="0" w:hanging="0"/>
        <w:jc w:val="both"/>
        <w:rPr>
          <w:sz w:val="22"/>
          <w:szCs w:val="22"/>
        </w:rPr>
      </w:pPr>
      <w:r>
        <w:rPr>
          <w:rFonts w:eastAsia="Arial" w:cs="Arial"/>
          <w:b w:val="false"/>
          <w:bCs w:val="false"/>
          <w:color w:val="000000"/>
          <w:spacing w:val="0"/>
          <w:sz w:val="22"/>
          <w:szCs w:val="22"/>
          <w:shd w:fill="auto" w:val="clear"/>
        </w:rPr>
        <w:tab/>
      </w:r>
      <w:r>
        <w:rPr>
          <w:rFonts w:eastAsia="Arial" w:cs="Arial"/>
          <w:color w:val="000000"/>
          <w:spacing w:val="0"/>
          <w:sz w:val="22"/>
          <w:szCs w:val="22"/>
          <w:shd w:fill="auto" w:val="clear"/>
        </w:rPr>
        <w:t>Conforme disposto no item 4, o futuro contratado será selecionado mediante processo de dispensa de licitação, com arrimo no art. 72 e seguintes da Lei n° 14.133/2021.</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9. ESTIMATIVA DO VALOR DA CONTRATAÇÃO</w:t>
      </w:r>
    </w:p>
    <w:p>
      <w:pPr>
        <w:pStyle w:val="Normal"/>
        <w:spacing w:lineRule="auto" w:line="360"/>
        <w:jc w:val="both"/>
        <w:rPr>
          <w:sz w:val="22"/>
          <w:szCs w:val="22"/>
        </w:rPr>
      </w:pPr>
      <w:r>
        <w:rPr>
          <w:sz w:val="22"/>
          <w:szCs w:val="22"/>
        </w:rPr>
        <w:tab/>
        <w:t xml:space="preserve">Estima-se para a contratação almejada o valor total de R$ </w:t>
      </w:r>
      <w:r>
        <w:rPr>
          <w:sz w:val="22"/>
          <w:szCs w:val="22"/>
        </w:rPr>
        <w:t>2.250,00</w:t>
      </w:r>
      <w:r>
        <w:rPr>
          <w:color w:val="auto"/>
          <w:sz w:val="22"/>
          <w:szCs w:val="22"/>
        </w:rPr>
        <w:t xml:space="preserve"> </w:t>
      </w:r>
      <w:r>
        <w:rPr>
          <w:color w:val="auto"/>
          <w:sz w:val="22"/>
          <w:szCs w:val="22"/>
        </w:rPr>
        <w:t>(dois</w:t>
      </w:r>
      <w:r>
        <w:rPr>
          <w:color w:val="auto"/>
          <w:sz w:val="22"/>
          <w:szCs w:val="22"/>
        </w:rPr>
        <w:t xml:space="preserve"> mil e duzentos </w:t>
      </w:r>
      <w:r>
        <w:rPr>
          <w:color w:val="auto"/>
          <w:sz w:val="22"/>
          <w:szCs w:val="22"/>
        </w:rPr>
        <w:t xml:space="preserve">e cinquenta </w:t>
      </w:r>
      <w:r>
        <w:rPr>
          <w:color w:val="auto"/>
          <w:sz w:val="22"/>
          <w:szCs w:val="22"/>
        </w:rPr>
        <w:t>reais), para a realização dos serviços durante os 03 (três) dias da 15ª Feira do Butiá 2024.</w:t>
      </w:r>
    </w:p>
    <w:p>
      <w:pPr>
        <w:pStyle w:val="Normal"/>
        <w:spacing w:lineRule="auto" w:line="360"/>
        <w:jc w:val="both"/>
        <w:rPr>
          <w:sz w:val="22"/>
          <w:szCs w:val="22"/>
        </w:rPr>
      </w:pPr>
      <w:r>
        <w:rPr>
          <w:sz w:val="22"/>
          <w:szCs w:val="22"/>
        </w:rPr>
        <w:tab/>
        <w:t xml:space="preserve">Vislumbra-se que tal valor é compatível com o praticado pelo mercado correspondente, observando-se o disposto no Decreto Municipal nº </w:t>
      </w:r>
      <w:r>
        <w:rPr>
          <w:rFonts w:cs="Arial"/>
          <w:sz w:val="22"/>
          <w:szCs w:val="22"/>
          <w:lang w:eastAsia="zh-CN"/>
        </w:rPr>
        <w:t>1911/2022</w:t>
      </w:r>
      <w:r>
        <w:rPr>
          <w:sz w:val="22"/>
          <w:szCs w:val="22"/>
        </w:rPr>
        <w:t xml:space="preserve">, que </w:t>
      </w:r>
      <w:r>
        <w:rPr>
          <w:color w:val="000000"/>
          <w:sz w:val="22"/>
          <w:szCs w:val="22"/>
        </w:rPr>
        <w:t>“</w:t>
      </w:r>
      <w:r>
        <w:rPr>
          <w:b w:val="false"/>
          <w:i w:val="false"/>
          <w:caps w:val="false"/>
          <w:smallCaps w:val="false"/>
          <w:color w:val="000000"/>
          <w:spacing w:val="0"/>
          <w:sz w:val="22"/>
          <w:szCs w:val="22"/>
        </w:rPr>
        <w:t xml:space="preserve">Institui normas para o procedimento administrativo para a realização de </w:t>
      </w:r>
      <w:r>
        <w:rPr>
          <w:color w:val="000000"/>
          <w:sz w:val="22"/>
          <w:szCs w:val="22"/>
        </w:rPr>
        <w:t>pesquisa</w:t>
      </w:r>
      <w:r>
        <w:rPr>
          <w:caps w:val="false"/>
          <w:smallCaps w:val="false"/>
          <w:color w:val="000000"/>
          <w:spacing w:val="0"/>
          <w:sz w:val="22"/>
          <w:szCs w:val="22"/>
        </w:rPr>
        <w:t xml:space="preserve"> </w:t>
      </w:r>
      <w:r>
        <w:rPr>
          <w:b w:val="false"/>
          <w:i w:val="false"/>
          <w:caps w:val="false"/>
          <w:smallCaps w:val="false"/>
          <w:color w:val="000000"/>
          <w:spacing w:val="0"/>
          <w:sz w:val="22"/>
          <w:szCs w:val="22"/>
        </w:rPr>
        <w:t>de preços para aquisição de bens e contratação de serviços em geral, no âmbito do Município de Giruá-RS</w:t>
      </w:r>
      <w:r>
        <w:rPr>
          <w:color w:val="000000"/>
          <w:sz w:val="22"/>
          <w:szCs w:val="22"/>
        </w:rPr>
        <w:t>”</w:t>
      </w:r>
      <w:r>
        <w:rPr>
          <w:sz w:val="22"/>
          <w:szCs w:val="22"/>
        </w:rPr>
        <w:t>.</w:t>
      </w:r>
    </w:p>
    <w:p>
      <w:pPr>
        <w:pStyle w:val="Normal"/>
        <w:spacing w:lineRule="auto" w:line="360"/>
        <w:jc w:val="both"/>
        <w:rPr>
          <w:sz w:val="22"/>
          <w:szCs w:val="22"/>
        </w:rPr>
      </w:pPr>
      <w:r>
        <w:rPr>
          <w:color w:val="000000"/>
          <w:sz w:val="22"/>
          <w:szCs w:val="22"/>
        </w:rPr>
        <w:tab/>
        <w:t>Quanto à pesquisa de preço, realizou-se a cotação com a única Cooperativa existente em nosso município, especializada na realização deste serviço, a qual tem em seu quadro de colaboradores de baixa renda, carentes, que necessitam da remuneração para viver e sustentar sua família.</w:t>
      </w:r>
    </w:p>
    <w:p>
      <w:pPr>
        <w:pStyle w:val="NormalWeb"/>
        <w:spacing w:lineRule="auto" w:line="360" w:beforeAutospacing="0" w:before="0" w:afterAutospacing="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Autospacing="0" w:before="0" w:afterAutospacing="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Autospacing="0" w:before="0" w:afterAutospacing="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Autospacing="0" w:before="0" w:afterAutospacing="0" w:after="0"/>
        <w:jc w:val="both"/>
        <w:rPr>
          <w:sz w:val="22"/>
          <w:szCs w:val="22"/>
        </w:rPr>
      </w:pPr>
      <w:r>
        <w:rPr>
          <w:rFonts w:cs="Arial" w:ascii="Arial" w:hAnsi="Arial"/>
          <w:b/>
          <w:bCs/>
          <w:color w:val="000000"/>
          <w:sz w:val="22"/>
          <w:szCs w:val="22"/>
        </w:rPr>
        <w:t>10. ADEQUAÇÃO ORÇAMENTÁRIA</w:t>
      </w:r>
    </w:p>
    <w:p>
      <w:pPr>
        <w:pStyle w:val="Normal"/>
        <w:spacing w:lineRule="auto" w:line="360"/>
        <w:jc w:val="both"/>
        <w:rPr>
          <w:sz w:val="22"/>
          <w:szCs w:val="22"/>
        </w:rPr>
      </w:pPr>
      <w:r>
        <w:rPr>
          <w:sz w:val="22"/>
          <w:szCs w:val="22"/>
        </w:rPr>
        <w:tab/>
        <w:t xml:space="preserve">O dispêndio financeiro decorrente da contratação ora pretendida decorrerá da dotação orçamentária </w:t>
      </w:r>
      <w:r>
        <w:rPr>
          <w:color w:val="000000"/>
          <w:sz w:val="22"/>
          <w:szCs w:val="22"/>
        </w:rPr>
        <w:t>418</w:t>
      </w:r>
      <w:r>
        <w:rPr>
          <w:sz w:val="22"/>
          <w:szCs w:val="22"/>
        </w:rPr>
        <w:t>.</w:t>
      </w:r>
    </w:p>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r>
    </w:p>
    <w:p>
      <w:pPr>
        <w:pStyle w:val="Normal"/>
        <w:spacing w:lineRule="auto" w:line="360"/>
        <w:jc w:val="right"/>
        <w:rPr>
          <w:sz w:val="22"/>
          <w:szCs w:val="22"/>
        </w:rPr>
      </w:pPr>
      <w:r>
        <w:rPr>
          <w:sz w:val="22"/>
          <w:szCs w:val="22"/>
        </w:rPr>
        <w:t>Giruá – RS, 07 de março de 2024.</w:t>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center"/>
        <w:rPr>
          <w:sz w:val="22"/>
          <w:szCs w:val="22"/>
        </w:rPr>
      </w:pPr>
      <w:r>
        <w:rPr>
          <w:b w:val="false"/>
          <w:bCs w:val="false"/>
          <w:sz w:val="22"/>
          <w:szCs w:val="22"/>
        </w:rPr>
        <w:t>_______________________________________</w:t>
      </w:r>
    </w:p>
    <w:p>
      <w:pPr>
        <w:pStyle w:val="Normal"/>
        <w:spacing w:lineRule="auto" w:line="360"/>
        <w:jc w:val="center"/>
        <w:rPr>
          <w:sz w:val="22"/>
          <w:szCs w:val="22"/>
        </w:rPr>
      </w:pPr>
      <w:r>
        <w:rPr>
          <w:rFonts w:cs="Courier New"/>
          <w:b w:val="false"/>
          <w:bCs w:val="false"/>
          <w:color w:val="auto"/>
          <w:sz w:val="22"/>
          <w:szCs w:val="22"/>
          <w:lang w:val="pt-BR"/>
        </w:rPr>
        <w:t>Palmiéri Ruschel Wielens</w:t>
      </w:r>
    </w:p>
    <w:p>
      <w:pPr>
        <w:pStyle w:val="Normal"/>
        <w:widowControl/>
        <w:suppressAutoHyphens w:val="false"/>
        <w:spacing w:lineRule="auto" w:line="360" w:before="0" w:after="0"/>
        <w:jc w:val="center"/>
        <w:rPr>
          <w:sz w:val="22"/>
          <w:szCs w:val="22"/>
        </w:rPr>
      </w:pPr>
      <w:r>
        <w:rPr>
          <w:rFonts w:cs="Courier New"/>
          <w:b w:val="false"/>
          <w:bCs w:val="false"/>
          <w:sz w:val="22"/>
          <w:szCs w:val="22"/>
          <w:lang w:val="pt-BR"/>
        </w:rPr>
        <w:t>Secretária Municipal de Educação e Cultura</w:t>
      </w:r>
    </w:p>
    <w:p>
      <w:pPr>
        <w:pStyle w:val="Normal"/>
        <w:widowControl/>
        <w:suppressAutoHyphens w:val="false"/>
        <w:spacing w:lineRule="auto" w:line="360" w:before="0" w:after="0"/>
        <w:jc w:val="center"/>
        <w:rPr>
          <w:sz w:val="22"/>
          <w:szCs w:val="22"/>
        </w:rPr>
      </w:pPr>
      <w:r>
        <w:rPr>
          <w:rFonts w:eastAsia="Times New Roman" w:cs="Courier New"/>
          <w:b w:val="false"/>
          <w:bCs w:val="false"/>
          <w:color w:val="000000"/>
          <w:kern w:val="0"/>
          <w:sz w:val="22"/>
          <w:szCs w:val="22"/>
          <w:lang w:val="pt-BR" w:eastAsia="zh-CN" w:bidi="ar-SA"/>
        </w:rPr>
        <w:t xml:space="preserve">Portaria nº </w:t>
      </w:r>
      <w:r>
        <w:rPr>
          <w:rFonts w:eastAsia="Lucida Sans Unicode" w:cs="Courier New"/>
          <w:b w:val="false"/>
          <w:bCs w:val="false"/>
          <w:color w:val="000000"/>
          <w:kern w:val="0"/>
          <w:sz w:val="22"/>
          <w:szCs w:val="22"/>
          <w:lang w:val="pt-BR" w:eastAsia="zh-CN" w:bidi="en-US"/>
        </w:rPr>
        <w:t>13.687</w:t>
      </w:r>
      <w:r>
        <w:rPr>
          <w:rFonts w:eastAsia="Times New Roman" w:cs="Courier New"/>
          <w:b w:val="false"/>
          <w:bCs w:val="false"/>
          <w:color w:val="000000"/>
          <w:kern w:val="0"/>
          <w:sz w:val="22"/>
          <w:szCs w:val="22"/>
          <w:lang w:val="pt-BR" w:eastAsia="zh-CN" w:bidi="ar-SA"/>
        </w:rPr>
        <w:t>/2021</w:t>
      </w:r>
    </w:p>
    <w:p>
      <w:pPr>
        <w:pStyle w:val="Normal"/>
        <w:spacing w:lineRule="auto" w:line="360"/>
        <w:jc w:val="center"/>
        <w:rPr>
          <w:rFonts w:ascii="Arial" w:hAnsi="Arial"/>
          <w:b w:val="false"/>
          <w:bCs w:val="false"/>
          <w:color w:val="auto"/>
          <w:sz w:val="22"/>
          <w:szCs w:val="22"/>
        </w:rPr>
      </w:pPr>
      <w:r>
        <w:rPr>
          <w:b w:val="false"/>
          <w:bCs w:val="false"/>
          <w:color w:val="auto"/>
          <w:sz w:val="22"/>
          <w:szCs w:val="22"/>
        </w:rPr>
      </w:r>
    </w:p>
    <w:p>
      <w:pPr>
        <w:pStyle w:val="Normal"/>
        <w:spacing w:lineRule="auto" w:line="360"/>
        <w:jc w:val="center"/>
        <w:rPr>
          <w:sz w:val="22"/>
          <w:szCs w:val="22"/>
        </w:rPr>
      </w:pPr>
      <w:r>
        <w:rPr/>
      </w:r>
    </w:p>
    <w:sectPr>
      <w:headerReference w:type="first" r:id="rId2"/>
      <w:footerReference w:type="default" r:id="rId3"/>
      <w:type w:val="nextPage"/>
      <w:pgSz w:w="11906" w:h="16838"/>
      <w:pgMar w:left="1276" w:right="1134" w:gutter="0" w:header="1276" w:top="1276" w:footer="737"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Light">
    <w:charset w:val="00"/>
    <w:family w:val="roman"/>
    <w:pitch w:val="variable"/>
  </w:font>
  <w:font w:name="Segoe UI">
    <w:charset w:val="00"/>
    <w:family w:val="roman"/>
    <w:pitch w:val="variable"/>
  </w:font>
  <w:font w:name="Monotype Sorts">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17263879"/>
    </w:sdtPr>
    <w:sdtContent>
      <w:p>
        <w:pPr>
          <w:pStyle w:val="Rodap"/>
          <w:jc w:val="right"/>
          <w:rPr/>
        </w:pPr>
        <w:r>
          <w:rPr/>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sz w:val="4"/>
        <w:szCs w:val="4"/>
      </w:rPr>
    </w:pPr>
    <w:r>
      <w:rPr>
        <w:sz w:val="4"/>
        <w:szCs w:val="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isplayBackgroundShape/>
  <w:embedSystemFonts/>
  <w:defaultTabStop w:val="708"/>
  <w:autoHyphenation w:val="true"/>
  <w:hyphenationZone w:val="425"/>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Arial" w:hAnsi="Arial" w:eastAsia="Times New Roman" w:cs="Arial"/>
      <w:color w:val="auto"/>
      <w:kern w:val="0"/>
      <w:sz w:val="22"/>
      <w:szCs w:val="20"/>
      <w:lang w:val="pt-BR" w:eastAsia="zh-CN" w:bidi="ar-SA"/>
    </w:rPr>
  </w:style>
  <w:style w:type="paragraph" w:styleId="Ttulo1">
    <w:name w:val="Heading 1"/>
    <w:basedOn w:val="Normal"/>
    <w:next w:val="Normal"/>
    <w:qFormat/>
    <w:pPr>
      <w:keepNext w:val="true"/>
      <w:numPr>
        <w:ilvl w:val="0"/>
        <w:numId w:val="1"/>
      </w:numPr>
      <w:spacing w:before="240" w:after="60"/>
      <w:outlineLvl w:val="0"/>
    </w:pPr>
    <w:rPr>
      <w:b/>
      <w:kern w:val="2"/>
      <w:sz w:val="28"/>
    </w:rPr>
  </w:style>
  <w:style w:type="paragraph" w:styleId="Ttulo2">
    <w:name w:val="Heading 2"/>
    <w:basedOn w:val="Normal"/>
    <w:next w:val="Normal"/>
    <w:link w:val="Ttulo2Char"/>
    <w:semiHidden/>
    <w:unhideWhenUsed/>
    <w:qFormat/>
    <w:rsid w:val="00b96d5c"/>
    <w:pPr>
      <w:keepNext w:val="true"/>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val="true"/>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val="true"/>
      <w:numPr>
        <w:ilvl w:val="6"/>
        <w:numId w:val="1"/>
      </w:numPr>
      <w:tabs>
        <w:tab w:val="clear" w:pos="708"/>
        <w:tab w:val="left" w:pos="2835" w:leader="none"/>
      </w:tabs>
      <w:spacing w:lineRule="exact" w:line="280"/>
      <w:ind w:left="57" w:right="57" w:hanging="57"/>
      <w:jc w:val="center"/>
      <w:outlineLvl w:val="6"/>
    </w:pPr>
    <w:rPr>
      <w:rFonts w:ascii="Times New Roman" w:hAnsi="Times New Roman" w:cs="Times New Roman"/>
      <w:b/>
      <w:spacing w:val="14"/>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4" w:customStyle="1">
    <w:name w:val="Fonte parág. padrão4"/>
    <w:qFormat/>
    <w:rPr/>
  </w:style>
  <w:style w:type="character" w:styleId="Absatz-Standardschriftart" w:customStyle="1">
    <w:name w:val="Absatz-Standardschriftart"/>
    <w:qFormat/>
    <w:rPr/>
  </w:style>
  <w:style w:type="character" w:styleId="Fontepargpadro3" w:customStyle="1">
    <w:name w:val="Fonte parág. padrão3"/>
    <w:qFormat/>
    <w:rPr/>
  </w:style>
  <w:style w:type="character" w:styleId="WW-Absatz-Standardschriftart" w:customStyle="1">
    <w:name w:val="WW-Absatz-Standardschriftart"/>
    <w:qFormat/>
    <w:rPr/>
  </w:style>
  <w:style w:type="character" w:styleId="Fontepargpadro2" w:customStyle="1">
    <w:name w:val="Fonte parág. padrão2"/>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Fontepargpadro1" w:customStyle="1">
    <w:name w:val="Fonte parág. padrão1"/>
    <w:qFormat/>
    <w:rPr/>
  </w:style>
  <w:style w:type="character" w:styleId="Pagenumber">
    <w:name w:val="page number"/>
    <w:basedOn w:val="Fontepargpadro1"/>
    <w:qFormat/>
    <w:rPr/>
  </w:style>
  <w:style w:type="character" w:styleId="Caracteresdenotaderodap" w:customStyle="1">
    <w:name w:val="Caracteres de nota de rodapé"/>
    <w:qFormat/>
    <w:rPr>
      <w:vertAlign w:val="superscript"/>
    </w:rPr>
  </w:style>
  <w:style w:type="character" w:styleId="Refdenotaderodap1" w:customStyle="1">
    <w:name w:val="Ref. de nota de rodapé1"/>
    <w:qFormat/>
    <w:rPr>
      <w:vertAlign w:val="superscript"/>
    </w:rPr>
  </w:style>
  <w:style w:type="character" w:styleId="Caracteresdenotadefim" w:customStyle="1">
    <w:name w:val="Caracteres de nota de fim"/>
    <w:qFormat/>
    <w:rPr>
      <w:vertAlign w:val="superscript"/>
    </w:rPr>
  </w:style>
  <w:style w:type="character" w:styleId="WW-Caracteresdenotadefim" w:customStyle="1">
    <w:name w:val="WW-Caracteres de nota de fim"/>
    <w:qFormat/>
    <w:rPr/>
  </w:style>
  <w:style w:type="character" w:styleId="Smbolosdenumerao" w:customStyle="1">
    <w:name w:val="Símbolos de numeração"/>
    <w:qFormat/>
    <w:rPr/>
  </w:style>
  <w:style w:type="character" w:styleId="Refdenotadefim1" w:customStyle="1">
    <w:name w:val="Ref. de nota de fim1"/>
    <w:qFormat/>
    <w:rPr>
      <w:vertAlign w:val="superscript"/>
    </w:rPr>
  </w:style>
  <w:style w:type="character" w:styleId="Refdenotaderodap2" w:customStyle="1">
    <w:name w:val="Ref. de nota de rodapé2"/>
    <w:qFormat/>
    <w:rPr>
      <w:vertAlign w:val="superscript"/>
    </w:rPr>
  </w:style>
  <w:style w:type="character" w:styleId="Refdenotadefim2" w:customStyle="1">
    <w:name w:val="Ref. de nota de fim2"/>
    <w:qFormat/>
    <w:rPr>
      <w:vertAlign w:val="superscript"/>
    </w:rPr>
  </w:style>
  <w:style w:type="character" w:styleId="Refdenotaderodap3" w:customStyle="1">
    <w:name w:val="Ref. de nota de rodapé3"/>
    <w:qFormat/>
    <w:rPr>
      <w:vertAlign w:val="superscript"/>
    </w:rPr>
  </w:style>
  <w:style w:type="character" w:styleId="Refdenotadefim3" w:customStyle="1">
    <w:name w:val="Ref. de nota de fim3"/>
    <w:qFormat/>
    <w:rPr>
      <w:vertAlign w:val="superscript"/>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Ncoradanotadefim">
    <w:name w:val="Endnote Reference"/>
    <w:rPr>
      <w:vertAlign w:val="superscript"/>
    </w:rPr>
  </w:style>
  <w:style w:type="character" w:styleId="EndnoteCharacters">
    <w:name w:val="Endnote Characters"/>
    <w:qFormat/>
    <w:rPr>
      <w:vertAlign w:val="superscript"/>
    </w:rPr>
  </w:style>
  <w:style w:type="character" w:styleId="RodapChar" w:customStyle="1">
    <w:name w:val="Rodapé Char"/>
    <w:uiPriority w:val="99"/>
    <w:qFormat/>
    <w:rsid w:val="00502e0d"/>
    <w:rPr>
      <w:rFonts w:ascii="Arial" w:hAnsi="Arial" w:cs="Arial"/>
      <w:sz w:val="22"/>
      <w:lang w:eastAsia="zh-CN"/>
    </w:rPr>
  </w:style>
  <w:style w:type="character" w:styleId="Refdenotaderodap5" w:customStyle="1">
    <w:name w:val="Ref. de nota de rodapé5"/>
    <w:qFormat/>
    <w:rsid w:val="00e80693"/>
    <w:rPr>
      <w:vertAlign w:val="superscript"/>
    </w:rPr>
  </w:style>
  <w:style w:type="character" w:styleId="TextodebaloChar" w:customStyle="1">
    <w:name w:val="Texto de balão Char"/>
    <w:qFormat/>
    <w:rsid w:val="00c90f73"/>
    <w:rPr>
      <w:rFonts w:ascii="Segoe UI" w:hAnsi="Segoe UI" w:cs="Segoe UI"/>
      <w:sz w:val="18"/>
      <w:szCs w:val="18"/>
      <w:lang w:eastAsia="zh-CN"/>
    </w:rPr>
  </w:style>
  <w:style w:type="character" w:styleId="LinkdaInternet">
    <w:name w:val="Hyperlink"/>
    <w:uiPriority w:val="99"/>
    <w:unhideWhenUsed/>
    <w:rsid w:val="0089786b"/>
    <w:rPr>
      <w:color w:val="0563C1"/>
      <w:u w:val="single"/>
    </w:rPr>
  </w:style>
  <w:style w:type="character" w:styleId="MenoPendente1" w:customStyle="1">
    <w:name w:val="Menção Pendente1"/>
    <w:uiPriority w:val="99"/>
    <w:semiHidden/>
    <w:unhideWhenUsed/>
    <w:qFormat/>
    <w:rsid w:val="0089786b"/>
    <w:rPr>
      <w:color w:val="808080"/>
      <w:shd w:fill="E6E6E6" w:val="clear"/>
    </w:rPr>
  </w:style>
  <w:style w:type="character" w:styleId="Linkdainternetvisitado">
    <w:name w:val="FollowedHyperlink"/>
    <w:basedOn w:val="DefaultParagraphFont"/>
    <w:uiPriority w:val="99"/>
    <w:semiHidden/>
    <w:unhideWhenUsed/>
    <w:rsid w:val="00ac6de8"/>
    <w:rPr>
      <w:color w:val="954F72" w:themeColor="followedHyperlink"/>
      <w:u w:val="single"/>
    </w:rPr>
  </w:style>
  <w:style w:type="character" w:styleId="Ttulo2Char" w:customStyle="1">
    <w:name w:val="Título 2 Char"/>
    <w:basedOn w:val="DefaultParagraphFont"/>
    <w:semiHidden/>
    <w:qFormat/>
    <w:rsid w:val="00b96d5c"/>
    <w:rPr>
      <w:rFonts w:ascii="Calibri Light" w:hAnsi="Calibri Light"/>
      <w:b/>
      <w:bCs/>
      <w:i/>
      <w:iCs/>
      <w:sz w:val="28"/>
      <w:szCs w:val="28"/>
    </w:rPr>
  </w:style>
  <w:style w:type="character" w:styleId="Ttulo3Char" w:customStyle="1">
    <w:name w:val="Título 3 Char"/>
    <w:basedOn w:val="DefaultParagraphFont"/>
    <w:semiHidden/>
    <w:qFormat/>
    <w:rsid w:val="00b96d5c"/>
    <w:rPr>
      <w:rFonts w:ascii="Calibri Light" w:hAnsi="Calibri Light"/>
      <w:b/>
      <w:bCs/>
      <w:sz w:val="26"/>
      <w:szCs w:val="26"/>
    </w:rPr>
  </w:style>
  <w:style w:type="character" w:styleId="Ttulo7Char" w:customStyle="1">
    <w:name w:val="Título 7 Char"/>
    <w:basedOn w:val="DefaultParagraphFont"/>
    <w:qFormat/>
    <w:rsid w:val="00b96d5c"/>
    <w:rPr>
      <w:b/>
      <w:spacing w:val="14"/>
      <w:sz w:val="24"/>
    </w:rPr>
  </w:style>
  <w:style w:type="character" w:styleId="WW8Num2z0" w:customStyle="1">
    <w:name w:val="WW8Num2z0"/>
    <w:qFormat/>
    <w:rsid w:val="00b96d5c"/>
    <w:rPr>
      <w:rFonts w:ascii="Monotype Sorts" w:hAnsi="Monotype Sorts"/>
    </w:rPr>
  </w:style>
  <w:style w:type="character" w:styleId="WW8Num3z0" w:customStyle="1">
    <w:name w:val="WW8Num3z0"/>
    <w:qFormat/>
    <w:rsid w:val="00b96d5c"/>
    <w:rPr>
      <w:b/>
    </w:rPr>
  </w:style>
  <w:style w:type="character" w:styleId="WW8Num4z0" w:customStyle="1">
    <w:name w:val="WW8Num4z0"/>
    <w:qFormat/>
    <w:rsid w:val="00b96d5c"/>
    <w:rPr>
      <w:rFonts w:ascii="Times New Roman" w:hAnsi="Times New Roman" w:eastAsia="Times New Roman" w:cs="Times New Roman"/>
    </w:rPr>
  </w:style>
  <w:style w:type="character" w:styleId="WW8Num4z1" w:customStyle="1">
    <w:name w:val="WW8Num4z1"/>
    <w:qFormat/>
    <w:rsid w:val="00b96d5c"/>
    <w:rPr>
      <w:rFonts w:ascii="Courier New" w:hAnsi="Courier New"/>
    </w:rPr>
  </w:style>
  <w:style w:type="character" w:styleId="WW8Num4z2" w:customStyle="1">
    <w:name w:val="WW8Num4z2"/>
    <w:qFormat/>
    <w:rsid w:val="00b96d5c"/>
    <w:rPr>
      <w:rFonts w:ascii="Wingdings" w:hAnsi="Wingdings"/>
    </w:rPr>
  </w:style>
  <w:style w:type="character" w:styleId="WW8Num4z3" w:customStyle="1">
    <w:name w:val="WW8Num4z3"/>
    <w:qFormat/>
    <w:rsid w:val="00b96d5c"/>
    <w:rPr>
      <w:rFonts w:ascii="Symbol" w:hAnsi="Symbol"/>
    </w:rPr>
  </w:style>
  <w:style w:type="character" w:styleId="WW8Num5z0" w:customStyle="1">
    <w:name w:val="WW8Num5z0"/>
    <w:qFormat/>
    <w:rsid w:val="00b96d5c"/>
    <w:rPr>
      <w:rFonts w:ascii="Times New Roman" w:hAnsi="Times New Roman"/>
      <w:b/>
    </w:rPr>
  </w:style>
  <w:style w:type="character" w:styleId="WW8Num6z0" w:customStyle="1">
    <w:name w:val="WW8Num6z0"/>
    <w:qFormat/>
    <w:rsid w:val="00b96d5c"/>
    <w:rPr>
      <w:b/>
    </w:rPr>
  </w:style>
  <w:style w:type="character" w:styleId="WW8Num7z0" w:customStyle="1">
    <w:name w:val="WW8Num7z0"/>
    <w:qFormat/>
    <w:rsid w:val="00b96d5c"/>
    <w:rPr>
      <w:b/>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widowControl w:val="false"/>
      <w:suppressAutoHyphens w:val="true"/>
      <w:jc w:val="both"/>
    </w:pPr>
    <w:rPr>
      <w:rFonts w:ascii="Times New Roman" w:hAnsi="Times New Roman" w:cs="Times New Roman"/>
      <w:sz w:val="28"/>
    </w:rPr>
  </w:style>
  <w:style w:type="paragraph" w:styleId="Lista">
    <w:name w:val="List"/>
    <w:basedOn w:val="Corpodotexto"/>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Tahoma"/>
    </w:rPr>
  </w:style>
  <w:style w:type="paragraph" w:styleId="Ttulo31" w:customStyle="1">
    <w:name w:val="Título3"/>
    <w:basedOn w:val="Normal"/>
    <w:next w:val="Corpodotexto"/>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
    <w:basedOn w:val="Normal"/>
    <w:next w:val="Corpodotexto"/>
    <w:qFormat/>
    <w:pPr>
      <w:keepNext w:val="true"/>
      <w:spacing w:before="240" w:after="120"/>
    </w:pPr>
    <w:rPr>
      <w:rFonts w:eastAsia="Lucida Sans Unicode"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11" w:customStyle="1">
    <w:name w:val="Título1"/>
    <w:basedOn w:val="Normal"/>
    <w:next w:val="Corpodotexto"/>
    <w:qFormat/>
    <w:pPr>
      <w:keepNext w:val="true"/>
      <w:spacing w:before="240" w:after="120"/>
    </w:pPr>
    <w:rPr>
      <w:rFonts w:eastAsia="Lucida Sans Unicode" w:cs="Tahoma"/>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Captulo" w:customStyle="1">
    <w:name w:val="Capítulo"/>
    <w:basedOn w:val="Normal"/>
    <w:next w:val="Corpodotexto"/>
    <w:qFormat/>
    <w:pPr>
      <w:keepNext w:val="true"/>
      <w:spacing w:before="240" w:after="120"/>
    </w:pPr>
    <w:rPr>
      <w:rFonts w:eastAsia="Lucida Sans Unicode" w:cs="Tahoma"/>
      <w:sz w:val="28"/>
      <w:szCs w:val="28"/>
    </w:rPr>
  </w:style>
  <w:style w:type="paragraph" w:styleId="Legenda1" w:customStyle="1">
    <w:name w:val="Legenda1"/>
    <w:basedOn w:val="Normal"/>
    <w:qFormat/>
    <w:pPr>
      <w:suppressLineNumbers/>
      <w:spacing w:before="120" w:after="120"/>
    </w:pPr>
    <w:rPr>
      <w:rFonts w:cs="Tahoma"/>
      <w:i/>
      <w:iCs/>
      <w:sz w:val="24"/>
      <w:szCs w:val="24"/>
    </w:rPr>
  </w:style>
  <w:style w:type="paragraph" w:styleId="Subttulo">
    <w:name w:val="Subtitle"/>
    <w:basedOn w:val="Captulo"/>
    <w:next w:val="Corpodotexto"/>
    <w:qFormat/>
    <w:pPr>
      <w:jc w:val="center"/>
    </w:pPr>
    <w:rPr>
      <w:i/>
      <w:iCs/>
    </w:rPr>
  </w:style>
  <w:style w:type="paragraph" w:styleId="CabealhoeRodap">
    <w:name w:val="Cabeçalho e Rodapé"/>
    <w:basedOn w:val="Normal"/>
    <w:qFormat/>
    <w:pPr/>
    <w:rPr/>
  </w:style>
  <w:style w:type="paragraph" w:styleId="Rodap">
    <w:name w:val="Footer"/>
    <w:basedOn w:val="Normal"/>
    <w:link w:val="RodapChar"/>
    <w:uiPriority w:val="99"/>
    <w:pPr>
      <w:tabs>
        <w:tab w:val="clear" w:pos="708"/>
        <w:tab w:val="center" w:pos="4419" w:leader="none"/>
        <w:tab w:val="right" w:pos="8838" w:leader="none"/>
      </w:tabs>
    </w:pPr>
    <w:rPr/>
  </w:style>
  <w:style w:type="paragraph" w:styleId="Cabealho">
    <w:name w:val="Header"/>
    <w:basedOn w:val="Normal"/>
    <w:pPr>
      <w:tabs>
        <w:tab w:val="clear" w:pos="708"/>
        <w:tab w:val="center" w:pos="4419" w:leader="none"/>
        <w:tab w:val="right" w:pos="8838" w:leader="none"/>
      </w:tabs>
    </w:pPr>
    <w:rPr/>
  </w:style>
  <w:style w:type="paragraph" w:styleId="JE1" w:customStyle="1">
    <w:name w:val="JE1"/>
    <w:basedOn w:val="Ttulo1"/>
    <w:qFormat/>
    <w:pPr>
      <w:numPr>
        <w:ilvl w:val="0"/>
        <w:numId w:val="0"/>
      </w:numPr>
      <w:suppressAutoHyphens w:val="true"/>
      <w:jc w:val="center"/>
    </w:pPr>
    <w:rPr/>
  </w:style>
  <w:style w:type="paragraph" w:styleId="Corpodotextorecuado">
    <w:name w:val="Body Text Indent"/>
    <w:basedOn w:val="Normal"/>
    <w:pPr>
      <w:suppressAutoHyphens w:val="true"/>
      <w:ind w:left="2410" w:hanging="0"/>
      <w:jc w:val="both"/>
    </w:pPr>
    <w:rPr>
      <w:b/>
      <w:sz w:val="24"/>
    </w:rPr>
  </w:style>
  <w:style w:type="paragraph" w:styleId="Notaderodap">
    <w:name w:val="Footnote Text"/>
    <w:basedOn w:val="Normal"/>
    <w:pPr>
      <w:suppressAutoHyphens w:val="true"/>
    </w:pPr>
    <w:rPr>
      <w:rFonts w:ascii="Times New Roman" w:hAnsi="Times New Roman" w:cs="Times New Roman"/>
      <w:sz w:val="20"/>
    </w:rPr>
  </w:style>
  <w:style w:type="paragraph" w:styleId="Corpodetexto21" w:customStyle="1">
    <w:name w:val="Corpo de texto 21"/>
    <w:basedOn w:val="Normal"/>
    <w:qFormat/>
    <w:pPr>
      <w:jc w:val="both"/>
    </w:pPr>
    <w:rPr/>
  </w:style>
  <w:style w:type="paragraph" w:styleId="Contedodetabela" w:customStyle="1">
    <w:name w:val="Conteúdo de tabela"/>
    <w:basedOn w:val="Normal"/>
    <w:qFormat/>
    <w:pPr>
      <w:suppressLineNumber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etabela"/>
    <w:qFormat/>
    <w:pPr>
      <w:jc w:val="center"/>
    </w:pPr>
    <w:rPr>
      <w:b/>
      <w:bCs/>
    </w:rPr>
  </w:style>
  <w:style w:type="paragraph" w:styleId="Contedodequadro" w:customStyle="1">
    <w:name w:val="Conteúdo de quadro"/>
    <w:basedOn w:val="Corpodotexto"/>
    <w:qFormat/>
    <w:pPr/>
    <w:rPr/>
  </w:style>
  <w:style w:type="paragraph" w:styleId="Ttulodatabela" w:customStyle="1">
    <w:name w:val="Título da tabela"/>
    <w:basedOn w:val="Contedodatabela"/>
    <w:qFormat/>
    <w:pPr>
      <w:jc w:val="center"/>
    </w:pPr>
    <w:rPr>
      <w:b/>
      <w:bCs/>
    </w:rPr>
  </w:style>
  <w:style w:type="paragraph" w:styleId="Contedodoquadro" w:customStyle="1">
    <w:name w:val="Conteúdo do quadro"/>
    <w:basedOn w:val="Corpodotexto"/>
    <w:qFormat/>
    <w:pPr/>
    <w:rPr/>
  </w:style>
  <w:style w:type="paragraph" w:styleId="BalloonText">
    <w:name w:val="Balloon Text"/>
    <w:basedOn w:val="Normal"/>
    <w:link w:val="TextodebaloChar"/>
    <w:unhideWhenUsed/>
    <w:qFormat/>
    <w:rsid w:val="00c90f73"/>
    <w:pPr/>
    <w:rPr>
      <w:rFonts w:ascii="Segoe UI" w:hAnsi="Segoe UI" w:cs="Segoe UI"/>
      <w:sz w:val="18"/>
      <w:szCs w:val="18"/>
    </w:rPr>
  </w:style>
  <w:style w:type="paragraph" w:styleId="Textoembloco1" w:customStyle="1">
    <w:name w:val="Texto em bloco1"/>
    <w:basedOn w:val="Normal"/>
    <w:qFormat/>
    <w:rsid w:val="00b96d5c"/>
    <w:pPr>
      <w:ind w:left="4253" w:right="57" w:firstLine="1134"/>
      <w:jc w:val="both"/>
    </w:pPr>
    <w:rPr>
      <w:rFonts w:cs="Times New Roman"/>
      <w:i/>
      <w:spacing w:val="14"/>
    </w:rPr>
  </w:style>
  <w:style w:type="paragraph" w:styleId="Texto2" w:customStyle="1">
    <w:name w:val="texto2"/>
    <w:basedOn w:val="Normal"/>
    <w:qFormat/>
    <w:rsid w:val="00b96d5c"/>
    <w:pPr>
      <w:spacing w:beforeAutospacing="1" w:afterAutospacing="1"/>
    </w:pPr>
    <w:rPr>
      <w:rFonts w:ascii="Times New Roman" w:hAnsi="Times New Roman" w:cs="Times New Roman"/>
      <w:sz w:val="24"/>
      <w:szCs w:val="24"/>
      <w:lang w:eastAsia="pt-BR"/>
    </w:rPr>
  </w:style>
  <w:style w:type="paragraph" w:styleId="04partenormativa" w:customStyle="1">
    <w:name w:val="04partenormativa"/>
    <w:basedOn w:val="Normal"/>
    <w:qFormat/>
    <w:rsid w:val="00b96d5c"/>
    <w:pPr>
      <w:spacing w:beforeAutospacing="1" w:afterAutospacing="1"/>
    </w:pPr>
    <w:rPr>
      <w:rFonts w:ascii="Times New Roman" w:hAnsi="Times New Roman" w:cs="Times New Roman"/>
      <w:sz w:val="24"/>
      <w:szCs w:val="24"/>
      <w:lang w:eastAsia="pt-BR"/>
    </w:rPr>
  </w:style>
  <w:style w:type="paragraph" w:styleId="ListParagraph">
    <w:name w:val="List Paragraph"/>
    <w:basedOn w:val="Normal"/>
    <w:uiPriority w:val="34"/>
    <w:qFormat/>
    <w:rsid w:val="00e07291"/>
    <w:pPr>
      <w:spacing w:before="0" w:after="0"/>
      <w:ind w:left="720" w:hanging="0"/>
      <w:contextualSpacing/>
    </w:pPr>
    <w:rPr/>
  </w:style>
  <w:style w:type="paragraph" w:styleId="NormalWeb">
    <w:name w:val="Normal (Web)"/>
    <w:basedOn w:val="Normal"/>
    <w:uiPriority w:val="99"/>
    <w:unhideWhenUsed/>
    <w:qFormat/>
    <w:rsid w:val="005e4757"/>
    <w:pPr>
      <w:spacing w:beforeAutospacing="1" w:afterAutospacing="1"/>
    </w:pPr>
    <w:rPr>
      <w:rFonts w:ascii="Times New Roman" w:hAnsi="Times New Roman" w:cs="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b96d5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Application>LibreOffice/7.5.3.2$Windows_X86_64 LibreOffice_project/9f56dff12ba03b9acd7730a5a481eea045e468f3</Application>
  <AppVersion>15.0000</AppVersion>
  <Pages>6</Pages>
  <Words>1862</Words>
  <Characters>10360</Characters>
  <CharactersWithSpaces>12184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dc:description/>
  <dc:language>pt-BR</dc:language>
  <cp:lastModifiedBy/>
  <dcterms:modified xsi:type="dcterms:W3CDTF">2024-03-12T13:46:03Z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