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center"/>
        <w:rPr>
          <w:rFonts w:ascii="Arial" w:hAnsi="Arial"/>
          <w:sz w:val="22"/>
          <w:szCs w:val="22"/>
        </w:rPr>
      </w:pPr>
      <w:r>
        <w:rPr>
          <w:b/>
          <w:sz w:val="22"/>
          <w:szCs w:val="22"/>
        </w:rPr>
        <w:t>TERMO DE REFERÊNCIA</w:t>
      </w:r>
    </w:p>
    <w:p>
      <w:pPr>
        <w:pStyle w:val="Normal"/>
        <w:tabs>
          <w:tab w:val="clear" w:pos="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Arial" w:hAnsi="Arial"/>
          <w:sz w:val="22"/>
          <w:szCs w:val="22"/>
        </w:rPr>
      </w:pPr>
      <w:r>
        <w:rPr>
          <w:sz w:val="22"/>
          <w:szCs w:val="22"/>
        </w:rPr>
      </w:r>
    </w:p>
    <w:p>
      <w:pPr>
        <w:pStyle w:val="Normal"/>
        <w:tabs>
          <w:tab w:val="clear" w:pos="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sz w:val="22"/>
          <w:szCs w:val="22"/>
        </w:rPr>
      </w:pPr>
      <w:r>
        <w:rPr>
          <w:b/>
          <w:bCs/>
          <w:sz w:val="22"/>
          <w:szCs w:val="22"/>
        </w:rPr>
        <w:t xml:space="preserve">PROCESSO ADMINISTRATIVO Nº </w:t>
      </w:r>
      <w:r>
        <w:rPr>
          <w:b/>
          <w:bCs/>
          <w:sz w:val="22"/>
          <w:szCs w:val="22"/>
        </w:rPr>
        <w:t>13</w:t>
      </w:r>
      <w:r>
        <w:rPr>
          <w:b/>
          <w:bCs/>
          <w:sz w:val="22"/>
          <w:szCs w:val="22"/>
        </w:rPr>
        <w:t>/2025</w:t>
      </w:r>
    </w:p>
    <w:p>
      <w:pPr>
        <w:pStyle w:val="Normal"/>
        <w:spacing w:lineRule="auto" w:line="360"/>
        <w:jc w:val="both"/>
        <w:rPr>
          <w:b/>
          <w:bCs/>
          <w:sz w:val="22"/>
          <w:szCs w:val="22"/>
        </w:rPr>
      </w:pPr>
      <w:r>
        <w:rPr>
          <w:b/>
          <w:bCs/>
          <w:sz w:val="22"/>
          <w:szCs w:val="22"/>
        </w:rPr>
        <w:t>Município de Giruá – RS</w:t>
      </w:r>
    </w:p>
    <w:p>
      <w:pPr>
        <w:pStyle w:val="Normal"/>
        <w:spacing w:lineRule="auto" w:line="360"/>
        <w:jc w:val="both"/>
        <w:rPr>
          <w:b/>
          <w:bCs/>
          <w:sz w:val="22"/>
          <w:szCs w:val="22"/>
        </w:rPr>
      </w:pPr>
      <w:r>
        <w:rPr>
          <w:b/>
          <w:bCs/>
          <w:sz w:val="22"/>
          <w:szCs w:val="22"/>
        </w:rPr>
        <w:t xml:space="preserve">Secretaria Municipal de </w:t>
      </w:r>
      <w:r>
        <w:rPr>
          <w:rFonts w:eastAsia="Times New Roman" w:cs="Arial"/>
          <w:b/>
          <w:bCs/>
          <w:color w:val="auto"/>
          <w:kern w:val="0"/>
          <w:sz w:val="22"/>
          <w:szCs w:val="22"/>
          <w:lang w:val="pt-BR" w:eastAsia="zh-CN" w:bidi="ar-SA"/>
        </w:rPr>
        <w:t>Saúde</w:t>
      </w:r>
    </w:p>
    <w:p>
      <w:pPr>
        <w:pStyle w:val="Normal"/>
        <w:tabs>
          <w:tab w:val="clear" w:pos="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b/>
          <w:bCs/>
          <w:sz w:val="22"/>
          <w:szCs w:val="22"/>
        </w:rPr>
      </w:pPr>
      <w:r>
        <w:rPr>
          <w:b/>
          <w:bCs/>
          <w:sz w:val="22"/>
          <w:szCs w:val="22"/>
        </w:rPr>
        <w:t xml:space="preserve">Necessidade da Administração: </w:t>
      </w:r>
      <w:r>
        <w:rPr>
          <w:rFonts w:eastAsia="Times New Roman" w:cs="Arial"/>
          <w:b w:val="false"/>
          <w:bCs w:val="false"/>
          <w:color w:val="auto"/>
          <w:kern w:val="0"/>
          <w:sz w:val="22"/>
          <w:szCs w:val="22"/>
          <w:lang w:val="pt-BR" w:eastAsia="zh-CN" w:bidi="ar-SA"/>
        </w:rPr>
        <w:t>Contratação de dois seguros veicular.</w:t>
      </w:r>
    </w:p>
    <w:p>
      <w:pPr>
        <w:pStyle w:val="Normal"/>
        <w:spacing w:lineRule="auto" w:line="360"/>
        <w:jc w:val="both"/>
        <w:rPr>
          <w:rFonts w:ascii="Arial" w:hAnsi="Arial"/>
          <w:sz w:val="22"/>
          <w:szCs w:val="22"/>
        </w:rPr>
      </w:pPr>
      <w:r>
        <w:rPr>
          <w:sz w:val="22"/>
          <w:szCs w:val="22"/>
        </w:rPr>
      </w:r>
    </w:p>
    <w:p>
      <w:pPr>
        <w:pStyle w:val="NormalWeb"/>
        <w:spacing w:lineRule="auto" w:line="360" w:beforeAutospacing="0" w:before="0" w:afterAutospacing="0" w:after="0"/>
        <w:jc w:val="both"/>
        <w:rPr>
          <w:rFonts w:ascii="Arial" w:hAnsi="Arial"/>
          <w:sz w:val="22"/>
          <w:szCs w:val="22"/>
        </w:rPr>
      </w:pPr>
      <w:r>
        <w:rPr>
          <w:rFonts w:cs="Arial" w:ascii="Arial" w:hAnsi="Arial"/>
          <w:b/>
          <w:bCs/>
          <w:color w:val="000000"/>
          <w:sz w:val="22"/>
          <w:szCs w:val="22"/>
        </w:rPr>
        <w:t>1. DEFINIÇÃO DO OBJETO</w:t>
      </w:r>
    </w:p>
    <w:p>
      <w:pPr>
        <w:pStyle w:val="Normal"/>
        <w:widowControl/>
        <w:suppressAutoHyphens w:val="true"/>
        <w:bidi w:val="0"/>
        <w:spacing w:lineRule="auto" w:line="360" w:before="0" w:after="0"/>
        <w:ind w:left="0" w:right="0" w:firstLine="737"/>
        <w:jc w:val="both"/>
        <w:rPr>
          <w:rFonts w:ascii="Arial" w:hAnsi="Arial"/>
          <w:color w:val="auto"/>
          <w:sz w:val="22"/>
          <w:szCs w:val="22"/>
        </w:rPr>
      </w:pPr>
      <w:r>
        <w:rPr>
          <w:rFonts w:eastAsia="Times New Roman" w:cs="Arial"/>
          <w:b w:val="false"/>
          <w:bCs w:val="false"/>
          <w:color w:val="auto"/>
          <w:kern w:val="0"/>
          <w:sz w:val="22"/>
          <w:szCs w:val="22"/>
          <w:lang w:val="pt-BR" w:eastAsia="zh-CN" w:bidi="ar-SA"/>
        </w:rPr>
        <w:t>O objeto da presente contratação é a contratação de SEGURO VEICULO HB20 1.0 COMFORT PLUS CHASSI 9BHCP41AASP672877 e SEGURO VEICULO HB20 1.0 COMFORT PLUS CHASSI 9BHCP41AASP679678.</w:t>
      </w:r>
    </w:p>
    <w:p>
      <w:pPr>
        <w:pStyle w:val="Normal"/>
        <w:spacing w:lineRule="auto" w:line="360" w:beforeAutospacing="0" w:before="0" w:afterAutospacing="0" w:after="0"/>
        <w:jc w:val="both"/>
        <w:rPr>
          <w:sz w:val="22"/>
          <w:szCs w:val="22"/>
        </w:rPr>
      </w:pPr>
      <w:r>
        <w:rPr>
          <w:rFonts w:cs="Arial"/>
          <w:color w:val="000000"/>
          <w:sz w:val="22"/>
          <w:szCs w:val="22"/>
        </w:rPr>
        <w:tab/>
        <w:t xml:space="preserve">Os serviços objeto da contratação pretendida possuem as seguintes especificações: </w:t>
      </w:r>
      <w:r>
        <w:rPr>
          <w:rFonts w:cs="Arial" w:ascii="Arial" w:hAnsi="Arial"/>
          <w:b w:val="false"/>
          <w:bCs w:val="false"/>
          <w:color w:val="000000"/>
          <w:sz w:val="24"/>
          <w:szCs w:val="24"/>
          <w:lang w:val="pt-BR"/>
        </w:rPr>
        <w:t xml:space="preserve"> </w:t>
      </w:r>
      <w:r>
        <w:rPr>
          <w:rFonts w:cs="Arial" w:ascii="Arial" w:hAnsi="Arial"/>
          <w:b w:val="false"/>
          <w:bCs w:val="false"/>
          <w:color w:val="000000"/>
          <w:sz w:val="22"/>
          <w:szCs w:val="22"/>
          <w:lang w:val="pt-BR"/>
        </w:rPr>
        <w:t>COBERTURAS MÍNIMAS SUGERIDAS:</w:t>
      </w:r>
    </w:p>
    <w:p>
      <w:pPr>
        <w:pStyle w:val="Normal"/>
        <w:numPr>
          <w:ilvl w:val="0"/>
          <w:numId w:val="2"/>
        </w:numPr>
        <w:spacing w:before="120" w:after="0"/>
        <w:jc w:val="both"/>
        <w:rPr/>
      </w:pPr>
      <w:r>
        <w:rPr>
          <w:rFonts w:cs="Arial" w:ascii="Arial" w:hAnsi="Arial"/>
          <w:b w:val="false"/>
          <w:bCs w:val="false"/>
          <w:sz w:val="22"/>
          <w:szCs w:val="22"/>
          <w:lang w:val="pt-BR"/>
        </w:rPr>
        <w:t>Casco - 100% FIPE;</w:t>
      </w:r>
    </w:p>
    <w:p>
      <w:pPr>
        <w:pStyle w:val="Normal"/>
        <w:numPr>
          <w:ilvl w:val="0"/>
          <w:numId w:val="1"/>
        </w:numPr>
        <w:spacing w:before="120" w:after="0"/>
        <w:jc w:val="both"/>
        <w:rPr>
          <w:rFonts w:ascii="Arial" w:hAnsi="Arial" w:cs="Arial"/>
          <w:b w:val="false"/>
          <w:bCs w:val="false"/>
          <w:sz w:val="22"/>
          <w:szCs w:val="22"/>
          <w:lang w:val="pt-BR"/>
        </w:rPr>
      </w:pPr>
      <w:r>
        <w:rPr>
          <w:rFonts w:cs="Arial" w:ascii="Arial" w:hAnsi="Arial"/>
          <w:b w:val="false"/>
          <w:bCs w:val="false"/>
          <w:sz w:val="22"/>
          <w:szCs w:val="22"/>
          <w:lang w:val="pt-BR"/>
        </w:rPr>
        <w:t>Franquia até 5% do valor da FIPE;</w:t>
      </w:r>
    </w:p>
    <w:p>
      <w:pPr>
        <w:pStyle w:val="Normal"/>
        <w:numPr>
          <w:ilvl w:val="0"/>
          <w:numId w:val="1"/>
        </w:numPr>
        <w:spacing w:before="120" w:after="0"/>
        <w:jc w:val="both"/>
        <w:rPr>
          <w:rFonts w:ascii="Arial" w:hAnsi="Arial" w:cs="Arial"/>
          <w:b w:val="false"/>
          <w:bCs w:val="false"/>
          <w:sz w:val="22"/>
          <w:szCs w:val="22"/>
          <w:lang w:val="pt-BR"/>
        </w:rPr>
      </w:pPr>
      <w:r>
        <w:rPr>
          <w:rFonts w:cs="Arial" w:ascii="Arial" w:hAnsi="Arial"/>
          <w:b w:val="false"/>
          <w:bCs w:val="false"/>
          <w:sz w:val="22"/>
          <w:szCs w:val="22"/>
          <w:lang w:val="pt-BR"/>
        </w:rPr>
        <w:t>RCF – Danos materiais, R$100.000,00;</w:t>
      </w:r>
    </w:p>
    <w:p>
      <w:pPr>
        <w:pStyle w:val="Normal"/>
        <w:numPr>
          <w:ilvl w:val="0"/>
          <w:numId w:val="1"/>
        </w:numPr>
        <w:spacing w:before="120" w:after="0"/>
        <w:jc w:val="both"/>
        <w:rPr>
          <w:rFonts w:ascii="Arial" w:hAnsi="Arial" w:cs="Arial"/>
          <w:b w:val="false"/>
          <w:bCs w:val="false"/>
          <w:sz w:val="22"/>
          <w:szCs w:val="22"/>
          <w:lang w:val="pt-BR"/>
        </w:rPr>
      </w:pPr>
      <w:r>
        <w:rPr>
          <w:rFonts w:cs="Arial" w:ascii="Arial" w:hAnsi="Arial"/>
          <w:b w:val="false"/>
          <w:bCs w:val="false"/>
          <w:sz w:val="22"/>
          <w:szCs w:val="22"/>
          <w:lang w:val="pt-BR"/>
        </w:rPr>
        <w:t>RCF – Danos Corporais, R$ 100.000,00;</w:t>
      </w:r>
    </w:p>
    <w:p>
      <w:pPr>
        <w:pStyle w:val="Normal"/>
        <w:numPr>
          <w:ilvl w:val="0"/>
          <w:numId w:val="1"/>
        </w:numPr>
        <w:spacing w:before="120" w:after="0"/>
        <w:jc w:val="both"/>
        <w:rPr>
          <w:rFonts w:ascii="Arial" w:hAnsi="Arial" w:cs="Arial"/>
          <w:b w:val="false"/>
          <w:bCs w:val="false"/>
          <w:sz w:val="22"/>
          <w:szCs w:val="22"/>
          <w:lang w:val="pt-BR"/>
        </w:rPr>
      </w:pPr>
      <w:r>
        <w:rPr>
          <w:rFonts w:cs="Arial" w:ascii="Arial" w:hAnsi="Arial"/>
          <w:b w:val="false"/>
          <w:bCs w:val="false"/>
          <w:sz w:val="22"/>
          <w:szCs w:val="22"/>
          <w:lang w:val="pt-BR"/>
        </w:rPr>
        <w:t>RCF – Danos Morais, R$ 20.000,00;</w:t>
      </w:r>
    </w:p>
    <w:p>
      <w:pPr>
        <w:pStyle w:val="Normal"/>
        <w:numPr>
          <w:ilvl w:val="0"/>
          <w:numId w:val="1"/>
        </w:numPr>
        <w:spacing w:before="120" w:after="0"/>
        <w:jc w:val="both"/>
        <w:rPr>
          <w:rFonts w:ascii="Arial" w:hAnsi="Arial" w:cs="Arial"/>
          <w:b w:val="false"/>
          <w:bCs w:val="false"/>
          <w:sz w:val="22"/>
          <w:szCs w:val="22"/>
          <w:lang w:val="pt-BR"/>
        </w:rPr>
      </w:pPr>
      <w:r>
        <w:rPr>
          <w:rFonts w:cs="Arial" w:ascii="Arial" w:hAnsi="Arial"/>
          <w:b w:val="false"/>
          <w:bCs w:val="false"/>
          <w:sz w:val="22"/>
          <w:szCs w:val="22"/>
          <w:lang w:val="pt-BR"/>
        </w:rPr>
        <w:t xml:space="preserve">APP – Morte acidental, R$ </w:t>
      </w:r>
      <w:r>
        <w:rPr>
          <w:rFonts w:cs="Arial" w:ascii="Arial" w:hAnsi="Arial"/>
          <w:b w:val="false"/>
          <w:bCs w:val="false"/>
          <w:sz w:val="22"/>
          <w:szCs w:val="22"/>
          <w:lang w:val="pt-BR"/>
        </w:rPr>
        <w:t>5</w:t>
      </w:r>
      <w:r>
        <w:rPr>
          <w:rFonts w:cs="Arial" w:ascii="Arial" w:hAnsi="Arial"/>
          <w:b w:val="false"/>
          <w:bCs w:val="false"/>
          <w:sz w:val="22"/>
          <w:szCs w:val="22"/>
          <w:lang w:val="pt-BR"/>
        </w:rPr>
        <w:t>0.000,00;</w:t>
      </w:r>
    </w:p>
    <w:p>
      <w:pPr>
        <w:pStyle w:val="Normal"/>
        <w:numPr>
          <w:ilvl w:val="0"/>
          <w:numId w:val="1"/>
        </w:numPr>
        <w:spacing w:before="120" w:after="0"/>
        <w:jc w:val="both"/>
        <w:rPr>
          <w:rFonts w:ascii="Arial" w:hAnsi="Arial" w:cs="Arial"/>
          <w:b w:val="false"/>
          <w:bCs w:val="false"/>
          <w:sz w:val="22"/>
          <w:szCs w:val="22"/>
          <w:lang w:val="pt-BR"/>
        </w:rPr>
      </w:pPr>
      <w:r>
        <w:rPr>
          <w:rFonts w:cs="Arial" w:ascii="Arial" w:hAnsi="Arial"/>
          <w:b w:val="false"/>
          <w:bCs w:val="false"/>
          <w:sz w:val="22"/>
          <w:szCs w:val="22"/>
          <w:lang w:val="pt-BR"/>
        </w:rPr>
        <w:t xml:space="preserve">APP – Invalidez Permanente, R$ </w:t>
      </w:r>
      <w:r>
        <w:rPr>
          <w:rFonts w:cs="Arial" w:ascii="Arial" w:hAnsi="Arial"/>
          <w:b w:val="false"/>
          <w:bCs w:val="false"/>
          <w:sz w:val="22"/>
          <w:szCs w:val="22"/>
          <w:lang w:val="pt-BR"/>
        </w:rPr>
        <w:t>5</w:t>
      </w:r>
      <w:r>
        <w:rPr>
          <w:rFonts w:cs="Arial" w:ascii="Arial" w:hAnsi="Arial"/>
          <w:b w:val="false"/>
          <w:bCs w:val="false"/>
          <w:sz w:val="22"/>
          <w:szCs w:val="22"/>
          <w:lang w:val="pt-BR"/>
        </w:rPr>
        <w:t>0.000,00;</w:t>
      </w:r>
    </w:p>
    <w:p>
      <w:pPr>
        <w:pStyle w:val="Normal"/>
        <w:numPr>
          <w:ilvl w:val="0"/>
          <w:numId w:val="1"/>
        </w:numPr>
        <w:spacing w:before="120" w:after="0"/>
        <w:jc w:val="both"/>
        <w:rPr>
          <w:rFonts w:ascii="Arial" w:hAnsi="Arial" w:cs="Arial"/>
          <w:b w:val="false"/>
          <w:bCs w:val="false"/>
          <w:sz w:val="22"/>
          <w:szCs w:val="22"/>
          <w:lang w:val="pt-BR"/>
        </w:rPr>
      </w:pPr>
      <w:r>
        <w:rPr>
          <w:rFonts w:cs="Arial" w:ascii="Arial" w:hAnsi="Arial"/>
          <w:b w:val="false"/>
          <w:bCs w:val="false"/>
          <w:sz w:val="22"/>
          <w:szCs w:val="22"/>
          <w:lang w:val="pt-BR"/>
        </w:rPr>
        <w:t xml:space="preserve">APP – DMHO, R$ </w:t>
      </w:r>
      <w:r>
        <w:rPr>
          <w:rFonts w:cs="Arial" w:ascii="Arial" w:hAnsi="Arial"/>
          <w:b w:val="false"/>
          <w:bCs w:val="false"/>
          <w:sz w:val="22"/>
          <w:szCs w:val="22"/>
          <w:lang w:val="pt-BR"/>
        </w:rPr>
        <w:t>5</w:t>
      </w:r>
      <w:r>
        <w:rPr>
          <w:rFonts w:cs="Arial" w:ascii="Arial" w:hAnsi="Arial"/>
          <w:b w:val="false"/>
          <w:bCs w:val="false"/>
          <w:sz w:val="22"/>
          <w:szCs w:val="22"/>
          <w:lang w:val="pt-BR"/>
        </w:rPr>
        <w:t>0.000,00;</w:t>
      </w:r>
    </w:p>
    <w:p>
      <w:pPr>
        <w:pStyle w:val="Normal"/>
        <w:numPr>
          <w:ilvl w:val="0"/>
          <w:numId w:val="1"/>
        </w:numPr>
        <w:spacing w:before="120" w:after="0"/>
        <w:jc w:val="both"/>
        <w:rPr>
          <w:rFonts w:ascii="Arial" w:hAnsi="Arial" w:cs="Arial"/>
          <w:b w:val="false"/>
          <w:bCs w:val="false"/>
          <w:sz w:val="22"/>
          <w:szCs w:val="22"/>
          <w:lang w:val="pt-BR"/>
        </w:rPr>
      </w:pPr>
      <w:r>
        <w:rPr>
          <w:rFonts w:cs="Arial" w:ascii="Arial" w:hAnsi="Arial"/>
          <w:b w:val="false"/>
          <w:bCs w:val="false"/>
          <w:sz w:val="22"/>
          <w:szCs w:val="22"/>
          <w:lang w:val="pt-BR"/>
        </w:rPr>
        <w:t>Guincho livre de quilometragem;</w:t>
      </w:r>
    </w:p>
    <w:p>
      <w:pPr>
        <w:pStyle w:val="Normal"/>
        <w:numPr>
          <w:ilvl w:val="0"/>
          <w:numId w:val="1"/>
        </w:numPr>
        <w:spacing w:before="120" w:after="0"/>
        <w:jc w:val="both"/>
        <w:rPr>
          <w:rFonts w:ascii="Arial" w:hAnsi="Arial" w:cs="Arial"/>
          <w:b w:val="false"/>
          <w:bCs w:val="false"/>
          <w:sz w:val="22"/>
          <w:szCs w:val="22"/>
          <w:lang w:val="pt-BR"/>
        </w:rPr>
      </w:pPr>
      <w:r>
        <w:rPr>
          <w:rFonts w:cs="Arial" w:ascii="Arial" w:hAnsi="Arial"/>
          <w:b w:val="false"/>
          <w:bCs w:val="false"/>
          <w:sz w:val="22"/>
          <w:szCs w:val="22"/>
          <w:lang w:val="pt-BR"/>
        </w:rPr>
        <w:t>Veiculo reserva e transporte de passageiros ao seu destino final;</w:t>
      </w:r>
    </w:p>
    <w:p>
      <w:pPr>
        <w:pStyle w:val="Normal"/>
        <w:numPr>
          <w:ilvl w:val="0"/>
          <w:numId w:val="1"/>
        </w:numPr>
        <w:spacing w:lineRule="auto" w:line="360" w:beforeAutospacing="0" w:before="171" w:afterAutospacing="0" w:after="171"/>
        <w:jc w:val="both"/>
        <w:rPr>
          <w:rFonts w:ascii="Arial" w:hAnsi="Arial" w:cs="Arial"/>
          <w:b w:val="false"/>
          <w:bCs w:val="false"/>
          <w:sz w:val="22"/>
          <w:szCs w:val="22"/>
          <w:lang w:val="pt-BR"/>
        </w:rPr>
      </w:pPr>
      <w:r>
        <w:rPr>
          <w:rFonts w:eastAsia="Times New Roman" w:cs="Arial" w:ascii="Arial" w:hAnsi="Arial"/>
          <w:b w:val="false"/>
          <w:bCs w:val="false"/>
          <w:color w:val="auto"/>
          <w:kern w:val="0"/>
          <w:sz w:val="22"/>
          <w:szCs w:val="22"/>
          <w:lang w:val="pt-BR" w:eastAsia="zh-CN" w:bidi="ar-SA"/>
        </w:rPr>
        <w:t>Vidros, para-brisa, farol, lanterna, retrovisor.</w:t>
      </w:r>
    </w:p>
    <w:p>
      <w:pPr>
        <w:pStyle w:val="Normal"/>
        <w:spacing w:lineRule="auto" w:line="360" w:beforeAutospacing="0" w:before="0" w:afterAutospacing="0" w:after="0"/>
        <w:jc w:val="both"/>
        <w:rPr>
          <w:color w:val="auto"/>
        </w:rPr>
      </w:pPr>
      <w:r>
        <w:rPr>
          <w:rFonts w:cs="Arial"/>
          <w:color w:val="000000"/>
          <w:sz w:val="22"/>
          <w:lang w:val="pt-BR"/>
        </w:rPr>
        <w:tab/>
        <w:t xml:space="preserve">A vigência, a contar da assinatura do instrumento contratual, deverá ser pelo prazo de </w:t>
      </w:r>
      <w:r>
        <w:rPr>
          <w:rFonts w:eastAsia="Times New Roman" w:cs="Arial"/>
          <w:b w:val="false"/>
          <w:bCs w:val="false"/>
          <w:color w:val="000000"/>
          <w:kern w:val="0"/>
          <w:sz w:val="22"/>
          <w:szCs w:val="22"/>
          <w:shd w:fill="auto" w:val="clear"/>
          <w:lang w:val="pt-BR" w:eastAsia="zh-CN" w:bidi="ar-SA"/>
        </w:rPr>
        <w:t>12 meses</w:t>
      </w:r>
      <w:r>
        <w:rPr>
          <w:rFonts w:cs="Arial"/>
          <w:color w:val="000000"/>
          <w:sz w:val="22"/>
          <w:lang w:val="pt-BR"/>
        </w:rPr>
        <w:t xml:space="preserve">, podendo ser prorrogado por período igual e sucessivo, mediante termos aditivos conforme a Lei nº 14.133/2021. </w:t>
      </w:r>
    </w:p>
    <w:p>
      <w:pPr>
        <w:pStyle w:val="NormalWeb"/>
        <w:spacing w:lineRule="auto" w:line="360" w:beforeAutospacing="0" w:before="0" w:afterAutospacing="0" w:after="0"/>
        <w:jc w:val="both"/>
        <w:rPr>
          <w:sz w:val="22"/>
          <w:szCs w:val="22"/>
        </w:rPr>
      </w:pPr>
      <w:r>
        <w:rPr>
          <w:sz w:val="22"/>
          <w:szCs w:val="22"/>
        </w:rPr>
      </w:r>
      <w:bookmarkStart w:id="0" w:name="art6xxiiib"/>
      <w:bookmarkStart w:id="1" w:name="art6xxiiib"/>
      <w:bookmarkEnd w:id="1"/>
    </w:p>
    <w:p>
      <w:pPr>
        <w:pStyle w:val="NormalWeb"/>
        <w:spacing w:lineRule="auto" w:line="360" w:beforeAutospacing="0" w:before="0" w:afterAutospacing="0" w:after="0"/>
        <w:jc w:val="both"/>
        <w:rPr>
          <w:rFonts w:ascii="Arial" w:hAnsi="Arial"/>
          <w:sz w:val="22"/>
          <w:szCs w:val="22"/>
        </w:rPr>
      </w:pPr>
      <w:r>
        <w:rPr>
          <w:rFonts w:cs="Arial" w:ascii="Arial" w:hAnsi="Arial"/>
          <w:b/>
          <w:bCs/>
          <w:color w:val="000000"/>
          <w:sz w:val="22"/>
          <w:szCs w:val="22"/>
        </w:rPr>
        <w:t>2. FUNDAMENTAÇÃO DA CONTRATAÇÃO</w:t>
      </w:r>
    </w:p>
    <w:p>
      <w:pPr>
        <w:pStyle w:val="Normal"/>
        <w:suppressAutoHyphens w:val="true"/>
        <w:spacing w:lineRule="exact" w:line="360" w:beforeAutospacing="0" w:before="0" w:afterAutospacing="0" w:after="0"/>
        <w:ind w:left="0" w:right="0" w:hanging="0"/>
        <w:jc w:val="both"/>
        <w:rPr>
          <w:rFonts w:ascii="Arial" w:hAnsi="Arial" w:cs="Arial"/>
          <w:color w:val="000000"/>
          <w:sz w:val="22"/>
          <w:szCs w:val="22"/>
        </w:rPr>
      </w:pPr>
      <w:r>
        <w:rPr>
          <w:rFonts w:eastAsia="Arial" w:cs="Arial"/>
          <w:b w:val="false"/>
          <w:bCs w:val="false"/>
          <w:color w:val="000000"/>
          <w:spacing w:val="0"/>
          <w:sz w:val="22"/>
          <w:szCs w:val="22"/>
          <w:shd w:fill="auto" w:val="clear"/>
        </w:rPr>
        <w:tab/>
        <w:t xml:space="preserve">O presente Termo de Referência faz remissão ao Estudo Técnico Preliminar Nº </w:t>
      </w:r>
      <w:r>
        <w:rPr>
          <w:rFonts w:eastAsia="Arial" w:cs="Arial"/>
          <w:b w:val="false"/>
          <w:bCs w:val="false"/>
          <w:color w:val="000000"/>
          <w:spacing w:val="0"/>
          <w:sz w:val="22"/>
          <w:szCs w:val="22"/>
          <w:shd w:fill="auto" w:val="clear"/>
        </w:rPr>
        <w:t>13/2025</w:t>
      </w:r>
      <w:r>
        <w:rPr>
          <w:rFonts w:eastAsia="Arial" w:cs="Arial"/>
          <w:color w:val="000000"/>
          <w:spacing w:val="0"/>
          <w:sz w:val="22"/>
          <w:szCs w:val="22"/>
          <w:shd w:fill="auto" w:val="clear"/>
        </w:rPr>
        <w:t xml:space="preserve"> desta Secretaria, onde já está descrita a necessidade da contratação.</w:t>
      </w:r>
    </w:p>
    <w:p>
      <w:pPr>
        <w:pStyle w:val="Normal"/>
        <w:suppressAutoHyphens w:val="true"/>
        <w:spacing w:lineRule="exact" w:line="360" w:beforeAutospacing="0" w:before="0" w:afterAutospacing="0" w:after="0"/>
        <w:ind w:left="0" w:right="0" w:hanging="0"/>
        <w:jc w:val="both"/>
        <w:rPr>
          <w:rFonts w:ascii="Arial" w:hAnsi="Arial" w:cs="Arial"/>
          <w:color w:val="000000"/>
          <w:sz w:val="22"/>
          <w:szCs w:val="22"/>
        </w:rPr>
      </w:pPr>
      <w:r>
        <w:rPr>
          <w:rFonts w:cs="Arial"/>
          <w:color w:val="000000"/>
          <w:sz w:val="22"/>
          <w:szCs w:val="22"/>
        </w:rPr>
      </w:r>
    </w:p>
    <w:p>
      <w:pPr>
        <w:pStyle w:val="NormalWeb"/>
        <w:spacing w:lineRule="auto" w:line="360" w:beforeAutospacing="0" w:before="0" w:afterAutospacing="0" w:after="0"/>
        <w:jc w:val="both"/>
        <w:rPr>
          <w:rFonts w:ascii="Arial" w:hAnsi="Arial"/>
          <w:sz w:val="22"/>
          <w:szCs w:val="22"/>
        </w:rPr>
      </w:pPr>
      <w:r>
        <w:rPr>
          <w:rFonts w:cs="Arial" w:ascii="Arial" w:hAnsi="Arial"/>
          <w:b/>
          <w:bCs/>
          <w:color w:val="000000"/>
          <w:sz w:val="22"/>
          <w:szCs w:val="22"/>
        </w:rPr>
        <w:t>3. DESCRIÇÃO DA SOLUÇÃO COMO UM TODO</w:t>
      </w:r>
    </w:p>
    <w:p>
      <w:pPr>
        <w:pStyle w:val="Normal"/>
        <w:spacing w:lineRule="auto" w:line="360"/>
        <w:jc w:val="both"/>
        <w:rPr>
          <w:rFonts w:ascii="Arial" w:hAnsi="Arial"/>
          <w:sz w:val="22"/>
          <w:szCs w:val="22"/>
        </w:rPr>
      </w:pPr>
      <w:r>
        <w:rPr>
          <w:sz w:val="22"/>
          <w:szCs w:val="22"/>
        </w:rPr>
        <w:tab/>
        <w:t xml:space="preserve">A solução proposta é a contratação de empresa para </w:t>
      </w:r>
      <w:r>
        <w:rPr>
          <w:sz w:val="22"/>
          <w:szCs w:val="22"/>
          <w:shd w:fill="auto" w:val="clear"/>
        </w:rPr>
        <w:t>a</w:t>
      </w:r>
      <w:r>
        <w:rPr>
          <w:sz w:val="22"/>
          <w:szCs w:val="22"/>
        </w:rPr>
        <w:t xml:space="preserve"> prestação de serviços de </w:t>
      </w:r>
      <w:r>
        <w:rPr>
          <w:rFonts w:eastAsia="Times New Roman" w:cs="Arial"/>
          <w:b w:val="false"/>
          <w:bCs w:val="false"/>
          <w:color w:val="000000"/>
          <w:spacing w:val="0"/>
          <w:kern w:val="0"/>
          <w:sz w:val="22"/>
          <w:szCs w:val="22"/>
          <w:shd w:fill="auto" w:val="clear"/>
          <w:lang w:val="pt-BR" w:eastAsia="zh-CN" w:bidi="ar-SA"/>
        </w:rPr>
        <w:t>seguro veicular</w:t>
      </w:r>
      <w:r>
        <w:rPr>
          <w:sz w:val="22"/>
          <w:szCs w:val="22"/>
        </w:rPr>
        <w:t xml:space="preserve">, conforme as seguintes especificações/condições: </w:t>
      </w:r>
      <w:r>
        <w:rPr>
          <w:rFonts w:eastAsia="Times New Roman" w:cs="Arial"/>
          <w:b w:val="false"/>
          <w:bCs w:val="false"/>
          <w:color w:val="auto"/>
          <w:kern w:val="0"/>
          <w:sz w:val="22"/>
          <w:szCs w:val="22"/>
          <w:lang w:val="pt-BR" w:eastAsia="zh-CN" w:bidi="ar-SA"/>
        </w:rPr>
        <w:t xml:space="preserve">SEGURO VEICULO HB20 1.0 COMFORT PLUS CHASSI 9BHCP41AASP672877 e SEGURO VEICULO HB20 1.0 COMFORT PLUS CHASSI 9BHCP41AASP679678. </w:t>
      </w:r>
    </w:p>
    <w:p>
      <w:pPr>
        <w:pStyle w:val="Normal"/>
        <w:spacing w:lineRule="auto" w:line="360"/>
        <w:jc w:val="both"/>
        <w:rPr>
          <w:rFonts w:ascii="Arial" w:hAnsi="Arial"/>
          <w:sz w:val="22"/>
          <w:szCs w:val="22"/>
        </w:rPr>
      </w:pPr>
      <w:r>
        <w:rPr>
          <w:rFonts w:eastAsia="Times New Roman" w:cs="Arial"/>
          <w:b w:val="false"/>
          <w:bCs w:val="false"/>
          <w:color w:val="auto"/>
          <w:kern w:val="0"/>
          <w:sz w:val="22"/>
          <w:szCs w:val="22"/>
          <w:lang w:val="pt-BR" w:eastAsia="zh-CN" w:bidi="ar-SA"/>
        </w:rPr>
        <w:t>COBERTURAS MÍNIMAS SUGERIDAS:</w:t>
      </w:r>
    </w:p>
    <w:p>
      <w:pPr>
        <w:pStyle w:val="Corpodotexto"/>
        <w:widowControl/>
        <w:numPr>
          <w:ilvl w:val="0"/>
          <w:numId w:val="3"/>
        </w:numPr>
        <w:tabs>
          <w:tab w:val="clear" w:pos="708"/>
          <w:tab w:val="left" w:pos="0" w:leader="none"/>
        </w:tabs>
        <w:spacing w:before="119" w:after="0"/>
        <w:ind w:left="709" w:hanging="283"/>
        <w:jc w:val="both"/>
        <w:rPr>
          <w:rFonts w:ascii="Arial" w:hAnsi="Arial"/>
          <w:sz w:val="22"/>
          <w:szCs w:val="22"/>
        </w:rPr>
      </w:pPr>
      <w:r>
        <w:rPr>
          <w:rFonts w:ascii="Arial;sans-serif" w:hAnsi="Arial;sans-serif"/>
          <w:b w:val="false"/>
          <w:sz w:val="22"/>
          <w:lang w:val="pt-BR"/>
        </w:rPr>
        <w:t>Casco - 100% FIPE;</w:t>
      </w:r>
    </w:p>
    <w:p>
      <w:pPr>
        <w:pStyle w:val="Corpodotexto"/>
        <w:widowControl/>
        <w:numPr>
          <w:ilvl w:val="0"/>
          <w:numId w:val="4"/>
        </w:numPr>
        <w:tabs>
          <w:tab w:val="clear" w:pos="708"/>
          <w:tab w:val="left" w:pos="0" w:leader="none"/>
        </w:tabs>
        <w:spacing w:before="119" w:after="0"/>
        <w:ind w:left="709" w:hanging="283"/>
        <w:jc w:val="both"/>
        <w:rPr>
          <w:rFonts w:ascii="Arial" w:hAnsi="Arial"/>
          <w:sz w:val="22"/>
          <w:szCs w:val="22"/>
        </w:rPr>
      </w:pPr>
      <w:r>
        <w:rPr>
          <w:rFonts w:ascii="Arial;sans-serif" w:hAnsi="Arial;sans-serif"/>
          <w:b w:val="false"/>
          <w:sz w:val="22"/>
        </w:rPr>
        <w:t>Franquia até 5% do valor da FIPE;</w:t>
      </w:r>
    </w:p>
    <w:p>
      <w:pPr>
        <w:pStyle w:val="Corpodotexto"/>
        <w:widowControl/>
        <w:numPr>
          <w:ilvl w:val="0"/>
          <w:numId w:val="4"/>
        </w:numPr>
        <w:tabs>
          <w:tab w:val="clear" w:pos="708"/>
          <w:tab w:val="left" w:pos="0" w:leader="none"/>
        </w:tabs>
        <w:spacing w:before="119" w:after="0"/>
        <w:ind w:left="709" w:hanging="283"/>
        <w:jc w:val="both"/>
        <w:rPr>
          <w:rFonts w:ascii="Arial" w:hAnsi="Arial"/>
          <w:sz w:val="22"/>
          <w:szCs w:val="22"/>
        </w:rPr>
      </w:pPr>
      <w:r>
        <w:rPr>
          <w:rFonts w:ascii="Arial;sans-serif" w:hAnsi="Arial;sans-serif"/>
          <w:b w:val="false"/>
          <w:sz w:val="22"/>
        </w:rPr>
        <w:t>RCF – Danos materiais, R$100.000,00;</w:t>
      </w:r>
    </w:p>
    <w:p>
      <w:pPr>
        <w:pStyle w:val="Corpodotexto"/>
        <w:widowControl/>
        <w:numPr>
          <w:ilvl w:val="0"/>
          <w:numId w:val="4"/>
        </w:numPr>
        <w:tabs>
          <w:tab w:val="clear" w:pos="708"/>
          <w:tab w:val="left" w:pos="0" w:leader="none"/>
        </w:tabs>
        <w:spacing w:before="119" w:after="0"/>
        <w:ind w:left="709" w:hanging="283"/>
        <w:jc w:val="both"/>
        <w:rPr>
          <w:rFonts w:ascii="Arial" w:hAnsi="Arial"/>
          <w:sz w:val="22"/>
          <w:szCs w:val="22"/>
        </w:rPr>
      </w:pPr>
      <w:r>
        <w:rPr>
          <w:rFonts w:ascii="Arial;sans-serif" w:hAnsi="Arial;sans-serif"/>
          <w:b w:val="false"/>
          <w:sz w:val="22"/>
        </w:rPr>
        <w:t>RCF – Danos Corporais, R$ 100.000,00;</w:t>
      </w:r>
    </w:p>
    <w:p>
      <w:pPr>
        <w:pStyle w:val="Corpodotexto"/>
        <w:widowControl/>
        <w:numPr>
          <w:ilvl w:val="0"/>
          <w:numId w:val="4"/>
        </w:numPr>
        <w:tabs>
          <w:tab w:val="clear" w:pos="708"/>
          <w:tab w:val="left" w:pos="0" w:leader="none"/>
        </w:tabs>
        <w:spacing w:before="119" w:after="0"/>
        <w:ind w:left="709" w:hanging="283"/>
        <w:jc w:val="both"/>
        <w:rPr>
          <w:rFonts w:ascii="Arial" w:hAnsi="Arial"/>
          <w:sz w:val="22"/>
          <w:szCs w:val="22"/>
        </w:rPr>
      </w:pPr>
      <w:r>
        <w:rPr>
          <w:rFonts w:ascii="Arial;sans-serif" w:hAnsi="Arial;sans-serif"/>
          <w:b w:val="false"/>
          <w:sz w:val="22"/>
        </w:rPr>
        <w:t>RCF – Danos Morais, R$ 20.000,00;</w:t>
      </w:r>
    </w:p>
    <w:p>
      <w:pPr>
        <w:pStyle w:val="Corpodotexto"/>
        <w:widowControl/>
        <w:numPr>
          <w:ilvl w:val="0"/>
          <w:numId w:val="4"/>
        </w:numPr>
        <w:tabs>
          <w:tab w:val="clear" w:pos="708"/>
          <w:tab w:val="left" w:pos="0" w:leader="none"/>
        </w:tabs>
        <w:spacing w:before="119" w:after="0"/>
        <w:ind w:left="709" w:hanging="283"/>
        <w:jc w:val="both"/>
        <w:rPr>
          <w:rFonts w:ascii="Arial" w:hAnsi="Arial"/>
          <w:sz w:val="22"/>
          <w:szCs w:val="22"/>
        </w:rPr>
      </w:pPr>
      <w:r>
        <w:rPr>
          <w:rFonts w:ascii="Arial;sans-serif" w:hAnsi="Arial;sans-serif"/>
          <w:b w:val="false"/>
          <w:sz w:val="22"/>
        </w:rPr>
        <w:t>APP – Morte acidental, R$ 50.000,00;</w:t>
      </w:r>
    </w:p>
    <w:p>
      <w:pPr>
        <w:pStyle w:val="Corpodotexto"/>
        <w:widowControl/>
        <w:numPr>
          <w:ilvl w:val="0"/>
          <w:numId w:val="4"/>
        </w:numPr>
        <w:tabs>
          <w:tab w:val="clear" w:pos="708"/>
          <w:tab w:val="left" w:pos="0" w:leader="none"/>
        </w:tabs>
        <w:spacing w:before="119" w:after="0"/>
        <w:ind w:left="709" w:hanging="283"/>
        <w:jc w:val="both"/>
        <w:rPr>
          <w:rFonts w:ascii="Arial" w:hAnsi="Arial"/>
          <w:sz w:val="22"/>
          <w:szCs w:val="22"/>
        </w:rPr>
      </w:pPr>
      <w:r>
        <w:rPr>
          <w:rFonts w:ascii="Arial;sans-serif" w:hAnsi="Arial;sans-serif"/>
          <w:b w:val="false"/>
          <w:sz w:val="22"/>
        </w:rPr>
        <w:t>APP – Invalidez Permanente, R$ 50.000,00;</w:t>
      </w:r>
    </w:p>
    <w:p>
      <w:pPr>
        <w:pStyle w:val="Corpodotexto"/>
        <w:widowControl/>
        <w:numPr>
          <w:ilvl w:val="0"/>
          <w:numId w:val="4"/>
        </w:numPr>
        <w:tabs>
          <w:tab w:val="clear" w:pos="708"/>
          <w:tab w:val="left" w:pos="0" w:leader="none"/>
        </w:tabs>
        <w:spacing w:before="119" w:after="0"/>
        <w:ind w:left="709" w:hanging="283"/>
        <w:jc w:val="both"/>
        <w:rPr>
          <w:rFonts w:ascii="Arial" w:hAnsi="Arial"/>
          <w:sz w:val="22"/>
          <w:szCs w:val="22"/>
        </w:rPr>
      </w:pPr>
      <w:r>
        <w:rPr>
          <w:rFonts w:ascii="Arial;sans-serif" w:hAnsi="Arial;sans-serif"/>
          <w:b w:val="false"/>
          <w:sz w:val="22"/>
        </w:rPr>
        <w:t>APP – DMHO, R$ 50.000,00;</w:t>
      </w:r>
    </w:p>
    <w:p>
      <w:pPr>
        <w:pStyle w:val="Corpodotexto"/>
        <w:widowControl/>
        <w:numPr>
          <w:ilvl w:val="0"/>
          <w:numId w:val="4"/>
        </w:numPr>
        <w:tabs>
          <w:tab w:val="clear" w:pos="708"/>
          <w:tab w:val="left" w:pos="0" w:leader="none"/>
        </w:tabs>
        <w:spacing w:before="119" w:after="0"/>
        <w:ind w:left="709" w:hanging="283"/>
        <w:jc w:val="both"/>
        <w:rPr>
          <w:rFonts w:ascii="Arial" w:hAnsi="Arial"/>
          <w:sz w:val="22"/>
          <w:szCs w:val="22"/>
        </w:rPr>
      </w:pPr>
      <w:r>
        <w:rPr>
          <w:rFonts w:ascii="Arial;sans-serif" w:hAnsi="Arial;sans-serif"/>
          <w:b w:val="false"/>
          <w:sz w:val="22"/>
        </w:rPr>
        <w:t>Guincho livre de quilometragem;</w:t>
      </w:r>
    </w:p>
    <w:p>
      <w:pPr>
        <w:pStyle w:val="Corpodotexto"/>
        <w:widowControl/>
        <w:numPr>
          <w:ilvl w:val="0"/>
          <w:numId w:val="4"/>
        </w:numPr>
        <w:tabs>
          <w:tab w:val="clear" w:pos="708"/>
          <w:tab w:val="left" w:pos="0" w:leader="none"/>
        </w:tabs>
        <w:spacing w:before="119" w:after="0"/>
        <w:ind w:left="709" w:hanging="283"/>
        <w:jc w:val="both"/>
        <w:rPr>
          <w:rFonts w:ascii="Arial" w:hAnsi="Arial"/>
          <w:sz w:val="22"/>
          <w:szCs w:val="22"/>
        </w:rPr>
      </w:pPr>
      <w:r>
        <w:rPr>
          <w:rFonts w:ascii="Arial;sans-serif" w:hAnsi="Arial;sans-serif"/>
          <w:b w:val="false"/>
          <w:sz w:val="22"/>
        </w:rPr>
        <w:t>Veiculo reserva e transporte de passageiros ao seu destino final;</w:t>
      </w:r>
    </w:p>
    <w:p>
      <w:pPr>
        <w:pStyle w:val="Corpodotexto"/>
        <w:widowControl/>
        <w:numPr>
          <w:ilvl w:val="0"/>
          <w:numId w:val="4"/>
        </w:numPr>
        <w:tabs>
          <w:tab w:val="clear" w:pos="708"/>
          <w:tab w:val="left" w:pos="0" w:leader="none"/>
        </w:tabs>
        <w:spacing w:lineRule="auto" w:line="360" w:before="170" w:after="170"/>
        <w:ind w:left="709" w:hanging="283"/>
        <w:jc w:val="both"/>
        <w:rPr>
          <w:rFonts w:ascii="Arial" w:hAnsi="Arial"/>
          <w:sz w:val="22"/>
          <w:szCs w:val="22"/>
        </w:rPr>
      </w:pPr>
      <w:r>
        <w:rPr>
          <w:rFonts w:ascii="Arial;sans-serif" w:hAnsi="Arial;sans-serif"/>
          <w:b w:val="false"/>
          <w:color w:val="000000"/>
          <w:sz w:val="22"/>
        </w:rPr>
        <w:t>Vidros, para-brisa, farol, lanterna, retrovisor.</w:t>
      </w:r>
    </w:p>
    <w:p>
      <w:pPr>
        <w:pStyle w:val="Normal"/>
        <w:spacing w:lineRule="auto" w:line="360"/>
        <w:jc w:val="both"/>
        <w:rPr>
          <w:rFonts w:ascii="Arial" w:hAnsi="Arial"/>
          <w:sz w:val="22"/>
          <w:szCs w:val="22"/>
        </w:rPr>
      </w:pPr>
      <w:r>
        <w:rPr>
          <w:sz w:val="22"/>
          <w:szCs w:val="22"/>
        </w:rPr>
      </w:r>
    </w:p>
    <w:p>
      <w:pPr>
        <w:pStyle w:val="NormalWeb"/>
        <w:spacing w:lineRule="auto" w:line="360" w:beforeAutospacing="0" w:before="0" w:afterAutospacing="0" w:after="0"/>
        <w:jc w:val="both"/>
        <w:rPr>
          <w:rFonts w:ascii="Arial" w:hAnsi="Arial"/>
          <w:sz w:val="22"/>
          <w:szCs w:val="22"/>
        </w:rPr>
      </w:pPr>
      <w:bookmarkStart w:id="2" w:name="art6xxiiid"/>
      <w:bookmarkEnd w:id="2"/>
      <w:r>
        <w:rPr>
          <w:rFonts w:cs="Arial" w:ascii="Arial" w:hAnsi="Arial"/>
          <w:b/>
          <w:bCs/>
          <w:color w:val="000000"/>
          <w:sz w:val="22"/>
          <w:szCs w:val="22"/>
        </w:rPr>
        <w:t>4. REQUISITOS DA CONTRATAÇÃO</w:t>
      </w:r>
    </w:p>
    <w:p>
      <w:pPr>
        <w:pStyle w:val="Normal"/>
        <w:spacing w:lineRule="auto" w:line="360"/>
        <w:jc w:val="both"/>
        <w:rPr>
          <w:color w:val="auto"/>
        </w:rPr>
      </w:pPr>
      <w:r>
        <w:rPr>
          <w:color w:val="auto"/>
          <w:sz w:val="22"/>
          <w:lang w:val="pt-BR"/>
        </w:rPr>
        <w:tab/>
        <w:t xml:space="preserve">A presente contratação visa </w:t>
      </w:r>
      <w:r>
        <w:rPr>
          <w:rFonts w:eastAsia="Times New Roman" w:cs="Arial"/>
          <w:b w:val="false"/>
          <w:bCs w:val="false"/>
          <w:color w:val="000000"/>
          <w:kern w:val="0"/>
          <w:sz w:val="22"/>
          <w:szCs w:val="22"/>
          <w:shd w:fill="auto" w:val="clear"/>
          <w:lang w:val="pt-BR" w:eastAsia="zh-CN" w:bidi="ar-SA"/>
        </w:rPr>
        <w:t>garantir a proteção patrimonial e operacional da frota de veículos utilizados pela Secretaria de Saúde, assegurando a continuidade e eficiência dos serviços essenciais prestados à população,</w:t>
      </w:r>
      <w:r>
        <w:rPr>
          <w:color w:val="auto"/>
          <w:sz w:val="22"/>
          <w:lang w:val="pt-BR"/>
        </w:rPr>
        <w:t xml:space="preserve"> o qual já teve sua importância destacada no tópico precedente.</w:t>
      </w:r>
    </w:p>
    <w:p>
      <w:pPr>
        <w:pStyle w:val="Normal"/>
        <w:spacing w:lineRule="auto" w:line="360"/>
        <w:jc w:val="both"/>
        <w:rPr>
          <w:color w:val="auto"/>
        </w:rPr>
      </w:pPr>
      <w:r>
        <w:rPr>
          <w:color w:val="000000"/>
          <w:sz w:val="22"/>
          <w:lang w:val="pt-BR"/>
        </w:rPr>
        <w:tab/>
        <w:t xml:space="preserve">A vigência, a contar da assinatura do instrumento contratual, deverá ser pelo prazo de </w:t>
      </w:r>
      <w:r>
        <w:rPr>
          <w:rFonts w:eastAsia="Times New Roman" w:cs="Arial"/>
          <w:b w:val="false"/>
          <w:bCs w:val="false"/>
          <w:color w:val="000000"/>
          <w:kern w:val="0"/>
          <w:sz w:val="22"/>
          <w:szCs w:val="22"/>
          <w:shd w:fill="auto" w:val="clear"/>
          <w:lang w:val="pt-BR" w:eastAsia="zh-CN" w:bidi="ar-SA"/>
        </w:rPr>
        <w:t>12 meses</w:t>
      </w:r>
      <w:r>
        <w:rPr>
          <w:color w:val="000000"/>
          <w:sz w:val="22"/>
          <w:lang w:val="pt-BR"/>
        </w:rPr>
        <w:t xml:space="preserve">, podendo ser prorrogado por período igual e sucessivamente, mediante termos aditivos conforme a Lei nº 14.133/2021. </w:t>
      </w:r>
    </w:p>
    <w:p>
      <w:pPr>
        <w:pStyle w:val="Normal"/>
        <w:spacing w:lineRule="auto" w:line="360"/>
        <w:jc w:val="both"/>
        <w:rPr/>
      </w:pPr>
      <w:r>
        <w:rPr>
          <w:sz w:val="22"/>
          <w:szCs w:val="22"/>
        </w:rPr>
        <w:tab/>
        <w:t xml:space="preserve">Os serviços </w:t>
      </w:r>
      <w:r>
        <w:rPr>
          <w:rFonts w:eastAsia="Times New Roman" w:cs="Arial"/>
          <w:color w:val="auto"/>
          <w:kern w:val="0"/>
          <w:sz w:val="22"/>
          <w:szCs w:val="22"/>
          <w:lang w:val="pt-BR" w:eastAsia="zh-CN" w:bidi="ar-SA"/>
        </w:rPr>
        <w:t xml:space="preserve">objeto da contratação </w:t>
      </w:r>
      <w:r>
        <w:rPr>
          <w:sz w:val="22"/>
          <w:szCs w:val="22"/>
        </w:rPr>
        <w:t xml:space="preserve">têm natureza de serviços comuns, tendo em vista que seus </w:t>
      </w:r>
      <w:r>
        <w:rPr>
          <w:color w:val="000000"/>
          <w:sz w:val="22"/>
          <w:szCs w:val="22"/>
        </w:rPr>
        <w:t xml:space="preserve">padrões de desempenho e qualidade podem ser objetivamente definidos pelo edital, por meio de especificações usuais de mercado, </w:t>
      </w:r>
      <w:r>
        <w:rPr>
          <w:sz w:val="22"/>
          <w:szCs w:val="22"/>
        </w:rPr>
        <w:t>nos termos do art. 6º, inciso XIII, da Lei Federal nº 14.133/2021.</w:t>
      </w:r>
    </w:p>
    <w:p>
      <w:pPr>
        <w:pStyle w:val="Normal"/>
        <w:spacing w:lineRule="auto" w:line="360"/>
        <w:jc w:val="both"/>
        <w:rPr>
          <w:sz w:val="22"/>
          <w:szCs w:val="22"/>
        </w:rPr>
      </w:pPr>
      <w:r>
        <w:rPr>
          <w:sz w:val="22"/>
          <w:szCs w:val="22"/>
        </w:rPr>
        <w:tab/>
      </w:r>
      <w:r>
        <w:rPr>
          <w:b w:val="false"/>
          <w:bCs w:val="false"/>
          <w:sz w:val="22"/>
          <w:szCs w:val="22"/>
        </w:rPr>
        <w:t>A contratação será realizada por meio de</w:t>
      </w:r>
      <w:r>
        <w:rPr>
          <w:b/>
          <w:bCs/>
          <w:sz w:val="22"/>
          <w:szCs w:val="22"/>
        </w:rPr>
        <w:t xml:space="preserve"> licitação</w:t>
      </w:r>
      <w:r>
        <w:rPr>
          <w:b w:val="false"/>
          <w:bCs w:val="false"/>
          <w:sz w:val="22"/>
          <w:szCs w:val="22"/>
        </w:rPr>
        <w:t>, na modalidade</w:t>
      </w:r>
      <w:r>
        <w:rPr>
          <w:b/>
          <w:bCs/>
          <w:sz w:val="22"/>
          <w:szCs w:val="22"/>
        </w:rPr>
        <w:t xml:space="preserve"> Pregão</w:t>
      </w:r>
      <w:r>
        <w:rPr>
          <w:b w:val="false"/>
          <w:bCs w:val="false"/>
          <w:sz w:val="22"/>
          <w:szCs w:val="22"/>
        </w:rPr>
        <w:t xml:space="preserve">, na sua forma eletrônica, com critério de julgamento por menor preço, nos termos dos artigos 6º, inciso XLI, 17, § 2º, e 34, todos </w:t>
      </w:r>
      <w:r>
        <w:rPr>
          <w:sz w:val="22"/>
          <w:szCs w:val="22"/>
        </w:rPr>
        <w:t>da Lei Federal nº 14.133/2021.</w:t>
      </w:r>
    </w:p>
    <w:p>
      <w:pPr>
        <w:pStyle w:val="Normal"/>
        <w:spacing w:lineRule="auto" w:line="360"/>
        <w:jc w:val="both"/>
        <w:rPr>
          <w:sz w:val="22"/>
          <w:szCs w:val="22"/>
        </w:rPr>
      </w:pPr>
      <w:r>
        <w:rPr>
          <w:sz w:val="22"/>
          <w:szCs w:val="22"/>
        </w:rPr>
        <w:tab/>
      </w:r>
      <w:r>
        <w:rPr>
          <w:color w:val="000000"/>
          <w:sz w:val="22"/>
          <w:szCs w:val="22"/>
          <w:shd w:fill="auto" w:val="clear"/>
        </w:rPr>
        <w:t xml:space="preserve">Para </w:t>
      </w:r>
      <w:r>
        <w:rPr>
          <w:color w:val="000000"/>
          <w:sz w:val="22"/>
          <w:szCs w:val="22"/>
          <w:shd w:fill="auto" w:val="clear"/>
        </w:rPr>
        <w:t xml:space="preserve">a </w:t>
      </w:r>
      <w:r>
        <w:rPr>
          <w:color w:val="000000"/>
          <w:sz w:val="22"/>
          <w:szCs w:val="22"/>
          <w:shd w:fill="auto" w:val="clear"/>
        </w:rPr>
        <w:t>prestação dos serviços pretendido, os eventuais interessados deverão comprovar que atuam em ramo de atividade compatível com o objeto da licitação e de que não incidem em nenhuma das hipóteses de impedimento de contratar com a administração pública (art. 14, Lei n° 14.133/2021), bem como apresentar os seguintes documentos a título habilitação, nos termos do art. 62 e 66, da Lei nº 14.133/2021, conforme segue:</w:t>
      </w:r>
    </w:p>
    <w:p>
      <w:pPr>
        <w:pStyle w:val="Normal"/>
        <w:spacing w:lineRule="auto" w:line="360"/>
        <w:jc w:val="both"/>
        <w:rPr>
          <w:sz w:val="22"/>
          <w:szCs w:val="22"/>
        </w:rPr>
      </w:pPr>
      <w:r>
        <w:rPr/>
      </w:r>
    </w:p>
    <w:p>
      <w:pPr>
        <w:pStyle w:val="Normal"/>
        <w:widowControl/>
        <w:bidi w:val="0"/>
        <w:spacing w:lineRule="auto" w:line="360" w:before="0" w:after="0"/>
        <w:ind w:left="0" w:right="0" w:hanging="0"/>
        <w:jc w:val="both"/>
        <w:rPr>
          <w:rFonts w:ascii="Arial" w:hAnsi="Arial"/>
          <w:color w:val="000000"/>
          <w:sz w:val="22"/>
          <w:szCs w:val="22"/>
          <w:u w:val="single"/>
        </w:rPr>
      </w:pPr>
      <w:r>
        <w:rPr>
          <w:color w:val="000000"/>
          <w:sz w:val="22"/>
          <w:szCs w:val="22"/>
          <w:u w:val="single"/>
        </w:rPr>
        <w:t>HABILITAÇÃO JURÍDICA:</w:t>
      </w:r>
    </w:p>
    <w:p>
      <w:pPr>
        <w:pStyle w:val="Normal"/>
        <w:widowControl/>
        <w:bidi w:val="0"/>
        <w:spacing w:lineRule="auto" w:line="360" w:before="0" w:after="0"/>
        <w:ind w:left="0" w:right="0" w:hanging="0"/>
        <w:jc w:val="both"/>
        <w:rPr>
          <w:rFonts w:ascii="Arial" w:hAnsi="Arial"/>
          <w:color w:val="000000"/>
          <w:sz w:val="22"/>
          <w:szCs w:val="22"/>
        </w:rPr>
      </w:pPr>
      <w:r>
        <w:rPr>
          <w:color w:val="000000"/>
          <w:sz w:val="22"/>
          <w:szCs w:val="22"/>
        </w:rPr>
        <w:t xml:space="preserve">a) registro comercial, no caso de empresa individual; </w:t>
      </w:r>
    </w:p>
    <w:p>
      <w:pPr>
        <w:pStyle w:val="Normal"/>
        <w:widowControl/>
        <w:bidi w:val="0"/>
        <w:spacing w:lineRule="auto" w:line="360" w:before="0" w:after="0"/>
        <w:ind w:left="0" w:right="0" w:hanging="0"/>
        <w:jc w:val="both"/>
        <w:rPr>
          <w:rFonts w:ascii="Arial" w:hAnsi="Arial"/>
          <w:color w:val="000000"/>
          <w:sz w:val="22"/>
          <w:szCs w:val="22"/>
        </w:rPr>
      </w:pPr>
      <w:r>
        <w:rPr>
          <w:color w:val="000000"/>
          <w:sz w:val="22"/>
          <w:szCs w:val="22"/>
        </w:rPr>
        <w:t xml:space="preserve">b) ato constitutivo, estatuto ou contrato social em vigor, devidamente registrado, em se tratando de sociedades comerciais, e, no caso de sociedade por ações, acompanhado de documentos de eleição de seus administradores; </w:t>
      </w:r>
    </w:p>
    <w:p>
      <w:pPr>
        <w:pStyle w:val="Normal"/>
        <w:widowControl/>
        <w:bidi w:val="0"/>
        <w:spacing w:lineRule="auto" w:line="360" w:before="0" w:after="0"/>
        <w:ind w:left="0" w:right="0" w:hanging="0"/>
        <w:jc w:val="both"/>
        <w:rPr>
          <w:rFonts w:ascii="Arial" w:hAnsi="Arial"/>
          <w:color w:val="000000"/>
          <w:sz w:val="22"/>
          <w:szCs w:val="22"/>
        </w:rPr>
      </w:pPr>
      <w:r>
        <w:rPr>
          <w:color w:val="000000"/>
          <w:sz w:val="22"/>
          <w:szCs w:val="22"/>
        </w:rPr>
        <w:t>c) decreto de autorização, em se tratando de empresa ou sociedade estrangeira em funcionamento no País, e ato de registro ou autorização para funcionamento expedido pelo órgão competente, quando a atividade assim o exigir;</w:t>
      </w:r>
    </w:p>
    <w:p>
      <w:pPr>
        <w:pStyle w:val="Normal"/>
        <w:widowControl/>
        <w:bidi w:val="0"/>
        <w:spacing w:lineRule="auto" w:line="360" w:before="0" w:after="0"/>
        <w:ind w:left="0" w:right="0" w:firstLine="1134"/>
        <w:jc w:val="both"/>
        <w:rPr>
          <w:rFonts w:ascii="Arial" w:hAnsi="Arial"/>
          <w:color w:val="000000"/>
          <w:sz w:val="22"/>
          <w:szCs w:val="22"/>
        </w:rPr>
      </w:pPr>
      <w:r>
        <w:rPr>
          <w:color w:val="000000"/>
          <w:sz w:val="22"/>
          <w:szCs w:val="22"/>
        </w:rPr>
      </w:r>
    </w:p>
    <w:p>
      <w:pPr>
        <w:pStyle w:val="Normal"/>
        <w:widowControl/>
        <w:bidi w:val="0"/>
        <w:spacing w:lineRule="auto" w:line="360" w:before="0" w:after="0"/>
        <w:ind w:left="0" w:right="0" w:hanging="0"/>
        <w:jc w:val="both"/>
        <w:rPr>
          <w:rFonts w:ascii="Arial" w:hAnsi="Arial"/>
          <w:color w:val="000000"/>
          <w:sz w:val="22"/>
          <w:szCs w:val="22"/>
        </w:rPr>
      </w:pPr>
      <w:r>
        <w:rPr>
          <w:color w:val="000000"/>
          <w:sz w:val="22"/>
          <w:szCs w:val="22"/>
          <w:u w:val="single"/>
        </w:rPr>
        <w:t>REGULARIDADE FISCAL:</w:t>
      </w:r>
      <w:r>
        <w:rPr>
          <w:color w:val="000000"/>
          <w:sz w:val="22"/>
          <w:szCs w:val="22"/>
        </w:rPr>
        <w:t xml:space="preserve"> </w:t>
      </w:r>
    </w:p>
    <w:p>
      <w:pPr>
        <w:pStyle w:val="Normal"/>
        <w:widowControl/>
        <w:bidi w:val="0"/>
        <w:spacing w:lineRule="auto" w:line="360" w:before="0" w:after="0"/>
        <w:ind w:left="0" w:right="0" w:hanging="0"/>
        <w:jc w:val="both"/>
        <w:rPr>
          <w:rFonts w:ascii="Arial" w:hAnsi="Arial"/>
          <w:color w:val="000000"/>
          <w:sz w:val="22"/>
          <w:szCs w:val="22"/>
        </w:rPr>
      </w:pPr>
      <w:r>
        <w:rPr>
          <w:color w:val="000000"/>
          <w:sz w:val="22"/>
          <w:szCs w:val="22"/>
        </w:rPr>
        <w:t xml:space="preserve">a) prova de inscrição no Cadastro de Contribuintes do Estado ou do Município, se houver, relativo ao domicílio ou sede do licitante, pertinente ao seu ramo de atividades; </w:t>
      </w:r>
    </w:p>
    <w:p>
      <w:pPr>
        <w:pStyle w:val="Normal"/>
        <w:widowControl/>
        <w:bidi w:val="0"/>
        <w:spacing w:lineRule="auto" w:line="360" w:before="0" w:after="0"/>
        <w:ind w:left="0" w:right="0" w:hanging="0"/>
        <w:jc w:val="both"/>
        <w:rPr>
          <w:rFonts w:ascii="Arial" w:hAnsi="Arial"/>
          <w:color w:val="000000"/>
          <w:sz w:val="22"/>
          <w:szCs w:val="22"/>
        </w:rPr>
      </w:pPr>
      <w:r>
        <w:rPr>
          <w:color w:val="000000"/>
          <w:sz w:val="22"/>
          <w:szCs w:val="22"/>
        </w:rPr>
        <w:t xml:space="preserve">b) prova de inscrição no Cadastro Nacional de Pessoa Jurídica (CNPJ/MF); </w:t>
      </w:r>
    </w:p>
    <w:p>
      <w:pPr>
        <w:pStyle w:val="Normal"/>
        <w:widowControl/>
        <w:bidi w:val="0"/>
        <w:spacing w:lineRule="auto" w:line="360" w:before="0" w:after="0"/>
        <w:ind w:left="0" w:right="0" w:hanging="0"/>
        <w:jc w:val="both"/>
        <w:rPr>
          <w:rFonts w:ascii="Arial" w:hAnsi="Arial"/>
          <w:color w:val="000000"/>
          <w:sz w:val="22"/>
          <w:szCs w:val="22"/>
        </w:rPr>
      </w:pPr>
      <w:r>
        <w:rPr>
          <w:color w:val="000000"/>
          <w:sz w:val="22"/>
          <w:szCs w:val="22"/>
        </w:rPr>
        <w:t>c) comprovante de regularidade relativo aos Tributos Federais e à Dívida Ativa da União;</w:t>
      </w:r>
    </w:p>
    <w:p>
      <w:pPr>
        <w:pStyle w:val="Normal"/>
        <w:widowControl/>
        <w:bidi w:val="0"/>
        <w:spacing w:lineRule="auto" w:line="360" w:before="0" w:after="0"/>
        <w:ind w:left="0" w:right="0" w:hanging="0"/>
        <w:jc w:val="both"/>
        <w:rPr>
          <w:rFonts w:ascii="Arial" w:hAnsi="Arial"/>
          <w:color w:val="000000"/>
          <w:sz w:val="22"/>
          <w:szCs w:val="22"/>
        </w:rPr>
      </w:pPr>
      <w:r>
        <w:rPr>
          <w:color w:val="000000"/>
          <w:sz w:val="22"/>
          <w:szCs w:val="22"/>
        </w:rPr>
        <w:t xml:space="preserve">d) prova de regularidade com a Fazenda Estadual, relativa ao domicílio ou sede do licitante; </w:t>
      </w:r>
    </w:p>
    <w:p>
      <w:pPr>
        <w:pStyle w:val="Normal"/>
        <w:widowControl/>
        <w:bidi w:val="0"/>
        <w:spacing w:lineRule="auto" w:line="360" w:before="0" w:after="0"/>
        <w:ind w:left="0" w:right="0" w:hanging="0"/>
        <w:jc w:val="both"/>
        <w:rPr>
          <w:rFonts w:ascii="Arial" w:hAnsi="Arial"/>
          <w:color w:val="000000"/>
          <w:sz w:val="22"/>
          <w:szCs w:val="22"/>
        </w:rPr>
      </w:pPr>
      <w:r>
        <w:rPr>
          <w:color w:val="000000"/>
          <w:sz w:val="22"/>
          <w:szCs w:val="22"/>
        </w:rPr>
        <w:t xml:space="preserve">e) prova de regularidade com a Fazenda Municipal, relativa ao domicílio ou sede do licitante; </w:t>
      </w:r>
    </w:p>
    <w:p>
      <w:pPr>
        <w:pStyle w:val="Normal"/>
        <w:widowControl/>
        <w:bidi w:val="0"/>
        <w:spacing w:lineRule="auto" w:line="360" w:before="0" w:after="0"/>
        <w:ind w:left="0" w:right="0" w:hanging="0"/>
        <w:jc w:val="both"/>
        <w:rPr>
          <w:rFonts w:ascii="Arial" w:hAnsi="Arial"/>
          <w:color w:val="000000"/>
          <w:sz w:val="22"/>
          <w:szCs w:val="22"/>
        </w:rPr>
      </w:pPr>
      <w:r>
        <w:rPr>
          <w:color w:val="000000"/>
          <w:sz w:val="22"/>
          <w:szCs w:val="22"/>
        </w:rPr>
        <w:t xml:space="preserve">f) prova de regularidade (CRF) junto ao Fundo de Garantia por Tempo de Serviço (FGTS). </w:t>
      </w:r>
    </w:p>
    <w:p>
      <w:pPr>
        <w:pStyle w:val="Normal"/>
        <w:spacing w:lineRule="auto" w:line="360"/>
        <w:jc w:val="both"/>
        <w:rPr>
          <w:rFonts w:ascii="Arial" w:hAnsi="Arial"/>
          <w:color w:val="000000"/>
          <w:sz w:val="22"/>
          <w:szCs w:val="22"/>
        </w:rPr>
      </w:pPr>
      <w:r>
        <w:rPr>
          <w:color w:val="000000"/>
          <w:sz w:val="22"/>
          <w:szCs w:val="22"/>
        </w:rPr>
      </w:r>
    </w:p>
    <w:p>
      <w:pPr>
        <w:pStyle w:val="Normal"/>
        <w:widowControl/>
        <w:bidi w:val="0"/>
        <w:spacing w:lineRule="auto" w:line="360" w:before="0" w:after="0"/>
        <w:ind w:left="0" w:right="0" w:hanging="0"/>
        <w:jc w:val="both"/>
        <w:rPr>
          <w:rFonts w:ascii="Arial" w:hAnsi="Arial"/>
          <w:color w:val="000000"/>
          <w:sz w:val="22"/>
          <w:szCs w:val="22"/>
          <w:u w:val="single"/>
        </w:rPr>
      </w:pPr>
      <w:r>
        <w:rPr>
          <w:color w:val="000000"/>
          <w:sz w:val="22"/>
          <w:szCs w:val="22"/>
          <w:u w:val="single"/>
        </w:rPr>
        <w:t>REGULARIDADE TRABALHISTA:</w:t>
      </w:r>
    </w:p>
    <w:p>
      <w:pPr>
        <w:pStyle w:val="Normal"/>
        <w:widowControl/>
        <w:bidi w:val="0"/>
        <w:spacing w:lineRule="auto" w:line="360" w:before="0" w:after="0"/>
        <w:ind w:left="0" w:right="0" w:hanging="0"/>
        <w:jc w:val="both"/>
        <w:rPr>
          <w:rFonts w:ascii="Arial" w:hAnsi="Arial"/>
          <w:color w:val="000000"/>
          <w:sz w:val="22"/>
          <w:szCs w:val="22"/>
        </w:rPr>
      </w:pPr>
      <w:r>
        <w:rPr>
          <w:color w:val="000000"/>
          <w:sz w:val="22"/>
          <w:szCs w:val="22"/>
        </w:rPr>
        <w:t xml:space="preserve">a) prova de inexistência de débitos inadimplidos perante a Justiça do Trabalho, mediante a apresentação de certidão negativa, nos termos do Título VII-A da Consolidação das Leis do Trabalho, aprovada pelo Decreto-Lei nº 5.452, de 1º de maio de 1943. </w:t>
      </w:r>
    </w:p>
    <w:p>
      <w:pPr>
        <w:pStyle w:val="Normal"/>
        <w:widowControl/>
        <w:bidi w:val="0"/>
        <w:spacing w:lineRule="auto" w:line="240" w:before="0" w:after="0"/>
        <w:ind w:left="0" w:right="0" w:firstLine="1134"/>
        <w:jc w:val="both"/>
        <w:rPr>
          <w:rFonts w:ascii="Arial" w:hAnsi="Arial"/>
          <w:color w:val="000000"/>
          <w:sz w:val="22"/>
          <w:szCs w:val="22"/>
        </w:rPr>
      </w:pPr>
      <w:r>
        <w:rPr>
          <w:color w:val="000000"/>
          <w:sz w:val="22"/>
          <w:szCs w:val="22"/>
        </w:rPr>
      </w:r>
    </w:p>
    <w:p>
      <w:pPr>
        <w:pStyle w:val="Normal"/>
        <w:spacing w:lineRule="auto" w:line="360"/>
        <w:jc w:val="both"/>
        <w:rPr>
          <w:rFonts w:ascii="Arial" w:hAnsi="Arial"/>
          <w:b w:val="false"/>
          <w:bCs w:val="false"/>
          <w:color w:val="000000"/>
          <w:sz w:val="22"/>
          <w:szCs w:val="22"/>
        </w:rPr>
      </w:pPr>
      <w:r>
        <w:rPr>
          <w:b w:val="false"/>
          <w:bCs w:val="false"/>
          <w:color w:val="000000"/>
          <w:sz w:val="22"/>
          <w:szCs w:val="22"/>
          <w:u w:val="single"/>
        </w:rPr>
        <w:t>QUALIFICAÇÃO ECONÔMICO-FINANCEIRA:</w:t>
      </w:r>
      <w:r>
        <w:rPr>
          <w:b w:val="false"/>
          <w:bCs w:val="false"/>
          <w:color w:val="000000"/>
          <w:sz w:val="22"/>
          <w:szCs w:val="22"/>
        </w:rPr>
        <w:t xml:space="preserve"> </w:t>
      </w:r>
    </w:p>
    <w:p>
      <w:pPr>
        <w:pStyle w:val="Normal"/>
        <w:widowControl/>
        <w:bidi w:val="0"/>
        <w:spacing w:lineRule="auto" w:line="360" w:before="0" w:after="0"/>
        <w:ind w:left="0" w:right="0" w:hanging="0"/>
        <w:jc w:val="both"/>
        <w:rPr>
          <w:rFonts w:ascii="Arial" w:hAnsi="Arial"/>
          <w:b w:val="false"/>
          <w:bCs w:val="false"/>
          <w:color w:val="000000"/>
          <w:sz w:val="22"/>
          <w:szCs w:val="22"/>
        </w:rPr>
      </w:pPr>
      <w:r>
        <w:rPr>
          <w:b w:val="false"/>
          <w:bCs w:val="false"/>
          <w:color w:val="000000"/>
          <w:sz w:val="22"/>
          <w:szCs w:val="22"/>
        </w:rPr>
        <w:t xml:space="preserve">a) Certidão negativa em matéria falimentar, concordatária, recuperação judicial e extrajudicial, expedida pelo distribuidor da sede da pessoa jurídica, com prazo de validade de até 03 (três) meses, contados a partir da data de emissão da certidão, conforme Decreto Municipal nº. 012/2002, porém não há óbice que a empresa em recuperação judicial participe do certame desde que comprove a capacidade econômica e financeira para execução do objeto. </w:t>
      </w:r>
    </w:p>
    <w:p>
      <w:pPr>
        <w:pStyle w:val="Normal"/>
        <w:widowControl/>
        <w:bidi w:val="0"/>
        <w:spacing w:lineRule="auto" w:line="360" w:before="0" w:after="0"/>
        <w:ind w:left="0" w:right="0" w:hanging="0"/>
        <w:jc w:val="both"/>
        <w:rPr>
          <w:rFonts w:ascii="Arial" w:hAnsi="Arial"/>
          <w:b w:val="false"/>
          <w:bCs w:val="false"/>
          <w:color w:val="000000"/>
          <w:sz w:val="22"/>
          <w:szCs w:val="22"/>
        </w:rPr>
      </w:pPr>
      <w:r>
        <w:rPr>
          <w:b w:val="false"/>
          <w:bCs w:val="false"/>
          <w:color w:val="000000"/>
          <w:sz w:val="22"/>
          <w:szCs w:val="22"/>
        </w:rPr>
      </w:r>
    </w:p>
    <w:p>
      <w:pPr>
        <w:pStyle w:val="Normal"/>
        <w:widowControl/>
        <w:bidi w:val="0"/>
        <w:spacing w:lineRule="auto" w:line="360" w:before="0" w:after="0"/>
        <w:ind w:left="0" w:right="0" w:hanging="0"/>
        <w:jc w:val="both"/>
        <w:rPr>
          <w:rFonts w:ascii="Arial" w:hAnsi="Arial"/>
          <w:b w:val="false"/>
          <w:bCs w:val="false"/>
          <w:color w:val="000000"/>
          <w:sz w:val="22"/>
          <w:szCs w:val="22"/>
        </w:rPr>
      </w:pPr>
      <w:r>
        <w:rPr>
          <w:b w:val="false"/>
          <w:bCs w:val="false"/>
          <w:color w:val="000000"/>
          <w:sz w:val="22"/>
          <w:szCs w:val="22"/>
          <w:u w:val="single"/>
        </w:rPr>
        <w:t>HABILITAÇÃO SOCIAL:</w:t>
      </w:r>
      <w:r>
        <w:rPr>
          <w:b w:val="false"/>
          <w:bCs w:val="false"/>
          <w:color w:val="000000"/>
          <w:sz w:val="22"/>
          <w:szCs w:val="22"/>
        </w:rPr>
        <w:br/>
        <w:t>a) declaração de que não possui em seu quadro de pessoal, empregado ou associado menor de dezoito anos realizando trabalho noturno, perigoso ou insalubre, e/ou menor de dezesseis anos, em qualquer trabalho, salvo na condição de aprendiz, a partir de quatorze anos, nos termos do art. 7º, inc. XXXIII, da Constituição Federal;</w:t>
        <w:br/>
        <w:t>b) declaração de que cumpre as exigências de reserva de cargos para pessoa com deficiência e para reabilitado da Previdência Social, previstas em lei e em outras normas específicas.</w:t>
      </w:r>
    </w:p>
    <w:p>
      <w:pPr>
        <w:pStyle w:val="Normal"/>
        <w:widowControl/>
        <w:bidi w:val="0"/>
        <w:spacing w:lineRule="auto" w:line="240" w:before="0" w:after="0"/>
        <w:ind w:left="0" w:right="0" w:hanging="0"/>
        <w:jc w:val="both"/>
        <w:rPr/>
      </w:pPr>
      <w:r>
        <w:rPr/>
      </w:r>
    </w:p>
    <w:p>
      <w:pPr>
        <w:pStyle w:val="Normal"/>
        <w:widowControl/>
        <w:bidi w:val="0"/>
        <w:spacing w:lineRule="auto" w:line="360" w:before="0" w:after="0"/>
        <w:ind w:left="0" w:right="0" w:hanging="0"/>
        <w:jc w:val="both"/>
        <w:rPr>
          <w:sz w:val="22"/>
          <w:szCs w:val="22"/>
        </w:rPr>
      </w:pPr>
      <w:r>
        <w:rPr>
          <w:b w:val="false"/>
          <w:bCs w:val="false"/>
          <w:color w:val="000000"/>
          <w:sz w:val="22"/>
          <w:szCs w:val="22"/>
          <w:u w:val="single"/>
        </w:rPr>
        <w:t>COMPROVAÇÕES DE APTIDÃO PARA CONTRATAR COM O PODER PÚBLICO:</w:t>
      </w:r>
    </w:p>
    <w:p>
      <w:pPr>
        <w:pStyle w:val="Normal"/>
        <w:bidi w:val="0"/>
        <w:rPr/>
      </w:pPr>
      <w:r>
        <w:rPr/>
        <w:t xml:space="preserve">Para fins de contratação, a empresa proponente deverá comprovar não constar: </w:t>
      </w:r>
    </w:p>
    <w:p>
      <w:pPr>
        <w:pStyle w:val="Normal"/>
        <w:bidi w:val="0"/>
        <w:rPr/>
      </w:pPr>
      <w:r>
        <w:rPr/>
      </w:r>
    </w:p>
    <w:p>
      <w:pPr>
        <w:pStyle w:val="Normal"/>
        <w:bidi w:val="0"/>
        <w:spacing w:lineRule="auto" w:line="360"/>
        <w:rPr/>
      </w:pPr>
      <w:r>
        <w:rPr/>
        <w:t>I. No cadastro de empresas inidôneas do Tribunal de Contas da União (art. 46, Lei 8.443/92);</w:t>
      </w:r>
    </w:p>
    <w:p>
      <w:pPr>
        <w:pStyle w:val="Normal"/>
        <w:bidi w:val="0"/>
        <w:spacing w:lineRule="auto" w:line="360"/>
        <w:rPr/>
      </w:pPr>
      <w:r>
        <w:rPr/>
        <w:t>II. No Cadastro Nacional de Empresas Inidôneas e Suspensas (CEIS), por sanção do inciso IV, art. 87 da Lei n° 8.666/93, ou do art. 156, IV da Lei N° 14.133/21.</w:t>
      </w:r>
    </w:p>
    <w:p>
      <w:pPr>
        <w:pStyle w:val="Normal"/>
        <w:bidi w:val="0"/>
        <w:spacing w:lineRule="auto" w:line="360"/>
        <w:rPr/>
      </w:pPr>
      <w:r>
        <w:rPr/>
        <w:t>III. No Cadastro Nacional de Empresas Punidas (CNEP);</w:t>
      </w:r>
    </w:p>
    <w:p>
      <w:pPr>
        <w:pStyle w:val="Normal"/>
        <w:bidi w:val="0"/>
        <w:spacing w:lineRule="auto" w:line="360"/>
        <w:rPr/>
      </w:pPr>
      <w:r>
        <w:rPr/>
        <w:t xml:space="preserve">IV. No cadastro Nacional de Condenações Civis por Ato de Improbidade Administrativa e Inelegibilidade, </w:t>
      </w:r>
      <w:r>
        <w:rPr>
          <w:lang w:val="pt-BR" w:eastAsia="zh-CN" w:bidi="ar-SA"/>
        </w:rPr>
        <w:t>supervisionado</w:t>
      </w:r>
      <w:r>
        <w:rPr/>
        <w:t xml:space="preserve"> pelo Conselho Nacional da Justiça.</w:t>
      </w:r>
    </w:p>
    <w:p>
      <w:pPr>
        <w:pStyle w:val="Normal"/>
        <w:bidi w:val="0"/>
        <w:spacing w:lineRule="auto" w:line="276"/>
        <w:rPr>
          <w:rFonts w:ascii="Arial" w:hAnsi="Arial"/>
          <w:b w:val="false"/>
          <w:bCs w:val="false"/>
          <w:color w:val="000000"/>
          <w:sz w:val="22"/>
          <w:szCs w:val="22"/>
          <w:shd w:fill="FFFF00" w:val="clear"/>
        </w:rPr>
      </w:pPr>
      <w:r>
        <w:rPr>
          <w:b w:val="false"/>
          <w:bCs w:val="false"/>
          <w:color w:val="000000"/>
          <w:sz w:val="22"/>
          <w:szCs w:val="22"/>
        </w:rPr>
        <w:t xml:space="preserve">Para comprovação dos itens I, II, III e IV conjuntamente, poderá ser emitida certidão através do site: </w:t>
      </w:r>
      <w:hyperlink r:id="rId2">
        <w:r>
          <w:rPr>
            <w:rStyle w:val="LinkdaInternet"/>
            <w:b w:val="false"/>
            <w:bCs w:val="false"/>
            <w:color w:val="000000"/>
            <w:sz w:val="22"/>
            <w:szCs w:val="22"/>
          </w:rPr>
          <w:t>https://certidoes-apf.apps.tcu.gov.br</w:t>
        </w:r>
      </w:hyperlink>
    </w:p>
    <w:p>
      <w:pPr>
        <w:pStyle w:val="Normal"/>
        <w:widowControl/>
        <w:bidi w:val="0"/>
        <w:spacing w:lineRule="auto" w:line="360" w:before="0" w:after="0"/>
        <w:ind w:left="0" w:right="0" w:hanging="0"/>
        <w:jc w:val="both"/>
        <w:rPr>
          <w:sz w:val="22"/>
          <w:szCs w:val="22"/>
        </w:rPr>
      </w:pPr>
      <w:r>
        <w:rPr>
          <w:sz w:val="22"/>
          <w:szCs w:val="22"/>
        </w:rPr>
      </w:r>
    </w:p>
    <w:p>
      <w:pPr>
        <w:pStyle w:val="NormalWeb"/>
        <w:spacing w:lineRule="auto" w:line="360" w:beforeAutospacing="0" w:before="0" w:afterAutospacing="0" w:after="0"/>
        <w:jc w:val="both"/>
        <w:rPr>
          <w:rFonts w:ascii="Arial" w:hAnsi="Arial"/>
          <w:sz w:val="22"/>
          <w:szCs w:val="22"/>
        </w:rPr>
      </w:pPr>
      <w:r>
        <w:rPr>
          <w:rFonts w:cs="Arial" w:ascii="Arial" w:hAnsi="Arial"/>
          <w:b/>
          <w:bCs/>
          <w:color w:val="000000"/>
          <w:sz w:val="22"/>
          <w:szCs w:val="22"/>
        </w:rPr>
        <w:t>5. MODELO DE EXECUÇÃO DO OBJETO</w:t>
      </w:r>
    </w:p>
    <w:p>
      <w:pPr>
        <w:pStyle w:val="Corpodotexto"/>
        <w:widowControl w:val="false"/>
        <w:suppressAutoHyphens w:val="true"/>
        <w:bidi w:val="0"/>
        <w:spacing w:lineRule="auto" w:line="360" w:before="0" w:after="0"/>
        <w:ind w:left="0" w:right="0" w:firstLine="737"/>
        <w:jc w:val="both"/>
        <w:rPr/>
      </w:pPr>
      <w:r>
        <w:rPr>
          <w:rFonts w:ascii="Arial" w:hAnsi="Arial"/>
          <w:b w:val="false"/>
          <w:bCs w:val="false"/>
          <w:sz w:val="22"/>
          <w:szCs w:val="22"/>
          <w:shd w:fill="auto" w:val="clear"/>
        </w:rPr>
        <w:t xml:space="preserve">A empresa contratada será responsável pela </w:t>
      </w:r>
      <w:r>
        <w:rPr>
          <w:rFonts w:eastAsia="Times New Roman" w:cs="Times New Roman" w:ascii="Arial" w:hAnsi="Arial"/>
          <w:b w:val="false"/>
          <w:bCs w:val="false"/>
          <w:color w:val="000000"/>
          <w:kern w:val="0"/>
          <w:sz w:val="22"/>
          <w:szCs w:val="22"/>
          <w:shd w:fill="auto" w:val="clear"/>
          <w:lang w:val="pt-BR" w:eastAsia="zh-CN" w:bidi="ar-SA"/>
        </w:rPr>
        <w:t>prestação dos serviços que deverá ser feita</w:t>
      </w:r>
      <w:r>
        <w:rPr>
          <w:rFonts w:ascii="Arial" w:hAnsi="Arial"/>
          <w:b w:val="false"/>
          <w:bCs w:val="false"/>
          <w:sz w:val="22"/>
          <w:szCs w:val="22"/>
          <w:shd w:fill="auto" w:val="clear"/>
        </w:rPr>
        <w:t xml:space="preserve"> no prazo de </w:t>
      </w:r>
      <w:r>
        <w:rPr>
          <w:rFonts w:ascii="Arial" w:hAnsi="Arial"/>
          <w:b w:val="false"/>
          <w:bCs w:val="false"/>
          <w:sz w:val="22"/>
          <w:szCs w:val="22"/>
          <w:shd w:fill="auto" w:val="clear"/>
        </w:rPr>
        <w:t>24 horas.</w:t>
      </w:r>
    </w:p>
    <w:p>
      <w:pPr>
        <w:pStyle w:val="Corpodotexto"/>
        <w:spacing w:lineRule="auto" w:line="360"/>
        <w:rPr>
          <w:rFonts w:ascii="Arial" w:hAnsi="Arial"/>
          <w:sz w:val="22"/>
          <w:szCs w:val="22"/>
          <w:shd w:fill="auto" w:val="clear"/>
        </w:rPr>
      </w:pPr>
      <w:r>
        <w:rPr>
          <w:rFonts w:ascii="Arial" w:hAnsi="Arial"/>
          <w:sz w:val="22"/>
          <w:szCs w:val="22"/>
          <w:shd w:fill="auto" w:val="clear"/>
        </w:rPr>
        <w:tab/>
        <w:t xml:space="preserve">O responsável pela fiscalização do Contrato será o servidor designado da Secretaria requisitante que fará o acompanhamento da </w:t>
      </w:r>
      <w:r>
        <w:rPr>
          <w:rFonts w:ascii="Arial" w:hAnsi="Arial"/>
          <w:b w:val="false"/>
          <w:bCs w:val="false"/>
          <w:sz w:val="22"/>
          <w:szCs w:val="22"/>
          <w:shd w:fill="auto" w:val="clear"/>
        </w:rPr>
        <w:t>entrega.</w:t>
      </w:r>
    </w:p>
    <w:p>
      <w:pPr>
        <w:pStyle w:val="Corpodotexto"/>
        <w:spacing w:lineRule="auto" w:line="360"/>
        <w:rPr>
          <w:rFonts w:ascii="Arial" w:hAnsi="Arial"/>
          <w:sz w:val="22"/>
          <w:szCs w:val="22"/>
          <w:shd w:fill="auto" w:val="clear"/>
        </w:rPr>
      </w:pPr>
      <w:r>
        <w:rPr>
          <w:rFonts w:eastAsia="Arial" w:cs="Arial" w:ascii="Arial" w:hAnsi="Arial"/>
          <w:b w:val="false"/>
          <w:bCs w:val="false"/>
          <w:color w:val="000000"/>
          <w:spacing w:val="0"/>
          <w:sz w:val="22"/>
          <w:szCs w:val="22"/>
          <w:shd w:fill="auto" w:val="clear"/>
        </w:rPr>
        <w:tab/>
      </w:r>
      <w:r>
        <w:rPr>
          <w:rFonts w:ascii="Arial" w:hAnsi="Arial"/>
          <w:sz w:val="22"/>
          <w:szCs w:val="22"/>
          <w:shd w:fill="auto" w:val="clear"/>
        </w:rPr>
        <w:t xml:space="preserve">Os </w:t>
      </w:r>
      <w:r>
        <w:rPr>
          <w:rFonts w:eastAsia="Times New Roman" w:cs="Times New Roman" w:ascii="Arial" w:hAnsi="Arial"/>
          <w:color w:val="000000"/>
          <w:kern w:val="0"/>
          <w:sz w:val="22"/>
          <w:szCs w:val="22"/>
          <w:shd w:fill="auto" w:val="clear"/>
          <w:lang w:val="pt-BR" w:eastAsia="zh-CN" w:bidi="ar-SA"/>
        </w:rPr>
        <w:t>serviços</w:t>
      </w:r>
      <w:r>
        <w:rPr>
          <w:rFonts w:ascii="Arial" w:hAnsi="Arial"/>
          <w:sz w:val="22"/>
          <w:szCs w:val="22"/>
          <w:shd w:fill="auto" w:val="clear"/>
        </w:rPr>
        <w:t xml:space="preserve"> deverão ser os mesmos indicados na proposta apresentada pela vencedora, </w:t>
      </w:r>
      <w:r>
        <w:rPr>
          <w:rFonts w:ascii="Arial" w:hAnsi="Arial"/>
          <w:color w:val="000000"/>
          <w:sz w:val="22"/>
          <w:szCs w:val="22"/>
          <w:shd w:fill="auto" w:val="clear"/>
        </w:rPr>
        <w:t>sob pena de aplicação das penalidades previstas.</w:t>
      </w:r>
    </w:p>
    <w:p>
      <w:pPr>
        <w:pStyle w:val="Corpodotexto"/>
        <w:widowControl/>
        <w:bidi w:val="0"/>
        <w:spacing w:lineRule="auto" w:line="360" w:beforeAutospacing="0" w:before="0" w:afterAutospacing="0" w:after="0"/>
        <w:ind w:left="0" w:right="0" w:firstLine="737"/>
        <w:jc w:val="both"/>
        <w:rPr>
          <w:rFonts w:ascii="Arial" w:hAnsi="Arial"/>
          <w:color w:val="auto"/>
          <w:sz w:val="26"/>
          <w:szCs w:val="22"/>
          <w:shd w:fill="auto" w:val="clear"/>
          <w:lang w:val="pt-BR"/>
        </w:rPr>
      </w:pPr>
      <w:r>
        <w:rPr>
          <w:rFonts w:cs="Arial" w:ascii="Arial" w:hAnsi="Arial"/>
          <w:b w:val="false"/>
          <w:bCs w:val="false"/>
          <w:color w:val="000000"/>
          <w:sz w:val="22"/>
          <w:szCs w:val="22"/>
          <w:shd w:fill="auto" w:val="clear"/>
          <w:lang w:val="pt-BR"/>
        </w:rPr>
        <w:t xml:space="preserve">Verificada a desconformidade de algum dos materiais pelo servidor designado, o licitante vencedor deverá promover as correções necessárias no prazo máximo de </w:t>
      </w:r>
      <w:r>
        <w:rPr>
          <w:rFonts w:cs="Arial" w:ascii="Arial" w:hAnsi="Arial"/>
          <w:b w:val="false"/>
          <w:bCs w:val="false"/>
          <w:color w:val="000000"/>
          <w:sz w:val="22"/>
          <w:szCs w:val="22"/>
          <w:shd w:fill="auto" w:val="clear"/>
          <w:lang w:val="pt-BR"/>
        </w:rPr>
        <w:t>24 horas</w:t>
      </w:r>
      <w:r>
        <w:rPr>
          <w:rFonts w:cs="Arial" w:ascii="Arial" w:hAnsi="Arial"/>
          <w:b w:val="false"/>
          <w:bCs w:val="false"/>
          <w:color w:val="000000"/>
          <w:sz w:val="22"/>
          <w:szCs w:val="22"/>
          <w:shd w:fill="auto" w:val="clear"/>
          <w:lang w:val="pt-BR"/>
        </w:rPr>
        <w:t>, sujeitando-se às penalidades previstas no instrumento contratual.</w:t>
      </w:r>
    </w:p>
    <w:p>
      <w:pPr>
        <w:pStyle w:val="NormalWeb"/>
        <w:spacing w:lineRule="auto" w:line="360" w:beforeAutospacing="0" w:before="0" w:afterAutospacing="0" w:after="0"/>
        <w:jc w:val="both"/>
        <w:rPr>
          <w:rFonts w:ascii="Arial" w:hAnsi="Arial" w:cs="Arial"/>
          <w:color w:val="000000"/>
          <w:sz w:val="22"/>
          <w:szCs w:val="22"/>
        </w:rPr>
      </w:pPr>
      <w:r>
        <w:rPr>
          <w:rFonts w:cs="Arial" w:ascii="Arial" w:hAnsi="Arial"/>
          <w:color w:val="000000"/>
          <w:sz w:val="22"/>
          <w:szCs w:val="22"/>
        </w:rPr>
      </w:r>
    </w:p>
    <w:p>
      <w:pPr>
        <w:pStyle w:val="NormalWeb"/>
        <w:spacing w:lineRule="auto" w:line="360" w:beforeAutospacing="0" w:before="0" w:afterAutospacing="0" w:after="0"/>
        <w:jc w:val="both"/>
        <w:rPr>
          <w:rFonts w:ascii="Arial" w:hAnsi="Arial"/>
          <w:sz w:val="22"/>
          <w:szCs w:val="22"/>
        </w:rPr>
      </w:pPr>
      <w:bookmarkStart w:id="3" w:name="art6xxiiif"/>
      <w:bookmarkEnd w:id="3"/>
      <w:r>
        <w:rPr>
          <w:rFonts w:cs="Arial" w:ascii="Arial" w:hAnsi="Arial"/>
          <w:b/>
          <w:bCs/>
          <w:color w:val="000000"/>
          <w:sz w:val="22"/>
          <w:szCs w:val="22"/>
        </w:rPr>
        <w:t>6. MODELO DE GESTÃO DO CONTRATO</w:t>
      </w:r>
    </w:p>
    <w:p>
      <w:pPr>
        <w:pStyle w:val="Corpodotexto"/>
        <w:spacing w:lineRule="auto" w:line="360" w:beforeAutospacing="0" w:before="0" w:afterAutospacing="0" w:after="0"/>
        <w:jc w:val="both"/>
        <w:rPr>
          <w:rFonts w:ascii="Arial" w:hAnsi="Arial"/>
          <w:sz w:val="22"/>
          <w:szCs w:val="22"/>
          <w:shd w:fill="auto" w:val="clear"/>
        </w:rPr>
      </w:pPr>
      <w:r>
        <w:rPr>
          <w:rFonts w:eastAsia="Arial" w:cs="Arial" w:ascii="Arial" w:hAnsi="Arial"/>
          <w:b w:val="false"/>
          <w:bCs w:val="false"/>
          <w:color w:val="000000"/>
          <w:spacing w:val="0"/>
          <w:sz w:val="22"/>
          <w:szCs w:val="22"/>
          <w:shd w:fill="auto" w:val="clear"/>
        </w:rPr>
        <w:tab/>
        <w:t xml:space="preserve">A gestão e a fiscalização do objeto contratado serão realizadas conforme o disposto na </w:t>
      </w:r>
      <w:r>
        <w:rPr>
          <w:rFonts w:eastAsia="Arial" w:cs="Arial" w:ascii="Arial" w:hAnsi="Arial"/>
          <w:b/>
          <w:bCs/>
          <w:color w:val="000000"/>
          <w:spacing w:val="0"/>
          <w:sz w:val="22"/>
          <w:szCs w:val="22"/>
          <w:shd w:fill="auto" w:val="clear"/>
        </w:rPr>
        <w:t xml:space="preserve">Portaria nº </w:t>
      </w:r>
      <w:r>
        <w:rPr>
          <w:rFonts w:eastAsia="Arial" w:cs="Arial" w:ascii="Arial" w:hAnsi="Arial"/>
          <w:b/>
          <w:bCs/>
          <w:i w:val="false"/>
          <w:caps w:val="false"/>
          <w:smallCaps w:val="false"/>
          <w:color w:val="000000"/>
          <w:spacing w:val="0"/>
          <w:kern w:val="0"/>
          <w:sz w:val="20"/>
          <w:szCs w:val="20"/>
          <w:shd w:fill="auto" w:val="clear"/>
          <w:lang w:val="pt-BR" w:eastAsia="zh-CN" w:bidi="ar-SA"/>
        </w:rPr>
        <w:t>22.981/2025</w:t>
      </w:r>
      <w:r>
        <w:rPr>
          <w:rFonts w:eastAsia="Arial" w:cs="Arial" w:ascii="Arial" w:hAnsi="Arial"/>
          <w:b/>
          <w:bCs/>
          <w:color w:val="000000"/>
          <w:spacing w:val="0"/>
          <w:sz w:val="22"/>
          <w:szCs w:val="22"/>
          <w:shd w:fill="auto" w:val="clear"/>
        </w:rPr>
        <w:t>,</w:t>
      </w:r>
      <w:r>
        <w:rPr>
          <w:rFonts w:eastAsia="Arial" w:cs="Arial" w:ascii="Arial" w:hAnsi="Arial"/>
          <w:b w:val="false"/>
          <w:bCs w:val="false"/>
          <w:color w:val="000000"/>
          <w:spacing w:val="0"/>
          <w:sz w:val="22"/>
          <w:szCs w:val="22"/>
          <w:shd w:fill="auto" w:val="clear"/>
        </w:rPr>
        <w:t xml:space="preserve"> que “Designa Fiscais de contrato, para acompanhar e fiscalizar a execução do(s) Contrato(s) celebrado(s) entre o MUNICÍPIO DE GIRUÁ e a empresas contratadas, de acordo com cada Secretaria municipal, onde está lotado o servidor, a qual passa a vigorar conforme segue”, nos termos do Art. 92, XVIII, da Lei Federal nº 14.133/2021.</w:t>
      </w:r>
    </w:p>
    <w:p>
      <w:pPr>
        <w:pStyle w:val="NormalWeb"/>
        <w:spacing w:lineRule="auto" w:line="360" w:beforeAutospacing="0" w:before="0" w:afterAutospacing="0" w:after="0"/>
        <w:jc w:val="both"/>
        <w:rPr>
          <w:rFonts w:ascii="Arial" w:hAnsi="Arial" w:cs="Arial"/>
          <w:color w:val="000000"/>
          <w:sz w:val="22"/>
          <w:szCs w:val="22"/>
        </w:rPr>
      </w:pPr>
      <w:r>
        <w:rPr>
          <w:rFonts w:cs="Arial" w:ascii="Arial" w:hAnsi="Arial"/>
          <w:color w:val="000000"/>
          <w:sz w:val="22"/>
          <w:szCs w:val="22"/>
        </w:rPr>
      </w:r>
      <w:bookmarkStart w:id="4" w:name="art6xxiiig"/>
      <w:bookmarkStart w:id="5" w:name="art6xxiiig"/>
      <w:bookmarkEnd w:id="5"/>
    </w:p>
    <w:p>
      <w:pPr>
        <w:pStyle w:val="NormalWeb"/>
        <w:spacing w:lineRule="auto" w:line="360" w:beforeAutospacing="0" w:before="0" w:afterAutospacing="0" w:after="0"/>
        <w:jc w:val="both"/>
        <w:rPr>
          <w:rFonts w:ascii="Arial" w:hAnsi="Arial"/>
          <w:sz w:val="22"/>
          <w:szCs w:val="22"/>
        </w:rPr>
      </w:pPr>
      <w:r>
        <w:rPr>
          <w:rFonts w:cs="Arial" w:ascii="Arial" w:hAnsi="Arial"/>
          <w:b/>
          <w:bCs/>
          <w:color w:val="000000"/>
          <w:sz w:val="22"/>
          <w:szCs w:val="22"/>
        </w:rPr>
        <w:t>7. CRITÉRIOS DE MEDIÇÃO E DE PAGAMENTO</w:t>
      </w:r>
    </w:p>
    <w:p>
      <w:pPr>
        <w:pStyle w:val="Normal"/>
        <w:spacing w:lineRule="auto" w:line="360" w:beforeAutospacing="0" w:before="0" w:afterAutospacing="0" w:after="0"/>
        <w:jc w:val="both"/>
        <w:rPr>
          <w:rFonts w:ascii="Arial" w:hAnsi="Arial"/>
          <w:sz w:val="22"/>
          <w:szCs w:val="22"/>
        </w:rPr>
      </w:pPr>
      <w:r>
        <w:rPr>
          <w:rFonts w:cs="Arial"/>
          <w:color w:val="000000"/>
          <w:sz w:val="22"/>
          <w:szCs w:val="22"/>
        </w:rPr>
        <w:tab/>
        <w:t xml:space="preserve">O pagamento a empresa será realizado mediante apresentação de nota fiscal, no valor do contrato, sendo a nota emitida e entregue para a Secretaria Municipal </w:t>
      </w:r>
      <w:r>
        <w:rPr>
          <w:rFonts w:eastAsia="Times New Roman" w:cs="Arial"/>
          <w:color w:val="000000"/>
          <w:kern w:val="0"/>
          <w:sz w:val="22"/>
          <w:szCs w:val="22"/>
          <w:lang w:val="pt-BR" w:eastAsia="zh-CN" w:bidi="ar-SA"/>
        </w:rPr>
        <w:t>requisitante,</w:t>
      </w:r>
      <w:r>
        <w:rPr>
          <w:rFonts w:cs="Arial"/>
          <w:color w:val="000000"/>
          <w:sz w:val="22"/>
          <w:szCs w:val="22"/>
        </w:rPr>
        <w:t xml:space="preserve"> dentro do prazo de vigência do contrato;</w:t>
      </w:r>
    </w:p>
    <w:p>
      <w:pPr>
        <w:pStyle w:val="NormalWeb"/>
        <w:spacing w:lineRule="auto" w:line="360" w:beforeAutospacing="0" w:before="0" w:afterAutospacing="0" w:after="0"/>
        <w:jc w:val="both"/>
        <w:rPr>
          <w:rFonts w:ascii="Arial" w:hAnsi="Arial"/>
          <w:sz w:val="22"/>
          <w:szCs w:val="22"/>
        </w:rPr>
      </w:pPr>
      <w:r>
        <w:rPr>
          <w:rFonts w:cs="Arial" w:ascii="Arial" w:hAnsi="Arial"/>
          <w:color w:val="000000"/>
          <w:sz w:val="22"/>
          <w:szCs w:val="22"/>
        </w:rPr>
        <w:tab/>
        <w:t>Considera-se ocorrido o recebimento da nota fiscal no momento em que o órgão contratante atestar a execução do objeto do contrato;</w:t>
      </w:r>
    </w:p>
    <w:p>
      <w:pPr>
        <w:pStyle w:val="NormalWeb"/>
        <w:spacing w:lineRule="auto" w:line="360" w:beforeAutospacing="0" w:before="0" w:afterAutospacing="0" w:after="0"/>
        <w:jc w:val="both"/>
        <w:rPr>
          <w:rFonts w:ascii="Arial" w:hAnsi="Arial"/>
          <w:sz w:val="22"/>
          <w:szCs w:val="22"/>
        </w:rPr>
      </w:pPr>
      <w:r>
        <w:rPr>
          <w:rFonts w:cs="Arial" w:ascii="Arial" w:hAnsi="Arial"/>
          <w:color w:val="000000"/>
          <w:sz w:val="22"/>
          <w:szCs w:val="22"/>
        </w:rPr>
        <w:tab/>
        <w:t>O pagamento será realizado por depósito bancário ou boleto (no caso de depósito, as informações de banco, agência e conta-corrente devem estar descritas na nota fiscal);</w:t>
      </w:r>
    </w:p>
    <w:p>
      <w:pPr>
        <w:pStyle w:val="NormalWeb"/>
        <w:spacing w:lineRule="auto" w:line="360" w:beforeAutospacing="0" w:before="0" w:afterAutospacing="0" w:after="0"/>
        <w:jc w:val="both"/>
        <w:rPr>
          <w:rFonts w:ascii="Arial" w:hAnsi="Arial"/>
          <w:sz w:val="22"/>
          <w:szCs w:val="22"/>
        </w:rPr>
      </w:pPr>
      <w:r>
        <w:rPr>
          <w:rFonts w:cs="Arial" w:ascii="Arial" w:hAnsi="Arial"/>
          <w:color w:val="000000"/>
          <w:sz w:val="22"/>
          <w:szCs w:val="22"/>
        </w:rPr>
        <w:tab/>
        <w:t xml:space="preserve">O pagamento será realizado em até </w:t>
      </w:r>
      <w:r>
        <w:rPr>
          <w:rFonts w:cs="Arial" w:ascii="Arial" w:hAnsi="Arial"/>
          <w:color w:val="000000"/>
          <w:sz w:val="22"/>
          <w:szCs w:val="22"/>
        </w:rPr>
        <w:t xml:space="preserve">30 dais úteis </w:t>
      </w:r>
      <w:r>
        <w:rPr>
          <w:rFonts w:cs="Arial" w:ascii="Arial" w:hAnsi="Arial"/>
          <w:color w:val="000000"/>
          <w:sz w:val="22"/>
          <w:szCs w:val="22"/>
        </w:rPr>
        <w:t>após a entrega da nota fiscal ao setor competente;</w:t>
      </w:r>
    </w:p>
    <w:p>
      <w:pPr>
        <w:pStyle w:val="NormalWeb"/>
        <w:spacing w:lineRule="auto" w:line="360" w:beforeAutospacing="0" w:before="0" w:afterAutospacing="0" w:after="0"/>
        <w:jc w:val="both"/>
        <w:rPr>
          <w:rFonts w:ascii="Arial" w:hAnsi="Arial"/>
          <w:sz w:val="22"/>
          <w:szCs w:val="22"/>
        </w:rPr>
      </w:pPr>
      <w:r>
        <w:rPr>
          <w:rFonts w:cs="Arial" w:ascii="Arial" w:hAnsi="Arial"/>
          <w:color w:val="000000"/>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pPr>
        <w:pStyle w:val="NormalWeb"/>
        <w:spacing w:lineRule="auto" w:line="360" w:beforeAutospacing="0" w:before="0" w:afterAutospacing="0" w:after="0"/>
        <w:jc w:val="both"/>
        <w:rPr>
          <w:rFonts w:ascii="Arial" w:hAnsi="Arial"/>
          <w:sz w:val="22"/>
          <w:szCs w:val="22"/>
        </w:rPr>
      </w:pPr>
      <w:r>
        <w:rPr>
          <w:rFonts w:cs="Arial" w:ascii="Arial" w:hAnsi="Arial"/>
          <w:color w:val="000000"/>
          <w:sz w:val="22"/>
          <w:szCs w:val="22"/>
        </w:rPr>
        <w:tab/>
        <w:t>Quando do pagamento, será efetuada a retenção tributária prevista na legislação aplicável;</w:t>
      </w:r>
    </w:p>
    <w:p>
      <w:pPr>
        <w:pStyle w:val="NormalWeb"/>
        <w:spacing w:lineRule="auto" w:line="360" w:beforeAutospacing="0" w:before="0" w:afterAutospacing="0" w:after="0"/>
        <w:jc w:val="both"/>
        <w:rPr>
          <w:rFonts w:ascii="Arial" w:hAnsi="Arial" w:cs="Arial"/>
          <w:color w:val="000000"/>
          <w:sz w:val="22"/>
          <w:szCs w:val="22"/>
        </w:rPr>
      </w:pPr>
      <w:r>
        <w:rPr>
          <w:rFonts w:cs="Arial" w:ascii="Arial" w:hAnsi="Arial"/>
          <w:color w:val="000000"/>
          <w:sz w:val="22"/>
          <w:szCs w:val="22"/>
        </w:rPr>
      </w:r>
    </w:p>
    <w:p>
      <w:pPr>
        <w:pStyle w:val="NormalWeb"/>
        <w:spacing w:lineRule="auto" w:line="360" w:beforeAutospacing="0" w:before="0" w:afterAutospacing="0" w:after="0"/>
        <w:jc w:val="both"/>
        <w:rPr>
          <w:rFonts w:ascii="Arial" w:hAnsi="Arial"/>
          <w:sz w:val="22"/>
          <w:szCs w:val="22"/>
        </w:rPr>
      </w:pPr>
      <w:r>
        <w:rPr>
          <w:rFonts w:cs="Arial" w:ascii="Arial" w:hAnsi="Arial"/>
          <w:b/>
          <w:bCs/>
          <w:color w:val="000000"/>
          <w:sz w:val="22"/>
          <w:szCs w:val="22"/>
        </w:rPr>
        <w:t>8. FORMA E CRITÉRIOS DE SELEÇÃO DO FORNECEDOR/PRESTADOR DE SERVIÇO</w:t>
      </w:r>
    </w:p>
    <w:p>
      <w:pPr>
        <w:pStyle w:val="Normal"/>
        <w:suppressAutoHyphens w:val="true"/>
        <w:spacing w:lineRule="exact" w:line="360" w:beforeAutospacing="0" w:before="0" w:afterAutospacing="0" w:after="0"/>
        <w:ind w:left="0" w:right="0" w:hanging="0"/>
        <w:jc w:val="both"/>
        <w:rPr>
          <w:rFonts w:ascii="Arial" w:hAnsi="Arial"/>
          <w:sz w:val="22"/>
          <w:szCs w:val="22"/>
        </w:rPr>
      </w:pPr>
      <w:r>
        <w:rPr>
          <w:rFonts w:eastAsia="Arial" w:cs="Arial"/>
          <w:b w:val="false"/>
          <w:bCs w:val="false"/>
          <w:color w:val="000000"/>
          <w:spacing w:val="0"/>
          <w:sz w:val="22"/>
          <w:szCs w:val="22"/>
          <w:shd w:fill="auto" w:val="clear"/>
        </w:rPr>
        <w:tab/>
      </w:r>
      <w:r>
        <w:rPr>
          <w:rFonts w:eastAsia="Arial" w:cs="Arial"/>
          <w:color w:val="000000"/>
          <w:spacing w:val="0"/>
          <w:sz w:val="22"/>
          <w:szCs w:val="22"/>
          <w:shd w:fill="auto" w:val="clear"/>
        </w:rPr>
        <w:t>Conforme disposto no item 4, o futuro contratado será selecionado mediante processo licitatório.</w:t>
      </w:r>
    </w:p>
    <w:p>
      <w:pPr>
        <w:pStyle w:val="NormalWeb"/>
        <w:spacing w:lineRule="auto" w:line="360" w:beforeAutospacing="0" w:before="0" w:afterAutospacing="0" w:after="0"/>
        <w:jc w:val="both"/>
        <w:rPr>
          <w:rFonts w:ascii="Arial" w:hAnsi="Arial" w:cs="Arial"/>
          <w:color w:val="000000"/>
          <w:sz w:val="22"/>
          <w:szCs w:val="22"/>
        </w:rPr>
      </w:pPr>
      <w:r>
        <w:rPr>
          <w:rFonts w:cs="Arial" w:ascii="Arial" w:hAnsi="Arial"/>
          <w:color w:val="000000"/>
          <w:sz w:val="22"/>
          <w:szCs w:val="22"/>
        </w:rPr>
      </w:r>
    </w:p>
    <w:p>
      <w:pPr>
        <w:pStyle w:val="NormalWeb"/>
        <w:spacing w:lineRule="auto" w:line="360" w:beforeAutospacing="0" w:before="0" w:afterAutospacing="0" w:after="0"/>
        <w:jc w:val="both"/>
        <w:rPr>
          <w:rFonts w:ascii="Arial" w:hAnsi="Arial"/>
          <w:sz w:val="22"/>
          <w:szCs w:val="22"/>
        </w:rPr>
      </w:pPr>
      <w:r>
        <w:rPr>
          <w:rFonts w:cs="Arial" w:ascii="Arial" w:hAnsi="Arial"/>
          <w:b/>
          <w:bCs/>
          <w:color w:val="000000"/>
          <w:sz w:val="22"/>
          <w:szCs w:val="22"/>
        </w:rPr>
        <w:t>9. ESTIMATIVA DO VALOR DA CONTRATAÇÃO</w:t>
      </w:r>
    </w:p>
    <w:p>
      <w:pPr>
        <w:pStyle w:val="Normal"/>
        <w:spacing w:lineRule="auto" w:line="360"/>
        <w:jc w:val="both"/>
        <w:rPr>
          <w:sz w:val="22"/>
          <w:szCs w:val="22"/>
        </w:rPr>
      </w:pPr>
      <w:r>
        <w:rPr>
          <w:sz w:val="22"/>
          <w:szCs w:val="22"/>
        </w:rPr>
        <w:tab/>
        <w:t xml:space="preserve">Estima-se para a contratação almejada o valor total de R$ </w:t>
      </w:r>
      <w:r>
        <w:rPr>
          <w:sz w:val="22"/>
          <w:szCs w:val="22"/>
        </w:rPr>
        <w:t>2.800,00.</w:t>
      </w:r>
    </w:p>
    <w:p>
      <w:pPr>
        <w:pStyle w:val="Normal"/>
        <w:spacing w:lineRule="auto" w:line="360"/>
        <w:jc w:val="both"/>
        <w:rPr>
          <w:rFonts w:ascii="Arial" w:hAnsi="Arial"/>
          <w:sz w:val="22"/>
          <w:szCs w:val="22"/>
        </w:rPr>
      </w:pPr>
      <w:r>
        <w:rPr>
          <w:sz w:val="22"/>
          <w:szCs w:val="22"/>
        </w:rPr>
        <w:tab/>
        <w:t xml:space="preserve">Vislumbra-se que tal valor é compatível com o praticado pelo mercado correspondente, observando-se o disposto no Decreto Municipal nº </w:t>
      </w:r>
      <w:r>
        <w:rPr>
          <w:rFonts w:cs="Arial"/>
          <w:sz w:val="22"/>
          <w:szCs w:val="22"/>
          <w:lang w:eastAsia="zh-CN"/>
        </w:rPr>
        <w:t>1911/2022</w:t>
      </w:r>
      <w:r>
        <w:rPr>
          <w:sz w:val="22"/>
          <w:szCs w:val="22"/>
        </w:rPr>
        <w:t xml:space="preserve">, que </w:t>
      </w:r>
      <w:r>
        <w:rPr>
          <w:color w:val="000000"/>
          <w:sz w:val="22"/>
          <w:szCs w:val="22"/>
        </w:rPr>
        <w:t>“</w:t>
      </w:r>
      <w:r>
        <w:rPr>
          <w:b w:val="false"/>
          <w:i w:val="false"/>
          <w:caps w:val="false"/>
          <w:smallCaps w:val="false"/>
          <w:color w:val="000000"/>
          <w:spacing w:val="0"/>
          <w:sz w:val="22"/>
          <w:szCs w:val="22"/>
        </w:rPr>
        <w:t xml:space="preserve">Institui normas para o procedimento administrativo para a realização de </w:t>
      </w:r>
      <w:r>
        <w:rPr>
          <w:color w:val="000000"/>
          <w:sz w:val="22"/>
          <w:szCs w:val="22"/>
        </w:rPr>
        <w:t>pesquisa</w:t>
      </w:r>
      <w:r>
        <w:rPr>
          <w:caps w:val="false"/>
          <w:smallCaps w:val="false"/>
          <w:color w:val="000000"/>
          <w:spacing w:val="0"/>
          <w:sz w:val="22"/>
          <w:szCs w:val="22"/>
        </w:rPr>
        <w:t xml:space="preserve"> </w:t>
      </w:r>
      <w:r>
        <w:rPr>
          <w:b w:val="false"/>
          <w:i w:val="false"/>
          <w:caps w:val="false"/>
          <w:smallCaps w:val="false"/>
          <w:color w:val="000000"/>
          <w:spacing w:val="0"/>
          <w:sz w:val="22"/>
          <w:szCs w:val="22"/>
        </w:rPr>
        <w:t>de preços para aquisição de bens e contratação de serviços em geral, no âmbito do Município de Giruá-RS</w:t>
      </w:r>
      <w:r>
        <w:rPr>
          <w:color w:val="000000"/>
          <w:sz w:val="22"/>
          <w:szCs w:val="22"/>
        </w:rPr>
        <w:t>”</w:t>
      </w:r>
      <w:r>
        <w:rPr>
          <w:sz w:val="22"/>
          <w:szCs w:val="22"/>
        </w:rPr>
        <w:t>.</w:t>
      </w:r>
    </w:p>
    <w:p>
      <w:pPr>
        <w:pStyle w:val="Normal"/>
        <w:spacing w:lineRule="auto" w:line="360"/>
        <w:jc w:val="both"/>
        <w:rPr>
          <w:rFonts w:ascii="Arial" w:hAnsi="Arial"/>
          <w:sz w:val="22"/>
          <w:szCs w:val="22"/>
        </w:rPr>
      </w:pPr>
      <w:r>
        <w:rPr/>
      </w:r>
    </w:p>
    <w:p>
      <w:pPr>
        <w:pStyle w:val="Normal"/>
        <w:spacing w:lineRule="auto" w:line="360"/>
        <w:jc w:val="both"/>
        <w:rPr>
          <w:rFonts w:ascii="Arial" w:hAnsi="Arial"/>
          <w:sz w:val="22"/>
          <w:szCs w:val="22"/>
        </w:rPr>
      </w:pPr>
      <w:r>
        <w:rPr>
          <w:color w:val="000000"/>
          <w:sz w:val="22"/>
          <w:szCs w:val="22"/>
        </w:rPr>
        <w:tab/>
        <w:t xml:space="preserve">Quanto à pesquisa de peço, realizou-se a cotação </w:t>
      </w:r>
      <w:r>
        <w:rPr>
          <w:color w:val="000000"/>
          <w:sz w:val="22"/>
          <w:szCs w:val="22"/>
        </w:rPr>
        <w:t>no site PNCP.</w:t>
      </w:r>
    </w:p>
    <w:p>
      <w:pPr>
        <w:pStyle w:val="NormalWeb"/>
        <w:spacing w:lineRule="auto" w:line="360" w:beforeAutospacing="0" w:before="0" w:afterAutospacing="0" w:after="0"/>
        <w:jc w:val="both"/>
        <w:rPr>
          <w:rFonts w:ascii="Arial" w:hAnsi="Arial" w:cs="Arial"/>
          <w:b/>
          <w:bCs/>
          <w:color w:val="000000"/>
          <w:sz w:val="22"/>
          <w:szCs w:val="22"/>
        </w:rPr>
      </w:pPr>
      <w:r>
        <w:rPr>
          <w:rFonts w:cs="Arial" w:ascii="Arial" w:hAnsi="Arial"/>
          <w:b/>
          <w:bCs/>
          <w:color w:val="000000"/>
          <w:sz w:val="22"/>
          <w:szCs w:val="22"/>
        </w:rPr>
      </w:r>
    </w:p>
    <w:p>
      <w:pPr>
        <w:pStyle w:val="NormalWeb"/>
        <w:spacing w:lineRule="auto" w:line="360" w:beforeAutospacing="0" w:before="0" w:afterAutospacing="0" w:after="0"/>
        <w:jc w:val="both"/>
        <w:rPr>
          <w:rFonts w:ascii="Arial" w:hAnsi="Arial"/>
          <w:sz w:val="22"/>
          <w:szCs w:val="22"/>
        </w:rPr>
      </w:pPr>
      <w:r>
        <w:rPr>
          <w:rFonts w:cs="Arial" w:ascii="Arial" w:hAnsi="Arial"/>
          <w:b/>
          <w:bCs/>
          <w:color w:val="000000"/>
          <w:sz w:val="22"/>
          <w:szCs w:val="22"/>
        </w:rPr>
        <w:t>10. ADEQUAÇÃO ORÇAMENTÁRIA</w:t>
      </w:r>
    </w:p>
    <w:p>
      <w:pPr>
        <w:pStyle w:val="Normal"/>
        <w:spacing w:lineRule="auto" w:line="360"/>
        <w:jc w:val="both"/>
        <w:rPr>
          <w:rFonts w:ascii="Arial" w:hAnsi="Arial"/>
          <w:sz w:val="22"/>
          <w:szCs w:val="22"/>
        </w:rPr>
      </w:pPr>
      <w:r>
        <w:rPr>
          <w:sz w:val="22"/>
          <w:szCs w:val="22"/>
        </w:rPr>
        <w:tab/>
        <w:t xml:space="preserve">O dispêndio financeiro decorrente da contratação ora pretendida decorrerá da dotação orçamentária </w:t>
      </w:r>
      <w:r>
        <w:rPr>
          <w:sz w:val="22"/>
          <w:szCs w:val="22"/>
        </w:rPr>
        <w:t>da secretaria municipal de saúde.</w:t>
      </w:r>
    </w:p>
    <w:p>
      <w:pPr>
        <w:pStyle w:val="Normal"/>
        <w:spacing w:lineRule="auto" w:line="360"/>
        <w:jc w:val="both"/>
        <w:rPr>
          <w:rFonts w:ascii="Arial" w:hAnsi="Arial"/>
          <w:sz w:val="22"/>
          <w:szCs w:val="22"/>
        </w:rPr>
      </w:pPr>
      <w:r>
        <w:rPr/>
      </w:r>
    </w:p>
    <w:p>
      <w:pPr>
        <w:pStyle w:val="Normal"/>
        <w:spacing w:lineRule="auto" w:line="360"/>
        <w:jc w:val="right"/>
        <w:rPr>
          <w:rFonts w:ascii="Arial" w:hAnsi="Arial"/>
          <w:sz w:val="22"/>
          <w:szCs w:val="22"/>
        </w:rPr>
      </w:pPr>
      <w:r>
        <w:rPr/>
      </w:r>
    </w:p>
    <w:p>
      <w:pPr>
        <w:pStyle w:val="Normal"/>
        <w:spacing w:lineRule="auto" w:line="360"/>
        <w:jc w:val="right"/>
        <w:rPr>
          <w:rFonts w:ascii="Arial" w:hAnsi="Arial"/>
          <w:sz w:val="22"/>
          <w:szCs w:val="22"/>
        </w:rPr>
      </w:pPr>
      <w:r>
        <w:rPr>
          <w:sz w:val="22"/>
          <w:szCs w:val="22"/>
        </w:rPr>
        <w:t xml:space="preserve">Giruá – RS, </w:t>
      </w:r>
      <w:r>
        <w:rPr>
          <w:sz w:val="22"/>
          <w:szCs w:val="22"/>
        </w:rPr>
        <w:t>07 de fevereiro</w:t>
      </w:r>
      <w:r>
        <w:rPr>
          <w:sz w:val="22"/>
          <w:szCs w:val="22"/>
        </w:rPr>
        <w:t xml:space="preserve"> de 2025.</w:t>
      </w:r>
    </w:p>
    <w:p>
      <w:pPr>
        <w:pStyle w:val="Normal"/>
        <w:spacing w:lineRule="auto" w:line="360"/>
        <w:jc w:val="both"/>
        <w:rPr>
          <w:rFonts w:ascii="Arial" w:hAnsi="Arial"/>
          <w:sz w:val="22"/>
          <w:szCs w:val="22"/>
        </w:rPr>
      </w:pPr>
      <w:r>
        <w:rPr>
          <w:sz w:val="22"/>
          <w:szCs w:val="22"/>
        </w:rPr>
      </w:r>
    </w:p>
    <w:p>
      <w:pPr>
        <w:pStyle w:val="Normal"/>
        <w:spacing w:lineRule="auto" w:line="360"/>
        <w:jc w:val="both"/>
        <w:rPr>
          <w:rFonts w:ascii="Arial" w:hAnsi="Arial"/>
          <w:sz w:val="22"/>
          <w:szCs w:val="22"/>
        </w:rPr>
      </w:pPr>
      <w:r>
        <w:rPr>
          <w:sz w:val="22"/>
          <w:szCs w:val="22"/>
        </w:rPr>
      </w:r>
    </w:p>
    <w:p>
      <w:pPr>
        <w:pStyle w:val="Normal"/>
        <w:spacing w:lineRule="auto" w:line="360"/>
        <w:jc w:val="both"/>
        <w:rPr>
          <w:rFonts w:ascii="Arial" w:hAnsi="Arial"/>
          <w:sz w:val="22"/>
          <w:szCs w:val="22"/>
        </w:rPr>
      </w:pPr>
      <w:r>
        <w:rPr>
          <w:sz w:val="22"/>
          <w:szCs w:val="22"/>
        </w:rPr>
      </w:r>
    </w:p>
    <w:p>
      <w:pPr>
        <w:pStyle w:val="Normal"/>
        <w:spacing w:lineRule="auto" w:line="360"/>
        <w:jc w:val="both"/>
        <w:rPr>
          <w:rFonts w:ascii="Arial" w:hAnsi="Arial"/>
          <w:sz w:val="22"/>
          <w:szCs w:val="22"/>
        </w:rPr>
      </w:pPr>
      <w:r>
        <w:rPr>
          <w:sz w:val="22"/>
          <w:szCs w:val="22"/>
        </w:rPr>
      </w:r>
    </w:p>
    <w:p>
      <w:pPr>
        <w:pStyle w:val="Normal"/>
        <w:spacing w:lineRule="auto" w:line="360"/>
        <w:jc w:val="both"/>
        <w:rPr>
          <w:rFonts w:ascii="Arial" w:hAnsi="Arial"/>
          <w:sz w:val="22"/>
          <w:szCs w:val="22"/>
        </w:rPr>
      </w:pPr>
      <w:r>
        <w:rPr>
          <w:sz w:val="22"/>
          <w:szCs w:val="22"/>
        </w:rPr>
      </w:r>
    </w:p>
    <w:p>
      <w:pPr>
        <w:pStyle w:val="Normal"/>
        <w:spacing w:lineRule="auto" w:line="360"/>
        <w:jc w:val="center"/>
        <w:rPr>
          <w:b/>
          <w:bCs/>
        </w:rPr>
      </w:pPr>
      <w:r>
        <w:rPr>
          <w:b/>
          <w:bCs/>
          <w:sz w:val="22"/>
          <w:szCs w:val="22"/>
        </w:rPr>
        <w:t>_______________________________________</w:t>
      </w:r>
    </w:p>
    <w:p>
      <w:pPr>
        <w:pStyle w:val="Normal"/>
        <w:spacing w:lineRule="auto" w:line="360"/>
        <w:jc w:val="center"/>
        <w:rPr>
          <w:highlight w:val="none"/>
          <w:shd w:fill="auto" w:val="clear"/>
        </w:rPr>
      </w:pPr>
      <w:r>
        <w:rPr>
          <w:rFonts w:eastAsia="Times New Roman" w:cs="Arial"/>
          <w:b/>
          <w:bCs/>
          <w:color w:val="000000"/>
          <w:kern w:val="0"/>
          <w:sz w:val="22"/>
          <w:szCs w:val="22"/>
          <w:shd w:fill="auto" w:val="clear"/>
          <w:lang w:val="pt-BR" w:eastAsia="zh-CN" w:bidi="ar-SA"/>
        </w:rPr>
        <w:t>SIMONE BONFANTI</w:t>
      </w:r>
    </w:p>
    <w:p>
      <w:pPr>
        <w:pStyle w:val="Normal"/>
        <w:spacing w:lineRule="auto" w:line="360"/>
        <w:jc w:val="center"/>
        <w:rPr>
          <w:highlight w:val="none"/>
          <w:shd w:fill="auto" w:val="clear"/>
        </w:rPr>
      </w:pPr>
      <w:r>
        <w:rPr>
          <w:rFonts w:eastAsia="Times New Roman" w:cs="Arial"/>
          <w:b/>
          <w:bCs/>
          <w:color w:val="000000"/>
          <w:kern w:val="0"/>
          <w:sz w:val="22"/>
          <w:szCs w:val="22"/>
          <w:shd w:fill="auto" w:val="clear"/>
          <w:lang w:val="pt-BR" w:eastAsia="zh-CN" w:bidi="ar-SA"/>
        </w:rPr>
        <w:t>SECRETARIA MUNICIPAL DE SAÚDE</w:t>
      </w:r>
    </w:p>
    <w:p>
      <w:pPr>
        <w:pStyle w:val="Normal"/>
        <w:spacing w:lineRule="auto" w:line="360"/>
        <w:jc w:val="center"/>
        <w:rPr>
          <w:highlight w:val="none"/>
          <w:shd w:fill="auto" w:val="clear"/>
        </w:rPr>
      </w:pPr>
      <w:r>
        <w:rPr>
          <w:rFonts w:eastAsia="Times New Roman" w:cs="Arial"/>
          <w:b/>
          <w:bCs/>
          <w:color w:val="000000"/>
          <w:kern w:val="0"/>
          <w:sz w:val="22"/>
          <w:szCs w:val="22"/>
          <w:shd w:fill="auto" w:val="clear"/>
          <w:lang w:val="pt-BR" w:eastAsia="zh-CN" w:bidi="ar-SA"/>
        </w:rPr>
        <w:t>PORTARIA 22.927/2025</w:t>
      </w:r>
    </w:p>
    <w:sectPr>
      <w:headerReference w:type="first" r:id="rId3"/>
      <w:footerReference w:type="default" r:id="rId4"/>
      <w:type w:val="nextPage"/>
      <w:pgSz w:w="11906" w:h="16838"/>
      <w:pgMar w:left="1276" w:right="1134" w:gutter="0" w:header="1276" w:top="1276" w:footer="737" w:bottom="1134"/>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Calibri Light">
    <w:charset w:val="00"/>
    <w:family w:val="roman"/>
    <w:pitch w:val="variable"/>
  </w:font>
  <w:font w:name="Segoe UI">
    <w:charset w:val="00"/>
    <w:family w:val="roman"/>
    <w:pitch w:val="variable"/>
  </w:font>
  <w:font w:name="Monotype Sorts">
    <w:charset w:val="00"/>
    <w:family w:val="roman"/>
    <w:pitch w:val="variable"/>
  </w:font>
  <w:font w:name="Courier New">
    <w:charset w:val="00"/>
    <w:family w:val="roman"/>
    <w:pitch w:val="variable"/>
  </w:font>
  <w:font w:name="Wingdings">
    <w:charset w:val="00"/>
    <w:family w:val="roman"/>
    <w:pitch w:val="variable"/>
  </w:font>
  <w:font w:name="Symbol">
    <w:charset w:val="00"/>
    <w:family w:val="roman"/>
    <w:pitch w:val="variable"/>
  </w:font>
  <w:font w:name="OpenSymbol">
    <w:altName w:val="Arial Unicode MS"/>
    <w:charset w:val="02"/>
    <w:family w:val="auto"/>
    <w:pitch w:val="default"/>
  </w:font>
  <w:font w:name="Liberation Sans">
    <w:altName w:val="Arial"/>
    <w:charset w:val="00"/>
    <w:family w:val="roman"/>
    <w:pitch w:val="variable"/>
  </w:font>
  <w:font w:name="Arial">
    <w:charset w:val="01"/>
    <w:family w:val="swiss"/>
    <w:pitch w:val="variable"/>
  </w:font>
  <w:font w:name="Arial">
    <w:altName w:val="sans-serif"/>
    <w:charset w:val="00"/>
    <w:family w:val="auto"/>
    <w:pitch w:val="default"/>
  </w:font>
  <w:font w:name="Symbol">
    <w:charset w:val="02"/>
    <w:family w:val="auto"/>
    <w:pitch w:val="default"/>
  </w:font>
  <w:font w:name="OpenSymbol">
    <w:altName w:val="Arial Unicode MS"/>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022014847"/>
    </w:sdtPr>
    <w:sdtContent>
      <w:p>
        <w:pPr>
          <w:pStyle w:val="Rodap"/>
          <w:jc w:val="right"/>
          <w:rPr/>
        </w:pPr>
        <w:r>
          <w:rPr/>
        </w:r>
      </w:p>
    </w:sdtContent>
  </w:sdt>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sz w:val="4"/>
        <w:szCs w:val="4"/>
      </w:rPr>
    </w:pPr>
    <w:r>
      <w:rPr>
        <w:sz w:val="4"/>
        <w:szCs w:val="4"/>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isplayBackgroundShape/>
  <w:embedSystemFonts/>
  <w:defaultTabStop w:val="708"/>
  <w:autoHyphenation w:val="true"/>
  <w:hyphenationZone w:val="425"/>
  <w:compat>
    <w:doNotExpandShiftReturn/>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0"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Arial" w:hAnsi="Arial" w:eastAsia="Times New Roman" w:cs="Arial"/>
      <w:color w:val="auto"/>
      <w:kern w:val="0"/>
      <w:sz w:val="22"/>
      <w:szCs w:val="20"/>
      <w:lang w:val="pt-BR" w:eastAsia="zh-CN" w:bidi="ar-SA"/>
    </w:rPr>
  </w:style>
  <w:style w:type="paragraph" w:styleId="Ttulo1">
    <w:name w:val="Heading 1"/>
    <w:basedOn w:val="Normal"/>
    <w:next w:val="Normal"/>
    <w:qFormat/>
    <w:pPr>
      <w:keepNext w:val="true"/>
      <w:spacing w:before="240" w:after="60"/>
      <w:outlineLvl w:val="0"/>
    </w:pPr>
    <w:rPr>
      <w:b/>
      <w:kern w:val="2"/>
      <w:sz w:val="28"/>
    </w:rPr>
  </w:style>
  <w:style w:type="paragraph" w:styleId="Ttulo2">
    <w:name w:val="Heading 2"/>
    <w:basedOn w:val="Normal"/>
    <w:next w:val="Normal"/>
    <w:link w:val="Ttulo2Char"/>
    <w:semiHidden/>
    <w:unhideWhenUsed/>
    <w:qFormat/>
    <w:rsid w:val="00b96d5c"/>
    <w:pPr>
      <w:keepNext w:val="true"/>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semiHidden/>
    <w:unhideWhenUsed/>
    <w:qFormat/>
    <w:rsid w:val="00b96d5c"/>
    <w:pPr>
      <w:keepNext w:val="true"/>
      <w:spacing w:before="240" w:after="60"/>
      <w:outlineLvl w:val="2"/>
    </w:pPr>
    <w:rPr>
      <w:rFonts w:ascii="Calibri Light" w:hAnsi="Calibri Light" w:cs="Times New Roman"/>
      <w:b/>
      <w:bCs/>
      <w:sz w:val="26"/>
      <w:szCs w:val="26"/>
    </w:rPr>
  </w:style>
  <w:style w:type="paragraph" w:styleId="Ttulo7">
    <w:name w:val="Heading 7"/>
    <w:basedOn w:val="Normal"/>
    <w:next w:val="Normal"/>
    <w:link w:val="Ttulo7Char"/>
    <w:qFormat/>
    <w:rsid w:val="00b96d5c"/>
    <w:pPr>
      <w:keepNext w:val="true"/>
      <w:tabs>
        <w:tab w:val="clear" w:pos="708"/>
        <w:tab w:val="left" w:pos="2835" w:leader="none"/>
      </w:tabs>
      <w:spacing w:lineRule="exact" w:line="280"/>
      <w:ind w:left="57" w:right="57" w:hanging="57"/>
      <w:jc w:val="center"/>
      <w:outlineLvl w:val="6"/>
    </w:pPr>
    <w:rPr>
      <w:rFonts w:ascii="Times New Roman" w:hAnsi="Times New Roman" w:cs="Times New Roman"/>
      <w:b/>
      <w:spacing w:val="14"/>
      <w:sz w:val="24"/>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Fontepargpadro4" w:customStyle="1">
    <w:name w:val="Fonte parág. padrão4"/>
    <w:qFormat/>
    <w:rPr/>
  </w:style>
  <w:style w:type="character" w:styleId="Absatz-Standardschriftart" w:customStyle="1">
    <w:name w:val="Absatz-Standardschriftart"/>
    <w:qFormat/>
    <w:rPr/>
  </w:style>
  <w:style w:type="character" w:styleId="Fontepargpadro3" w:customStyle="1">
    <w:name w:val="Fonte parág. padrão3"/>
    <w:qFormat/>
    <w:rPr/>
  </w:style>
  <w:style w:type="character" w:styleId="WW-Absatz-Standardschriftart" w:customStyle="1">
    <w:name w:val="WW-Absatz-Standardschriftart"/>
    <w:qFormat/>
    <w:rPr/>
  </w:style>
  <w:style w:type="character" w:styleId="Fontepargpadro2" w:customStyle="1">
    <w:name w:val="Fonte parág. padrão2"/>
    <w:qFormat/>
    <w:rPr/>
  </w:style>
  <w:style w:type="character" w:styleId="WW-Absatz-Standardschriftart1" w:customStyle="1">
    <w:name w:val="WW-Absatz-Standardschriftart1"/>
    <w:qFormat/>
    <w:rPr/>
  </w:style>
  <w:style w:type="character" w:styleId="WW-Absatz-Standardschriftart11" w:customStyle="1">
    <w:name w:val="WW-Absatz-Standardschriftart11"/>
    <w:qFormat/>
    <w:rPr/>
  </w:style>
  <w:style w:type="character" w:styleId="WW-Absatz-Standardschriftart111" w:customStyle="1">
    <w:name w:val="WW-Absatz-Standardschriftart111"/>
    <w:qFormat/>
    <w:rPr/>
  </w:style>
  <w:style w:type="character" w:styleId="WW-Absatz-Standardschriftart1111" w:customStyle="1">
    <w:name w:val="WW-Absatz-Standardschriftart1111"/>
    <w:qFormat/>
    <w:rPr/>
  </w:style>
  <w:style w:type="character" w:styleId="WW-Absatz-Standardschriftart11111" w:customStyle="1">
    <w:name w:val="WW-Absatz-Standardschriftart11111"/>
    <w:qFormat/>
    <w:rPr/>
  </w:style>
  <w:style w:type="character" w:styleId="Fontepargpadro1" w:customStyle="1">
    <w:name w:val="Fonte parág. padrão1"/>
    <w:qFormat/>
    <w:rPr/>
  </w:style>
  <w:style w:type="character" w:styleId="Pagenumber">
    <w:name w:val="page number"/>
    <w:basedOn w:val="Fontepargpadro1"/>
    <w:qFormat/>
    <w:rPr/>
  </w:style>
  <w:style w:type="character" w:styleId="Caracteresdenotaderodap" w:customStyle="1">
    <w:name w:val="Caracteres de nota de rodapé"/>
    <w:qFormat/>
    <w:rPr>
      <w:vertAlign w:val="superscript"/>
    </w:rPr>
  </w:style>
  <w:style w:type="character" w:styleId="Refdenotaderodap1" w:customStyle="1">
    <w:name w:val="Ref. de nota de rodapé1"/>
    <w:qFormat/>
    <w:rPr>
      <w:vertAlign w:val="superscript"/>
    </w:rPr>
  </w:style>
  <w:style w:type="character" w:styleId="Caracteresdenotadefim" w:customStyle="1">
    <w:name w:val="Caracteres de nota de fim"/>
    <w:qFormat/>
    <w:rPr>
      <w:vertAlign w:val="superscript"/>
    </w:rPr>
  </w:style>
  <w:style w:type="character" w:styleId="WW-Caracteresdenotadefim" w:customStyle="1">
    <w:name w:val="WW-Caracteres de nota de fim"/>
    <w:qFormat/>
    <w:rPr/>
  </w:style>
  <w:style w:type="character" w:styleId="Smbolosdenumerao" w:customStyle="1">
    <w:name w:val="Símbolos de numeração"/>
    <w:qFormat/>
    <w:rPr/>
  </w:style>
  <w:style w:type="character" w:styleId="Refdenotadefim1" w:customStyle="1">
    <w:name w:val="Ref. de nota de fim1"/>
    <w:qFormat/>
    <w:rPr>
      <w:vertAlign w:val="superscript"/>
    </w:rPr>
  </w:style>
  <w:style w:type="character" w:styleId="Refdenotaderodap2" w:customStyle="1">
    <w:name w:val="Ref. de nota de rodapé2"/>
    <w:qFormat/>
    <w:rPr>
      <w:vertAlign w:val="superscript"/>
    </w:rPr>
  </w:style>
  <w:style w:type="character" w:styleId="Refdenotadefim2" w:customStyle="1">
    <w:name w:val="Ref. de nota de fim2"/>
    <w:qFormat/>
    <w:rPr>
      <w:vertAlign w:val="superscript"/>
    </w:rPr>
  </w:style>
  <w:style w:type="character" w:styleId="Refdenotaderodap3" w:customStyle="1">
    <w:name w:val="Ref. de nota de rodapé3"/>
    <w:qFormat/>
    <w:rPr>
      <w:vertAlign w:val="superscript"/>
    </w:rPr>
  </w:style>
  <w:style w:type="character" w:styleId="Refdenotadefim3" w:customStyle="1">
    <w:name w:val="Ref. de nota de fim3"/>
    <w:qFormat/>
    <w:rPr>
      <w:vertAlign w:val="superscript"/>
    </w:rPr>
  </w:style>
  <w:style w:type="character" w:styleId="Ncoradanotaderodap">
    <w:name w:val="Footnote Reference"/>
    <w:rPr>
      <w:vertAlign w:val="superscript"/>
    </w:rPr>
  </w:style>
  <w:style w:type="character" w:styleId="FootnoteCharacters">
    <w:name w:val="Footnote Characters"/>
    <w:qFormat/>
    <w:rPr>
      <w:vertAlign w:val="superscript"/>
    </w:rPr>
  </w:style>
  <w:style w:type="character" w:styleId="Ncoradanotadefim">
    <w:name w:val="Endnote Reference"/>
    <w:rPr>
      <w:vertAlign w:val="superscript"/>
    </w:rPr>
  </w:style>
  <w:style w:type="character" w:styleId="EndnoteCharacters">
    <w:name w:val="Endnote Characters"/>
    <w:qFormat/>
    <w:rPr>
      <w:vertAlign w:val="superscript"/>
    </w:rPr>
  </w:style>
  <w:style w:type="character" w:styleId="RodapChar" w:customStyle="1">
    <w:name w:val="Rodapé Char"/>
    <w:uiPriority w:val="99"/>
    <w:qFormat/>
    <w:rsid w:val="00502e0d"/>
    <w:rPr>
      <w:rFonts w:ascii="Arial" w:hAnsi="Arial" w:cs="Arial"/>
      <w:sz w:val="22"/>
      <w:lang w:eastAsia="zh-CN"/>
    </w:rPr>
  </w:style>
  <w:style w:type="character" w:styleId="Refdenotaderodap5" w:customStyle="1">
    <w:name w:val="Ref. de nota de rodapé5"/>
    <w:qFormat/>
    <w:rsid w:val="00e80693"/>
    <w:rPr>
      <w:vertAlign w:val="superscript"/>
    </w:rPr>
  </w:style>
  <w:style w:type="character" w:styleId="TextodebaloChar" w:customStyle="1">
    <w:name w:val="Texto de balão Char"/>
    <w:qFormat/>
    <w:rsid w:val="00c90f73"/>
    <w:rPr>
      <w:rFonts w:ascii="Segoe UI" w:hAnsi="Segoe UI" w:cs="Segoe UI"/>
      <w:sz w:val="18"/>
      <w:szCs w:val="18"/>
      <w:lang w:eastAsia="zh-CN"/>
    </w:rPr>
  </w:style>
  <w:style w:type="character" w:styleId="LinkdaInternet">
    <w:name w:val="Hyperlink"/>
    <w:uiPriority w:val="99"/>
    <w:unhideWhenUsed/>
    <w:rsid w:val="0089786b"/>
    <w:rPr>
      <w:color w:val="0563C1"/>
      <w:u w:val="single"/>
    </w:rPr>
  </w:style>
  <w:style w:type="character" w:styleId="MenoPendente1" w:customStyle="1">
    <w:name w:val="Menção Pendente1"/>
    <w:uiPriority w:val="99"/>
    <w:semiHidden/>
    <w:unhideWhenUsed/>
    <w:qFormat/>
    <w:rsid w:val="0089786b"/>
    <w:rPr>
      <w:color w:val="808080"/>
      <w:shd w:fill="E6E6E6" w:val="clear"/>
    </w:rPr>
  </w:style>
  <w:style w:type="character" w:styleId="Linkdainternetvisitado">
    <w:name w:val="FollowedHyperlink"/>
    <w:basedOn w:val="DefaultParagraphFont"/>
    <w:uiPriority w:val="99"/>
    <w:semiHidden/>
    <w:unhideWhenUsed/>
    <w:rsid w:val="00ac6de8"/>
    <w:rPr>
      <w:color w:val="954F72" w:themeColor="followedHyperlink"/>
      <w:u w:val="single"/>
    </w:rPr>
  </w:style>
  <w:style w:type="character" w:styleId="Ttulo2Char" w:customStyle="1">
    <w:name w:val="Título 2 Char"/>
    <w:basedOn w:val="DefaultParagraphFont"/>
    <w:semiHidden/>
    <w:qFormat/>
    <w:rsid w:val="00b96d5c"/>
    <w:rPr>
      <w:rFonts w:ascii="Calibri Light" w:hAnsi="Calibri Light"/>
      <w:b/>
      <w:bCs/>
      <w:i/>
      <w:iCs/>
      <w:sz w:val="28"/>
      <w:szCs w:val="28"/>
    </w:rPr>
  </w:style>
  <w:style w:type="character" w:styleId="Ttulo3Char" w:customStyle="1">
    <w:name w:val="Título 3 Char"/>
    <w:basedOn w:val="DefaultParagraphFont"/>
    <w:semiHidden/>
    <w:qFormat/>
    <w:rsid w:val="00b96d5c"/>
    <w:rPr>
      <w:rFonts w:ascii="Calibri Light" w:hAnsi="Calibri Light"/>
      <w:b/>
      <w:bCs/>
      <w:sz w:val="26"/>
      <w:szCs w:val="26"/>
    </w:rPr>
  </w:style>
  <w:style w:type="character" w:styleId="Ttulo7Char" w:customStyle="1">
    <w:name w:val="Título 7 Char"/>
    <w:basedOn w:val="DefaultParagraphFont"/>
    <w:qFormat/>
    <w:rsid w:val="00b96d5c"/>
    <w:rPr>
      <w:b/>
      <w:spacing w:val="14"/>
      <w:sz w:val="24"/>
    </w:rPr>
  </w:style>
  <w:style w:type="character" w:styleId="WW8Num2z0" w:customStyle="1">
    <w:name w:val="WW8Num2z0"/>
    <w:qFormat/>
    <w:rsid w:val="00b96d5c"/>
    <w:rPr>
      <w:rFonts w:ascii="Monotype Sorts" w:hAnsi="Monotype Sorts"/>
    </w:rPr>
  </w:style>
  <w:style w:type="character" w:styleId="WW8Num3z0" w:customStyle="1">
    <w:name w:val="WW8Num3z0"/>
    <w:qFormat/>
    <w:rsid w:val="00b96d5c"/>
    <w:rPr>
      <w:b/>
    </w:rPr>
  </w:style>
  <w:style w:type="character" w:styleId="WW8Num4z0" w:customStyle="1">
    <w:name w:val="WW8Num4z0"/>
    <w:qFormat/>
    <w:rsid w:val="00b96d5c"/>
    <w:rPr>
      <w:rFonts w:ascii="Times New Roman" w:hAnsi="Times New Roman" w:eastAsia="Times New Roman" w:cs="Times New Roman"/>
    </w:rPr>
  </w:style>
  <w:style w:type="character" w:styleId="WW8Num4z1" w:customStyle="1">
    <w:name w:val="WW8Num4z1"/>
    <w:qFormat/>
    <w:rsid w:val="00b96d5c"/>
    <w:rPr>
      <w:rFonts w:ascii="Courier New" w:hAnsi="Courier New"/>
    </w:rPr>
  </w:style>
  <w:style w:type="character" w:styleId="WW8Num4z2" w:customStyle="1">
    <w:name w:val="WW8Num4z2"/>
    <w:qFormat/>
    <w:rsid w:val="00b96d5c"/>
    <w:rPr>
      <w:rFonts w:ascii="Wingdings" w:hAnsi="Wingdings"/>
    </w:rPr>
  </w:style>
  <w:style w:type="character" w:styleId="WW8Num4z3" w:customStyle="1">
    <w:name w:val="WW8Num4z3"/>
    <w:qFormat/>
    <w:rsid w:val="00b96d5c"/>
    <w:rPr>
      <w:rFonts w:ascii="Symbol" w:hAnsi="Symbol"/>
    </w:rPr>
  </w:style>
  <w:style w:type="character" w:styleId="WW8Num5z0" w:customStyle="1">
    <w:name w:val="WW8Num5z0"/>
    <w:qFormat/>
    <w:rsid w:val="00b96d5c"/>
    <w:rPr>
      <w:rFonts w:ascii="Times New Roman" w:hAnsi="Times New Roman"/>
      <w:b/>
    </w:rPr>
  </w:style>
  <w:style w:type="character" w:styleId="WW8Num6z0" w:customStyle="1">
    <w:name w:val="WW8Num6z0"/>
    <w:qFormat/>
    <w:rsid w:val="00b96d5c"/>
    <w:rPr>
      <w:b/>
    </w:rPr>
  </w:style>
  <w:style w:type="character" w:styleId="WW8Num7z0" w:customStyle="1">
    <w:name w:val="WW8Num7z0"/>
    <w:qFormat/>
    <w:rsid w:val="00b96d5c"/>
    <w:rPr>
      <w:b/>
    </w:rPr>
  </w:style>
  <w:style w:type="character" w:styleId="Marcadores">
    <w:name w:val="Marcadores"/>
    <w:qFormat/>
    <w:rPr>
      <w:rFonts w:ascii="OpenSymbol" w:hAnsi="OpenSymbol" w:eastAsia="OpenSymbol" w:cs="OpenSymbol"/>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widowControl w:val="false"/>
      <w:suppressAutoHyphens w:val="true"/>
      <w:jc w:val="both"/>
    </w:pPr>
    <w:rPr>
      <w:rFonts w:ascii="Times New Roman" w:hAnsi="Times New Roman" w:cs="Times New Roman"/>
      <w:sz w:val="28"/>
    </w:rPr>
  </w:style>
  <w:style w:type="paragraph" w:styleId="Lista">
    <w:name w:val="List"/>
    <w:basedOn w:val="Corpodotexto"/>
    <w:pPr/>
    <w:rPr>
      <w:rFonts w:cs="Tahoma"/>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Tahoma"/>
    </w:rPr>
  </w:style>
  <w:style w:type="paragraph" w:styleId="Ttulo31" w:customStyle="1">
    <w:name w:val="Título3"/>
    <w:basedOn w:val="Normal"/>
    <w:next w:val="Corpodotexto"/>
    <w:qFormat/>
    <w:pPr>
      <w:keepNext w:val="true"/>
      <w:spacing w:before="240" w:after="120"/>
    </w:pPr>
    <w:rPr>
      <w:rFonts w:ascii="Liberation Sans" w:hAnsi="Liberation Sans" w:eastAsia="Microsoft YaHei" w:cs="Mangal"/>
      <w:sz w:val="28"/>
      <w:szCs w:val="28"/>
    </w:rPr>
  </w:style>
  <w:style w:type="paragraph" w:styleId="Caption1">
    <w:name w:val="caption1"/>
    <w:basedOn w:val="Normal"/>
    <w:qFormat/>
    <w:pPr>
      <w:suppressLineNumbers/>
      <w:spacing w:before="120" w:after="120"/>
    </w:pPr>
    <w:rPr>
      <w:rFonts w:cs="Mangal"/>
      <w:i/>
      <w:iCs/>
      <w:sz w:val="24"/>
      <w:szCs w:val="24"/>
    </w:rPr>
  </w:style>
  <w:style w:type="paragraph" w:styleId="Ttulo21" w:customStyle="1">
    <w:name w:val="Título2"/>
    <w:basedOn w:val="Normal"/>
    <w:next w:val="Corpodotexto"/>
    <w:qFormat/>
    <w:pPr>
      <w:keepNext w:val="true"/>
      <w:spacing w:before="240" w:after="120"/>
    </w:pPr>
    <w:rPr>
      <w:rFonts w:eastAsia="Lucida Sans Unicode"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11" w:customStyle="1">
    <w:name w:val="Título1"/>
    <w:basedOn w:val="Normal"/>
    <w:next w:val="Corpodotexto"/>
    <w:qFormat/>
    <w:pPr>
      <w:keepNext w:val="true"/>
      <w:spacing w:before="240" w:after="120"/>
    </w:pPr>
    <w:rPr>
      <w:rFonts w:eastAsia="Lucida Sans Unicode" w:cs="Tahoma"/>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Captulo" w:customStyle="1">
    <w:name w:val="Capítulo"/>
    <w:basedOn w:val="Normal"/>
    <w:next w:val="Corpodotexto"/>
    <w:qFormat/>
    <w:pPr>
      <w:keepNext w:val="true"/>
      <w:spacing w:before="240" w:after="120"/>
    </w:pPr>
    <w:rPr>
      <w:rFonts w:eastAsia="Lucida Sans Unicode" w:cs="Tahoma"/>
      <w:sz w:val="28"/>
      <w:szCs w:val="28"/>
    </w:rPr>
  </w:style>
  <w:style w:type="paragraph" w:styleId="Legenda1" w:customStyle="1">
    <w:name w:val="Legenda1"/>
    <w:basedOn w:val="Normal"/>
    <w:qFormat/>
    <w:pPr>
      <w:suppressLineNumbers/>
      <w:spacing w:before="120" w:after="120"/>
    </w:pPr>
    <w:rPr>
      <w:rFonts w:cs="Tahoma"/>
      <w:i/>
      <w:iCs/>
      <w:sz w:val="24"/>
      <w:szCs w:val="24"/>
    </w:rPr>
  </w:style>
  <w:style w:type="paragraph" w:styleId="Subttulo">
    <w:name w:val="Subtitle"/>
    <w:basedOn w:val="Captulo"/>
    <w:next w:val="Corpodotexto"/>
    <w:qFormat/>
    <w:pPr>
      <w:jc w:val="center"/>
    </w:pPr>
    <w:rPr>
      <w:i/>
      <w:iCs/>
    </w:rPr>
  </w:style>
  <w:style w:type="paragraph" w:styleId="CabealhoeRodap">
    <w:name w:val="Cabeçalho e Rodapé"/>
    <w:basedOn w:val="Normal"/>
    <w:qFormat/>
    <w:pPr/>
    <w:rPr/>
  </w:style>
  <w:style w:type="paragraph" w:styleId="Rodap">
    <w:name w:val="Footer"/>
    <w:basedOn w:val="Normal"/>
    <w:link w:val="RodapChar"/>
    <w:uiPriority w:val="99"/>
    <w:pPr>
      <w:tabs>
        <w:tab w:val="clear" w:pos="708"/>
        <w:tab w:val="center" w:pos="4419" w:leader="none"/>
        <w:tab w:val="right" w:pos="8838" w:leader="none"/>
      </w:tabs>
    </w:pPr>
    <w:rPr/>
  </w:style>
  <w:style w:type="paragraph" w:styleId="Cabealho">
    <w:name w:val="Header"/>
    <w:basedOn w:val="Normal"/>
    <w:pPr>
      <w:tabs>
        <w:tab w:val="clear" w:pos="708"/>
        <w:tab w:val="center" w:pos="4419" w:leader="none"/>
        <w:tab w:val="right" w:pos="8838" w:leader="none"/>
      </w:tabs>
    </w:pPr>
    <w:rPr/>
  </w:style>
  <w:style w:type="paragraph" w:styleId="JE1" w:customStyle="1">
    <w:name w:val="JE1"/>
    <w:basedOn w:val="Ttulo1"/>
    <w:qFormat/>
    <w:pPr>
      <w:suppressAutoHyphens w:val="true"/>
      <w:jc w:val="center"/>
    </w:pPr>
    <w:rPr/>
  </w:style>
  <w:style w:type="paragraph" w:styleId="Corpodotextorecuado">
    <w:name w:val="Body Text Indent"/>
    <w:basedOn w:val="Normal"/>
    <w:pPr>
      <w:suppressAutoHyphens w:val="true"/>
      <w:ind w:left="2410" w:hanging="0"/>
      <w:jc w:val="both"/>
    </w:pPr>
    <w:rPr>
      <w:b/>
      <w:sz w:val="24"/>
    </w:rPr>
  </w:style>
  <w:style w:type="paragraph" w:styleId="Notaderodap">
    <w:name w:val="Footnote Text"/>
    <w:basedOn w:val="Normal"/>
    <w:pPr>
      <w:suppressAutoHyphens w:val="true"/>
    </w:pPr>
    <w:rPr>
      <w:rFonts w:ascii="Times New Roman" w:hAnsi="Times New Roman" w:cs="Times New Roman"/>
      <w:sz w:val="20"/>
    </w:rPr>
  </w:style>
  <w:style w:type="paragraph" w:styleId="Corpodetexto21" w:customStyle="1">
    <w:name w:val="Corpo de texto 21"/>
    <w:basedOn w:val="Normal"/>
    <w:qFormat/>
    <w:pPr>
      <w:jc w:val="both"/>
    </w:pPr>
    <w:rPr/>
  </w:style>
  <w:style w:type="paragraph" w:styleId="Contedodetabela" w:customStyle="1">
    <w:name w:val="Conteúdo de tabela"/>
    <w:basedOn w:val="Normal"/>
    <w:qFormat/>
    <w:pPr>
      <w:suppressLineNumbers/>
    </w:pPr>
    <w:rPr/>
  </w:style>
  <w:style w:type="paragraph" w:styleId="Contedodatabela" w:customStyle="1">
    <w:name w:val="Conteúdo da tabela"/>
    <w:basedOn w:val="Normal"/>
    <w:qFormat/>
    <w:pPr>
      <w:suppressLineNumbers/>
    </w:pPr>
    <w:rPr/>
  </w:style>
  <w:style w:type="paragraph" w:styleId="Ttulodetabela" w:customStyle="1">
    <w:name w:val="Título de tabela"/>
    <w:basedOn w:val="Contedodetabela"/>
    <w:qFormat/>
    <w:pPr>
      <w:jc w:val="center"/>
    </w:pPr>
    <w:rPr>
      <w:b/>
      <w:bCs/>
    </w:rPr>
  </w:style>
  <w:style w:type="paragraph" w:styleId="Contedodequadro" w:customStyle="1">
    <w:name w:val="Conteúdo de quadro"/>
    <w:basedOn w:val="Corpodotexto"/>
    <w:qFormat/>
    <w:pPr/>
    <w:rPr/>
  </w:style>
  <w:style w:type="paragraph" w:styleId="Ttulodatabela" w:customStyle="1">
    <w:name w:val="Título da tabela"/>
    <w:basedOn w:val="Contedodatabela"/>
    <w:qFormat/>
    <w:pPr>
      <w:jc w:val="center"/>
    </w:pPr>
    <w:rPr>
      <w:b/>
      <w:bCs/>
    </w:rPr>
  </w:style>
  <w:style w:type="paragraph" w:styleId="Contedodoquadro" w:customStyle="1">
    <w:name w:val="Conteúdo do quadro"/>
    <w:basedOn w:val="Corpodotexto"/>
    <w:qFormat/>
    <w:pPr/>
    <w:rPr/>
  </w:style>
  <w:style w:type="paragraph" w:styleId="BalloonText">
    <w:name w:val="Balloon Text"/>
    <w:basedOn w:val="Normal"/>
    <w:link w:val="TextodebaloChar"/>
    <w:unhideWhenUsed/>
    <w:qFormat/>
    <w:rsid w:val="00c90f73"/>
    <w:pPr/>
    <w:rPr>
      <w:rFonts w:ascii="Segoe UI" w:hAnsi="Segoe UI" w:cs="Segoe UI"/>
      <w:sz w:val="18"/>
      <w:szCs w:val="18"/>
    </w:rPr>
  </w:style>
  <w:style w:type="paragraph" w:styleId="Textoembloco1" w:customStyle="1">
    <w:name w:val="Texto em bloco1"/>
    <w:basedOn w:val="Normal"/>
    <w:qFormat/>
    <w:rsid w:val="00b96d5c"/>
    <w:pPr>
      <w:ind w:left="4253" w:right="57" w:firstLine="1134"/>
      <w:jc w:val="both"/>
    </w:pPr>
    <w:rPr>
      <w:rFonts w:cs="Times New Roman"/>
      <w:i/>
      <w:spacing w:val="14"/>
    </w:rPr>
  </w:style>
  <w:style w:type="paragraph" w:styleId="Texto2" w:customStyle="1">
    <w:name w:val="texto2"/>
    <w:basedOn w:val="Normal"/>
    <w:qFormat/>
    <w:rsid w:val="00b96d5c"/>
    <w:pPr>
      <w:spacing w:beforeAutospacing="1" w:afterAutospacing="1"/>
    </w:pPr>
    <w:rPr>
      <w:rFonts w:ascii="Times New Roman" w:hAnsi="Times New Roman" w:cs="Times New Roman"/>
      <w:sz w:val="24"/>
      <w:szCs w:val="24"/>
      <w:lang w:eastAsia="pt-BR"/>
    </w:rPr>
  </w:style>
  <w:style w:type="paragraph" w:styleId="04partenormativa" w:customStyle="1">
    <w:name w:val="04partenormativa"/>
    <w:basedOn w:val="Normal"/>
    <w:qFormat/>
    <w:rsid w:val="00b96d5c"/>
    <w:pPr>
      <w:spacing w:beforeAutospacing="1" w:afterAutospacing="1"/>
    </w:pPr>
    <w:rPr>
      <w:rFonts w:ascii="Times New Roman" w:hAnsi="Times New Roman" w:cs="Times New Roman"/>
      <w:sz w:val="24"/>
      <w:szCs w:val="24"/>
      <w:lang w:eastAsia="pt-BR"/>
    </w:rPr>
  </w:style>
  <w:style w:type="paragraph" w:styleId="ListParagraph">
    <w:name w:val="List Paragraph"/>
    <w:basedOn w:val="Normal"/>
    <w:uiPriority w:val="34"/>
    <w:qFormat/>
    <w:rsid w:val="00e07291"/>
    <w:pPr>
      <w:spacing w:before="0" w:after="0"/>
      <w:ind w:left="720" w:hanging="0"/>
      <w:contextualSpacing/>
    </w:pPr>
    <w:rPr/>
  </w:style>
  <w:style w:type="paragraph" w:styleId="NormalWeb">
    <w:name w:val="Normal (Web)"/>
    <w:basedOn w:val="Normal"/>
    <w:uiPriority w:val="99"/>
    <w:unhideWhenUsed/>
    <w:qFormat/>
    <w:rsid w:val="005e4757"/>
    <w:pPr>
      <w:spacing w:beforeAutospacing="1" w:afterAutospacing="1"/>
    </w:pPr>
    <w:rPr>
      <w:rFonts w:ascii="Times New Roman" w:hAnsi="Times New Roman" w:cs="Times New Roman"/>
      <w:sz w:val="24"/>
      <w:szCs w:val="24"/>
      <w:lang w:eastAsia="pt-B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rsid w:val="00b96d5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certidoes-apf.apps.tcu.gov.br/" TargetMode="External"/><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6FF18-1775-4C2D-8FDD-3708F09F0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Application>LibreOffice/7.5.3.2$Windows_X86_64 LibreOffice_project/9f56dff12ba03b9acd7730a5a481eea045e468f3</Application>
  <AppVersion>15.0000</AppVersion>
  <Pages>5</Pages>
  <Words>1509</Words>
  <Characters>8524</Characters>
  <CharactersWithSpaces>9972</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2022-10-06T14:51:00Z</dcterms:created>
  <dc:creator>Marcia Bello</dc:creator>
  <dc:description/>
  <dc:language>pt-BR</dc:language>
  <cp:lastModifiedBy/>
  <dcterms:modified xsi:type="dcterms:W3CDTF">2025-02-07T11:39:46Z</dcterms:modified>
  <cp:revision>22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