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center"/>
        <w:rPr>
          <w:rFonts w:ascii="Arial" w:hAnsi="Arial"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ESTUDO TÉCNICO PRELIMINAR</w:t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PROCESSO ADMINISTRATIVO Nº 009/202</w:t>
      </w:r>
      <w:r>
        <w:rPr>
          <w:b/>
          <w:bCs/>
          <w:color w:val="auto"/>
          <w:sz w:val="22"/>
          <w:szCs w:val="22"/>
        </w:rPr>
        <w:t>5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Município de Giruá – RS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Secretaria Municipal de </w:t>
      </w:r>
      <w:r>
        <w:rPr>
          <w:rFonts w:eastAsia="Times New Roman" w:cs="Arial"/>
          <w:b/>
          <w:bCs/>
          <w:color w:val="auto"/>
          <w:kern w:val="0"/>
          <w:sz w:val="22"/>
          <w:szCs w:val="22"/>
          <w:lang w:val="pt-BR" w:eastAsia="zh-CN" w:bidi="ar-SA"/>
        </w:rPr>
        <w:t xml:space="preserve">Planejamento Econômico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Necessidade da Administração: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Contratação de empresa para locação de Extintores e venda de suportes e placas de identificação PPCI.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1. DESCRIÇÃO DA NECESSIDADE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O objeto da presente contratação é a contratação de empresa para locação de extintores, e o fornecimento de suportes e placas de PPCI, ratificamos a importância da contratação bem como a sua emergência, uma vez que no ano de 2025 esta ingressando uma nova gestão administrativa, e no mês de MARÇO já ocorre a ExpoGiruá sendo ela o maior evento do município de Giruá, informamos que já existe um processo de licitação em vigor, contudo, em virtude dos prazos, não haverá tempo hábil para contratação e fornecimento dos materiais, dito isso, o município de Giruá não pode se eximir a sua responsabilidade com a segurança dos espaços públicos, diante do exposto viemos solicitar a contratação no formato emergencial. </w:t>
      </w:r>
    </w:p>
    <w:p>
      <w:pPr>
        <w:pStyle w:val="Normal"/>
        <w:spacing w:lineRule="auto" w:line="360" w:beforeAutospacing="0" w:before="0" w:afterAutospacing="0" w:after="0"/>
        <w:jc w:val="both"/>
        <w:rPr>
          <w:rFonts w:ascii="Arial" w:hAnsi="Arial"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</w:pP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2. ALINHAMENTO ENTRE A CONTRATAÇÃO E O PLANEJAMENTO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contratação pretendida está prevista no Plano de Contratações Anual do Município de Giruá,</w:t>
      </w:r>
      <w:r>
        <w:rPr>
          <w:strike w:val="false"/>
          <w:dstrike w:val="false"/>
          <w:color w:val="auto"/>
          <w:sz w:val="22"/>
          <w:szCs w:val="22"/>
        </w:rPr>
        <w:t xml:space="preserve"> </w:t>
      </w:r>
      <w:r>
        <w:rPr>
          <w:b/>
          <w:bCs/>
          <w:strike w:val="false"/>
          <w:dstrike w:val="false"/>
          <w:color w:val="auto"/>
          <w:sz w:val="22"/>
          <w:szCs w:val="22"/>
        </w:rPr>
        <w:t xml:space="preserve">como se vê no item Nº 56247, 56248, 56165 e 57089 </w:t>
      </w:r>
      <w:r>
        <w:rPr>
          <w:b w:val="false"/>
          <w:bCs w:val="false"/>
          <w:strike w:val="false"/>
          <w:dstrike w:val="false"/>
          <w:color w:val="auto"/>
          <w:sz w:val="22"/>
          <w:szCs w:val="22"/>
        </w:rPr>
        <w:t>daquele documento,</w:t>
      </w:r>
      <w:r>
        <w:rPr>
          <w:b w:val="false"/>
          <w:bCs w:val="false"/>
          <w:color w:val="auto"/>
          <w:sz w:val="22"/>
          <w:szCs w:val="22"/>
        </w:rPr>
        <w:t xml:space="preserve"> e</w:t>
      </w:r>
      <w:r>
        <w:rPr>
          <w:color w:val="auto"/>
          <w:sz w:val="22"/>
          <w:szCs w:val="22"/>
        </w:rPr>
        <w:t xml:space="preserve">stando assim alinhada com o planejamento desta Administração.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highlight w:val="yellow"/>
        </w:rPr>
      </w:pPr>
      <w:r>
        <w:rPr>
          <w:color w:val="auto"/>
          <w:sz w:val="22"/>
          <w:szCs w:val="22"/>
          <w:highlight w:val="yellow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3. DESCRIÇÃO DOS REQUISITOS DA CONTRATAÇÃO</w:t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 xml:space="preserve">A solução proposta é a contratação de empresa para locação de extintores e o fornecimento de suportes e placas de PPCI, conforme as seguintes especificações/condições: </w:t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>Serão alugados a quantia de 40 extintores do tipo ABC 4KG;</w:t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>S</w:t>
      </w:r>
      <w:r>
        <w:rPr>
          <w:color w:val="auto"/>
          <w:sz w:val="22"/>
          <w:szCs w:val="22"/>
          <w:lang w:val="pt-BR"/>
        </w:rPr>
        <w:t>uporte de parede para extintor do tipo L;</w:t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>Suporte de chão no formato TRIPÉ e em METAL para extintores do tipo “ABC 4KG”; sendo tamanho mínimo de 25 cm e máximo de 40 cm de altura;</w:t>
      </w:r>
    </w:p>
    <w:p>
      <w:pPr>
        <w:pStyle w:val="Normal"/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color w:val="000000"/>
          <w:sz w:val="22"/>
          <w:szCs w:val="22"/>
          <w:shd w:fill="auto" w:val="clear"/>
          <w:lang w:val="pt-BR"/>
        </w:rPr>
        <w:tab/>
        <w:t>Placas de PPCI autocolante de Identificação de Extintor e sua tipologia, Proibido Fumar e de placas de Direcionamento, conforme padronização dos bombeiros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,</w:t>
      </w:r>
      <w:r>
        <w:rPr>
          <w:color w:val="000000"/>
          <w:sz w:val="22"/>
          <w:szCs w:val="22"/>
          <w:shd w:fill="auto" w:val="clear"/>
          <w:lang w:val="pt-BR"/>
        </w:rPr>
        <w:t xml:space="preserve"> o qual já teve sua importância destacada no tópico precedente.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 xml:space="preserve">A vigência, a contar da assinatura do instrumento contratual, deverá ser pelo prazo de </w:t>
      </w:r>
      <w:r>
        <w:rPr>
          <w:color w:val="auto"/>
          <w:sz w:val="22"/>
          <w:szCs w:val="22"/>
          <w:lang w:val="pt-BR"/>
        </w:rPr>
        <w:t>60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 dias</w:t>
      </w:r>
      <w:r>
        <w:rPr>
          <w:color w:val="auto"/>
          <w:sz w:val="22"/>
          <w:szCs w:val="22"/>
          <w:lang w:val="pt-BR"/>
        </w:rPr>
        <w:t xml:space="preserve">, podendo ser prorrogado por período igual e sucessivamente, mediante termos aditivos conforme a Lei nº 14.133/2021.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>O prazo de</w:t>
      </w:r>
      <w:r>
        <w:rPr>
          <w:color w:val="000000"/>
          <w:sz w:val="22"/>
          <w:szCs w:val="22"/>
          <w:shd w:fill="auto" w:val="clear"/>
          <w:lang w:val="pt-BR"/>
        </w:rPr>
        <w:t xml:space="preserve"> garantia </w:t>
      </w:r>
      <w:r>
        <w:rPr>
          <w:color w:val="auto"/>
          <w:sz w:val="22"/>
          <w:szCs w:val="22"/>
          <w:lang w:val="pt-BR"/>
        </w:rPr>
        <w:t>dos itens será de no mínimo durante o evento de locação dos itens</w:t>
      </w:r>
      <w:r>
        <w:rPr>
          <w:color w:val="000000"/>
          <w:sz w:val="22"/>
          <w:szCs w:val="22"/>
          <w:shd w:fill="auto" w:val="clear"/>
          <w:lang w:val="pt-BR"/>
        </w:rPr>
        <w:t xml:space="preserve"> haja vista a </w:t>
      </w:r>
      <w:r>
        <w:rPr>
          <w:rFonts w:cs="Arial"/>
          <w:color w:val="000000"/>
          <w:sz w:val="22"/>
          <w:szCs w:val="22"/>
          <w:shd w:fill="auto" w:val="clear"/>
          <w:lang w:val="pt-BR" w:eastAsia="zh-CN"/>
        </w:rPr>
        <w:t>possibilidade</w:t>
      </w:r>
      <w:r>
        <w:rPr>
          <w:color w:val="000000"/>
          <w:sz w:val="22"/>
          <w:szCs w:val="22"/>
          <w:shd w:fill="auto" w:val="clear"/>
          <w:lang w:val="pt-BR"/>
        </w:rPr>
        <w:t xml:space="preserve"> de apresentação de defeitos de fábrica (redibitórios) serem revelados durante o uso; portanto, tal exigência visa assegurar </w:t>
      </w:r>
      <w:r>
        <w:rPr>
          <w:rFonts w:cs="Arial"/>
          <w:color w:val="000000"/>
          <w:sz w:val="22"/>
          <w:szCs w:val="22"/>
          <w:shd w:fill="auto" w:val="clear"/>
          <w:lang w:val="pt-BR" w:eastAsia="zh-CN"/>
        </w:rPr>
        <w:t>o produto</w:t>
      </w:r>
      <w:r>
        <w:rPr>
          <w:color w:val="000000"/>
          <w:sz w:val="22"/>
          <w:szCs w:val="22"/>
          <w:shd w:fill="auto" w:val="clear"/>
          <w:lang w:val="pt-BR"/>
        </w:rPr>
        <w:t xml:space="preserve"> dos riscos inerentes à compra. </w:t>
      </w:r>
    </w:p>
    <w:p>
      <w:pPr>
        <w:pStyle w:val="BodyText"/>
        <w:widowControl w:val="false"/>
        <w:suppressAutoHyphens w:val="true"/>
        <w:bidi w:val="0"/>
        <w:spacing w:lineRule="auto" w:line="360" w:before="0" w:after="0"/>
        <w:ind w:firstLine="737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A empresa contratada será responsável pela entrega d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os itens que deverá ser feita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 xml:space="preserve"> no prazo de 5 dias diretamente no Parque de Exposições Olmiro Calais</w:t>
      </w:r>
    </w:p>
    <w:p>
      <w:pPr>
        <w:pStyle w:val="BodyText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 xml:space="preserve">O responsável pela fiscalização do Contrato será o servidor designado da Secretaria requisitante que fará o acompanhamento da 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entrega.</w:t>
      </w:r>
    </w:p>
    <w:p>
      <w:pPr>
        <w:pStyle w:val="BodyText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ab/>
        <w:t xml:space="preserve">A gestão e a fiscalização do objeto contratado serão realizadas conforme o disposto na 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 xml:space="preserve">Portaria nº </w:t>
      </w:r>
      <w:r>
        <w:rPr>
          <w:rFonts w:eastAsia="Arial" w:cs="Arial" w:ascii="Arial" w:hAnsi="Arial"/>
          <w:b/>
          <w:bCs/>
          <w:color w:val="000000"/>
          <w:spacing w:val="0"/>
          <w:kern w:val="0"/>
          <w:sz w:val="22"/>
          <w:szCs w:val="22"/>
          <w:shd w:fill="auto" w:val="clear"/>
          <w:lang w:val="pt-BR" w:eastAsia="zh-CN" w:bidi="ar-SA"/>
        </w:rPr>
        <w:t>22.981/2025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>,</w:t>
      </w: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 xml:space="preserve"> q</w:t>
      </w:r>
      <w:r>
        <w:rPr>
          <w:rFonts w:eastAsia="Arial" w:cs="Arial" w:ascii="Arial" w:hAnsi="Arial"/>
          <w:color w:val="000000"/>
          <w:spacing w:val="0"/>
          <w:sz w:val="22"/>
          <w:szCs w:val="22"/>
          <w:shd w:fill="auto" w:val="clear"/>
        </w:rPr>
        <w:t>ue “Designa Fiscais de contrato, para acompanhar e fiscalizar a execução do(s) Contrato(s) celebrado(s) entre o MUNICÍPIO DE GIRUÁ e a empresas contratadas, de acordo com cada Secretaria municipal, onde está lotado o servidor, a qual passa a vigorar conforme segue”, nos termos do Art. 92, XVIII, da Lei Federal nº 14.133/2021.</w:t>
      </w:r>
    </w:p>
    <w:p>
      <w:pPr>
        <w:pStyle w:val="BodyText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 xml:space="preserve">Os </w:t>
      </w:r>
      <w:r>
        <w:rPr>
          <w:rFonts w:eastAsia="Times New Roman" w:cs="Times New Roman" w:ascii="Arial" w:hAnsi="Arial"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itens </w:t>
      </w:r>
      <w:r>
        <w:rPr>
          <w:rFonts w:ascii="Arial" w:hAnsi="Arial"/>
          <w:color w:val="000000"/>
          <w:sz w:val="22"/>
          <w:szCs w:val="22"/>
          <w:shd w:fill="auto" w:val="clear"/>
        </w:rPr>
        <w:t>deverão ser os mesmos indicados na proposta apresentada pela vencedora, sob pena de aplicação das penalidades previstas.</w:t>
      </w:r>
    </w:p>
    <w:p>
      <w:pPr>
        <w:pStyle w:val="BodyText"/>
        <w:widowControl/>
        <w:bidi w:val="0"/>
        <w:spacing w:lineRule="auto" w:line="360" w:before="0" w:after="0"/>
        <w:ind w:firstLine="737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  <w:lang w:val="pt-BR"/>
        </w:rPr>
        <w:t>Verificada a desconformidade de algum dos materiais pelo servidor designado, o licitante vencedor deverá promover as correções necessárias no prazo máximo de 24h, sujeitando-se às penalidades previstas no instrumento contratual.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000000"/>
          <w:sz w:val="22"/>
          <w:szCs w:val="22"/>
          <w:shd w:fill="auto" w:val="clear"/>
        </w:rPr>
        <w:tab/>
        <w:t xml:space="preserve">Os </w:t>
      </w:r>
      <w:r>
        <w:rPr>
          <w:b/>
          <w:bCs/>
          <w:color w:val="000000"/>
          <w:sz w:val="22"/>
          <w:szCs w:val="22"/>
          <w:shd w:fill="auto" w:val="clear"/>
        </w:rPr>
        <w:t>requisitos de contratação estarão presentes no Termo de Referência</w:t>
      </w:r>
      <w:r>
        <w:rPr>
          <w:color w:val="000000"/>
          <w:sz w:val="22"/>
          <w:szCs w:val="22"/>
          <w:shd w:fill="auto" w:val="clear"/>
        </w:rPr>
        <w:t xml:space="preserve"> da presente contratação, onde constam descritos os </w:t>
      </w:r>
      <w:r>
        <w:rPr>
          <w:b/>
          <w:bCs/>
          <w:color w:val="000000"/>
          <w:sz w:val="22"/>
          <w:szCs w:val="22"/>
          <w:shd w:fill="auto" w:val="clear"/>
        </w:rPr>
        <w:t>requisitos de habilitação mínimos</w:t>
      </w:r>
      <w:r>
        <w:rPr>
          <w:color w:val="000000"/>
          <w:sz w:val="22"/>
          <w:szCs w:val="22"/>
          <w:shd w:fill="auto" w:val="clear"/>
        </w:rPr>
        <w:t>, nos termos do Artigo 62 e seguintes da Lei N° 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  <w:tab/>
        <w:t>Os bens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 e </w:t>
      </w:r>
      <w:r>
        <w:rPr>
          <w:b w:val="false"/>
          <w:bCs w:val="false"/>
          <w:color w:val="auto"/>
          <w:sz w:val="22"/>
          <w:szCs w:val="22"/>
        </w:rPr>
        <w:t>serviços têm natureza de bens e serviços comuns, tendo em vista que seus padrões de desempenho e qualidade podem ser objetivamente definidos, por meio de especificações usuais de mercado, nos termos do art. 6º, inciso XIII, da Lei Federal nº 14.133/2021.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b w:val="false"/>
          <w:bCs w:val="false"/>
          <w:color w:val="auto"/>
          <w:sz w:val="22"/>
          <w:szCs w:val="22"/>
        </w:rPr>
        <w:tab/>
        <w:t xml:space="preserve">A contratação será realizada diretamente por meio de </w:t>
      </w:r>
      <w:r>
        <w:rPr>
          <w:b/>
          <w:bCs/>
          <w:color w:val="auto"/>
          <w:sz w:val="22"/>
          <w:szCs w:val="22"/>
        </w:rPr>
        <w:t>dispensa de licitação</w:t>
      </w:r>
      <w:r>
        <w:rPr>
          <w:b w:val="false"/>
          <w:bCs w:val="false"/>
          <w:color w:val="auto"/>
          <w:sz w:val="22"/>
          <w:szCs w:val="22"/>
        </w:rPr>
        <w:t xml:space="preserve">,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com arrimo no art. 72 e seguintes da Lei n° 14.133/2021</w:t>
      </w:r>
      <w:r>
        <w:rPr>
          <w:b w:val="false"/>
          <w:bCs w:val="false"/>
          <w:color w:val="auto"/>
          <w:sz w:val="22"/>
          <w:szCs w:val="22"/>
        </w:rPr>
        <w:t>, com critério de julgamento por menor preço, nos termos do art. 34 da Lei nº 14.133/2021.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Para a aquisição dos bens </w:t>
      </w:r>
      <w:r>
        <w:rPr>
          <w:color w:val="000000"/>
          <w:sz w:val="22"/>
          <w:szCs w:val="22"/>
          <w:shd w:fill="auto" w:val="clear"/>
        </w:rPr>
        <w:t xml:space="preserve">e a </w:t>
      </w:r>
      <w:r>
        <w:rPr>
          <w:color w:val="auto"/>
          <w:sz w:val="22"/>
          <w:szCs w:val="22"/>
        </w:rPr>
        <w:t>prestação dos serviços pretendidos os eventuais interessados deverão comprovar que atuam em ramo de atividade compatível com o objeto da licitação, bem como apresentar os documentos a título habilitação, nos termos do art. 62, da Lei nº 14.133/2021.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4. ESTIMATIVA DAS QUANTIDADES</w:t>
      </w:r>
    </w:p>
    <w:p>
      <w:pPr>
        <w:pStyle w:val="Normal"/>
        <w:spacing w:lineRule="auto" w:line="360"/>
        <w:jc w:val="both"/>
        <w:rPr>
          <w:rFonts w:ascii="Arial" w:hAnsi="Arial"/>
          <w:b w:val="false"/>
          <w:bCs w:val="false"/>
          <w:strike w:val="false"/>
          <w:dstrike w:val="false"/>
          <w:color w:val="000000"/>
          <w:sz w:val="22"/>
          <w:szCs w:val="22"/>
          <w:highlight w:val="yellow"/>
          <w:shd w:fill="FFFF00" w:val="clear"/>
        </w:rPr>
      </w:pPr>
      <w:r>
        <w:rPr>
          <w:b w:val="false"/>
          <w:bCs w:val="false"/>
          <w:strike w:val="false"/>
          <w:dstrike w:val="false"/>
          <w:color w:val="000000"/>
          <w:sz w:val="22"/>
          <w:szCs w:val="22"/>
          <w:highlight w:val="yellow"/>
          <w:shd w:fill="FFFF00" w:val="clear"/>
        </w:rPr>
      </w:r>
    </w:p>
    <w:p>
      <w:pPr>
        <w:pStyle w:val="Normal"/>
        <w:spacing w:lineRule="auto" w:line="360"/>
        <w:jc w:val="both"/>
        <w:rPr/>
      </w:pPr>
      <w:r>
        <w:rPr>
          <w:b w:val="false"/>
          <w:bCs w:val="false"/>
          <w:strike w:val="false"/>
          <w:dstrike w:val="false"/>
          <w:color w:val="000000"/>
          <w:sz w:val="22"/>
          <w:szCs w:val="22"/>
          <w:shd w:fill="auto" w:val="clear"/>
        </w:rPr>
        <w:tab/>
      </w:r>
      <w:r>
        <w:rPr>
          <w:color w:val="auto"/>
          <w:sz w:val="22"/>
          <w:szCs w:val="22"/>
        </w:rPr>
        <w:t>Não há parâmetro para esta contratação, em razão desta Administração não haver licitado o objeto até o momento, e tendo em vista que se  trata de uma contratação emeregencial a fim de atender um fato especifico.</w:t>
      </w:r>
    </w:p>
    <w:p>
      <w:pPr>
        <w:pStyle w:val="Normal"/>
        <w:spacing w:lineRule="auto" w:line="36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5. ALTERNATIVAS DISPONÍVEIS NO MERCADO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Conforme pesquisa de mercado realizada, para solução da necessidade administrativa, objeto do presente Estudo Técnico Preliminar, vislumbra-se possível, sob o aspecto técnico e econômico, a contratação de empresas especializadas em locação de extintores e fornecimento de PPCI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Neste sentido, segue indicação de potenciais fornecedores e prestadores de serviços: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NOME E CNPJ LCS Schns LTDA – 50.072.221/0001-43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NOME E CNPJ MH Extintores – 52.558.336/0001-78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NOME E CNPJ Comercio de Extintores Santa Rosa – 73.659.104/0001-86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NOME E CNPJ Extinsoldas Maquinas e Ferramentas LTDA – 90.150.376/0001-75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NOME E CNPJ – Hidromex Com. De Maq. e Equip. LTDA – 03.364.679/0001-96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Tais referências foram obtidas por meio de pesquisa local, efetuadas com base no </w:t>
      </w:r>
      <w:r>
        <w:rPr>
          <w:b/>
          <w:bCs/>
          <w:color w:val="auto"/>
          <w:sz w:val="22"/>
          <w:szCs w:val="22"/>
        </w:rPr>
        <w:t>Decreto Municipal nº 1.911/2022</w:t>
      </w:r>
      <w:r>
        <w:rPr>
          <w:color w:val="auto"/>
          <w:sz w:val="22"/>
          <w:szCs w:val="22"/>
        </w:rPr>
        <w:t>, que “</w:t>
      </w:r>
      <w:r>
        <w:rPr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Institui normas para o procedimento administrativo para a realização de </w:t>
      </w:r>
      <w:r>
        <w:rPr>
          <w:color w:val="auto"/>
          <w:sz w:val="22"/>
          <w:szCs w:val="22"/>
        </w:rPr>
        <w:t>pesquisa</w:t>
      </w:r>
      <w:r>
        <w:rPr>
          <w:caps w:val="false"/>
          <w:smallCaps w:val="false"/>
          <w:color w:val="auto"/>
          <w:spacing w:val="0"/>
          <w:sz w:val="22"/>
          <w:szCs w:val="22"/>
        </w:rPr>
        <w:t xml:space="preserve"> </w:t>
      </w:r>
      <w:r>
        <w:rPr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de preços para aquisição de bens e contratação de serviços em geral, no âmbito do Município de Giruá-RS</w:t>
      </w:r>
      <w:r>
        <w:rPr>
          <w:color w:val="auto"/>
          <w:sz w:val="22"/>
          <w:szCs w:val="22"/>
        </w:rPr>
        <w:t>”.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6. ESTIMATIVA DO VALOR DA CONTRATAÇÃO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Estima-se para a contratação almejada o valor total de R$ 4.017,00 (Quatro mil e dezessete reais)</w:t>
      </w:r>
      <w:r>
        <w:rPr>
          <w:color w:val="00000A"/>
          <w:sz w:val="22"/>
          <w:szCs w:val="22"/>
          <w:shd w:fill="auto" w:val="clear"/>
        </w:rPr>
        <w:t>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Vislumbra-se que tal valor é compatível com o praticado pelo mercado correspondente, observando-se o disposto no</w:t>
      </w:r>
      <w:r>
        <w:rPr>
          <w:b/>
          <w:bCs/>
          <w:color w:val="auto"/>
          <w:sz w:val="22"/>
          <w:szCs w:val="22"/>
        </w:rPr>
        <w:t xml:space="preserve"> Decreto Municipal nº </w:t>
      </w:r>
      <w:r>
        <w:rPr>
          <w:rFonts w:cs="Arial"/>
          <w:b/>
          <w:bCs/>
          <w:color w:val="auto"/>
          <w:sz w:val="22"/>
          <w:szCs w:val="22"/>
          <w:lang w:eastAsia="zh-CN"/>
        </w:rPr>
        <w:t>1.911/2022 c/c art. 23 da Lei n° 14.133/2021</w:t>
      </w:r>
      <w:r>
        <w:rPr>
          <w:color w:val="auto"/>
          <w:sz w:val="22"/>
          <w:szCs w:val="22"/>
        </w:rPr>
        <w:t>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7. DESCRIÇÃO DA SOLUÇÃO COMO UM TODO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solução proposta é a contratação de empresa especializada para locação de extintores bem como o fornecimento dos itens de PPCI, conforme a necessidade descrita no item 1, atendendo aos requisitos já expostos no item 3.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8. JUSTIFICATIVA PARA O PARCELAMENTO OU NÃO DA CONTRATAÇÃO</w:t>
      </w:r>
    </w:p>
    <w:p>
      <w:pPr>
        <w:pStyle w:val="Normal"/>
        <w:widowControl/>
        <w:suppressAutoHyphens w:val="true"/>
        <w:bidi w:val="0"/>
        <w:spacing w:lineRule="auto" w:line="360" w:beforeAutospacing="0" w:before="0" w:afterAutospacing="0" w:after="0"/>
        <w:ind w:firstLine="737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Nos termos do art. 40, inciso V, “b”, da Lei Federal nº 14.133/2021, as licitações atenderão ao princípio do parcelamento, quando tecnicamente viável e economicamente vantajoso. </w:t>
      </w:r>
    </w:p>
    <w:p>
      <w:pPr>
        <w:pStyle w:val="Normal"/>
        <w:widowControl/>
        <w:suppressAutoHyphens w:val="true"/>
        <w:bidi w:val="0"/>
        <w:spacing w:lineRule="auto" w:line="360" w:beforeAutospacing="0" w:before="0" w:afterAutospacing="0" w:after="0"/>
        <w:ind w:firstLine="737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Na aplicação deste princípio, o § 2º do mesmo art. 40 estabelece que deverão ser considerados: a viabilidade da divisão do objeto em lotes; o aproveitamento das peculiaridades do mercado local, com vistas à economicidade, sempre que possível, desde que atendidos os parâmetros de qualidade; e o dever de buscar a ampliação da competição e de evitar a concentração de mercado.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</w:rPr>
        <w:tab/>
        <w:t>Em vista disto, o princípio do parcelamento deverá ser aplicado à presente contratação, tendo em vista que não afasta a economia de escala nem afasta eventual vantajosidade da contratação; bem como não há padronização do objeto por ora.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9. RESULTADOS PRETENDIDOS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Pretende-se,</w:t>
      </w:r>
      <w:r>
        <w:rPr>
          <w:strike w:val="false"/>
          <w:dstrike w:val="false"/>
          <w:color w:val="auto"/>
          <w:sz w:val="22"/>
          <w:szCs w:val="22"/>
        </w:rPr>
        <w:t xml:space="preserve"> com a presente contratação direta</w:t>
      </w:r>
      <w:r>
        <w:rPr>
          <w:color w:val="auto"/>
          <w:sz w:val="22"/>
          <w:szCs w:val="22"/>
        </w:rPr>
        <w:t>, assegurar a seleção da proposta apta a gerar a contratação mais vantajosa para o Município, com vistas a atender o interesse público descrito no item 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Almeja-se, igualmente, assegurar tratamento isonômico entre os</w:t>
      </w:r>
      <w:r>
        <w:rPr>
          <w:strike w:val="false"/>
          <w:dstrike w:val="false"/>
          <w:color w:val="auto"/>
          <w:sz w:val="22"/>
          <w:szCs w:val="22"/>
        </w:rPr>
        <w:t xml:space="preserve"> participantes</w:t>
      </w:r>
      <w:r>
        <w:rPr>
          <w:color w:val="auto"/>
          <w:sz w:val="22"/>
          <w:szCs w:val="22"/>
        </w:rPr>
        <w:t>, bem como a justa competição,</w:t>
      </w:r>
      <w:r>
        <w:rPr>
          <w:strike w:val="false"/>
          <w:dstrike w:val="false"/>
          <w:color w:val="auto"/>
          <w:sz w:val="22"/>
          <w:szCs w:val="22"/>
        </w:rPr>
        <w:t xml:space="preserve"> e também</w:t>
      </w:r>
      <w:r>
        <w:rPr>
          <w:color w:val="auto"/>
          <w:sz w:val="22"/>
          <w:szCs w:val="22"/>
        </w:rPr>
        <w:t xml:space="preserve"> evitar contratação com sobrepreço ou com preço manifestamente inexequível e superfaturamento na execução do contrato.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contratação decorrente do presente processo</w:t>
      </w:r>
      <w:r>
        <w:rPr>
          <w:strike w:val="false"/>
          <w:dstrike w:val="false"/>
          <w:color w:val="auto"/>
          <w:sz w:val="22"/>
          <w:szCs w:val="22"/>
        </w:rPr>
        <w:t xml:space="preserve"> de compra direta</w:t>
      </w:r>
      <w:r>
        <w:rPr>
          <w:color w:val="auto"/>
          <w:sz w:val="22"/>
          <w:szCs w:val="22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b/>
          <w:bCs/>
          <w:color w:val="auto"/>
          <w:sz w:val="22"/>
          <w:szCs w:val="22"/>
        </w:rPr>
        <w:t>10. PROVIDÊNCIAS PRÉVIAS AO CONTRATO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 xml:space="preserve">Para que a pretendida contratação tenha sucesso, é preciso que outras etapas sejam concluídas, quais sejam: 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a) </w:t>
      </w:r>
      <w:r>
        <w:rPr>
          <w:rFonts w:cs="Arial" w:ascii="Arial" w:hAnsi="Arial"/>
          <w:b w:val="false"/>
          <w:bCs w:val="false"/>
          <w:color w:val="auto"/>
          <w:sz w:val="22"/>
          <w:szCs w:val="22"/>
        </w:rPr>
        <w:t>elaboração do termo de referência, após aprovação do estudo técnico preliminar pela autoridade competente;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b)</w:t>
      </w:r>
      <w:r>
        <w:rPr>
          <w:rFonts w:cs="Arial" w:ascii="Arial" w:hAnsi="Arial"/>
          <w:color w:val="auto"/>
          <w:sz w:val="22"/>
          <w:szCs w:val="22"/>
        </w:rPr>
        <w:t xml:space="preserve"> realização de certificação de disponibilidade orçamentária; 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c)</w:t>
      </w:r>
      <w:r>
        <w:rPr>
          <w:rFonts w:cs="Arial" w:ascii="Arial" w:hAnsi="Arial"/>
          <w:color w:val="auto"/>
          <w:sz w:val="22"/>
          <w:szCs w:val="22"/>
        </w:rPr>
        <w:t xml:space="preserve"> elaboração de minuta do contrato; 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d)</w:t>
      </w:r>
      <w:r>
        <w:rPr>
          <w:rFonts w:cs="Arial" w:ascii="Arial" w:hAnsi="Arial"/>
          <w:color w:val="auto"/>
          <w:sz w:val="22"/>
          <w:szCs w:val="22"/>
        </w:rPr>
        <w:t xml:space="preserve"> encaminhamento do processo para análise jurídica; 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e)</w:t>
      </w:r>
      <w:r>
        <w:rPr>
          <w:rFonts w:cs="Arial" w:ascii="Arial" w:hAnsi="Arial"/>
          <w:color w:val="auto"/>
          <w:sz w:val="22"/>
          <w:szCs w:val="22"/>
        </w:rPr>
        <w:t xml:space="preserve"> análise da manifestação jurídica e atendimento aos eventuais apontamentos constantes no parecer</w:t>
      </w:r>
      <w:r>
        <w:rPr>
          <w:rFonts w:cs="Arial" w:ascii="Arial" w:hAnsi="Arial"/>
          <w:b w:val="false"/>
          <w:bCs w:val="false"/>
          <w:color w:val="auto"/>
          <w:sz w:val="22"/>
          <w:szCs w:val="22"/>
        </w:rPr>
        <w:t>.</w:t>
      </w:r>
    </w:p>
    <w:p>
      <w:pPr>
        <w:pStyle w:val="NormalWeb"/>
        <w:widowControl/>
        <w:bidi w:val="0"/>
        <w:spacing w:lineRule="auto" w:line="360" w:beforeAutospacing="0" w:before="0" w:afterAutospacing="0" w:after="0"/>
        <w:ind w:hanging="0" w:left="0" w:right="0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11. CONTRATAÇÕES CORRELATAS E/OU INTERDEPENDENTES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 xml:space="preserve">Este estudo não identificou a necessidade de realizar contratações acessórias para a perfeita execução do objeto, uma vez que todos os meios necessários para a aquisição dos bens e operacionalização dos serviços podem ser supridos apenas com a contratação ora proposta. </w:t>
        <w:tab/>
        <w:t>Os bens e serviços que se pretende, portanto, são autônomos e prescindem de contratações correlatas ou interdependentes.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cs="Arial"/>
          <w:b/>
          <w:bCs/>
          <w:highlight w:val="yellow"/>
        </w:rPr>
      </w:pPr>
      <w:r>
        <w:rPr>
          <w:rFonts w:cs="Arial"/>
          <w:b/>
          <w:bCs/>
          <w:highlight w:val="yellow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12. POSSÍVEIS IMPACTOS AMBIENTAIS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widowControl/>
        <w:bidi w:val="0"/>
        <w:spacing w:lineRule="auto" w:line="360" w:beforeAutospacing="0" w:before="0" w:afterAutospacing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Em razão da natureza da aquisição do objeto, não se vislumbram impactos ambientais provenientes desta contratação.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bookmarkStart w:id="0" w:name="art18%252525C2%252525A71xiii"/>
      <w:bookmarkEnd w:id="0"/>
      <w:r>
        <w:rPr>
          <w:rFonts w:cs="Arial" w:ascii="Arial" w:hAnsi="Arial"/>
          <w:b/>
          <w:bCs/>
          <w:color w:val="auto"/>
          <w:sz w:val="22"/>
          <w:szCs w:val="22"/>
        </w:rPr>
        <w:t xml:space="preserve">13. DECLARAÇÃO DE VIABILIDADE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Por derradeiro, grifamos que para aferição do valor dos serviços, foi observado o art. 23, §1° da Lei n° 14.133/2021.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highlight w:val="yellow"/>
        </w:rPr>
      </w:pPr>
      <w:r>
        <w:rPr>
          <w:highlight w:val="yellow"/>
        </w:rPr>
      </w:r>
    </w:p>
    <w:p>
      <w:pPr>
        <w:pStyle w:val="Normal"/>
        <w:spacing w:lineRule="auto" w:line="36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Giruá </w:t>
      </w:r>
      <w:r>
        <w:rPr>
          <w:color w:val="auto"/>
          <w:sz w:val="22"/>
          <w:szCs w:val="22"/>
        </w:rPr>
        <w:t>20</w:t>
      </w:r>
      <w:r>
        <w:rPr>
          <w:color w:val="auto"/>
          <w:sz w:val="22"/>
          <w:szCs w:val="22"/>
        </w:rPr>
        <w:t xml:space="preserve"> RS, Fevereiro de 202</w:t>
      </w:r>
      <w:r>
        <w:rPr>
          <w:color w:val="auto"/>
          <w:sz w:val="22"/>
          <w:szCs w:val="22"/>
        </w:rPr>
        <w:t>5</w:t>
      </w:r>
      <w:r>
        <w:rPr>
          <w:color w:val="auto"/>
          <w:sz w:val="22"/>
          <w:szCs w:val="22"/>
        </w:rPr>
        <w:t>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_______________________________________</w:t>
      </w:r>
    </w:p>
    <w:p>
      <w:pPr>
        <w:pStyle w:val="Normal"/>
        <w:spacing w:lineRule="auto" w:line="360"/>
        <w:jc w:val="center"/>
        <w:rPr>
          <w:rFonts w:ascii="Arial" w:hAnsi="Arial"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RUBEN WEIMER</w:t>
      </w:r>
    </w:p>
    <w:p>
      <w:pPr>
        <w:pStyle w:val="Normal"/>
        <w:spacing w:lineRule="auto" w:line="360"/>
        <w:jc w:val="center"/>
        <w:rPr>
          <w:shd w:fill="auto" w:val="clear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SECRETARIA MUNICIPAL DE PLANEJAMENTO ECONÔMICO</w:t>
      </w:r>
    </w:p>
    <w:p>
      <w:pPr>
        <w:pStyle w:val="Normal"/>
        <w:spacing w:lineRule="auto" w:line="360"/>
        <w:jc w:val="center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360"/>
        <w:jc w:val="center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________________________________________</w:t>
      </w:r>
    </w:p>
    <w:p>
      <w:pPr>
        <w:pStyle w:val="Normal"/>
        <w:spacing w:lineRule="auto" w:line="360"/>
        <w:jc w:val="center"/>
        <w:rPr>
          <w:rFonts w:ascii="Arial" w:hAnsi="Arial"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Dari Paulo Prestes Taborda</w:t>
      </w:r>
    </w:p>
    <w:p>
      <w:pPr>
        <w:pStyle w:val="Normal"/>
        <w:spacing w:lineRule="auto" w:line="360"/>
        <w:jc w:val="center"/>
        <w:rPr/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PREFEITO MUNICIPAL</w:t>
      </w:r>
    </w:p>
    <w:sectPr>
      <w:type w:val="nextPage"/>
      <w:pgSz w:w="11906" w:h="16838"/>
      <w:pgMar w:left="1276" w:right="1134" w:gutter="0" w:header="0" w:top="1418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b/>
      <w:kern w:val="2"/>
      <w:sz w:val="28"/>
    </w:rPr>
  </w:style>
  <w:style w:type="paragraph" w:styleId="Heading2">
    <w:name w:val="heading 2"/>
    <w:basedOn w:val="Normal"/>
    <w:next w:val="Normal"/>
    <w:link w:val="Ttulo2Char"/>
    <w:semiHidden/>
    <w:unhideWhenUsed/>
    <w:qFormat/>
    <w:rsid w:val="00b96d5c"/>
    <w:pPr>
      <w:keepNext w:val="true"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Ttulo3Char"/>
    <w:semiHidden/>
    <w:unhideWhenUsed/>
    <w:qFormat/>
    <w:rsid w:val="00b96d5c"/>
    <w:pPr>
      <w:keepNext w:val="true"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Heading7">
    <w:name w:val="heading 7"/>
    <w:basedOn w:val="Normal"/>
    <w:next w:val="Normal"/>
    <w:link w:val="Ttulo7Char"/>
    <w:qFormat/>
    <w:rsid w:val="00b96d5c"/>
    <w:pPr>
      <w:keepNext w:val="true"/>
      <w:tabs>
        <w:tab w:val="clear" w:pos="708"/>
        <w:tab w:val="left" w:pos="2835" w:leader="none"/>
      </w:tabs>
      <w:spacing w:lineRule="exact" w:line="280"/>
      <w:ind w:hanging="57" w:left="57" w:right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4" w:customStyle="1">
    <w:name w:val="Fonte parág. padrão4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3" w:customStyle="1">
    <w:name w:val="Fonte parág. padrão3"/>
    <w:qFormat/>
    <w:rPr/>
  </w:style>
  <w:style w:type="character" w:styleId="WW-Absatz-Standardschriftart" w:customStyle="1">
    <w:name w:val="WW-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WW-Caracteresdenotadefim" w:customStyle="1">
    <w:name w:val="WW-Caracteres de nota de fim"/>
    <w:qFormat/>
    <w:rPr/>
  </w:style>
  <w:style w:type="character" w:styleId="Smbolosdenumerao" w:customStyle="1">
    <w:name w:val="Símbolos de numeração"/>
    <w:qFormat/>
    <w:rPr/>
  </w:style>
  <w:style w:type="character" w:styleId="Refdenotadefim1" w:customStyle="1">
    <w:name w:val="Ref. de nota de fim1"/>
    <w:qFormat/>
    <w:rPr>
      <w:vertAlign w:val="superscript"/>
    </w:rPr>
  </w:style>
  <w:style w:type="character" w:styleId="Refdenotaderodap2" w:customStyle="1">
    <w:name w:val="Ref. de nota de rodapé2"/>
    <w:qFormat/>
    <w:rPr>
      <w:vertAlign w:val="superscript"/>
    </w:rPr>
  </w:style>
  <w:style w:type="character" w:styleId="Refdenotadefim2" w:customStyle="1">
    <w:name w:val="Ref. de nota de fim2"/>
    <w:qFormat/>
    <w:rPr>
      <w:vertAlign w:val="superscript"/>
    </w:rPr>
  </w:style>
  <w:style w:type="character" w:styleId="Refdenotaderodap3" w:customStyle="1">
    <w:name w:val="Ref. de nota de rodapé3"/>
    <w:qFormat/>
    <w:rPr>
      <w:vertAlign w:val="superscript"/>
    </w:rPr>
  </w:style>
  <w:style w:type="character" w:styleId="Refdenotadefim3" w:customStyle="1">
    <w:name w:val="Ref. de nota de fim3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RodapChar" w:customStyle="1">
    <w:name w:val="Rodapé Char"/>
    <w:uiPriority w:val="99"/>
    <w:qFormat/>
    <w:rsid w:val="00502e0d"/>
    <w:rPr>
      <w:rFonts w:ascii="Arial" w:hAnsi="Arial" w:cs="Arial"/>
      <w:sz w:val="22"/>
      <w:lang w:eastAsia="zh-CN"/>
    </w:rPr>
  </w:style>
  <w:style w:type="character" w:styleId="Refdenotaderodap5" w:customStyle="1">
    <w:name w:val="Ref. de nota de rodapé5"/>
    <w:qFormat/>
    <w:rsid w:val="00e80693"/>
    <w:rPr>
      <w:vertAlign w:val="superscript"/>
    </w:rPr>
  </w:style>
  <w:style w:type="character" w:styleId="TextodebaloChar" w:customStyle="1">
    <w:name w:val="Texto de balão Char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styleId="MenoPendente1" w:customStyle="1">
    <w:name w:val="Menção Pendente1"/>
    <w:uiPriority w:val="99"/>
    <w:semiHidden/>
    <w:unhideWhenUsed/>
    <w:qFormat/>
    <w:rsid w:val="0089786b"/>
    <w:rPr>
      <w:color w:val="808080"/>
      <w:shd w:fill="E6E6E6" w:val="clear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ac6de8"/>
    <w:rPr>
      <w:color w:themeColor="followedHyperlink" w:val="954F72"/>
      <w:u w:val="single"/>
    </w:rPr>
  </w:style>
  <w:style w:type="character" w:styleId="Ttulo2Char" w:customStyle="1">
    <w:name w:val="Título 2 Char"/>
    <w:basedOn w:val="DefaultParagraphFont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styleId="Ttulo3Char" w:customStyle="1">
    <w:name w:val="Título 3 Char"/>
    <w:basedOn w:val="DefaultParagraphFont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styleId="Ttulo7Char" w:customStyle="1">
    <w:name w:val="Título 7 Char"/>
    <w:basedOn w:val="DefaultParagraphFont"/>
    <w:qFormat/>
    <w:rsid w:val="00b96d5c"/>
    <w:rPr>
      <w:b/>
      <w:spacing w:val="14"/>
      <w:sz w:val="24"/>
    </w:rPr>
  </w:style>
  <w:style w:type="character" w:styleId="WW8Num2z0" w:customStyle="1">
    <w:name w:val="WW8Num2z0"/>
    <w:qFormat/>
    <w:rsid w:val="00b96d5c"/>
    <w:rPr>
      <w:rFonts w:ascii="Monotype Sorts" w:hAnsi="Monotype Sorts"/>
    </w:rPr>
  </w:style>
  <w:style w:type="character" w:styleId="WW8Num3z0" w:customStyle="1">
    <w:name w:val="WW8Num3z0"/>
    <w:qFormat/>
    <w:rsid w:val="00b96d5c"/>
    <w:rPr>
      <w:b/>
    </w:rPr>
  </w:style>
  <w:style w:type="character" w:styleId="WW8Num4z0" w:customStyle="1">
    <w:name w:val="WW8Num4z0"/>
    <w:qFormat/>
    <w:rsid w:val="00b96d5c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b96d5c"/>
    <w:rPr>
      <w:rFonts w:ascii="Courier New" w:hAnsi="Courier New"/>
    </w:rPr>
  </w:style>
  <w:style w:type="character" w:styleId="WW8Num4z2" w:customStyle="1">
    <w:name w:val="WW8Num4z2"/>
    <w:qFormat/>
    <w:rsid w:val="00b96d5c"/>
    <w:rPr>
      <w:rFonts w:ascii="Wingdings" w:hAnsi="Wingdings"/>
    </w:rPr>
  </w:style>
  <w:style w:type="character" w:styleId="WW8Num4z3" w:customStyle="1">
    <w:name w:val="WW8Num4z3"/>
    <w:qFormat/>
    <w:rsid w:val="00b96d5c"/>
    <w:rPr>
      <w:rFonts w:ascii="Symbol" w:hAnsi="Symbol"/>
    </w:rPr>
  </w:style>
  <w:style w:type="character" w:styleId="WW8Num5z0" w:customStyle="1">
    <w:name w:val="WW8Num5z0"/>
    <w:qFormat/>
    <w:rsid w:val="00b96d5c"/>
    <w:rPr>
      <w:rFonts w:ascii="Times New Roman" w:hAnsi="Times New Roman"/>
      <w:b/>
    </w:rPr>
  </w:style>
  <w:style w:type="character" w:styleId="WW8Num6z0" w:customStyle="1">
    <w:name w:val="WW8Num6z0"/>
    <w:qFormat/>
    <w:rsid w:val="00b96d5c"/>
    <w:rPr>
      <w:b/>
    </w:rPr>
  </w:style>
  <w:style w:type="character" w:styleId="WW8Num7z0" w:customStyle="1">
    <w:name w:val="WW8Num7z0"/>
    <w:qFormat/>
    <w:rsid w:val="00b96d5c"/>
    <w:rPr>
      <w:b/>
    </w:rPr>
  </w:style>
  <w:style w:type="character" w:styleId="Strong">
    <w:name w:val="Strong"/>
    <w:qFormat/>
    <w:rPr>
      <w:b/>
      <w:b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widowControl w:val="false"/>
      <w:suppressAutoHyphens w:val="true"/>
      <w:jc w:val="both"/>
    </w:pPr>
    <w:rPr>
      <w:rFonts w:ascii="Times New Roman" w:hAnsi="Times New Roman" w:cs="Times New Roman"/>
      <w:sz w:val="28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itle">
    <w:name w:val="Subtitle"/>
    <w:basedOn w:val="Captulo"/>
    <w:next w:val="BodyText"/>
    <w:qFormat/>
    <w:pPr>
      <w:jc w:val="center"/>
    </w:pPr>
    <w:rPr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Footer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JE1" w:customStyle="1">
    <w:name w:val="JE1"/>
    <w:basedOn w:val="Heading1"/>
    <w:qFormat/>
    <w:pPr>
      <w:suppressAutoHyphens w:val="true"/>
      <w:jc w:val="center"/>
    </w:pPr>
    <w:rPr/>
  </w:style>
  <w:style w:type="paragraph" w:styleId="BodyTextIndent">
    <w:name w:val="Body Text Indent"/>
    <w:basedOn w:val="Normal"/>
    <w:pPr>
      <w:suppressAutoHyphens w:val="true"/>
      <w:ind w:hanging="0" w:left="2410"/>
      <w:jc w:val="both"/>
    </w:pPr>
    <w:rPr>
      <w:b/>
      <w:sz w:val="24"/>
    </w:rPr>
  </w:style>
  <w:style w:type="paragraph" w:styleId="FootnoteText">
    <w:name w:val="footnote text"/>
    <w:basedOn w:val="Normal"/>
    <w:pPr>
      <w:suppressAutoHyphens w:val="true"/>
    </w:pPr>
    <w:rPr>
      <w:rFonts w:ascii="Times New Roman" w:hAnsi="Times New Roman" w:cs="Times New Roman"/>
      <w:sz w:val="20"/>
    </w:rPr>
  </w:style>
  <w:style w:type="paragraph" w:styleId="Corpodetexto21" w:customStyle="1">
    <w:name w:val="Corpo de texto 21"/>
    <w:basedOn w:val="Normal"/>
    <w:qFormat/>
    <w:pPr>
      <w:jc w:val="both"/>
    </w:pPr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etabela"/>
    <w:qFormat/>
    <w:pPr>
      <w:jc w:val="center"/>
    </w:pPr>
    <w:rPr>
      <w:b/>
      <w:bCs/>
    </w:rPr>
  </w:style>
  <w:style w:type="paragraph" w:styleId="Contedodequadro" w:customStyle="1">
    <w:name w:val="Conteúdo de quadro"/>
    <w:basedOn w:val="BodyText"/>
    <w:qFormat/>
    <w:pPr/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BodyText"/>
    <w:qFormat/>
    <w:pPr/>
    <w:rPr/>
  </w:style>
  <w:style w:type="paragraph" w:styleId="BalloonText">
    <w:name w:val="Balloon Text"/>
    <w:basedOn w:val="Normal"/>
    <w:link w:val="TextodebaloChar"/>
    <w:unhideWhenUsed/>
    <w:qFormat/>
    <w:rsid w:val="00c90f73"/>
    <w:pPr/>
    <w:rPr>
      <w:rFonts w:ascii="Segoe UI" w:hAnsi="Segoe UI" w:cs="Segoe UI"/>
      <w:sz w:val="18"/>
      <w:szCs w:val="18"/>
    </w:rPr>
  </w:style>
  <w:style w:type="paragraph" w:styleId="Textoembloco1" w:customStyle="1">
    <w:name w:val="Texto em bloco1"/>
    <w:basedOn w:val="Normal"/>
    <w:qFormat/>
    <w:rsid w:val="00b96d5c"/>
    <w:pPr>
      <w:ind w:firstLine="1134" w:left="4253" w:right="57"/>
      <w:jc w:val="both"/>
    </w:pPr>
    <w:rPr>
      <w:rFonts w:cs="Times New Roman"/>
      <w:i/>
      <w:spacing w:val="14"/>
    </w:rPr>
  </w:style>
  <w:style w:type="paragraph" w:styleId="texto2" w:customStyle="1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04partenormativa" w:customStyle="1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e07291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erodap31">
    <w:name w:val="Cabeçalho e rodapé31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Application>LibreOffice/24.8.4.2$Windows_X86_64 LibreOffice_project/bb3cfa12c7b1bf994ecc5649a80400d06cd71002</Application>
  <AppVersion>15.0000</AppVersion>
  <Pages>5</Pages>
  <Words>1454</Words>
  <Characters>8185</Characters>
  <CharactersWithSpaces>9626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2022-10-06T14:25:00Z</dcterms:created>
  <dc:creator>Marcia Bello</dc:creator>
  <dc:description/>
  <dc:language>pt-BR</dc:language>
  <cp:lastModifiedBy/>
  <cp:lastPrinted>2022-11-10T17:28:00Z</cp:lastPrinted>
  <dcterms:modified xsi:type="dcterms:W3CDTF">2025-02-20T13:54:58Z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