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Arial" w:hAnsi="Arial"/>
          <w:sz w:val="22"/>
          <w:szCs w:val="22"/>
        </w:rPr>
      </w:pPr>
      <w:r>
        <w:rPr>
          <w:b/>
          <w:sz w:val="22"/>
          <w:szCs w:val="22"/>
        </w:rPr>
        <w:t>TERMO DE REFERÊNCIA</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Arial" w:hAnsi="Arial"/>
          <w:sz w:val="22"/>
          <w:szCs w:val="22"/>
        </w:rPr>
      </w:pPr>
      <w:r>
        <w:rPr>
          <w:sz w:val="22"/>
          <w:szCs w:val="22"/>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sz w:val="22"/>
          <w:szCs w:val="22"/>
        </w:rPr>
      </w:pPr>
      <w:r>
        <w:rPr>
          <w:b/>
          <w:bCs/>
          <w:sz w:val="22"/>
          <w:szCs w:val="22"/>
        </w:rPr>
        <w:t>PROCESSO ADMINISTRATIVO Nº 008/202</w:t>
      </w:r>
      <w:r>
        <w:rPr>
          <w:b/>
          <w:bCs/>
          <w:sz w:val="22"/>
          <w:szCs w:val="22"/>
        </w:rPr>
        <w:t>5</w:t>
      </w:r>
    </w:p>
    <w:p>
      <w:pPr>
        <w:pStyle w:val="Normal"/>
        <w:spacing w:lineRule="auto" w:line="360"/>
        <w:jc w:val="both"/>
        <w:rPr>
          <w:b/>
          <w:bCs/>
          <w:sz w:val="22"/>
          <w:szCs w:val="22"/>
        </w:rPr>
      </w:pPr>
      <w:r>
        <w:rPr>
          <w:b/>
          <w:bCs/>
          <w:sz w:val="22"/>
          <w:szCs w:val="22"/>
        </w:rPr>
        <w:t>Município de Giruá – RS</w:t>
      </w:r>
    </w:p>
    <w:p>
      <w:pPr>
        <w:pStyle w:val="Normal"/>
        <w:spacing w:lineRule="auto" w:line="360"/>
        <w:jc w:val="both"/>
        <w:rPr>
          <w:b/>
          <w:bCs/>
          <w:sz w:val="22"/>
          <w:szCs w:val="22"/>
        </w:rPr>
      </w:pPr>
      <w:r>
        <w:rPr>
          <w:b/>
          <w:bCs/>
          <w:sz w:val="22"/>
          <w:szCs w:val="22"/>
        </w:rPr>
        <w:t xml:space="preserve">Secretaria Municipal de </w:t>
      </w:r>
      <w:r>
        <w:rPr>
          <w:rFonts w:eastAsia="Times New Roman" w:cs="Arial"/>
          <w:b/>
          <w:bCs/>
          <w:color w:val="00000A"/>
          <w:sz w:val="22"/>
          <w:szCs w:val="22"/>
          <w:lang w:val="pt-BR" w:eastAsia="zh-CN" w:bidi="ar-SA"/>
        </w:rPr>
        <w:t>Planejamento Econômico</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b/>
          <w:bCs/>
          <w:sz w:val="22"/>
          <w:szCs w:val="22"/>
        </w:rPr>
      </w:pPr>
      <w:r>
        <w:rPr>
          <w:b/>
          <w:bCs/>
          <w:sz w:val="22"/>
          <w:szCs w:val="22"/>
        </w:rPr>
        <w:t xml:space="preserve">Necessidade da Administração: </w:t>
      </w:r>
      <w:r>
        <w:rPr>
          <w:b w:val="false"/>
          <w:bCs w:val="false"/>
          <w:color w:val="auto"/>
          <w:sz w:val="22"/>
          <w:szCs w:val="22"/>
        </w:rPr>
        <w:t xml:space="preserve">Contratação de empresa para locação de Extintores e venda de </w:t>
      </w:r>
      <w:r>
        <w:rPr>
          <w:rFonts w:eastAsia="Times New Roman" w:cs="Arial"/>
          <w:b w:val="false"/>
          <w:bCs w:val="false"/>
          <w:color w:val="auto"/>
          <w:kern w:val="0"/>
          <w:sz w:val="22"/>
          <w:szCs w:val="22"/>
          <w:lang w:val="pt-BR" w:eastAsia="zh-CN" w:bidi="ar-SA"/>
        </w:rPr>
        <w:t>suportes e placas de identificação PPCI.</w:t>
      </w:r>
    </w:p>
    <w:p>
      <w:pPr>
        <w:pStyle w:val="Normal"/>
        <w:spacing w:lineRule="auto" w:line="360"/>
        <w:jc w:val="both"/>
        <w:rPr>
          <w:rFonts w:ascii="Arial" w:hAnsi="Arial"/>
          <w:sz w:val="22"/>
          <w:szCs w:val="22"/>
        </w:rPr>
      </w:pPr>
      <w:r>
        <w:rPr>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1. DEFINIÇÃO DO OBJETO</w:t>
      </w:r>
    </w:p>
    <w:p>
      <w:pPr>
        <w:pStyle w:val="NormalWeb"/>
        <w:spacing w:lineRule="auto" w:line="360" w:beforeAutospacing="0" w:before="0" w:afterAutospacing="0" w:after="0"/>
        <w:jc w:val="both"/>
        <w:rPr>
          <w:rFonts w:ascii="Arial" w:hAnsi="Arial"/>
          <w:sz w:val="22"/>
          <w:szCs w:val="22"/>
        </w:rPr>
      </w:pPr>
      <w:r>
        <w:rPr>
          <w:rFonts w:ascii="Arial" w:hAnsi="Arial"/>
          <w:sz w:val="22"/>
          <w:szCs w:val="22"/>
        </w:rPr>
      </w:r>
    </w:p>
    <w:p>
      <w:pPr>
        <w:pStyle w:val="Normal"/>
        <w:spacing w:lineRule="auto" w:line="360"/>
        <w:jc w:val="both"/>
        <w:rPr>
          <w:sz w:val="22"/>
          <w:szCs w:val="22"/>
        </w:rPr>
      </w:pPr>
      <w:r>
        <w:rPr>
          <w:sz w:val="22"/>
          <w:szCs w:val="22"/>
        </w:rPr>
        <w:tab/>
      </w:r>
      <w:r>
        <w:rPr>
          <w:color w:val="auto"/>
          <w:sz w:val="22"/>
          <w:szCs w:val="22"/>
        </w:rPr>
        <w:t xml:space="preserve">O objeto da presente contratação é a contratação de empresa para locação de extintores, e o fornecimento de suportes e placas de PPCI, ratificamos a importância da contratação bem como a sua emergência, uma vez que no ano de 2025 esta ingressando uma nova gestão administrativa, e no mês de MARÇO já ocorre a ExpoGiruá sendo ela o maior evento do município de Giruá, informamos que já existe um processo de licitação em vigor, contudo, em virtude dos prazos, não haverá tempo hábil para contratação e fornecimento dos materiais, dito isso, o município de Giruá não pode se eximir a sua responsabilidade com a segurança dos espaços públicos, diante do exposto viemos solicitar a contratação no formato emergencial. </w:t>
      </w:r>
    </w:p>
    <w:p>
      <w:pPr>
        <w:pStyle w:val="Normal"/>
        <w:spacing w:lineRule="auto" w:line="360" w:beforeAutospacing="0" w:before="0" w:afterAutospacing="0" w:after="0"/>
        <w:jc w:val="both"/>
        <w:rPr>
          <w:color w:val="00000A"/>
        </w:rPr>
      </w:pPr>
      <w:r>
        <w:rPr>
          <w:rFonts w:cs="Arial"/>
          <w:color w:val="000000"/>
          <w:sz w:val="22"/>
          <w:lang w:val="pt-BR"/>
        </w:rPr>
        <w:tab/>
        <w:t xml:space="preserve">A vigência, a contar da assinatura do instrumento contratual, deverá ser pelo prazo de </w:t>
      </w:r>
      <w:r>
        <w:rPr>
          <w:rFonts w:cs="Arial"/>
          <w:color w:val="000000"/>
          <w:sz w:val="22"/>
          <w:lang w:val="pt-BR"/>
        </w:rPr>
        <w:t>60</w:t>
      </w:r>
      <w:r>
        <w:rPr>
          <w:rFonts w:eastAsia="Times New Roman" w:cs="Arial"/>
          <w:b w:val="false"/>
          <w:bCs w:val="false"/>
          <w:color w:val="000000"/>
          <w:sz w:val="22"/>
          <w:szCs w:val="22"/>
          <w:shd w:fill="FFFFFF" w:val="clear"/>
          <w:lang w:val="pt-BR" w:eastAsia="zh-CN" w:bidi="ar-SA"/>
        </w:rPr>
        <w:t xml:space="preserve"> meses</w:t>
      </w:r>
      <w:r>
        <w:rPr>
          <w:rFonts w:cs="Arial"/>
          <w:color w:val="000000"/>
          <w:sz w:val="22"/>
          <w:lang w:val="pt-BR"/>
        </w:rPr>
        <w:t xml:space="preserve">, podendo ser prorrogado por período igual e sucessivo, mediante termos aditivos conforme a Lei nº 14.133/2021. </w:t>
      </w:r>
    </w:p>
    <w:p>
      <w:pPr>
        <w:pStyle w:val="NormalWeb"/>
        <w:spacing w:lineRule="auto" w:line="360" w:beforeAutospacing="0" w:before="0" w:afterAutospacing="0" w:after="0"/>
        <w:jc w:val="both"/>
        <w:rPr>
          <w:sz w:val="22"/>
          <w:szCs w:val="22"/>
        </w:rPr>
      </w:pPr>
      <w:r>
        <w:rPr>
          <w:sz w:val="22"/>
          <w:szCs w:val="22"/>
        </w:rPr>
      </w:r>
      <w:bookmarkStart w:id="0" w:name="art6xxiiib"/>
      <w:bookmarkStart w:id="1" w:name="art6xxiiib"/>
      <w:bookmarkEnd w:id="1"/>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2. FUNDAMENTAÇÃO DA CONTRATAÇÃO</w:t>
      </w:r>
    </w:p>
    <w:p>
      <w:pPr>
        <w:pStyle w:val="Normal"/>
        <w:suppressAutoHyphens w:val="true"/>
        <w:spacing w:lineRule="exact" w:line="360" w:beforeAutospacing="0" w:before="0" w:afterAutospacing="0" w:after="0"/>
        <w:ind w:hanging="0" w:left="0" w:right="0"/>
        <w:jc w:val="both"/>
        <w:rPr>
          <w:rFonts w:ascii="Arial" w:hAnsi="Arial" w:cs="Arial"/>
          <w:color w:val="000000"/>
          <w:sz w:val="22"/>
          <w:szCs w:val="22"/>
        </w:rPr>
      </w:pPr>
      <w:r>
        <w:rPr>
          <w:rFonts w:eastAsia="Arial" w:cs="Arial"/>
          <w:b w:val="false"/>
          <w:bCs w:val="false"/>
          <w:color w:val="000000"/>
          <w:spacing w:val="0"/>
          <w:sz w:val="22"/>
          <w:szCs w:val="22"/>
          <w:shd w:fill="FFFFFF" w:val="clear"/>
        </w:rPr>
        <w:tab/>
      </w:r>
    </w:p>
    <w:p>
      <w:pPr>
        <w:pStyle w:val="Normal"/>
        <w:suppressAutoHyphens w:val="true"/>
        <w:spacing w:lineRule="exact" w:line="360" w:beforeAutospacing="0" w:before="0" w:afterAutospacing="0" w:after="0"/>
        <w:ind w:hanging="0" w:left="0" w:right="0"/>
        <w:jc w:val="both"/>
        <w:rPr>
          <w:rFonts w:ascii="Arial" w:hAnsi="Arial" w:cs="Arial"/>
          <w:color w:val="000000"/>
          <w:sz w:val="22"/>
          <w:szCs w:val="22"/>
        </w:rPr>
      </w:pPr>
      <w:r>
        <w:rPr>
          <w:rFonts w:eastAsia="Arial" w:cs="Arial"/>
          <w:b w:val="false"/>
          <w:bCs w:val="false"/>
          <w:color w:val="000000"/>
          <w:spacing w:val="0"/>
          <w:sz w:val="22"/>
          <w:szCs w:val="22"/>
          <w:shd w:fill="FFFFFF" w:val="clear"/>
        </w:rPr>
        <w:tab/>
        <w:t>O presente Termo de Referência faz remissão ao Estudo Técnico Preliminar Nº 009/2025</w:t>
      </w:r>
      <w:r>
        <w:rPr>
          <w:rFonts w:eastAsia="Arial" w:cs="Arial"/>
          <w:b/>
          <w:color w:val="000000"/>
          <w:spacing w:val="0"/>
          <w:sz w:val="22"/>
          <w:szCs w:val="22"/>
          <w:shd w:fill="FFFFFF" w:val="clear"/>
        </w:rPr>
        <w:t xml:space="preserve"> desta Secretaria, onde já está descrita a necessidade da contratação.</w:t>
      </w:r>
    </w:p>
    <w:p>
      <w:pPr>
        <w:pStyle w:val="Normal"/>
        <w:suppressAutoHyphens w:val="true"/>
        <w:spacing w:lineRule="exact" w:line="360" w:beforeAutospacing="0" w:before="0" w:afterAutospacing="0" w:after="0"/>
        <w:ind w:hanging="0" w:left="0" w:right="0"/>
        <w:jc w:val="both"/>
        <w:rPr>
          <w:rFonts w:ascii="Arial" w:hAnsi="Arial" w:cs="Arial"/>
          <w:color w:val="000000"/>
          <w:sz w:val="22"/>
          <w:szCs w:val="22"/>
        </w:rPr>
      </w:pPr>
      <w:r>
        <w:rPr>
          <w:rFonts w:cs="Arial"/>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3. DESCRIÇÃO DA SOLUÇÃO COMO UM TODO</w:t>
      </w:r>
    </w:p>
    <w:p>
      <w:pPr>
        <w:pStyle w:val="NormalWeb"/>
        <w:spacing w:lineRule="auto" w:line="360" w:beforeAutospacing="0" w:before="0" w:afterAutospacing="0" w:after="0"/>
        <w:jc w:val="both"/>
        <w:rPr>
          <w:highlight w:val="yellow"/>
        </w:rPr>
      </w:pPr>
      <w:r>
        <w:rPr>
          <w:highlight w:val="yellow"/>
        </w:rPr>
      </w:r>
    </w:p>
    <w:p>
      <w:pPr>
        <w:pStyle w:val="Normal"/>
        <w:spacing w:lineRule="auto" w:line="360"/>
        <w:jc w:val="both"/>
        <w:rPr>
          <w:rFonts w:ascii="Arial" w:hAnsi="Arial"/>
          <w:sz w:val="22"/>
          <w:szCs w:val="22"/>
        </w:rPr>
      </w:pPr>
      <w:r>
        <w:rPr>
          <w:sz w:val="22"/>
          <w:szCs w:val="22"/>
        </w:rPr>
        <w:tab/>
        <w:t xml:space="preserve">A solução proposta é a contratação de empresa para locação de extintores e o fornecimento de suportes e placas de PPCI, conforme as seguintes especificações/condições: </w:t>
      </w:r>
    </w:p>
    <w:p>
      <w:pPr>
        <w:pStyle w:val="Normal"/>
        <w:spacing w:lineRule="auto" w:line="360"/>
        <w:jc w:val="both"/>
        <w:rPr>
          <w:rFonts w:ascii="Arial" w:hAnsi="Arial"/>
          <w:sz w:val="22"/>
          <w:szCs w:val="22"/>
        </w:rPr>
      </w:pPr>
      <w:r>
        <w:rPr>
          <w:sz w:val="22"/>
          <w:szCs w:val="22"/>
        </w:rPr>
        <w:tab/>
        <w:t>Serão alugados a quantia de 40 extintores do tipo ABC 4KG;</w:t>
      </w:r>
    </w:p>
    <w:p>
      <w:pPr>
        <w:pStyle w:val="Normal"/>
        <w:spacing w:lineRule="auto" w:line="360"/>
        <w:jc w:val="both"/>
        <w:rPr>
          <w:rFonts w:ascii="Arial" w:hAnsi="Arial"/>
          <w:sz w:val="22"/>
          <w:szCs w:val="22"/>
        </w:rPr>
      </w:pPr>
      <w:r>
        <w:rPr>
          <w:sz w:val="22"/>
          <w:szCs w:val="22"/>
        </w:rPr>
        <w:tab/>
        <w:t>S</w:t>
      </w:r>
      <w:r>
        <w:rPr>
          <w:color w:val="auto"/>
          <w:sz w:val="22"/>
          <w:szCs w:val="22"/>
          <w:lang w:val="pt-BR"/>
        </w:rPr>
        <w:t>uporte de parede para extintor do tipo L;</w:t>
      </w:r>
    </w:p>
    <w:p>
      <w:pPr>
        <w:pStyle w:val="Normal"/>
        <w:spacing w:lineRule="auto" w:line="360"/>
        <w:jc w:val="both"/>
        <w:rPr>
          <w:rFonts w:ascii="Arial" w:hAnsi="Arial"/>
          <w:sz w:val="22"/>
          <w:szCs w:val="22"/>
        </w:rPr>
      </w:pPr>
      <w:r>
        <w:rPr>
          <w:color w:val="auto"/>
          <w:sz w:val="22"/>
          <w:szCs w:val="22"/>
          <w:lang w:val="pt-BR"/>
        </w:rPr>
        <w:tab/>
        <w:t>Suporte de chão no formato TRIPÉ e em METAL para extintores do tipo “ABC 4KG”; sendo tamanho mínimo de 25 cm e máximo de 40 cm de altura;</w:t>
      </w:r>
    </w:p>
    <w:p>
      <w:pPr>
        <w:pStyle w:val="Normal"/>
        <w:spacing w:lineRule="auto" w:line="360"/>
        <w:jc w:val="both"/>
        <w:rPr>
          <w:rFonts w:ascii="Arial" w:hAnsi="Arial"/>
          <w:sz w:val="22"/>
          <w:szCs w:val="22"/>
        </w:rPr>
      </w:pPr>
      <w:r>
        <w:rPr>
          <w:color w:val="auto"/>
          <w:sz w:val="22"/>
          <w:szCs w:val="22"/>
          <w:lang w:val="pt-BR"/>
        </w:rPr>
        <w:tab/>
        <w:t>Placas de PPCI autocolante de Identificação de Extintor e sua tipologia, Proibido Fumar e de placas de Direcionamento, conforme padronização dos bombeiros</w:t>
      </w:r>
      <w:r>
        <w:rPr>
          <w:rFonts w:eastAsia="Times New Roman" w:cs="Arial"/>
          <w:b w:val="false"/>
          <w:bCs w:val="false"/>
          <w:color w:val="000000"/>
          <w:kern w:val="0"/>
          <w:sz w:val="22"/>
          <w:szCs w:val="22"/>
          <w:shd w:fill="auto" w:val="clear"/>
          <w:lang w:val="pt-BR" w:eastAsia="zh-CN" w:bidi="ar-SA"/>
        </w:rPr>
        <w:t>,</w:t>
      </w:r>
      <w:r>
        <w:rPr>
          <w:color w:val="auto"/>
          <w:sz w:val="22"/>
          <w:szCs w:val="22"/>
          <w:lang w:val="pt-BR"/>
        </w:rPr>
        <w:t xml:space="preserve"> o qual já teve sua importância destacada no tópico precedente.</w:t>
      </w:r>
      <w:r>
        <w:rPr>
          <w:sz w:val="22"/>
          <w:szCs w:val="22"/>
        </w:rPr>
        <w:t xml:space="preserve"> </w:t>
      </w:r>
    </w:p>
    <w:p>
      <w:pPr>
        <w:pStyle w:val="Normal"/>
        <w:spacing w:lineRule="auto" w:line="360"/>
        <w:jc w:val="both"/>
        <w:rPr>
          <w:rFonts w:ascii="Arial" w:hAnsi="Arial"/>
          <w:sz w:val="22"/>
          <w:szCs w:val="22"/>
        </w:rPr>
      </w:pPr>
      <w:r>
        <w:rPr>
          <w:sz w:val="22"/>
          <w:szCs w:val="22"/>
        </w:rPr>
      </w:r>
    </w:p>
    <w:p>
      <w:pPr>
        <w:pStyle w:val="NormalWeb"/>
        <w:spacing w:lineRule="auto" w:line="360" w:beforeAutospacing="0" w:before="0" w:afterAutospacing="0" w:after="0"/>
        <w:jc w:val="both"/>
        <w:rPr>
          <w:rFonts w:ascii="Arial" w:hAnsi="Arial"/>
          <w:sz w:val="22"/>
          <w:szCs w:val="22"/>
        </w:rPr>
      </w:pPr>
      <w:bookmarkStart w:id="2" w:name="art6xxiiid"/>
      <w:bookmarkEnd w:id="2"/>
      <w:r>
        <w:rPr>
          <w:rFonts w:cs="Arial" w:ascii="Arial" w:hAnsi="Arial"/>
          <w:b/>
          <w:bCs/>
          <w:color w:val="000000"/>
          <w:sz w:val="22"/>
          <w:szCs w:val="22"/>
        </w:rPr>
        <w:t>4. REQUISITOS DA CONTRATAÇÃO</w:t>
      </w:r>
    </w:p>
    <w:p>
      <w:pPr>
        <w:pStyle w:val="Normal"/>
        <w:spacing w:lineRule="auto" w:line="360"/>
        <w:jc w:val="both"/>
        <w:rPr>
          <w:sz w:val="22"/>
          <w:szCs w:val="22"/>
        </w:rPr>
      </w:pPr>
      <w:r>
        <w:rPr>
          <w:sz w:val="22"/>
          <w:szCs w:val="22"/>
        </w:rPr>
      </w:r>
    </w:p>
    <w:p>
      <w:pPr>
        <w:pStyle w:val="Normal"/>
        <w:spacing w:lineRule="auto" w:line="360"/>
        <w:jc w:val="both"/>
        <w:rPr>
          <w:color w:val="00000A"/>
        </w:rPr>
      </w:pPr>
      <w:r>
        <w:rPr>
          <w:color w:val="00000A"/>
          <w:sz w:val="22"/>
          <w:lang w:val="pt-BR"/>
        </w:rPr>
        <w:tab/>
        <w:t>A presente contratação visa contratação emergencial para atendimento de uma demanda especifica</w:t>
      </w:r>
      <w:r>
        <w:rPr>
          <w:rFonts w:eastAsia="Times New Roman" w:cs="Arial"/>
          <w:b w:val="false"/>
          <w:bCs w:val="false"/>
          <w:color w:val="000000"/>
          <w:sz w:val="22"/>
          <w:szCs w:val="22"/>
          <w:shd w:fill="FFFFFF" w:val="clear"/>
          <w:lang w:val="pt-BR" w:eastAsia="zh-CN" w:bidi="ar-SA"/>
        </w:rPr>
        <w:t>,</w:t>
      </w:r>
      <w:r>
        <w:rPr>
          <w:color w:val="00000A"/>
          <w:sz w:val="22"/>
          <w:lang w:val="pt-BR"/>
        </w:rPr>
        <w:t xml:space="preserve"> o qual já teve sua importância destacada no tópico precedente.</w:t>
      </w:r>
    </w:p>
    <w:p>
      <w:pPr>
        <w:pStyle w:val="Normal"/>
        <w:spacing w:lineRule="auto" w:line="360"/>
        <w:jc w:val="both"/>
        <w:rPr>
          <w:color w:val="00000A"/>
        </w:rPr>
      </w:pPr>
      <w:r>
        <w:rPr>
          <w:color w:val="000000"/>
          <w:sz w:val="22"/>
          <w:lang w:val="pt-BR"/>
        </w:rPr>
        <w:tab/>
        <w:t xml:space="preserve">A vigência, a contar da assinatura do instrumento contratual, deverá ser pelo prazo de </w:t>
      </w:r>
      <w:r>
        <w:rPr>
          <w:rFonts w:eastAsia="Times New Roman" w:cs="Arial"/>
          <w:b w:val="false"/>
          <w:bCs w:val="false"/>
          <w:color w:val="000000"/>
          <w:sz w:val="22"/>
          <w:szCs w:val="22"/>
          <w:shd w:fill="FFFFFF" w:val="clear"/>
          <w:lang w:val="pt-BR" w:eastAsia="zh-CN" w:bidi="ar-SA"/>
        </w:rPr>
        <w:t>60 dias</w:t>
      </w:r>
      <w:r>
        <w:rPr>
          <w:color w:val="000000"/>
          <w:sz w:val="22"/>
          <w:lang w:val="pt-BR"/>
        </w:rPr>
        <w:t xml:space="preserve">, podendo ser prorrogado por período igual e sucessivamente, mediante termos aditivos conforme a Lei nº 14.133/2021. </w:t>
      </w:r>
    </w:p>
    <w:p>
      <w:pPr>
        <w:pStyle w:val="Normal"/>
        <w:spacing w:lineRule="auto" w:line="360"/>
        <w:jc w:val="both"/>
        <w:rPr>
          <w:rFonts w:ascii="Arial" w:hAnsi="Arial"/>
          <w:b w:val="false"/>
          <w:bCs w:val="false"/>
          <w:sz w:val="22"/>
          <w:szCs w:val="22"/>
        </w:rPr>
      </w:pPr>
      <w:r>
        <w:rPr>
          <w:b w:val="false"/>
          <w:bCs w:val="false"/>
          <w:sz w:val="22"/>
          <w:szCs w:val="22"/>
        </w:rPr>
        <w:tab/>
        <w:t xml:space="preserve">Os bens e serviços têm natureza de bens </w:t>
      </w:r>
      <w:r>
        <w:rPr>
          <w:b w:val="false"/>
          <w:bCs w:val="false"/>
          <w:sz w:val="22"/>
          <w:szCs w:val="22"/>
          <w:shd w:fill="auto" w:val="clear"/>
        </w:rPr>
        <w:t>e</w:t>
      </w:r>
      <w:r>
        <w:rPr>
          <w:b w:val="false"/>
          <w:bCs w:val="false"/>
          <w:sz w:val="22"/>
          <w:szCs w:val="22"/>
        </w:rPr>
        <w:t xml:space="preserve"> serviços comuns, tendo em vista que seus </w:t>
      </w:r>
      <w:r>
        <w:rPr>
          <w:b w:val="false"/>
          <w:bCs w:val="false"/>
          <w:color w:val="000000"/>
          <w:sz w:val="22"/>
          <w:szCs w:val="22"/>
        </w:rPr>
        <w:t xml:space="preserve">padrões de desempenho e qualidade podem ser objetivamente definidos, por meio de especificações usuais de mercado, </w:t>
      </w:r>
      <w:r>
        <w:rPr>
          <w:b w:val="false"/>
          <w:bCs w:val="false"/>
          <w:sz w:val="22"/>
          <w:szCs w:val="22"/>
        </w:rPr>
        <w:t>nos termos do art. 6º, inciso XIII, da Lei Federal nº 14.133/2021.</w:t>
      </w:r>
    </w:p>
    <w:p>
      <w:pPr>
        <w:pStyle w:val="Normal"/>
        <w:widowControl/>
        <w:bidi w:val="0"/>
        <w:spacing w:lineRule="auto" w:line="360" w:before="0" w:after="0"/>
        <w:ind w:hanging="0" w:left="0" w:right="0"/>
        <w:jc w:val="both"/>
        <w:rPr>
          <w:rFonts w:ascii="Arial" w:hAnsi="Arial"/>
          <w:b w:val="false"/>
          <w:bCs w:val="false"/>
          <w:sz w:val="22"/>
          <w:szCs w:val="22"/>
        </w:rPr>
      </w:pPr>
      <w:r>
        <w:rPr>
          <w:b w:val="false"/>
          <w:bCs w:val="false"/>
          <w:color w:val="000000"/>
          <w:sz w:val="22"/>
          <w:szCs w:val="22"/>
        </w:rPr>
        <w:tab/>
        <w:t xml:space="preserve">A contratação será realizada diretamente por meio de </w:t>
      </w:r>
      <w:r>
        <w:rPr>
          <w:b/>
          <w:bCs/>
          <w:color w:val="000000"/>
          <w:sz w:val="22"/>
          <w:szCs w:val="22"/>
        </w:rPr>
        <w:t>dispensa de licitação</w:t>
      </w:r>
      <w:r>
        <w:rPr>
          <w:b w:val="false"/>
          <w:bCs w:val="false"/>
          <w:color w:val="000000"/>
          <w:sz w:val="22"/>
          <w:szCs w:val="22"/>
        </w:rPr>
        <w:t xml:space="preserve">, </w:t>
      </w:r>
      <w:r>
        <w:rPr>
          <w:rFonts w:eastAsia="Times New Roman" w:cs="Arial"/>
          <w:b w:val="false"/>
          <w:bCs w:val="false"/>
          <w:color w:val="000000"/>
          <w:sz w:val="22"/>
          <w:szCs w:val="22"/>
          <w:lang w:val="pt-BR" w:eastAsia="zh-CN" w:bidi="ar-SA"/>
        </w:rPr>
        <w:t>com arrimo no art. 72 e seguintes da Lei n° 14.133/2021</w:t>
      </w:r>
      <w:r>
        <w:rPr>
          <w:b w:val="false"/>
          <w:bCs w:val="false"/>
          <w:color w:val="000000"/>
          <w:sz w:val="22"/>
          <w:szCs w:val="22"/>
        </w:rPr>
        <w:t>, com critério de julgamento por menor preço, nos termos do art. 34 da Lei nº 14.133/2021.</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ab/>
      </w:r>
      <w:r>
        <w:rPr>
          <w:color w:val="000000"/>
          <w:sz w:val="22"/>
          <w:szCs w:val="22"/>
          <w:shd w:fill="FFFFFF" w:val="clear"/>
        </w:rPr>
        <w:t>Para o fornecimento e locação pretendido, os eventuais interessados deverão comprovar que atuam em ramo de atividade compatível com o objeto da licitação e de que não incidem em nenhuma das hipóteses de impedimento de contratar com a administração pública (art. 14, Lei n° 14.133/2021), bem como apresentar os seguintes documentos a título habilitação, nos termos do art. 62 e 66, da Lei nº 14.133/2021, conforme segue:</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r>
    </w:p>
    <w:p>
      <w:pPr>
        <w:pStyle w:val="Normal"/>
        <w:widowControl/>
        <w:bidi w:val="0"/>
        <w:spacing w:lineRule="auto" w:line="360" w:before="0" w:after="0"/>
        <w:ind w:hanging="0" w:left="0" w:right="0"/>
        <w:jc w:val="both"/>
        <w:rPr>
          <w:rFonts w:ascii="Arial" w:hAnsi="Arial"/>
          <w:color w:val="000000"/>
          <w:sz w:val="22"/>
          <w:szCs w:val="22"/>
          <w:u w:val="single"/>
        </w:rPr>
      </w:pPr>
      <w:r>
        <w:rPr>
          <w:color w:val="000000"/>
          <w:sz w:val="22"/>
          <w:szCs w:val="22"/>
          <w:u w:val="single"/>
        </w:rPr>
        <w:t>HABILITAÇÃO JURÍDICA:</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a) registro comercial, no caso de empresa individual;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b) ato constitutivo, estatuto ou contrato social em vigor, devidamente registrado, em se tratando de sociedades comerciais, e, no caso de sociedade por ações, acompanhado de documentos de eleição de seus administradores;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c) decreto de autorização, em se tratando de empresa ou sociedade estrangeira em funcionamento no País, e ato de registro ou autorização para funcionamento expedido pelo órgão competente, quando a atividade assim o exigir;</w:t>
      </w:r>
    </w:p>
    <w:p>
      <w:pPr>
        <w:pStyle w:val="Normal"/>
        <w:widowControl/>
        <w:bidi w:val="0"/>
        <w:spacing w:lineRule="auto" w:line="360" w:before="0" w:after="0"/>
        <w:ind w:firstLine="1134" w:left="0" w:right="0"/>
        <w:jc w:val="both"/>
        <w:rPr>
          <w:rFonts w:ascii="Arial" w:hAnsi="Arial"/>
          <w:color w:val="000000"/>
          <w:sz w:val="22"/>
          <w:szCs w:val="22"/>
        </w:rPr>
      </w:pPr>
      <w:r>
        <w:rPr>
          <w:color w:val="000000"/>
          <w:sz w:val="22"/>
          <w:szCs w:val="22"/>
        </w:rPr>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u w:val="single"/>
        </w:rPr>
        <w:t>REGULARIDADE FISCAL:</w:t>
      </w:r>
      <w:r>
        <w:rPr>
          <w:color w:val="000000"/>
          <w:sz w:val="22"/>
          <w:szCs w:val="22"/>
        </w:rPr>
        <w:t xml:space="preserve">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a) prova de inscrição no Cadastro de Contribuintes do Estado ou do Município, se houver, relativo ao domicílio ou sede do contratado, pertinente ao seu ramo de atividades;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b) prova de inscrição no Cadastro Nacional de Pessoa Jurídica (CNPJ/MF);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c) comprovante de regularidade relativo aos Tributos Federais e à Dívida Ativa da União;</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d) prova de regularidade com a Fazenda Estadual, relativa ao domicílio ou sede do contratado;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e) prova de regularidade com a Fazenda Municipal, relativa ao domicílio ou sede do contratado; </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f) prova de regularidade (CRF) junto ao Fundo de Garantia por Tempo de Serviço (FGTS). </w:t>
      </w:r>
    </w:p>
    <w:p>
      <w:pPr>
        <w:pStyle w:val="Normal"/>
        <w:spacing w:lineRule="auto" w:line="360"/>
        <w:jc w:val="both"/>
        <w:rPr>
          <w:rFonts w:ascii="Arial" w:hAnsi="Arial"/>
          <w:color w:val="000000"/>
          <w:sz w:val="22"/>
          <w:szCs w:val="22"/>
        </w:rPr>
      </w:pPr>
      <w:r>
        <w:rPr>
          <w:color w:val="000000"/>
          <w:sz w:val="22"/>
          <w:szCs w:val="22"/>
        </w:rPr>
      </w:r>
    </w:p>
    <w:p>
      <w:pPr>
        <w:pStyle w:val="Normal"/>
        <w:widowControl/>
        <w:bidi w:val="0"/>
        <w:spacing w:lineRule="auto" w:line="360" w:before="0" w:after="0"/>
        <w:ind w:hanging="0" w:left="0" w:right="0"/>
        <w:jc w:val="both"/>
        <w:rPr>
          <w:rFonts w:ascii="Arial" w:hAnsi="Arial"/>
          <w:color w:val="000000"/>
          <w:sz w:val="22"/>
          <w:szCs w:val="22"/>
          <w:u w:val="single"/>
        </w:rPr>
      </w:pPr>
      <w:r>
        <w:rPr>
          <w:color w:val="000000"/>
          <w:sz w:val="22"/>
          <w:szCs w:val="22"/>
          <w:u w:val="single"/>
        </w:rPr>
        <w:t>REGULARIDADE TRABALHISTA:</w:t>
      </w:r>
    </w:p>
    <w:p>
      <w:pPr>
        <w:pStyle w:val="Normal"/>
        <w:widowControl/>
        <w:bidi w:val="0"/>
        <w:spacing w:lineRule="auto" w:line="360" w:before="0" w:after="0"/>
        <w:ind w:hanging="0" w:left="0" w:right="0"/>
        <w:jc w:val="both"/>
        <w:rPr>
          <w:rFonts w:ascii="Arial" w:hAnsi="Arial"/>
          <w:color w:val="000000"/>
          <w:sz w:val="22"/>
          <w:szCs w:val="22"/>
        </w:rPr>
      </w:pPr>
      <w:r>
        <w:rPr>
          <w:color w:val="000000"/>
          <w:sz w:val="22"/>
          <w:szCs w:val="22"/>
        </w:rPr>
        <w:t xml:space="preserve">a) prova de inexistência de débitos inadimplidos perante a Justiça do Trabalho, mediante a apresentação de certidão negativa, nos termos do Título VII-A da Consolidação das Leis do Trabalho, aprovada pelo Decreto-Lei nº 5.452, de 1º de maio de 1943. </w:t>
      </w:r>
    </w:p>
    <w:p>
      <w:pPr>
        <w:pStyle w:val="Normal"/>
        <w:widowControl/>
        <w:bidi w:val="0"/>
        <w:spacing w:lineRule="auto" w:line="240" w:before="0" w:after="0"/>
        <w:ind w:firstLine="1134" w:left="0" w:right="0"/>
        <w:jc w:val="both"/>
        <w:rPr>
          <w:rFonts w:ascii="Arial" w:hAnsi="Arial"/>
          <w:color w:val="000000"/>
          <w:sz w:val="22"/>
          <w:szCs w:val="22"/>
        </w:rPr>
      </w:pPr>
      <w:r>
        <w:rPr>
          <w:color w:val="000000"/>
          <w:sz w:val="22"/>
          <w:szCs w:val="22"/>
        </w:rPr>
      </w:r>
    </w:p>
    <w:p>
      <w:pPr>
        <w:pStyle w:val="Normal"/>
        <w:spacing w:lineRule="auto" w:line="360"/>
        <w:jc w:val="both"/>
        <w:rPr>
          <w:rFonts w:ascii="Arial" w:hAnsi="Arial"/>
          <w:b w:val="false"/>
          <w:bCs w:val="false"/>
          <w:color w:val="000000"/>
          <w:sz w:val="22"/>
          <w:szCs w:val="22"/>
        </w:rPr>
      </w:pPr>
      <w:r>
        <w:rPr>
          <w:b w:val="false"/>
          <w:bCs w:val="false"/>
          <w:color w:val="000000"/>
          <w:sz w:val="22"/>
          <w:szCs w:val="22"/>
          <w:u w:val="single"/>
        </w:rPr>
        <w:t>QUALIFICAÇÃO ECONÔMICO-FINANCEIRA:</w:t>
      </w:r>
      <w:r>
        <w:rPr>
          <w:b w:val="false"/>
          <w:bCs w:val="false"/>
          <w:color w:val="000000"/>
          <w:sz w:val="22"/>
          <w:szCs w:val="22"/>
        </w:rPr>
        <w:t xml:space="preserve"> </w:t>
      </w:r>
    </w:p>
    <w:p>
      <w:pPr>
        <w:pStyle w:val="Normal"/>
        <w:widowControl/>
        <w:bidi w:val="0"/>
        <w:spacing w:lineRule="auto" w:line="360" w:before="0" w:after="0"/>
        <w:ind w:hanging="0" w:left="0" w:right="0"/>
        <w:jc w:val="both"/>
        <w:rPr>
          <w:rFonts w:ascii="Arial" w:hAnsi="Arial"/>
          <w:b w:val="false"/>
          <w:bCs w:val="false"/>
          <w:color w:val="000000"/>
          <w:sz w:val="22"/>
          <w:szCs w:val="22"/>
        </w:rPr>
      </w:pPr>
      <w:r>
        <w:rPr>
          <w:b w:val="false"/>
          <w:bCs w:val="false"/>
          <w:color w:val="000000"/>
          <w:sz w:val="22"/>
          <w:szCs w:val="22"/>
        </w:rPr>
        <w:t xml:space="preserve">a) Certidão negativa em matéria falimentar, concordatária, recuperação judicial e extrajudicial, expedida pelo distribuidor da sede da pessoa jurídica, com prazo de validade de até 03 (três) meses, contados a partir da data de emissão da certidão, conforme Decreto Municipal nº. 012/2002, porém não há óbice que a empresa em recuperação judicial participe do certame desde que comprove a capacidade econômica e financeira para execução do objeto. </w:t>
      </w:r>
    </w:p>
    <w:p>
      <w:pPr>
        <w:pStyle w:val="Normal"/>
        <w:widowControl/>
        <w:bidi w:val="0"/>
        <w:spacing w:lineRule="auto" w:line="360" w:before="0" w:after="0"/>
        <w:ind w:hanging="0" w:left="0" w:right="0"/>
        <w:jc w:val="both"/>
        <w:rPr>
          <w:rFonts w:ascii="Arial" w:hAnsi="Arial"/>
          <w:b w:val="false"/>
          <w:bCs w:val="false"/>
          <w:color w:val="000000"/>
          <w:sz w:val="22"/>
          <w:szCs w:val="22"/>
        </w:rPr>
      </w:pPr>
      <w:r>
        <w:rPr>
          <w:b w:val="false"/>
          <w:bCs w:val="false"/>
          <w:color w:val="000000"/>
          <w:sz w:val="22"/>
          <w:szCs w:val="22"/>
        </w:rPr>
      </w:r>
    </w:p>
    <w:p>
      <w:pPr>
        <w:pStyle w:val="Normal"/>
        <w:widowControl/>
        <w:bidi w:val="0"/>
        <w:spacing w:lineRule="auto" w:line="360" w:before="0" w:after="0"/>
        <w:ind w:hanging="0" w:left="0" w:right="0"/>
        <w:jc w:val="both"/>
        <w:rPr>
          <w:rFonts w:ascii="Arial" w:hAnsi="Arial"/>
          <w:b w:val="false"/>
          <w:bCs w:val="false"/>
          <w:color w:val="000000"/>
          <w:sz w:val="22"/>
          <w:szCs w:val="22"/>
        </w:rPr>
      </w:pPr>
      <w:r>
        <w:rPr>
          <w:b w:val="false"/>
          <w:bCs w:val="false"/>
          <w:color w:val="000000"/>
          <w:sz w:val="22"/>
          <w:szCs w:val="22"/>
          <w:u w:val="single"/>
        </w:rPr>
        <w:t>HABILITAÇÃO SOCIAL:</w:t>
      </w:r>
      <w:r>
        <w:rPr>
          <w:b w:val="false"/>
          <w:bCs w:val="false"/>
          <w:color w:val="000000"/>
          <w:sz w:val="22"/>
          <w:szCs w:val="22"/>
        </w:rPr>
        <w:br/>
        <w:t>a) declaração de que não possui em seu quadro de pessoal, empregado ou associado menor de dezoito anos realizando trabalho noturno, perigoso ou insalubre, e/ou menor de dezesseis anos, em qualquer trabalho, salvo na condição de aprendiz, a partir de quatorze anos, nos termos do art. 7º, inc. XXXIII, da Constituição Federal;</w:t>
        <w:br/>
        <w:t>b) declaração de que cumpre as exigências de reserva de cargos para pessoa com deficiência e para reabilitado da Previdência Social, previstas em lei e em outras normas específicas.</w:t>
      </w:r>
    </w:p>
    <w:p>
      <w:pPr>
        <w:pStyle w:val="Normal"/>
        <w:widowControl/>
        <w:bidi w:val="0"/>
        <w:spacing w:lineRule="auto" w:line="240" w:before="0" w:after="0"/>
        <w:ind w:hanging="0" w:left="0" w:right="0"/>
        <w:jc w:val="both"/>
        <w:rPr/>
      </w:pPr>
      <w:r>
        <w:rPr/>
      </w:r>
    </w:p>
    <w:p>
      <w:pPr>
        <w:pStyle w:val="Normal"/>
        <w:widowControl/>
        <w:bidi w:val="0"/>
        <w:spacing w:lineRule="auto" w:line="360" w:before="0" w:after="0"/>
        <w:ind w:hanging="0" w:left="0" w:right="0"/>
        <w:jc w:val="both"/>
        <w:rPr>
          <w:sz w:val="22"/>
          <w:szCs w:val="22"/>
        </w:rPr>
      </w:pPr>
      <w:r>
        <w:rPr>
          <w:b w:val="false"/>
          <w:bCs w:val="false"/>
          <w:color w:val="000000"/>
          <w:sz w:val="22"/>
          <w:szCs w:val="22"/>
          <w:u w:val="single"/>
        </w:rPr>
        <w:t>COMPROVAÇÕES DE APTIDÃO PARA CONTRATAR COM O PODER PÚBLICO:</w:t>
      </w:r>
    </w:p>
    <w:p>
      <w:pPr>
        <w:pStyle w:val="Normal"/>
        <w:bidi w:val="0"/>
        <w:jc w:val="left"/>
        <w:rPr/>
      </w:pPr>
      <w:r>
        <w:rPr/>
        <w:t xml:space="preserve">Para fins de contratação, a empresa proponente deverá comprovar não constar: </w:t>
      </w:r>
    </w:p>
    <w:p>
      <w:pPr>
        <w:pStyle w:val="Normal"/>
        <w:bidi w:val="0"/>
        <w:jc w:val="left"/>
        <w:rPr/>
      </w:pPr>
      <w:r>
        <w:rPr/>
      </w:r>
    </w:p>
    <w:p>
      <w:pPr>
        <w:pStyle w:val="Normal"/>
        <w:bidi w:val="0"/>
        <w:spacing w:lineRule="auto" w:line="360"/>
        <w:jc w:val="left"/>
        <w:rPr/>
      </w:pPr>
      <w:r>
        <w:rPr/>
        <w:t>I. No cadastro de empresas inidôneas do Tribunal de Contas da União (art. 46, Lei 8.443/92);</w:t>
      </w:r>
    </w:p>
    <w:p>
      <w:pPr>
        <w:pStyle w:val="Normal"/>
        <w:bidi w:val="0"/>
        <w:spacing w:lineRule="auto" w:line="360"/>
        <w:jc w:val="left"/>
        <w:rPr/>
      </w:pPr>
      <w:r>
        <w:rPr/>
        <w:t>II. No Cadastro Nacional de Empresas Inidôneas e Suspensas (CEIS), por sanção do inciso IV, art. 87 da Lei n° 8.666/93, ou do art. 156, IV da Lei N° 14.133/21.</w:t>
      </w:r>
    </w:p>
    <w:p>
      <w:pPr>
        <w:pStyle w:val="Normal"/>
        <w:bidi w:val="0"/>
        <w:spacing w:lineRule="auto" w:line="360"/>
        <w:jc w:val="left"/>
        <w:rPr/>
      </w:pPr>
      <w:r>
        <w:rPr/>
        <w:t>III. No Cadastro Nacional de Empresas Punidas (CNEP);</w:t>
      </w:r>
    </w:p>
    <w:p>
      <w:pPr>
        <w:pStyle w:val="Normal"/>
        <w:bidi w:val="0"/>
        <w:spacing w:lineRule="auto" w:line="360"/>
        <w:jc w:val="left"/>
        <w:rPr/>
      </w:pPr>
      <w:r>
        <w:rPr/>
        <w:t xml:space="preserve">IV. No cadastro Nacional de Condenações Civis por Ato de Improbidade Administrativa e Inelegibilidade, </w:t>
      </w:r>
      <w:r>
        <w:rPr>
          <w:lang w:val="pt-BR" w:eastAsia="zh-CN" w:bidi="ar-SA"/>
        </w:rPr>
        <w:t>supervisionado</w:t>
      </w:r>
      <w:r>
        <w:rPr/>
        <w:t xml:space="preserve"> pelo Conselho Nacional da Justiça.</w:t>
      </w:r>
    </w:p>
    <w:p>
      <w:pPr>
        <w:pStyle w:val="Normal"/>
        <w:bidi w:val="0"/>
        <w:spacing w:lineRule="auto" w:line="276"/>
        <w:jc w:val="left"/>
        <w:rPr/>
      </w:pPr>
      <w:r>
        <w:rPr>
          <w:b w:val="false"/>
          <w:bCs w:val="false"/>
          <w:color w:val="000000"/>
          <w:sz w:val="22"/>
          <w:szCs w:val="22"/>
        </w:rPr>
        <w:t xml:space="preserve">Para comprovação dos itens I, II, III e IV conjuntamente, poderá ser emitida certidão através do site: </w:t>
      </w:r>
      <w:hyperlink r:id="rId2">
        <w:r>
          <w:rPr>
            <w:rStyle w:val="Hyperlink"/>
            <w:b w:val="false"/>
            <w:bCs w:val="false"/>
            <w:color w:val="000000"/>
            <w:sz w:val="22"/>
            <w:szCs w:val="22"/>
          </w:rPr>
          <w:t>https://certidoes-apf.apps.tcu.gov.br</w:t>
        </w:r>
      </w:hyperlink>
    </w:p>
    <w:p>
      <w:pPr>
        <w:pStyle w:val="Normal"/>
        <w:bidi w:val="0"/>
        <w:spacing w:lineRule="auto" w:line="276"/>
        <w:jc w:val="left"/>
        <w:rPr>
          <w:rFonts w:ascii="Arial" w:hAnsi="Arial"/>
          <w:b w:val="false"/>
          <w:bCs w:val="false"/>
          <w:color w:val="000000"/>
          <w:sz w:val="22"/>
          <w:szCs w:val="22"/>
        </w:rPr>
      </w:pPr>
      <w:r>
        <w:rPr>
          <w:b w:val="false"/>
          <w:bCs w:val="false"/>
          <w:color w:val="000000"/>
          <w:sz w:val="22"/>
          <w:szCs w:val="22"/>
        </w:rPr>
      </w:r>
    </w:p>
    <w:p>
      <w:pPr>
        <w:pStyle w:val="Normal"/>
        <w:widowControl/>
        <w:bidi w:val="0"/>
        <w:spacing w:lineRule="auto" w:line="360" w:before="0" w:after="0"/>
        <w:ind w:hanging="0" w:left="0" w:right="0"/>
        <w:jc w:val="both"/>
        <w:rPr>
          <w:highlight w:val="yellow"/>
        </w:rPr>
      </w:pPr>
      <w:r>
        <w:rPr>
          <w:highlight w:val="yellow"/>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5. MODELO DE EXECUÇÃO DO OBJETO</w:t>
      </w:r>
    </w:p>
    <w:p>
      <w:pPr>
        <w:pStyle w:val="NormalWeb"/>
        <w:spacing w:lineRule="auto" w:line="360" w:beforeAutospacing="0" w:before="0" w:afterAutospacing="0" w:after="0"/>
        <w:jc w:val="both"/>
        <w:rPr>
          <w:highlight w:val="yellow"/>
        </w:rPr>
      </w:pPr>
      <w:r>
        <w:rPr>
          <w:highlight w:val="yellow"/>
        </w:rPr>
      </w:r>
    </w:p>
    <w:p>
      <w:pPr>
        <w:pStyle w:val="BodyText"/>
        <w:widowControl w:val="false"/>
        <w:suppressAutoHyphens w:val="true"/>
        <w:bidi w:val="0"/>
        <w:spacing w:lineRule="auto" w:line="360" w:before="0" w:after="0"/>
        <w:ind w:firstLine="737" w:left="0" w:right="0"/>
        <w:jc w:val="both"/>
        <w:rPr/>
      </w:pPr>
      <w:r>
        <w:rPr>
          <w:rFonts w:ascii="Arial" w:hAnsi="Arial"/>
          <w:b w:val="false"/>
          <w:bCs w:val="false"/>
          <w:sz w:val="22"/>
          <w:szCs w:val="22"/>
          <w:shd w:fill="FFFFFF" w:val="clear"/>
        </w:rPr>
        <w:t>A empresa contratada será responsável pela entrega d</w:t>
      </w:r>
      <w:r>
        <w:rPr>
          <w:rFonts w:eastAsia="Times New Roman" w:cs="Times New Roman" w:ascii="Arial" w:hAnsi="Arial"/>
          <w:b w:val="false"/>
          <w:bCs w:val="false"/>
          <w:color w:val="000000"/>
          <w:sz w:val="22"/>
          <w:szCs w:val="22"/>
          <w:shd w:fill="FFFFFF" w:val="clear"/>
          <w:lang w:val="pt-BR" w:eastAsia="zh-CN" w:bidi="ar-SA"/>
        </w:rPr>
        <w:t>os itens  que deverá ser feita</w:t>
      </w:r>
      <w:r>
        <w:rPr>
          <w:rFonts w:ascii="Arial" w:hAnsi="Arial"/>
          <w:b w:val="false"/>
          <w:bCs w:val="false"/>
          <w:sz w:val="22"/>
          <w:szCs w:val="22"/>
          <w:shd w:fill="FFFFFF" w:val="clear"/>
        </w:rPr>
        <w:t xml:space="preserve"> no prazo de 5 dias diretamente no Parque de Exposições Olmiro Calai.</w:t>
      </w:r>
    </w:p>
    <w:p>
      <w:pPr>
        <w:pStyle w:val="BodyText"/>
        <w:spacing w:lineRule="auto" w:line="360"/>
        <w:rPr>
          <w:rFonts w:ascii="Arial" w:hAnsi="Arial"/>
          <w:sz w:val="22"/>
          <w:szCs w:val="22"/>
          <w:highlight w:val="white"/>
        </w:rPr>
      </w:pPr>
      <w:r>
        <w:rPr>
          <w:rFonts w:ascii="Arial" w:hAnsi="Arial"/>
          <w:sz w:val="22"/>
          <w:szCs w:val="22"/>
          <w:shd w:fill="FFFFFF" w:val="clear"/>
        </w:rPr>
        <w:tab/>
        <w:t xml:space="preserve">O responsável pela fiscalização do Contrato será o servidor designado da Secretaria requisitante que fará o acompanhamento da </w:t>
      </w:r>
      <w:r>
        <w:rPr>
          <w:rFonts w:ascii="Arial" w:hAnsi="Arial"/>
          <w:b w:val="false"/>
          <w:bCs w:val="false"/>
          <w:sz w:val="22"/>
          <w:szCs w:val="22"/>
          <w:shd w:fill="FFFFFF" w:val="clear"/>
        </w:rPr>
        <w:t>entrega.</w:t>
      </w:r>
    </w:p>
    <w:p>
      <w:pPr>
        <w:pStyle w:val="BodyText"/>
        <w:spacing w:lineRule="auto" w:line="360"/>
        <w:rPr>
          <w:rFonts w:ascii="Arial" w:hAnsi="Arial"/>
          <w:sz w:val="22"/>
          <w:szCs w:val="22"/>
          <w:highlight w:val="white"/>
        </w:rPr>
      </w:pPr>
      <w:r>
        <w:rPr>
          <w:rFonts w:eastAsia="Arial" w:cs="Arial" w:ascii="Arial" w:hAnsi="Arial"/>
          <w:b w:val="false"/>
          <w:bCs w:val="false"/>
          <w:color w:val="000000"/>
          <w:spacing w:val="0"/>
          <w:sz w:val="22"/>
          <w:szCs w:val="22"/>
          <w:shd w:fill="FFFFFF" w:val="clear"/>
        </w:rPr>
        <w:tab/>
      </w:r>
      <w:r>
        <w:rPr>
          <w:rFonts w:ascii="Arial" w:hAnsi="Arial"/>
          <w:sz w:val="22"/>
          <w:szCs w:val="22"/>
          <w:shd w:fill="FFFFFF" w:val="clear"/>
        </w:rPr>
        <w:t xml:space="preserve">Os </w:t>
      </w:r>
      <w:r>
        <w:rPr>
          <w:rFonts w:eastAsia="Times New Roman" w:cs="Times New Roman" w:ascii="Arial" w:hAnsi="Arial"/>
          <w:color w:val="000000"/>
          <w:sz w:val="22"/>
          <w:szCs w:val="22"/>
          <w:shd w:fill="FFFFFF" w:val="clear"/>
          <w:lang w:val="pt-BR" w:eastAsia="zh-CN" w:bidi="ar-SA"/>
        </w:rPr>
        <w:t>itens e serviços</w:t>
      </w:r>
      <w:r>
        <w:rPr>
          <w:rFonts w:ascii="Arial" w:hAnsi="Arial"/>
          <w:sz w:val="22"/>
          <w:szCs w:val="22"/>
          <w:shd w:fill="FFFFFF" w:val="clear"/>
        </w:rPr>
        <w:t xml:space="preserve"> deverão ser os mesmos indicados na proposta apresentada pela vencedora, </w:t>
      </w:r>
      <w:r>
        <w:rPr>
          <w:rFonts w:ascii="Arial" w:hAnsi="Arial"/>
          <w:color w:val="000000"/>
          <w:sz w:val="22"/>
          <w:szCs w:val="22"/>
          <w:shd w:fill="FFFFFF" w:val="clear"/>
        </w:rPr>
        <w:t>sob pena de aplicação das penalidades previstas.</w:t>
      </w:r>
    </w:p>
    <w:p>
      <w:pPr>
        <w:pStyle w:val="BodyText"/>
        <w:widowControl/>
        <w:bidi w:val="0"/>
        <w:spacing w:lineRule="auto" w:line="360" w:beforeAutospacing="0" w:before="0" w:afterAutospacing="0" w:after="0"/>
        <w:ind w:firstLine="737" w:left="0" w:right="0"/>
        <w:jc w:val="both"/>
        <w:rPr>
          <w:rFonts w:ascii="Arial" w:hAnsi="Arial"/>
          <w:color w:val="00000A"/>
          <w:sz w:val="26"/>
          <w:szCs w:val="22"/>
          <w:highlight w:val="white"/>
          <w:lang w:val="pt-BR"/>
        </w:rPr>
      </w:pPr>
      <w:r>
        <w:rPr>
          <w:rFonts w:cs="Arial" w:ascii="Arial" w:hAnsi="Arial"/>
          <w:b w:val="false"/>
          <w:bCs w:val="false"/>
          <w:color w:val="000000"/>
          <w:sz w:val="22"/>
          <w:szCs w:val="22"/>
          <w:shd w:fill="FFFFFF" w:val="clear"/>
          <w:lang w:val="pt-BR"/>
        </w:rPr>
        <w:t>Verificada a desconformidade de algum dos materiais pelo servidor designado, o contratado vencedor deverá promover as correções necessárias no prazo máximo de 24h, sujeitando-se às penalidades previstas no instrumento contratual.</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sz w:val="22"/>
          <w:szCs w:val="22"/>
        </w:rPr>
      </w:pPr>
      <w:bookmarkStart w:id="3" w:name="art6xxiiif"/>
      <w:bookmarkEnd w:id="3"/>
      <w:r>
        <w:rPr>
          <w:rFonts w:cs="Arial" w:ascii="Arial" w:hAnsi="Arial"/>
          <w:b/>
          <w:bCs/>
          <w:color w:val="000000"/>
          <w:sz w:val="22"/>
          <w:szCs w:val="22"/>
        </w:rPr>
        <w:t>6. MODELO DE GESTÃO DO CONTRATO</w:t>
      </w:r>
    </w:p>
    <w:p>
      <w:pPr>
        <w:pStyle w:val="BodyText"/>
        <w:spacing w:lineRule="auto" w:line="360" w:beforeAutospacing="0" w:before="0" w:afterAutospacing="0" w:after="0"/>
        <w:jc w:val="both"/>
        <w:rPr/>
      </w:pPr>
      <w:r>
        <w:rPr>
          <w:rFonts w:eastAsia="Arial" w:cs="Arial" w:ascii="Arial" w:hAnsi="Arial"/>
          <w:b w:val="false"/>
          <w:bCs w:val="false"/>
          <w:color w:val="000000"/>
          <w:spacing w:val="0"/>
          <w:sz w:val="22"/>
          <w:szCs w:val="22"/>
          <w:shd w:fill="FFFFFF" w:val="clear"/>
        </w:rPr>
        <w:tab/>
      </w:r>
    </w:p>
    <w:p>
      <w:pPr>
        <w:pStyle w:val="BodyText"/>
        <w:spacing w:lineRule="auto" w:line="360" w:beforeAutospacing="0" w:before="0" w:afterAutospacing="0" w:after="0"/>
        <w:jc w:val="both"/>
        <w:rPr/>
      </w:pPr>
      <w:r>
        <w:rPr>
          <w:rFonts w:eastAsia="Arial" w:cs="Arial" w:ascii="Arial" w:hAnsi="Arial"/>
          <w:b w:val="false"/>
          <w:bCs w:val="false"/>
          <w:color w:val="000000"/>
          <w:spacing w:val="0"/>
          <w:sz w:val="22"/>
          <w:szCs w:val="22"/>
          <w:shd w:fill="FFFFFF" w:val="clear"/>
        </w:rPr>
        <w:tab/>
        <w:t xml:space="preserve">A gestão e a fiscalização do objeto contratado serão realizadas conforme o disposto na </w:t>
      </w:r>
      <w:r>
        <w:rPr>
          <w:rFonts w:eastAsia="Arial" w:cs="Arial" w:ascii="Arial" w:hAnsi="Arial"/>
          <w:b/>
          <w:bCs/>
          <w:color w:val="000000"/>
          <w:spacing w:val="0"/>
          <w:sz w:val="22"/>
          <w:szCs w:val="22"/>
          <w:shd w:fill="FFFFFF" w:val="clear"/>
        </w:rPr>
        <w:t>Portaria nº 2</w:t>
      </w:r>
      <w:r>
        <w:rPr>
          <w:rFonts w:eastAsia="Arial" w:cs="Arial" w:ascii="Arial" w:hAnsi="Arial"/>
          <w:b/>
          <w:bCs/>
          <w:color w:val="000000"/>
          <w:spacing w:val="0"/>
          <w:sz w:val="22"/>
          <w:szCs w:val="22"/>
          <w:shd w:fill="FFFFFF" w:val="clear"/>
        </w:rPr>
        <w:t>2</w:t>
      </w:r>
      <w:r>
        <w:rPr>
          <w:rFonts w:eastAsia="Arial" w:cs="Arial" w:ascii="Arial" w:hAnsi="Arial"/>
          <w:b/>
          <w:bCs/>
          <w:color w:val="000000"/>
          <w:spacing w:val="0"/>
          <w:sz w:val="22"/>
          <w:szCs w:val="22"/>
          <w:shd w:fill="FFFFFF" w:val="clear"/>
        </w:rPr>
        <w:t>.</w:t>
      </w:r>
      <w:r>
        <w:rPr>
          <w:rFonts w:eastAsia="Arial" w:cs="Arial" w:ascii="Arial" w:hAnsi="Arial"/>
          <w:b/>
          <w:bCs/>
          <w:color w:val="000000"/>
          <w:spacing w:val="0"/>
          <w:sz w:val="22"/>
          <w:szCs w:val="22"/>
          <w:shd w:fill="FFFFFF" w:val="clear"/>
        </w:rPr>
        <w:t>981</w:t>
      </w:r>
      <w:r>
        <w:rPr>
          <w:rFonts w:eastAsia="Arial" w:cs="Arial" w:ascii="Arial" w:hAnsi="Arial"/>
          <w:b/>
          <w:bCs/>
          <w:color w:val="000000"/>
          <w:spacing w:val="0"/>
          <w:sz w:val="22"/>
          <w:szCs w:val="22"/>
          <w:shd w:fill="FFFFFF" w:val="clear"/>
        </w:rPr>
        <w:t>/202</w:t>
      </w:r>
      <w:r>
        <w:rPr>
          <w:rFonts w:eastAsia="Arial" w:cs="Arial" w:ascii="Arial" w:hAnsi="Arial"/>
          <w:b/>
          <w:bCs/>
          <w:color w:val="000000"/>
          <w:spacing w:val="0"/>
          <w:sz w:val="22"/>
          <w:szCs w:val="22"/>
          <w:shd w:fill="FFFFFF" w:val="clear"/>
        </w:rPr>
        <w:t>5</w:t>
      </w:r>
      <w:r>
        <w:rPr>
          <w:rFonts w:eastAsia="Arial" w:cs="Arial" w:ascii="Arial" w:hAnsi="Arial"/>
          <w:b/>
          <w:bCs/>
          <w:color w:val="000000"/>
          <w:spacing w:val="0"/>
          <w:sz w:val="22"/>
          <w:szCs w:val="22"/>
          <w:shd w:fill="FFFFFF" w:val="clear"/>
        </w:rPr>
        <w:t>,</w:t>
      </w:r>
      <w:r>
        <w:rPr>
          <w:rFonts w:eastAsia="Arial" w:cs="Arial" w:ascii="Arial" w:hAnsi="Arial"/>
          <w:b w:val="false"/>
          <w:bCs w:val="false"/>
          <w:color w:val="000000"/>
          <w:spacing w:val="0"/>
          <w:sz w:val="22"/>
          <w:szCs w:val="22"/>
          <w:shd w:fill="FFFFFF" w:val="clear"/>
        </w:rPr>
        <w:t xml:space="preserve"> que “Designa Fiscais de contrato, para acompanhar e fiscalizar a execução do(s) Contrato(s) celebrado(s) entre o MUNICÍPIO DE GIRUÁ e a empresas contratadas, de acordo com cada Secretaria municipal, onde está lotado o servidor, a qual passa a vigorar conforme segue”, nos termos do Art. 92, XVIII, da Lei Federal nº 14.133/2021.</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bookmarkStart w:id="4" w:name="art6xxiiig"/>
      <w:bookmarkStart w:id="5" w:name="art6xxiiig"/>
      <w:bookmarkEnd w:id="5"/>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7. CRITÉRIOS DE MEDIÇÃO E DE PAGAMENTO</w:t>
      </w:r>
    </w:p>
    <w:p>
      <w:pPr>
        <w:pStyle w:val="NormalWeb"/>
        <w:spacing w:lineRule="auto" w:line="360" w:beforeAutospacing="0" w:before="0" w:afterAutospacing="0" w:after="0"/>
        <w:jc w:val="both"/>
        <w:rPr>
          <w:highlight w:val="yellow"/>
        </w:rPr>
      </w:pPr>
      <w:r>
        <w:rPr>
          <w:highlight w:val="yellow"/>
        </w:rPr>
      </w:r>
    </w:p>
    <w:p>
      <w:pPr>
        <w:pStyle w:val="Normal"/>
        <w:spacing w:lineRule="auto" w:line="360" w:beforeAutospacing="0" w:before="0" w:afterAutospacing="0" w:after="0"/>
        <w:jc w:val="both"/>
        <w:rPr>
          <w:rFonts w:ascii="Arial" w:hAnsi="Arial"/>
          <w:sz w:val="22"/>
          <w:szCs w:val="22"/>
        </w:rPr>
      </w:pPr>
      <w:r>
        <w:rPr>
          <w:rFonts w:cs="Arial"/>
          <w:color w:val="000000"/>
          <w:sz w:val="22"/>
          <w:szCs w:val="22"/>
        </w:rPr>
        <w:tab/>
        <w:t xml:space="preserve">O pagamento a empresa será realizado mediante apresentação de nota fiscal, no valor do contrato, sendo a nota emitida e entregue para a Secretaria Municipal </w:t>
      </w:r>
      <w:r>
        <w:rPr>
          <w:rFonts w:eastAsia="Times New Roman" w:cs="Arial"/>
          <w:color w:val="000000"/>
          <w:sz w:val="22"/>
          <w:szCs w:val="22"/>
          <w:lang w:val="pt-BR" w:eastAsia="zh-CN" w:bidi="ar-SA"/>
        </w:rPr>
        <w:t>requisitante,</w:t>
      </w:r>
      <w:r>
        <w:rPr>
          <w:rFonts w:cs="Arial"/>
          <w:color w:val="000000"/>
          <w:sz w:val="22"/>
          <w:szCs w:val="22"/>
        </w:rPr>
        <w:t xml:space="preserve"> dentro do prazo de vigência do contrato;</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Considera-se ocorrido o recebimento da nota fiscal no momento em que o órgão contratante atestar a execução do objeto do contrato;</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O pagamento será realizado por depósito bancário ou boleto (no caso de depósito, as informações de banco, agência e conta-corrente devem estar descritas na nota fiscal);</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O pagamento será realizado em até 30 dias após a entrega da nota fiscal ao setor competente;</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Web"/>
        <w:spacing w:lineRule="auto" w:line="360" w:beforeAutospacing="0" w:before="0" w:afterAutospacing="0" w:after="0"/>
        <w:jc w:val="both"/>
        <w:rPr>
          <w:rFonts w:ascii="Arial" w:hAnsi="Arial"/>
          <w:sz w:val="22"/>
          <w:szCs w:val="22"/>
        </w:rPr>
      </w:pPr>
      <w:r>
        <w:rPr>
          <w:rFonts w:cs="Arial" w:ascii="Arial" w:hAnsi="Arial"/>
          <w:color w:val="000000"/>
          <w:sz w:val="22"/>
          <w:szCs w:val="22"/>
        </w:rPr>
        <w:tab/>
        <w:t>Quando do pagamento, será efetuada a retenção tributária prevista na legislação aplicável;</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8. FORMA E CRITÉRIOS DE SELEÇÃO DO FORNECEDOR/PRESTADOR DE SERVIÇO</w:t>
      </w:r>
    </w:p>
    <w:p>
      <w:pPr>
        <w:pStyle w:val="Normal"/>
        <w:suppressAutoHyphens w:val="true"/>
        <w:spacing w:lineRule="exact" w:line="360" w:beforeAutospacing="0" w:before="0" w:afterAutospacing="0" w:after="0"/>
        <w:ind w:hanging="0" w:left="0" w:right="0"/>
        <w:jc w:val="both"/>
        <w:rPr>
          <w:rFonts w:ascii="Arial" w:hAnsi="Arial"/>
          <w:sz w:val="22"/>
          <w:szCs w:val="22"/>
        </w:rPr>
      </w:pPr>
      <w:r>
        <w:rPr>
          <w:rFonts w:eastAsia="Arial" w:cs="Arial"/>
          <w:color w:val="000000"/>
          <w:spacing w:val="0"/>
          <w:sz w:val="22"/>
          <w:szCs w:val="22"/>
          <w:shd w:fill="FFFFFF" w:val="clear"/>
        </w:rPr>
        <w:tab/>
        <w:t>Conforme disposto no item 4, o futuro contratado será selecionado mediante processo de dispensa de licitação, com arrimo no art. 72 e seguintes da Lei n° 14.133/2021.</w:t>
      </w:r>
    </w:p>
    <w:p>
      <w:pPr>
        <w:pStyle w:val="NormalWeb"/>
        <w:spacing w:lineRule="auto" w:line="360" w:beforeAutospacing="0" w:before="0" w:afterAutospacing="0" w:after="0"/>
        <w:jc w:val="both"/>
        <w:rPr>
          <w:rFonts w:ascii="Arial" w:hAnsi="Arial" w:cs="Arial"/>
          <w:color w:val="000000"/>
          <w:sz w:val="22"/>
          <w:szCs w:val="22"/>
        </w:rPr>
      </w:pPr>
      <w:r>
        <w:rPr>
          <w:rFonts w:cs="Arial" w:ascii="Arial" w:hAnsi="Arial"/>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9. ESTIMATIVA DO VALOR DA CONTRATAÇÃO</w:t>
      </w:r>
    </w:p>
    <w:p>
      <w:pPr>
        <w:pStyle w:val="Normal"/>
        <w:spacing w:lineRule="auto" w:line="360"/>
        <w:jc w:val="both"/>
        <w:rPr>
          <w:sz w:val="22"/>
          <w:szCs w:val="22"/>
        </w:rPr>
      </w:pPr>
      <w:r>
        <w:rPr>
          <w:sz w:val="22"/>
          <w:szCs w:val="22"/>
        </w:rPr>
        <w:tab/>
      </w:r>
    </w:p>
    <w:p>
      <w:pPr>
        <w:pStyle w:val="Normal"/>
        <w:spacing w:lineRule="auto" w:line="360"/>
        <w:jc w:val="both"/>
        <w:rPr>
          <w:sz w:val="22"/>
          <w:szCs w:val="22"/>
        </w:rPr>
      </w:pPr>
      <w:r>
        <w:rPr>
          <w:sz w:val="22"/>
          <w:szCs w:val="22"/>
        </w:rPr>
        <w:tab/>
        <w:t>Estima-se para a contratação almejada o valor total de R$ 4.017,00 (Quatro mil e dezessete reais)</w:t>
      </w:r>
      <w:r>
        <w:rPr>
          <w:color w:val="00000A"/>
          <w:sz w:val="22"/>
          <w:szCs w:val="22"/>
          <w:shd w:fill="auto" w:val="clear"/>
        </w:rPr>
        <w:t>.</w:t>
      </w:r>
    </w:p>
    <w:p>
      <w:pPr>
        <w:pStyle w:val="Normal"/>
        <w:spacing w:lineRule="auto" w:line="360"/>
        <w:jc w:val="both"/>
        <w:rPr>
          <w:rFonts w:ascii="Arial" w:hAnsi="Arial"/>
          <w:sz w:val="22"/>
          <w:szCs w:val="22"/>
        </w:rPr>
      </w:pPr>
      <w:r>
        <w:rPr>
          <w:sz w:val="22"/>
          <w:szCs w:val="22"/>
        </w:rPr>
        <w:tab/>
        <w:t xml:space="preserve">Vislumbra-se que tal valor é compatível com o praticado pelo mercado correspondente, observando-se o disposto no Decreto Municipal nº </w:t>
      </w:r>
      <w:r>
        <w:rPr>
          <w:rFonts w:cs="Arial"/>
          <w:sz w:val="22"/>
          <w:szCs w:val="22"/>
          <w:lang w:eastAsia="zh-CN"/>
        </w:rPr>
        <w:t>1911/2022</w:t>
      </w:r>
      <w:r>
        <w:rPr>
          <w:sz w:val="22"/>
          <w:szCs w:val="22"/>
        </w:rPr>
        <w:t xml:space="preserve">, que </w:t>
      </w:r>
      <w:r>
        <w:rPr>
          <w:color w:val="000000"/>
          <w:sz w:val="22"/>
          <w:szCs w:val="22"/>
        </w:rPr>
        <w:t>“</w:t>
      </w:r>
      <w:r>
        <w:rPr>
          <w:b w:val="false"/>
          <w:i w:val="false"/>
          <w:caps w:val="false"/>
          <w:smallCaps w:val="false"/>
          <w:color w:val="000000"/>
          <w:spacing w:val="0"/>
          <w:sz w:val="22"/>
          <w:szCs w:val="22"/>
        </w:rPr>
        <w:t xml:space="preserve">Institui normas para o procedimento administrativo para a realização de </w:t>
      </w:r>
      <w:r>
        <w:rPr>
          <w:color w:val="000000"/>
          <w:sz w:val="22"/>
          <w:szCs w:val="22"/>
        </w:rPr>
        <w:t>pesquisa</w:t>
      </w:r>
      <w:r>
        <w:rPr>
          <w:caps w:val="false"/>
          <w:smallCaps w:val="false"/>
          <w:color w:val="000000"/>
          <w:spacing w:val="0"/>
          <w:sz w:val="22"/>
          <w:szCs w:val="22"/>
        </w:rPr>
        <w:t xml:space="preserve"> </w:t>
      </w:r>
      <w:r>
        <w:rPr>
          <w:b w:val="false"/>
          <w:i w:val="false"/>
          <w:caps w:val="false"/>
          <w:smallCaps w:val="false"/>
          <w:color w:val="000000"/>
          <w:spacing w:val="0"/>
          <w:sz w:val="22"/>
          <w:szCs w:val="22"/>
        </w:rPr>
        <w:t>de preços para aquisição de bens e contratação de serviços em geral, no âmbito do Município de Giruá-RS</w:t>
      </w:r>
      <w:r>
        <w:rPr>
          <w:color w:val="000000"/>
          <w:sz w:val="22"/>
          <w:szCs w:val="22"/>
        </w:rPr>
        <w:t>”</w:t>
      </w:r>
      <w:r>
        <w:rPr>
          <w:sz w:val="22"/>
          <w:szCs w:val="22"/>
        </w:rPr>
        <w:t>.</w:t>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color w:val="000000"/>
          <w:sz w:val="22"/>
          <w:szCs w:val="22"/>
        </w:rPr>
        <w:tab/>
        <w:t>Quanto à pesquisa de peço, realizou-se a cotação no formato local.</w:t>
      </w:r>
    </w:p>
    <w:p>
      <w:pPr>
        <w:pStyle w:val="NormalWeb"/>
        <w:spacing w:lineRule="auto" w:line="360" w:beforeAutospacing="0" w:before="0" w:afterAutospacing="0" w:after="0"/>
        <w:jc w:val="both"/>
        <w:rPr>
          <w:rFonts w:ascii="Arial" w:hAnsi="Arial" w:cs="Arial"/>
          <w:b/>
          <w:bCs/>
          <w:color w:val="000000"/>
          <w:sz w:val="22"/>
          <w:szCs w:val="22"/>
        </w:rPr>
      </w:pPr>
      <w:r>
        <w:rPr>
          <w:rFonts w:cs="Arial" w:ascii="Arial" w:hAnsi="Arial"/>
          <w:b/>
          <w:bCs/>
          <w:color w:val="000000"/>
          <w:sz w:val="22"/>
          <w:szCs w:val="22"/>
        </w:rPr>
      </w:r>
    </w:p>
    <w:p>
      <w:pPr>
        <w:pStyle w:val="NormalWeb"/>
        <w:spacing w:lineRule="auto" w:line="360" w:beforeAutospacing="0" w:before="0" w:afterAutospacing="0" w:after="0"/>
        <w:jc w:val="both"/>
        <w:rPr>
          <w:rFonts w:ascii="Arial" w:hAnsi="Arial"/>
          <w:sz w:val="22"/>
          <w:szCs w:val="22"/>
        </w:rPr>
      </w:pPr>
      <w:r>
        <w:rPr>
          <w:rFonts w:cs="Arial" w:ascii="Arial" w:hAnsi="Arial"/>
          <w:b/>
          <w:bCs/>
          <w:color w:val="000000"/>
          <w:sz w:val="22"/>
          <w:szCs w:val="22"/>
        </w:rPr>
        <w:t>10. ADEQUAÇÃO ORÇAMENTÁRIA</w:t>
      </w:r>
    </w:p>
    <w:p>
      <w:pPr>
        <w:pStyle w:val="Normal"/>
        <w:spacing w:lineRule="auto" w:line="360"/>
        <w:jc w:val="both"/>
        <w:rPr>
          <w:rFonts w:ascii="Arial" w:hAnsi="Arial"/>
          <w:sz w:val="22"/>
          <w:szCs w:val="22"/>
        </w:rPr>
      </w:pPr>
      <w:r>
        <w:rPr>
          <w:sz w:val="22"/>
          <w:szCs w:val="22"/>
        </w:rPr>
        <w:tab/>
        <w:t xml:space="preserve">O dispêndio financeiro decorrente da contratação ora pretendida decorrerá da dotação orçamentária </w:t>
      </w:r>
      <w:r>
        <w:rPr>
          <w:sz w:val="22"/>
          <w:szCs w:val="22"/>
        </w:rPr>
        <w:t>9298</w:t>
      </w:r>
    </w:p>
    <w:p>
      <w:pPr>
        <w:pStyle w:val="Normal"/>
        <w:spacing w:lineRule="auto" w:line="360"/>
        <w:jc w:val="both"/>
        <w:rPr>
          <w:rFonts w:ascii="Arial" w:hAnsi="Arial"/>
          <w:sz w:val="22"/>
          <w:szCs w:val="22"/>
        </w:rPr>
      </w:pPr>
      <w:r>
        <w:rPr>
          <w:sz w:val="22"/>
          <w:szCs w:val="22"/>
        </w:rPr>
      </w:r>
    </w:p>
    <w:p>
      <w:pPr>
        <w:pStyle w:val="Normal"/>
        <w:spacing w:lineRule="auto" w:line="360"/>
        <w:jc w:val="right"/>
        <w:rPr>
          <w:rFonts w:ascii="Arial" w:hAnsi="Arial"/>
          <w:sz w:val="22"/>
          <w:szCs w:val="22"/>
        </w:rPr>
      </w:pPr>
      <w:r>
        <w:rPr>
          <w:sz w:val="22"/>
          <w:szCs w:val="22"/>
        </w:rPr>
        <w:t xml:space="preserve">Giruá </w:t>
      </w:r>
      <w:r>
        <w:rPr>
          <w:sz w:val="22"/>
          <w:szCs w:val="22"/>
        </w:rPr>
        <w:t>20</w:t>
      </w:r>
      <w:r>
        <w:rPr>
          <w:sz w:val="22"/>
          <w:szCs w:val="22"/>
        </w:rPr>
        <w:t xml:space="preserve"> RS, Fevereiro de 202</w:t>
      </w:r>
      <w:r>
        <w:rPr>
          <w:sz w:val="22"/>
          <w:szCs w:val="22"/>
        </w:rPr>
        <w:t>5</w:t>
      </w:r>
      <w:r>
        <w:rPr>
          <w:sz w:val="22"/>
          <w:szCs w:val="22"/>
        </w:rPr>
        <w:t>.</w:t>
      </w:r>
    </w:p>
    <w:p>
      <w:pPr>
        <w:pStyle w:val="Normal"/>
        <w:spacing w:lineRule="auto" w:line="360"/>
        <w:jc w:val="both"/>
        <w:rPr>
          <w:rFonts w:ascii="Arial" w:hAnsi="Arial"/>
          <w:sz w:val="22"/>
          <w:szCs w:val="22"/>
        </w:rPr>
      </w:pPr>
      <w:r>
        <w:rPr>
          <w:sz w:val="22"/>
          <w:szCs w:val="22"/>
        </w:rPr>
      </w:r>
    </w:p>
    <w:p>
      <w:pPr>
        <w:pStyle w:val="Normal"/>
        <w:spacing w:lineRule="auto" w:line="360"/>
        <w:jc w:val="both"/>
        <w:rPr>
          <w:rFonts w:ascii="Arial" w:hAnsi="Arial"/>
          <w:sz w:val="22"/>
          <w:szCs w:val="22"/>
        </w:rPr>
      </w:pPr>
      <w:r>
        <w:rPr>
          <w:sz w:val="22"/>
          <w:szCs w:val="22"/>
        </w:rPr>
      </w:r>
    </w:p>
    <w:p>
      <w:pPr>
        <w:pStyle w:val="Normal"/>
        <w:spacing w:lineRule="auto" w:line="360"/>
        <w:jc w:val="center"/>
        <w:rPr>
          <w:b/>
          <w:bCs/>
        </w:rPr>
      </w:pPr>
      <w:r>
        <w:rPr>
          <w:b/>
          <w:bCs/>
          <w:sz w:val="22"/>
          <w:szCs w:val="22"/>
        </w:rPr>
        <w:t>_______________________________________</w:t>
      </w:r>
    </w:p>
    <w:p>
      <w:pPr>
        <w:pStyle w:val="Normal"/>
        <w:spacing w:lineRule="auto" w:line="360"/>
        <w:jc w:val="center"/>
        <w:rPr>
          <w:rFonts w:ascii="Arial" w:hAnsi="Arial" w:eastAsia="Times New Roman" w:cs="Arial"/>
          <w:b/>
          <w:bCs/>
          <w:color w:val="000000"/>
          <w:kern w:val="0"/>
          <w:sz w:val="22"/>
          <w:szCs w:val="22"/>
          <w:shd w:fill="auto" w:val="clear"/>
          <w:lang w:val="pt-BR" w:eastAsia="zh-CN" w:bidi="ar-SA"/>
        </w:rPr>
      </w:pPr>
      <w:r>
        <w:rPr>
          <w:rFonts w:eastAsia="Times New Roman" w:cs="Arial"/>
          <w:b/>
          <w:bCs/>
          <w:color w:val="000000"/>
          <w:kern w:val="0"/>
          <w:sz w:val="22"/>
          <w:szCs w:val="22"/>
          <w:shd w:fill="auto" w:val="clear"/>
          <w:lang w:val="pt-BR" w:eastAsia="zh-CN" w:bidi="ar-SA"/>
        </w:rPr>
        <w:t>RUBEN WEIMER</w:t>
      </w:r>
    </w:p>
    <w:p>
      <w:pPr>
        <w:pStyle w:val="Normal"/>
        <w:spacing w:lineRule="auto" w:line="360"/>
        <w:jc w:val="center"/>
        <w:rPr>
          <w:shd w:fill="auto" w:val="clear"/>
        </w:rPr>
      </w:pPr>
      <w:r>
        <w:rPr>
          <w:rFonts w:eastAsia="Times New Roman" w:cs="Arial"/>
          <w:b/>
          <w:bCs/>
          <w:color w:val="000000"/>
          <w:kern w:val="0"/>
          <w:sz w:val="22"/>
          <w:szCs w:val="22"/>
          <w:shd w:fill="auto" w:val="clear"/>
          <w:lang w:val="pt-BR" w:eastAsia="zh-CN" w:bidi="ar-SA"/>
        </w:rPr>
        <w:t>SECRETARIA MUNICIPAL DE PLANEJAMENTO ECONÔMICO</w:t>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276" w:right="1134" w:gutter="0" w:header="1276" w:top="1333" w:footer="737"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roman"/>
    <w:pitch w:val="variable"/>
  </w:font>
  <w:font w:name="Segoe UI">
    <w:charset w:val="00"/>
    <w:family w:val="roman"/>
    <w:pitch w:val="variable"/>
  </w:font>
  <w:font w:name="Monotype Sorts">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487203463"/>
    </w:sdtPr>
    <w:sdtContent>
      <w:p>
        <w:pPr>
          <w:pStyle w:val="Footer"/>
          <w:jc w:val="right"/>
          <w:rPr/>
        </w:pPr>
        <w:r>
          <w:rPr/>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sz w:val="4"/>
        <w:szCs w:val="4"/>
      </w:rPr>
    </w:pPr>
    <w:r>
      <w:rPr>
        <w:sz w:val="4"/>
        <w:szCs w:val="4"/>
      </w:rPr>
    </w:r>
  </w:p>
</w:hdr>
</file>

<file path=word/settings.xml><?xml version="1.0" encoding="utf-8"?>
<w:settings xmlns:w="http://schemas.openxmlformats.org/wordprocessingml/2006/main">
  <w:zoom w:percent="100"/>
  <w:displayBackgroundShape/>
  <w:embedSystemFonts/>
  <w:defaultTabStop w:val="708"/>
  <w:autoHyphenation w:val="true"/>
  <w:hyphenationZone w:val="0"/>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Arial" w:hAnsi="Arial" w:eastAsia="Times New Roman" w:cs="Arial"/>
      <w:color w:val="00000A"/>
      <w:kern w:val="0"/>
      <w:sz w:val="22"/>
      <w:szCs w:val="20"/>
      <w:lang w:val="pt-BR" w:eastAsia="zh-CN" w:bidi="ar-SA"/>
    </w:rPr>
  </w:style>
  <w:style w:type="paragraph" w:styleId="Heading1">
    <w:name w:val="heading 1"/>
    <w:basedOn w:val="Normal"/>
    <w:next w:val="Normal"/>
    <w:qFormat/>
    <w:pPr>
      <w:keepNext w:val="true"/>
      <w:spacing w:before="240" w:after="60"/>
      <w:outlineLvl w:val="0"/>
    </w:pPr>
    <w:rPr>
      <w:b/>
      <w:sz w:val="28"/>
    </w:rPr>
  </w:style>
  <w:style w:type="paragraph" w:styleId="Heading2">
    <w:name w:val="heading 2"/>
    <w:basedOn w:val="Normal"/>
    <w:next w:val="Normal"/>
    <w:link w:val="Ttulo2Char"/>
    <w:semiHidden/>
    <w:unhideWhenUsed/>
    <w:qFormat/>
    <w:rsid w:val="00b96d5c"/>
    <w:pPr>
      <w:keepNext w:val="true"/>
      <w:spacing w:before="240" w:after="60"/>
      <w:outlineLvl w:val="1"/>
    </w:pPr>
    <w:rPr>
      <w:rFonts w:ascii="Calibri Light" w:hAnsi="Calibri Light" w:cs="Times New Roman"/>
      <w:b/>
      <w:bCs/>
      <w:i/>
      <w:iCs/>
      <w:sz w:val="28"/>
      <w:szCs w:val="28"/>
    </w:rPr>
  </w:style>
  <w:style w:type="paragraph" w:styleId="Heading3">
    <w:name w:val="heading 3"/>
    <w:basedOn w:val="Normal"/>
    <w:next w:val="Normal"/>
    <w:link w:val="Ttulo3Char"/>
    <w:semiHidden/>
    <w:unhideWhenUsed/>
    <w:qFormat/>
    <w:rsid w:val="00b96d5c"/>
    <w:pPr>
      <w:keepNext w:val="true"/>
      <w:spacing w:before="240" w:after="60"/>
      <w:outlineLvl w:val="2"/>
    </w:pPr>
    <w:rPr>
      <w:rFonts w:ascii="Calibri Light" w:hAnsi="Calibri Light" w:cs="Times New Roman"/>
      <w:b/>
      <w:bCs/>
      <w:sz w:val="26"/>
      <w:szCs w:val="26"/>
    </w:rPr>
  </w:style>
  <w:style w:type="paragraph" w:styleId="Heading7">
    <w:name w:val="heading 7"/>
    <w:basedOn w:val="Normal"/>
    <w:next w:val="Normal"/>
    <w:link w:val="Ttulo7Char"/>
    <w:qFormat/>
    <w:rsid w:val="00b96d5c"/>
    <w:pPr>
      <w:keepNext w:val="true"/>
      <w:tabs>
        <w:tab w:val="clear" w:pos="708"/>
        <w:tab w:val="left" w:pos="2835" w:leader="none"/>
      </w:tabs>
      <w:spacing w:lineRule="exact" w:line="280"/>
      <w:ind w:hanging="57" w:left="57" w:right="57"/>
      <w:jc w:val="center"/>
      <w:outlineLvl w:val="6"/>
    </w:pPr>
    <w:rPr>
      <w:rFonts w:ascii="Times New Roman" w:hAnsi="Times New Roman" w:cs="Times New Roman"/>
      <w:b/>
      <w:spacing w:val="14"/>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4" w:customStyle="1">
    <w:name w:val="Fonte parág. padrão4"/>
    <w:qFormat/>
    <w:rPr/>
  </w:style>
  <w:style w:type="character" w:styleId="Absatz-Standardschriftart" w:customStyle="1">
    <w:name w:val="Absatz-Standardschriftart"/>
    <w:qFormat/>
    <w:rPr/>
  </w:style>
  <w:style w:type="character" w:styleId="Fontepargpadro3" w:customStyle="1">
    <w:name w:val="Fonte parág. padrão3"/>
    <w:qFormat/>
    <w:rPr/>
  </w:style>
  <w:style w:type="character" w:styleId="WW-Absatz-Standardschriftart" w:customStyle="1">
    <w:name w:val="WW-Absatz-Standardschriftart"/>
    <w:qFormat/>
    <w:rPr/>
  </w:style>
  <w:style w:type="character" w:styleId="Fontepargpadro2" w:customStyle="1">
    <w:name w:val="Fonte parág. padrão2"/>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Fontepargpadro1" w:customStyle="1">
    <w:name w:val="Fonte parág. padrão1"/>
    <w:qFormat/>
    <w:rPr/>
  </w:style>
  <w:style w:type="character" w:styleId="PageNumber">
    <w:name w:val="page number"/>
    <w:basedOn w:val="Fontepargpadro1"/>
    <w:qFormat/>
    <w:rPr/>
  </w:style>
  <w:style w:type="character" w:styleId="Caracteresdenotaderodap" w:customStyle="1">
    <w:name w:val="Caracteres de nota de rodapé"/>
    <w:qFormat/>
    <w:rPr>
      <w:vertAlign w:val="superscript"/>
    </w:rPr>
  </w:style>
  <w:style w:type="character" w:styleId="Refdenotaderodap1" w:customStyle="1">
    <w:name w:val="Ref. de nota de rodapé1"/>
    <w:qFormat/>
    <w:rPr>
      <w:vertAlign w:val="superscript"/>
    </w:rPr>
  </w:style>
  <w:style w:type="character" w:styleId="Caracteresdenotadefim" w:customStyle="1">
    <w:name w:val="Caracteres de nota de fim"/>
    <w:qFormat/>
    <w:rPr>
      <w:vertAlign w:val="superscript"/>
    </w:rPr>
  </w:style>
  <w:style w:type="character" w:styleId="WW-Caracteresdenotadefim" w:customStyle="1">
    <w:name w:val="WW-Caracteres de nota de fim"/>
    <w:qFormat/>
    <w:rPr/>
  </w:style>
  <w:style w:type="character" w:styleId="Smbolosdenumerao" w:customStyle="1">
    <w:name w:val="Símbolos de numeração"/>
    <w:qFormat/>
    <w:rPr/>
  </w:style>
  <w:style w:type="character" w:styleId="Refdenotadefim1" w:customStyle="1">
    <w:name w:val="Ref. de nota de fim1"/>
    <w:qFormat/>
    <w:rPr>
      <w:vertAlign w:val="superscript"/>
    </w:rPr>
  </w:style>
  <w:style w:type="character" w:styleId="Refdenotaderodap2" w:customStyle="1">
    <w:name w:val="Ref. de nota de rodapé2"/>
    <w:qFormat/>
    <w:rPr>
      <w:vertAlign w:val="superscript"/>
    </w:rPr>
  </w:style>
  <w:style w:type="character" w:styleId="Refdenotadefim2" w:customStyle="1">
    <w:name w:val="Ref. de nota de fim2"/>
    <w:qFormat/>
    <w:rPr>
      <w:vertAlign w:val="superscript"/>
    </w:rPr>
  </w:style>
  <w:style w:type="character" w:styleId="Refdenotaderodap3" w:customStyle="1">
    <w:name w:val="Ref. de nota de rodapé3"/>
    <w:qFormat/>
    <w:rPr>
      <w:vertAlign w:val="superscript"/>
    </w:rPr>
  </w:style>
  <w:style w:type="character" w:styleId="Refdenotadefim3" w:customStyle="1">
    <w:name w:val="Ref. de nota de fim3"/>
    <w:qFormat/>
    <w:rPr>
      <w:vertAlign w:val="superscript"/>
    </w:rPr>
  </w:style>
  <w:style w:type="character" w:styleId="FootnoteReference">
    <w:name w:val="footnote reference"/>
    <w:rPr>
      <w:vertAlign w:val="superscript"/>
    </w:rPr>
  </w:style>
  <w:style w:type="character" w:styleId="FootnoteCharacters">
    <w:name w:val="Footnote Characters"/>
    <w:qFormat/>
    <w:rPr>
      <w:vertAlign w:val="superscript"/>
    </w:rPr>
  </w:style>
  <w:style w:type="character" w:styleId="EndnoteReference">
    <w:name w:val="endnote reference"/>
    <w:rPr>
      <w:vertAlign w:val="superscript"/>
    </w:rPr>
  </w:style>
  <w:style w:type="character" w:styleId="EndnoteCharacters">
    <w:name w:val="Endnote Characters"/>
    <w:qFormat/>
    <w:rPr>
      <w:vertAlign w:val="superscript"/>
    </w:rPr>
  </w:style>
  <w:style w:type="character" w:styleId="RodapChar" w:customStyle="1">
    <w:name w:val="Rodapé Char"/>
    <w:uiPriority w:val="99"/>
    <w:qFormat/>
    <w:rsid w:val="00502e0d"/>
    <w:rPr>
      <w:rFonts w:ascii="Arial" w:hAnsi="Arial" w:cs="Arial"/>
      <w:sz w:val="22"/>
      <w:lang w:eastAsia="zh-CN"/>
    </w:rPr>
  </w:style>
  <w:style w:type="character" w:styleId="Refdenotaderodap5" w:customStyle="1">
    <w:name w:val="Ref. de nota de rodapé5"/>
    <w:qFormat/>
    <w:rsid w:val="00e80693"/>
    <w:rPr>
      <w:vertAlign w:val="superscript"/>
    </w:rPr>
  </w:style>
  <w:style w:type="character" w:styleId="TextodebaloChar" w:customStyle="1">
    <w:name w:val="Texto de balão Char"/>
    <w:qFormat/>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styleId="MenoPendente1" w:customStyle="1">
    <w:name w:val="Menção Pendente1"/>
    <w:uiPriority w:val="99"/>
    <w:semiHidden/>
    <w:unhideWhenUsed/>
    <w:qFormat/>
    <w:rsid w:val="0089786b"/>
    <w:rPr>
      <w:color w:val="808080"/>
      <w:shd w:fill="E6E6E6" w:val="clear"/>
    </w:rPr>
  </w:style>
  <w:style w:type="character" w:styleId="FollowedHyperlink">
    <w:name w:val="FollowedHyperlink"/>
    <w:basedOn w:val="DefaultParagraphFont"/>
    <w:uiPriority w:val="99"/>
    <w:semiHidden/>
    <w:unhideWhenUsed/>
    <w:qFormat/>
    <w:rsid w:val="00ac6de8"/>
    <w:rPr>
      <w:color w:themeColor="followedHyperlink" w:val="954F72"/>
      <w:u w:val="single"/>
    </w:rPr>
  </w:style>
  <w:style w:type="character" w:styleId="Ttulo2Char" w:customStyle="1">
    <w:name w:val="Título 2 Char"/>
    <w:basedOn w:val="DefaultParagraphFont"/>
    <w:semiHidden/>
    <w:qFormat/>
    <w:rsid w:val="00b96d5c"/>
    <w:rPr>
      <w:rFonts w:ascii="Calibri Light" w:hAnsi="Calibri Light"/>
      <w:b/>
      <w:bCs/>
      <w:i/>
      <w:iCs/>
      <w:sz w:val="28"/>
      <w:szCs w:val="28"/>
    </w:rPr>
  </w:style>
  <w:style w:type="character" w:styleId="Ttulo3Char" w:customStyle="1">
    <w:name w:val="Título 3 Char"/>
    <w:basedOn w:val="DefaultParagraphFont"/>
    <w:semiHidden/>
    <w:qFormat/>
    <w:rsid w:val="00b96d5c"/>
    <w:rPr>
      <w:rFonts w:ascii="Calibri Light" w:hAnsi="Calibri Light"/>
      <w:b/>
      <w:bCs/>
      <w:sz w:val="26"/>
      <w:szCs w:val="26"/>
    </w:rPr>
  </w:style>
  <w:style w:type="character" w:styleId="Ttulo7Char" w:customStyle="1">
    <w:name w:val="Título 7 Char"/>
    <w:basedOn w:val="DefaultParagraphFont"/>
    <w:qFormat/>
    <w:rsid w:val="00b96d5c"/>
    <w:rPr>
      <w:b/>
      <w:spacing w:val="14"/>
      <w:sz w:val="24"/>
    </w:rPr>
  </w:style>
  <w:style w:type="character" w:styleId="WW8Num2z0" w:customStyle="1">
    <w:name w:val="WW8Num2z0"/>
    <w:qFormat/>
    <w:rsid w:val="00b96d5c"/>
    <w:rPr>
      <w:rFonts w:ascii="Monotype Sorts" w:hAnsi="Monotype Sorts"/>
    </w:rPr>
  </w:style>
  <w:style w:type="character" w:styleId="WW8Num3z0" w:customStyle="1">
    <w:name w:val="WW8Num3z0"/>
    <w:qFormat/>
    <w:rsid w:val="00b96d5c"/>
    <w:rPr>
      <w:b/>
    </w:rPr>
  </w:style>
  <w:style w:type="character" w:styleId="WW8Num4z0" w:customStyle="1">
    <w:name w:val="WW8Num4z0"/>
    <w:qFormat/>
    <w:rsid w:val="00b96d5c"/>
    <w:rPr>
      <w:rFonts w:ascii="Times New Roman" w:hAnsi="Times New Roman" w:eastAsia="Times New Roman" w:cs="Times New Roman"/>
    </w:rPr>
  </w:style>
  <w:style w:type="character" w:styleId="WW8Num4z1" w:customStyle="1">
    <w:name w:val="WW8Num4z1"/>
    <w:qFormat/>
    <w:rsid w:val="00b96d5c"/>
    <w:rPr>
      <w:rFonts w:ascii="Courier New" w:hAnsi="Courier New"/>
    </w:rPr>
  </w:style>
  <w:style w:type="character" w:styleId="WW8Num4z2" w:customStyle="1">
    <w:name w:val="WW8Num4z2"/>
    <w:qFormat/>
    <w:rsid w:val="00b96d5c"/>
    <w:rPr>
      <w:rFonts w:ascii="Wingdings" w:hAnsi="Wingdings"/>
    </w:rPr>
  </w:style>
  <w:style w:type="character" w:styleId="WW8Num4z3" w:customStyle="1">
    <w:name w:val="WW8Num4z3"/>
    <w:qFormat/>
    <w:rsid w:val="00b96d5c"/>
    <w:rPr>
      <w:rFonts w:ascii="Symbol" w:hAnsi="Symbol"/>
    </w:rPr>
  </w:style>
  <w:style w:type="character" w:styleId="WW8Num5z0" w:customStyle="1">
    <w:name w:val="WW8Num5z0"/>
    <w:qFormat/>
    <w:rsid w:val="00b96d5c"/>
    <w:rPr>
      <w:rFonts w:ascii="Times New Roman" w:hAnsi="Times New Roman"/>
      <w:b/>
    </w:rPr>
  </w:style>
  <w:style w:type="character" w:styleId="WW8Num6z0" w:customStyle="1">
    <w:name w:val="WW8Num6z0"/>
    <w:qFormat/>
    <w:rsid w:val="00b96d5c"/>
    <w:rPr>
      <w:b/>
    </w:rPr>
  </w:style>
  <w:style w:type="character" w:styleId="WW8Num7z0" w:customStyle="1">
    <w:name w:val="WW8Num7z0"/>
    <w:qFormat/>
    <w:rsid w:val="00b96d5c"/>
    <w:rPr>
      <w:b/>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widowControl w:val="false"/>
      <w:suppressAutoHyphens w:val="true"/>
      <w:jc w:val="both"/>
    </w:pPr>
    <w:rPr>
      <w:rFonts w:ascii="Times New Roman" w:hAnsi="Times New Roman" w:cs="Times New Roman"/>
      <w:sz w:val="28"/>
    </w:rPr>
  </w:style>
  <w:style w:type="paragraph" w:styleId="List">
    <w:name w:val="List"/>
    <w:basedOn w:val="BodyText"/>
    <w:pPr/>
    <w:rPr>
      <w:rFonts w:cs="Tahoma"/>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Tahoma"/>
    </w:rPr>
  </w:style>
  <w:style w:type="paragraph" w:styleId="Ttulo3" w:customStyle="1">
    <w:name w:val="Título3"/>
    <w:basedOn w:val="Normal"/>
    <w:qFormat/>
    <w:pPr>
      <w:keepNext w:val="true"/>
      <w:spacing w:before="240" w:after="120"/>
    </w:pPr>
    <w:rPr>
      <w:rFonts w:ascii="Liberation Sans" w:hAnsi="Liberation Sans" w:eastAsia="Microsoft YaHei" w:cs="Mangal"/>
      <w:sz w:val="28"/>
      <w:szCs w:val="28"/>
    </w:rPr>
  </w:style>
  <w:style w:type="paragraph" w:styleId="caption1">
    <w:name w:val="caption1"/>
    <w:basedOn w:val="Normal"/>
    <w:qFormat/>
    <w:pPr>
      <w:suppressLineNumbers/>
      <w:spacing w:before="120" w:after="120"/>
    </w:pPr>
    <w:rPr>
      <w:rFonts w:cs="Mangal"/>
      <w:i/>
      <w:iCs/>
      <w:sz w:val="24"/>
      <w:szCs w:val="24"/>
    </w:rPr>
  </w:style>
  <w:style w:type="paragraph" w:styleId="Ttulo2" w:customStyle="1">
    <w:name w:val="Título2"/>
    <w:basedOn w:val="Normal"/>
    <w:qFormat/>
    <w:pPr>
      <w:keepNext w:val="true"/>
      <w:spacing w:before="240" w:after="120"/>
    </w:pPr>
    <w:rPr>
      <w:rFonts w:eastAsia="Lucida Sans Unicode"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1" w:customStyle="1">
    <w:name w:val="Título1"/>
    <w:basedOn w:val="Normal"/>
    <w:qFormat/>
    <w:pPr>
      <w:keepNext w:val="true"/>
      <w:spacing w:before="240" w:after="120"/>
    </w:pPr>
    <w:rPr>
      <w:rFonts w:eastAsia="Lucida Sans Unicode" w:cs="Tahoma"/>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Captulo" w:customStyle="1">
    <w:name w:val="Capítulo"/>
    <w:basedOn w:val="Normal"/>
    <w:qFormat/>
    <w:pPr>
      <w:keepNext w:val="true"/>
      <w:spacing w:before="240" w:after="120"/>
    </w:pPr>
    <w:rPr>
      <w:rFonts w:eastAsia="Lucida Sans Unicode" w:cs="Tahoma"/>
      <w:sz w:val="28"/>
      <w:szCs w:val="28"/>
    </w:rPr>
  </w:style>
  <w:style w:type="paragraph" w:styleId="Legenda1" w:customStyle="1">
    <w:name w:val="Legenda1"/>
    <w:basedOn w:val="Normal"/>
    <w:qFormat/>
    <w:pPr>
      <w:suppressLineNumbers/>
      <w:spacing w:before="120" w:after="120"/>
    </w:pPr>
    <w:rPr>
      <w:rFonts w:cs="Tahoma"/>
      <w:i/>
      <w:iCs/>
      <w:sz w:val="24"/>
      <w:szCs w:val="24"/>
    </w:rPr>
  </w:style>
  <w:style w:type="paragraph" w:styleId="Subtitle">
    <w:name w:val="Subtitle"/>
    <w:basedOn w:val="Captulo"/>
    <w:qFormat/>
    <w:pPr>
      <w:jc w:val="center"/>
    </w:pPr>
    <w:rPr>
      <w:i/>
      <w:iC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Footer">
    <w:name w:val="footer"/>
    <w:basedOn w:val="Normal"/>
    <w:link w:val="RodapChar"/>
    <w:uiPriority w:val="99"/>
    <w:pPr>
      <w:tabs>
        <w:tab w:val="clear" w:pos="708"/>
        <w:tab w:val="center" w:pos="4419" w:leader="none"/>
        <w:tab w:val="right" w:pos="8838" w:leader="none"/>
      </w:tabs>
    </w:pPr>
    <w:rPr/>
  </w:style>
  <w:style w:type="paragraph" w:styleId="Header">
    <w:name w:val="header"/>
    <w:basedOn w:val="Normal"/>
    <w:pPr>
      <w:tabs>
        <w:tab w:val="clear" w:pos="708"/>
        <w:tab w:val="center" w:pos="4419" w:leader="none"/>
        <w:tab w:val="right" w:pos="8838" w:leader="none"/>
      </w:tabs>
    </w:pPr>
    <w:rPr/>
  </w:style>
  <w:style w:type="paragraph" w:styleId="JE1" w:customStyle="1">
    <w:name w:val="JE1"/>
    <w:basedOn w:val="Heading1"/>
    <w:qFormat/>
    <w:pPr>
      <w:suppressAutoHyphens w:val="true"/>
      <w:jc w:val="center"/>
    </w:pPr>
    <w:rPr/>
  </w:style>
  <w:style w:type="paragraph" w:styleId="BodyTextIndent">
    <w:name w:val="Body Text Indent"/>
    <w:basedOn w:val="Normal"/>
    <w:pPr>
      <w:suppressAutoHyphens w:val="true"/>
      <w:ind w:hanging="0" w:left="2410"/>
      <w:jc w:val="both"/>
    </w:pPr>
    <w:rPr>
      <w:b/>
      <w:sz w:val="24"/>
    </w:rPr>
  </w:style>
  <w:style w:type="paragraph" w:styleId="FootnoteText">
    <w:name w:val="footnote text"/>
    <w:basedOn w:val="Normal"/>
    <w:pPr>
      <w:suppressAutoHyphens w:val="true"/>
    </w:pPr>
    <w:rPr>
      <w:rFonts w:ascii="Times New Roman" w:hAnsi="Times New Roman" w:cs="Times New Roman"/>
      <w:sz w:val="20"/>
    </w:rPr>
  </w:style>
  <w:style w:type="paragraph" w:styleId="Corpodetexto21" w:customStyle="1">
    <w:name w:val="Corpo de texto 21"/>
    <w:basedOn w:val="Normal"/>
    <w:qFormat/>
    <w:pPr>
      <w:jc w:val="both"/>
    </w:pPr>
    <w:rPr/>
  </w:style>
  <w:style w:type="paragraph" w:styleId="Contedodetabela" w:customStyle="1">
    <w:name w:val="Conteúdo de tabela"/>
    <w:basedOn w:val="Normal"/>
    <w:qFormat/>
    <w:pPr>
      <w:suppressLineNumbers/>
    </w:pPr>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etabela"/>
    <w:qFormat/>
    <w:pPr>
      <w:jc w:val="center"/>
    </w:pPr>
    <w:rPr>
      <w:b/>
      <w:bCs/>
    </w:rPr>
  </w:style>
  <w:style w:type="paragraph" w:styleId="Contedodequadro" w:customStyle="1">
    <w:name w:val="Conteúdo de quadro"/>
    <w:basedOn w:val="BodyText"/>
    <w:qFormat/>
    <w:pPr/>
    <w:rPr/>
  </w:style>
  <w:style w:type="paragraph" w:styleId="Ttulodatabela" w:customStyle="1">
    <w:name w:val="Título da tabela"/>
    <w:basedOn w:val="Contedodatabela"/>
    <w:qFormat/>
    <w:pPr>
      <w:jc w:val="center"/>
    </w:pPr>
    <w:rPr>
      <w:b/>
      <w:bCs/>
    </w:rPr>
  </w:style>
  <w:style w:type="paragraph" w:styleId="Contedodoquadro" w:customStyle="1">
    <w:name w:val="Conteúdo do quadro"/>
    <w:basedOn w:val="BodyText"/>
    <w:qFormat/>
    <w:pPr/>
    <w:rPr/>
  </w:style>
  <w:style w:type="paragraph" w:styleId="BalloonText">
    <w:name w:val="Balloon Text"/>
    <w:basedOn w:val="Normal"/>
    <w:link w:val="TextodebaloChar"/>
    <w:unhideWhenUsed/>
    <w:qFormat/>
    <w:rsid w:val="00c90f73"/>
    <w:pPr/>
    <w:rPr>
      <w:rFonts w:ascii="Segoe UI" w:hAnsi="Segoe UI" w:cs="Segoe UI"/>
      <w:sz w:val="18"/>
      <w:szCs w:val="18"/>
    </w:rPr>
  </w:style>
  <w:style w:type="paragraph" w:styleId="Textoembloco1" w:customStyle="1">
    <w:name w:val="Texto em bloco1"/>
    <w:basedOn w:val="Normal"/>
    <w:qFormat/>
    <w:rsid w:val="00b96d5c"/>
    <w:pPr>
      <w:ind w:firstLine="1134" w:left="4253" w:right="57"/>
      <w:jc w:val="both"/>
    </w:pPr>
    <w:rPr>
      <w:rFonts w:cs="Times New Roman"/>
      <w:i/>
      <w:spacing w:val="14"/>
    </w:rPr>
  </w:style>
  <w:style w:type="paragraph" w:styleId="texto2" w:customStyle="1">
    <w:name w:val="texto2"/>
    <w:basedOn w:val="Normal"/>
    <w:qFormat/>
    <w:rsid w:val="00b96d5c"/>
    <w:pPr>
      <w:spacing w:beforeAutospacing="1" w:afterAutospacing="1"/>
    </w:pPr>
    <w:rPr>
      <w:rFonts w:ascii="Times New Roman" w:hAnsi="Times New Roman" w:cs="Times New Roman"/>
      <w:sz w:val="24"/>
      <w:szCs w:val="24"/>
      <w:lang w:eastAsia="pt-BR"/>
    </w:rPr>
  </w:style>
  <w:style w:type="paragraph" w:styleId="04partenormativa" w:customStyle="1">
    <w:name w:val="04partenormativa"/>
    <w:basedOn w:val="Normal"/>
    <w:qFormat/>
    <w:rsid w:val="00b96d5c"/>
    <w:pPr>
      <w:spacing w:beforeAutospacing="1" w:afterAutospacing="1"/>
    </w:pPr>
    <w:rPr>
      <w:rFonts w:ascii="Times New Roman" w:hAnsi="Times New Roman" w:cs="Times New Roman"/>
      <w:sz w:val="24"/>
      <w:szCs w:val="24"/>
      <w:lang w:eastAsia="pt-BR"/>
    </w:rPr>
  </w:style>
  <w:style w:type="paragraph" w:styleId="ListParagraph">
    <w:name w:val="List Paragraph"/>
    <w:basedOn w:val="Normal"/>
    <w:uiPriority w:val="34"/>
    <w:qFormat/>
    <w:rsid w:val="00e07291"/>
    <w:pPr>
      <w:spacing w:before="0" w:after="0"/>
      <w:ind w:hanging="0" w:left="720"/>
      <w:contextualSpacing/>
    </w:pPr>
    <w:rPr/>
  </w:style>
  <w:style w:type="paragraph" w:styleId="NormalWeb">
    <w:name w:val="Normal (Web)"/>
    <w:basedOn w:val="Normal"/>
    <w:uiPriority w:val="99"/>
    <w:unhideWhenUsed/>
    <w:qFormat/>
    <w:rsid w:val="005e4757"/>
    <w:pPr>
      <w:spacing w:beforeAutospacing="1" w:afterAutospacing="1"/>
    </w:pPr>
    <w:rPr>
      <w:rFonts w:ascii="Times New Roman" w:hAnsi="Times New Roman" w:cs="Times New Roman"/>
      <w:sz w:val="24"/>
      <w:szCs w:val="24"/>
      <w:lang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b96d5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ertidoes-apf.apps.tcu.gov.br/"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FF18-1775-4C2D-8FDD-3708F09F0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Application>LibreOffice/24.8.4.2$Windows_X86_64 LibreOffice_project/bb3cfa12c7b1bf994ecc5649a80400d06cd71002</Application>
  <AppVersion>15.0000</AppVersion>
  <Pages>5</Pages>
  <Words>1525</Words>
  <Characters>8432</Characters>
  <CharactersWithSpaces>9935</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2022-10-06T14:51:00Z</dcterms:created>
  <dc:creator>Marcia Bello</dc:creator>
  <dc:description/>
  <dc:language>pt-BR</dc:language>
  <cp:lastModifiedBy/>
  <dcterms:modified xsi:type="dcterms:W3CDTF">2025-02-20T13:54:30Z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