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lineRule="auto" w:line="360"/>
        <w:jc w:val="center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MUNICÍPIO DE GIRUÁ – RS</w:t>
      </w:r>
    </w:p>
    <w:p>
      <w:pPr>
        <w:pStyle w:val="Normal"/>
        <w:spacing w:lineRule="auto" w:line="360"/>
        <w:jc w:val="center"/>
        <w:rPr/>
      </w:pPr>
      <w:r>
        <w:rPr>
          <w:b/>
          <w:bCs/>
          <w:color w:val="auto"/>
          <w:sz w:val="22"/>
          <w:szCs w:val="22"/>
        </w:rPr>
        <w:t xml:space="preserve">SECRETARIA MUNICIPAL DE </w:t>
      </w:r>
      <w:r>
        <w:rPr>
          <w:rFonts w:eastAsia="Times New Roman" w:cs="Arial"/>
          <w:b/>
          <w:bCs/>
          <w:color w:val="auto"/>
          <w:kern w:val="0"/>
          <w:sz w:val="22"/>
          <w:szCs w:val="22"/>
          <w:lang w:val="pt-BR" w:eastAsia="zh-CN" w:bidi="ar-SA"/>
        </w:rPr>
        <w:t>______________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DESCRIÇÃO DA NECESSIDADE</w:t>
      </w:r>
    </w:p>
    <w:p>
      <w:pPr>
        <w:pStyle w:val="BodyText"/>
        <w:spacing w:lineRule="auto" w:line="276"/>
        <w:jc w:val="both"/>
        <w:rPr>
          <w:rFonts w:ascii="Arial" w:hAnsi="Arial" w:eastAsia="Times New Roman" w:cs="Arial"/>
          <w:b w:val="false"/>
          <w:bCs w:val="false"/>
          <w:color w:val="auto"/>
          <w:kern w:val="0"/>
          <w:sz w:val="22"/>
          <w:szCs w:val="22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O objeto da presente contratação é a prestação de serviços  para execução de reforma na ÁREA DE CIRCULAÇÃO DO CONDOMÍNIO INDUSTRIAL, localizado na Rua Sete de Setembro, nº 454, Centro, no Município de Giruá/RS, com área de intervenção de 1.972,03 m², conforme Projeto nº 043/2025 e Memorial Descritivo elaborado pelo Departamento de Engenharia.</w:t>
      </w:r>
    </w:p>
    <w:p>
      <w:pPr>
        <w:pStyle w:val="BodyText"/>
        <w:widowControl/>
        <w:suppressAutoHyphens w:val="true"/>
        <w:spacing w:lineRule="auto" w:line="276" w:before="0" w:after="283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BodyText"/>
        <w:widowControl/>
        <w:suppressAutoHyphens w:val="true"/>
        <w:spacing w:lineRule="auto" w:line="276" w:before="0" w:after="283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A contratação é necessária para promover a adequação da área de circulação do pavimento do Condomínio Industrial, visando atender às exigências do PPCI (Plano de Prevenção e Proteção Contra Incêndio), garantindo condições adequadas de segurança, circulação e utilização do espaço.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2"/>
          <w:szCs w:val="22"/>
        </w:rPr>
      </w:pP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FFFF00" w:val="clear"/>
          <w:lang w:val="pt-BR" w:eastAsia="zh-CN" w:bidi="ar-SA"/>
        </w:rPr>
      </w:r>
    </w:p>
    <w:tbl>
      <w:tblPr>
        <w:tblW w:w="5000" w:type="pct"/>
        <w:jc w:val="left"/>
        <w:tblInd w:w="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25"/>
        <w:gridCol w:w="4185"/>
        <w:gridCol w:w="1934"/>
        <w:gridCol w:w="1952"/>
      </w:tblGrid>
      <w:tr>
        <w:trPr/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before="114" w:after="114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UNIDADE DE MEDIDA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before="114" w:after="114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before="114" w:after="114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VALOR UNITÁRIO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user"/>
              <w:spacing w:before="114" w:after="114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VALOR TOTAL</w:t>
            </w:r>
          </w:p>
        </w:tc>
      </w:tr>
      <w:tr>
        <w:trPr/>
        <w:tc>
          <w:tcPr>
            <w:tcW w:w="14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before="114" w:after="11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UN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before="114" w:after="11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33056 – OBRAS – Reforma e Adequação</w:t>
            </w:r>
          </w:p>
        </w:tc>
        <w:tc>
          <w:tcPr>
            <w:tcW w:w="19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before="114" w:after="11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R$ 21.591,82</w:t>
            </w:r>
          </w:p>
        </w:tc>
        <w:tc>
          <w:tcPr>
            <w:tcW w:w="19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user"/>
              <w:spacing w:before="114" w:after="11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R$ 21.591,82</w:t>
            </w:r>
          </w:p>
        </w:tc>
      </w:tr>
    </w:tbl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ALINHAMENTO ENTRE A CONTRATAÇÃO E O PLANEJAMENTO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000000"/>
          <w:sz w:val="22"/>
          <w:szCs w:val="22"/>
          <w:shd w:fill="auto" w:val="clear"/>
        </w:rPr>
        <w:br/>
        <w:t>A presente contratação não era planejável no momento da elaboração do PCA, tendo em vista que sua gênese decorreu de fato superveniente não previsível.</w:t>
        <w:br/>
        <w:br/>
      </w:r>
      <w:r>
        <w:rPr>
          <w:b/>
          <w:bCs/>
          <w:color w:val="auto"/>
          <w:sz w:val="22"/>
          <w:szCs w:val="22"/>
        </w:rPr>
        <w:t>DESCRIÇÃO DOS REQUISITOS DA CONTRATAÇÃO</w:t>
      </w:r>
    </w:p>
    <w:p>
      <w:pPr>
        <w:pStyle w:val="BodyText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FFFF00" w:val="clear"/>
          <w:lang w:val="pt-BR"/>
        </w:rPr>
      </w:r>
    </w:p>
    <w:p>
      <w:pPr>
        <w:pStyle w:val="BodyText"/>
        <w:spacing w:lineRule="auto" w:line="240"/>
        <w:jc w:val="both"/>
        <w:rPr>
          <w:rFonts w:ascii="Arial" w:hAnsi="Arial" w:cs="Arial"/>
          <w:color w:val="auto"/>
          <w:sz w:val="22"/>
          <w:szCs w:val="22"/>
          <w:shd w:fill="auto" w:val="clear"/>
          <w:lang w:val="pt-BR"/>
        </w:rPr>
      </w:pPr>
      <w:r>
        <w:rPr>
          <w:rFonts w:cs="Arial" w:ascii="Arial" w:hAnsi="Arial"/>
          <w:color w:val="000000"/>
          <w:sz w:val="22"/>
          <w:szCs w:val="22"/>
          <w:shd w:fill="auto" w:val="clear"/>
          <w:lang w:val="pt-BR"/>
        </w:rPr>
        <w:t>A contratação refere-se à execução de obra de engenharia em regime de empreitada global, contemplando fornecimento de mão de obra, materiais, equipamentos e insumos.</w:t>
      </w:r>
    </w:p>
    <w:p>
      <w:pPr>
        <w:pStyle w:val="BodyText"/>
        <w:widowControl/>
        <w:suppressAutoHyphens w:val="true"/>
        <w:spacing w:lineRule="auto" w:line="240" w:before="0" w:after="283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A vigência, a contar da assinatura do instrumento contratual, deverá ser pelo prazo de </w:t>
      </w:r>
      <w:r>
        <w:rPr>
          <w:rFonts w:cs="Arial" w:ascii="Arial" w:hAnsi="Arial"/>
          <w:sz w:val="22"/>
          <w:szCs w:val="22"/>
          <w:shd w:fill="auto" w:val="clear"/>
        </w:rPr>
        <w:t>06 meses</w:t>
      </w:r>
      <w:r>
        <w:rPr>
          <w:rFonts w:cs="Arial" w:ascii="Arial" w:hAnsi="Arial"/>
          <w:sz w:val="22"/>
          <w:szCs w:val="22"/>
          <w:shd w:fill="auto" w:val="clear"/>
        </w:rPr>
        <w:t xml:space="preserve"> podendo ser prorrogado mediante termos de aditamento conforme a Lei nº 14.133/2021.</w:t>
      </w:r>
    </w:p>
    <w:p>
      <w:pPr>
        <w:pStyle w:val="BodyText"/>
        <w:widowControl/>
        <w:suppressAutoHyphens w:val="true"/>
        <w:spacing w:lineRule="auto" w:line="240" w:before="0" w:after="283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A empresa contratada será responsável pela execução dos serviços conforme Projeto nº 043/2025 e Memorial Descritivo, compreendendo: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Demolições de telheiro, ruínas de muro, divisórias, abertura de vão e retirada de porta;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Aterramento e regularização de área;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Execução de contrapiso em concreto;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Execução de mureta para hidrômetros;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Execução de fundações tipo radier;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Execução de pilares e vigas em concreto armado;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Execução de alvenaria de vedação;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Execução de rampa com corrimãos e guarda-corpos;</w:t>
      </w:r>
    </w:p>
    <w:p>
      <w:pPr>
        <w:pStyle w:val="BodyText"/>
        <w:widowControl/>
        <w:numPr>
          <w:ilvl w:val="0"/>
          <w:numId w:val="2"/>
        </w:numPr>
        <w:tabs>
          <w:tab w:val="clear" w:pos="708"/>
          <w:tab w:val="left" w:pos="0" w:leader="none"/>
        </w:tabs>
        <w:suppressAutoHyphens w:val="true"/>
        <w:spacing w:lineRule="auto" w:line="240" w:before="0" w:after="283"/>
        <w:ind w:hanging="283" w:left="709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Limpeza final e desmobilização da obra.</w:t>
      </w:r>
    </w:p>
    <w:p>
      <w:pPr>
        <w:pStyle w:val="BodyText"/>
        <w:widowControl/>
        <w:suppressAutoHyphens w:val="true"/>
        <w:spacing w:lineRule="auto" w:line="240" w:before="0" w:after="283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A contratada deverá observar as normas da ABNT, normas de segurança do trabalho e legislação vigente, bem como providenciar ART de execução da obra.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 xml:space="preserve">O prazo de </w:t>
      </w:r>
      <w:r>
        <w:rPr>
          <w:color w:val="000000"/>
          <w:sz w:val="22"/>
          <w:szCs w:val="22"/>
          <w:shd w:fill="auto" w:val="clear"/>
          <w:lang w:val="pt-BR"/>
        </w:rPr>
        <w:t xml:space="preserve">garantia </w:t>
      </w:r>
      <w:r>
        <w:rPr>
          <w:color w:val="000000"/>
          <w:sz w:val="22"/>
          <w:szCs w:val="22"/>
          <w:shd w:fill="auto" w:val="clear"/>
          <w:lang w:val="pt-BR"/>
        </w:rPr>
        <w:t>d</w:t>
      </w:r>
      <w:r>
        <w:rPr>
          <w:color w:val="auto"/>
          <w:sz w:val="22"/>
          <w:szCs w:val="22"/>
          <w:lang w:val="pt-BR"/>
        </w:rPr>
        <w:t xml:space="preserve">os itens será de no mínimo </w:t>
      </w:r>
      <w:r>
        <w:rPr>
          <w:color w:val="auto"/>
          <w:sz w:val="22"/>
          <w:szCs w:val="22"/>
          <w:lang w:val="pt-BR"/>
        </w:rPr>
        <w:t>05 anos,</w:t>
      </w:r>
      <w:r>
        <w:rPr>
          <w:color w:val="000000"/>
          <w:sz w:val="22"/>
          <w:szCs w:val="22"/>
          <w:shd w:fill="auto" w:val="clear"/>
          <w:lang w:val="pt-BR"/>
        </w:rPr>
        <w:t xml:space="preserve"> haja vista a </w:t>
      </w:r>
      <w:r>
        <w:rPr>
          <w:rFonts w:cs="Arial"/>
          <w:color w:val="000000"/>
          <w:sz w:val="22"/>
          <w:szCs w:val="22"/>
          <w:shd w:fill="auto" w:val="clear"/>
          <w:lang w:val="pt-BR" w:eastAsia="zh-CN"/>
        </w:rPr>
        <w:t>possibilidade</w:t>
      </w:r>
      <w:r>
        <w:rPr>
          <w:color w:val="000000"/>
          <w:sz w:val="22"/>
          <w:szCs w:val="22"/>
          <w:shd w:fill="auto" w:val="clear"/>
          <w:lang w:val="pt-BR"/>
        </w:rPr>
        <w:t xml:space="preserve"> de apresentação de defeitos de fábrica (redibitórios) serem revelados durante o uso; portanto, tal exigência visa assegurar </w:t>
      </w:r>
      <w:r>
        <w:rPr>
          <w:rFonts w:cs="Arial"/>
          <w:color w:val="000000"/>
          <w:sz w:val="22"/>
          <w:szCs w:val="22"/>
          <w:shd w:fill="auto" w:val="clear"/>
          <w:lang w:val="pt-BR" w:eastAsia="zh-CN"/>
        </w:rPr>
        <w:t>o produto</w:t>
      </w:r>
      <w:r>
        <w:rPr>
          <w:color w:val="000000"/>
          <w:sz w:val="22"/>
          <w:szCs w:val="22"/>
          <w:shd w:fill="auto" w:val="clear"/>
          <w:lang w:val="pt-BR"/>
        </w:rPr>
        <w:t xml:space="preserve"> dos riscos inerentes à compra. </w:t>
      </w:r>
    </w:p>
    <w:p>
      <w:pPr>
        <w:pStyle w:val="BodyText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 xml:space="preserve">O responsável pela fiscalização do Contrato será o servidor designado da Secretaria requisitante que fará o acompanhamento da 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entrega.</w:t>
      </w:r>
    </w:p>
    <w:p>
      <w:pPr>
        <w:pStyle w:val="BodyText"/>
        <w:spacing w:lineRule="auto" w:line="360"/>
        <w:rPr/>
      </w:pP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 xml:space="preserve">A gestão e a fiscalização do objeto contratado serão realizadas conforme o disposto na 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>Portaria nº 24.406</w:t>
      </w:r>
      <w:r>
        <w:rPr>
          <w:rFonts w:eastAsia="Arial" w:cs="Arial" w:ascii="Arial" w:hAnsi="Arial"/>
          <w:b/>
          <w:bCs/>
          <w:color w:val="000000"/>
          <w:spacing w:val="0"/>
          <w:kern w:val="0"/>
          <w:sz w:val="22"/>
          <w:szCs w:val="22"/>
          <w:shd w:fill="auto" w:val="clear"/>
          <w:lang w:val="pt-BR" w:eastAsia="zh-CN" w:bidi="ar-SA"/>
        </w:rPr>
        <w:t>/2025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>,</w:t>
      </w: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 xml:space="preserve"> q</w:t>
      </w:r>
      <w:r>
        <w:rPr>
          <w:rFonts w:eastAsia="Arial" w:cs="Arial" w:ascii="Arial" w:hAnsi="Arial"/>
          <w:color w:val="000000"/>
          <w:spacing w:val="0"/>
          <w:sz w:val="22"/>
          <w:szCs w:val="22"/>
          <w:shd w:fill="auto" w:val="clear"/>
        </w:rPr>
        <w:t>ue “Designa Fiscais de contrato, para acompanhar e fiscalizar a execução do(s) Contrato(s) celebrado(s) entre o MUNICÍPIO DE GIRUÁ e a empresas contratadas, de acordo com cada Secretaria municipal, onde está lotado o servidor, a qual passa a vigorar conforme segue”, nos termos do Art. 92, XVIII, da Lei Federal nº 14.133/2021.</w:t>
      </w:r>
    </w:p>
    <w:p>
      <w:pPr>
        <w:pStyle w:val="BodyText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 xml:space="preserve">Os </w:t>
      </w:r>
      <w:r>
        <w:rPr>
          <w:rFonts w:eastAsia="Times New Roman" w:cs="Times New Roman" w:ascii="Arial" w:hAnsi="Arial"/>
          <w:color w:val="000000"/>
          <w:kern w:val="0"/>
          <w:sz w:val="22"/>
          <w:szCs w:val="22"/>
          <w:shd w:fill="auto" w:val="clear"/>
          <w:lang w:val="pt-BR" w:eastAsia="zh-CN" w:bidi="ar-SA"/>
        </w:rPr>
        <w:t>itens / serviços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 deverão ser os mesmos indicados na proposta apresentada pela vencedora, sob pena de aplicação das penalidades previstas.</w:t>
      </w:r>
    </w:p>
    <w:p>
      <w:pPr>
        <w:pStyle w:val="BodyText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  <w:lang w:val="pt-BR"/>
        </w:rPr>
        <w:t xml:space="preserve">Verificada a desconformidade de algum dos materiais pelo servidor designado, o licitante vencedor deverá promover as correções necessárias no prazo máximo de 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  <w:lang w:val="pt-BR"/>
        </w:rPr>
        <w:t>5 dias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  <w:lang w:val="pt-BR"/>
        </w:rPr>
        <w:t xml:space="preserve"> sujeitando-se às penalidades previstas no instrumento contratual.</w:t>
      </w:r>
    </w:p>
    <w:p>
      <w:pPr>
        <w:pStyle w:val="Normal"/>
        <w:widowControl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000000"/>
          <w:sz w:val="22"/>
          <w:szCs w:val="22"/>
          <w:shd w:fill="auto" w:val="clear"/>
        </w:rPr>
        <w:t xml:space="preserve">Os </w:t>
      </w:r>
      <w:r>
        <w:rPr>
          <w:b/>
          <w:bCs/>
          <w:color w:val="000000"/>
          <w:sz w:val="22"/>
          <w:szCs w:val="22"/>
          <w:shd w:fill="auto" w:val="clear"/>
        </w:rPr>
        <w:t>requisitos de contratação estarão presentes no Termo de Referência</w:t>
      </w:r>
      <w:r>
        <w:rPr>
          <w:color w:val="000000"/>
          <w:sz w:val="22"/>
          <w:szCs w:val="22"/>
          <w:shd w:fill="auto" w:val="clear"/>
        </w:rPr>
        <w:t xml:space="preserve"> da presente contratação, onde constam descritos os </w:t>
      </w:r>
      <w:r>
        <w:rPr>
          <w:b/>
          <w:bCs/>
          <w:color w:val="000000"/>
          <w:sz w:val="22"/>
          <w:szCs w:val="22"/>
          <w:shd w:fill="auto" w:val="clear"/>
        </w:rPr>
        <w:t>requisitos de habilitação mínimos</w:t>
      </w:r>
      <w:r>
        <w:rPr>
          <w:color w:val="000000"/>
          <w:sz w:val="22"/>
          <w:szCs w:val="22"/>
          <w:shd w:fill="auto" w:val="clear"/>
        </w:rPr>
        <w:t>, nos termos do Artigo 62 e seguintes da Lei N° 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Os bens </w:t>
      </w:r>
      <w:r>
        <w:rPr>
          <w:color w:val="000000"/>
          <w:sz w:val="22"/>
          <w:szCs w:val="22"/>
          <w:shd w:fill="auto" w:val="clear"/>
        </w:rPr>
        <w:t>/</w:t>
      </w:r>
      <w:r>
        <w:rPr>
          <w:color w:val="auto"/>
          <w:sz w:val="22"/>
          <w:szCs w:val="22"/>
        </w:rPr>
        <w:t xml:space="preserve"> serviços têm natureza de especiais, tendo em vista que, por sua alta heterogeneidade/complexidade, não podem ser descritos como comuns, nos termos do art. 6º, inciso XIV, da Lei Federal nº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Solicitamos que a</w:t>
      </w:r>
      <w:r>
        <w:rPr>
          <w:b w:val="false"/>
          <w:bCs w:val="false"/>
          <w:color w:val="auto"/>
          <w:sz w:val="22"/>
          <w:szCs w:val="22"/>
        </w:rPr>
        <w:t xml:space="preserve"> contratação seja</w:t>
      </w:r>
      <w:r>
        <w:rPr>
          <w:color w:val="auto"/>
          <w:sz w:val="22"/>
          <w:szCs w:val="22"/>
        </w:rPr>
        <w:t xml:space="preserve"> realizada por meio de </w:t>
      </w:r>
      <w:r>
        <w:rPr>
          <w:b/>
          <w:bCs/>
          <w:color w:val="auto"/>
          <w:sz w:val="22"/>
          <w:szCs w:val="22"/>
        </w:rPr>
        <w:t>licitação</w:t>
      </w:r>
      <w:r>
        <w:rPr>
          <w:color w:val="auto"/>
          <w:sz w:val="22"/>
          <w:szCs w:val="22"/>
        </w:rPr>
        <w:t xml:space="preserve">, na modalidade </w:t>
      </w:r>
      <w:r>
        <w:rPr>
          <w:b/>
          <w:bCs/>
          <w:color w:val="auto"/>
          <w:sz w:val="22"/>
          <w:szCs w:val="22"/>
        </w:rPr>
        <w:t>Concorrência</w:t>
      </w:r>
      <w:r>
        <w:rPr>
          <w:color w:val="auto"/>
          <w:sz w:val="22"/>
          <w:szCs w:val="22"/>
        </w:rPr>
        <w:t>, na sua forma eletrônica, com critério de julgamento por menor preço, nos termos dos artigos 6º, inciso XXXVIII, a), 17, § 2º, e 34, todos da Lei nº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Para a aquisição dos bens e/ou prestação dos serviços pretendidos os eventuais interessados deverão comprovar que atuam em ramo de atividade compatível com o objeto da licitação, bem como apresentar os documentos a título habilitação, nos termos do art. 62, da Lei nº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ESTIMATIVA DAS QUANTIDADES</w:t>
      </w:r>
    </w:p>
    <w:p>
      <w:pPr>
        <w:pStyle w:val="Normal"/>
        <w:spacing w:lineRule="auto" w:line="36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Não há parâmetro para esta contratação, em razão desta Administração não haver licitado o objeto até o momento, e tendo em vista que se trata de adequação específica conforme projeto técnico. </w:t>
      </w:r>
    </w:p>
    <w:p>
      <w:pPr>
        <w:pStyle w:val="Normal"/>
        <w:spacing w:lineRule="auto" w:line="360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ALTERNATIVAS DISPONÍVEIS NO MERCADO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Para analise de valores foram utilizados o banco de pesquisa SINAPI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ESTIMATIVA DO VALOR DA CONTRATAÇÃO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Estima-se para a contratação almejada o valor total de R</w:t>
      </w:r>
      <w:r>
        <w:rPr>
          <w:color w:val="auto"/>
          <w:sz w:val="22"/>
          <w:szCs w:val="22"/>
        </w:rPr>
        <w:t>$ 21.591,82 (Vinte e um mil quinhentos e noventa e um reais com oitenta e dois centavos).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Vislumbra-se que tal valor é compatível com o praticado pelo mercado correspondente, observando-se o disposto no</w:t>
      </w:r>
      <w:r>
        <w:rPr>
          <w:b/>
          <w:bCs/>
          <w:color w:val="auto"/>
          <w:sz w:val="22"/>
          <w:szCs w:val="22"/>
        </w:rPr>
        <w:t xml:space="preserve"> Decreto Municipal nº </w:t>
      </w:r>
      <w:r>
        <w:rPr>
          <w:rFonts w:cs="Arial"/>
          <w:b/>
          <w:bCs/>
          <w:color w:val="auto"/>
          <w:sz w:val="22"/>
          <w:szCs w:val="22"/>
          <w:lang w:eastAsia="zh-CN"/>
        </w:rPr>
        <w:t>1.911/2022 c/c art. 23 da Lei n° 14.133/2021</w:t>
      </w:r>
      <w:r>
        <w:rPr>
          <w:color w:val="auto"/>
          <w:sz w:val="22"/>
          <w:szCs w:val="22"/>
        </w:rPr>
        <w:t>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DESCRIÇÃO DA SOLUÇÃO COMO UM TODO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solução proposta é a contratação de empresa especializada para execução das adequações da área de circulação do Condomínio Industrial, conforme Projeto nº 043/2025 e Memorial Descritivo, visando atender às exigências do PPCI e garantir segurança, acessibilidade e funcionalidade do espaço, </w:t>
      </w:r>
      <w:r>
        <w:rPr>
          <w:color w:val="auto"/>
          <w:sz w:val="22"/>
          <w:szCs w:val="22"/>
        </w:rPr>
        <w:t>exposto no item 03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JUSTIFICATIVA PARA O PARCELAMENTO OU NÃO DA CONTRATAÇÃO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/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Nos termos do art. 47, inciso II, da Lei Federal nº 14.133/2021, as licitações atenderão ao princípio do parcelamento, quando tecnicamente viável e economicamente vantajoso. </w:t>
      </w:r>
    </w:p>
    <w:p>
      <w:pPr>
        <w:pStyle w:val="NormalWeb"/>
        <w:widowControl/>
        <w:suppressAutoHyphens w:val="true"/>
        <w:bidi w:val="0"/>
        <w:spacing w:lineRule="auto" w:line="36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Na aplicação deste princípio, o § 1º do mesmo art. 47 estabelece que deverão ser considerados a responsabilidade técnica, o custo para a Administração de vários contratos frente as vantagens da redução de custos, com divisão do objeto em itens, </w:t>
      </w:r>
      <w:bookmarkStart w:id="0" w:name="art47%2525252525252525252525252525252525"/>
      <w:bookmarkEnd w:id="0"/>
      <w:r>
        <w:rPr>
          <w:rFonts w:cs="Arial" w:ascii="Arial" w:hAnsi="Arial"/>
          <w:color w:val="auto"/>
          <w:sz w:val="22"/>
          <w:szCs w:val="22"/>
        </w:rPr>
        <w:t>e o dever de buscar a ampliação da competição e de evitar a concentração de mercado.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Em vista disto, o princípio do parcelamento não deverá ser aplicado à presente contratação, tendo em vista que eventual divisão do objeto geraria perda de economia de escala e causaria inviabilidade técnica, pois dificultaria demasiadamente o trabalho de fiscalização contratual frente a falta de padronização e uniformização. Ademais, a existência de mais de uma empresa contratada poderia trazer uma série de transtornos quanto à eventual responsabilização por eventuais sinistros ocorridos.</w:t>
      </w:r>
    </w:p>
    <w:p>
      <w:pPr>
        <w:pStyle w:val="NormalWeb"/>
        <w:spacing w:lineRule="auto" w:line="240" w:before="0" w:after="0"/>
        <w:jc w:val="both"/>
        <w:rPr>
          <w:rFonts w:ascii="Arial" w:hAnsi="Arial" w:cs="Arial"/>
          <w:b/>
          <w:bCs/>
          <w:color w:val="000000"/>
          <w:sz w:val="22"/>
          <w:szCs w:val="22"/>
          <w:shd w:fill="FFFF00" w:val="clear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RESULTADOS PRETENDIDOS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Pretende-se, com o presente processo licitatório, assegurar a seleção da proposta apta a gerar a contratação mais vantajosa para o Município, com vistas a atender o interesse público previsto na </w:t>
      </w:r>
      <w:r>
        <w:rPr>
          <w:i/>
          <w:iCs/>
          <w:color w:val="auto"/>
          <w:sz w:val="22"/>
          <w:szCs w:val="22"/>
        </w:rPr>
        <w:t>descrição da necessidade</w:t>
      </w:r>
      <w:r>
        <w:rPr>
          <w:color w:val="auto"/>
          <w:sz w:val="22"/>
          <w:szCs w:val="22"/>
        </w:rPr>
        <w:t>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b/>
          <w:bCs/>
          <w:color w:val="auto"/>
          <w:sz w:val="22"/>
          <w:szCs w:val="22"/>
        </w:rPr>
        <w:t>PROVIDÊNCIAS PRÉVIAS AO CONTRATO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Para que a pretendida contratação tenha sucesso, é preciso que outras etapas sejam concluídas por essa Secretaria requisitante, quais sejam: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a)</w:t>
      </w:r>
      <w:r>
        <w:rPr>
          <w:rFonts w:cs="Arial" w:ascii="Arial" w:hAnsi="Arial"/>
          <w:color w:val="auto"/>
          <w:sz w:val="22"/>
          <w:szCs w:val="22"/>
        </w:rPr>
        <w:t xml:space="preserve"> elaboração do termo de referência, após aprovação do estudo técnico preliminar pela autoridade competente;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b)</w:t>
      </w:r>
      <w:r>
        <w:rPr>
          <w:rFonts w:cs="Arial" w:ascii="Arial" w:hAnsi="Arial"/>
          <w:color w:val="auto"/>
          <w:sz w:val="22"/>
          <w:szCs w:val="22"/>
        </w:rPr>
        <w:t xml:space="preserve"> elaboração de minuta do edital e seus anexos obrigatórios;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c) </w:t>
      </w:r>
      <w:r>
        <w:rPr>
          <w:rFonts w:cs="Arial" w:ascii="Arial" w:hAnsi="Arial"/>
          <w:color w:val="auto"/>
          <w:sz w:val="22"/>
          <w:szCs w:val="22"/>
        </w:rPr>
        <w:t xml:space="preserve">realização de certificação de disponibilidade orçamentária;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d)</w:t>
      </w:r>
      <w:r>
        <w:rPr>
          <w:rFonts w:cs="Arial" w:ascii="Arial" w:hAnsi="Arial"/>
          <w:color w:val="auto"/>
          <w:sz w:val="22"/>
          <w:szCs w:val="22"/>
        </w:rPr>
        <w:t xml:space="preserve"> designação em Portaria de pregoeiro, equipe de apoio, agente de contratação (conforme o caso);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e)</w:t>
      </w:r>
      <w:r>
        <w:rPr>
          <w:rFonts w:cs="Arial" w:ascii="Arial" w:hAnsi="Arial"/>
          <w:color w:val="auto"/>
          <w:sz w:val="22"/>
          <w:szCs w:val="22"/>
        </w:rPr>
        <w:t xml:space="preserve"> encaminhamento do processo para análise jurídica;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f)</w:t>
      </w:r>
      <w:r>
        <w:rPr>
          <w:rFonts w:cs="Arial" w:ascii="Arial" w:hAnsi="Arial"/>
          <w:color w:val="auto"/>
          <w:sz w:val="22"/>
          <w:szCs w:val="22"/>
        </w:rPr>
        <w:t xml:space="preserve"> análise da manifestação jurídica e atendimento aos apontamentos constantes no parecer, mediante Nota Técnica com os ajustes indicados;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g)</w:t>
      </w:r>
      <w:r>
        <w:rPr>
          <w:rFonts w:cs="Arial" w:ascii="Arial" w:hAnsi="Arial"/>
          <w:color w:val="auto"/>
          <w:sz w:val="22"/>
          <w:szCs w:val="22"/>
        </w:rPr>
        <w:t xml:space="preserve"> publicação e divulgação do edital e anexos;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h)</w:t>
      </w:r>
      <w:r>
        <w:rPr>
          <w:rFonts w:cs="Arial" w:ascii="Arial" w:hAnsi="Arial"/>
          <w:color w:val="auto"/>
          <w:sz w:val="22"/>
          <w:szCs w:val="22"/>
        </w:rPr>
        <w:t xml:space="preserve"> resposta a eventuais pedidos de esclarecimentos e/ou impugnação, caso aplicável;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i)</w:t>
      </w:r>
      <w:r>
        <w:rPr>
          <w:rFonts w:cs="Arial" w:ascii="Arial" w:hAnsi="Arial"/>
          <w:color w:val="auto"/>
          <w:sz w:val="22"/>
          <w:szCs w:val="22"/>
        </w:rPr>
        <w:t xml:space="preserve"> realização do certame, com suas respectivas etapas.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CONTRATAÇÕES CORRELATAS E/OU INTERDEPENDENTES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Este estudo não identificou a necessidade de realizar contratações acessórias para a perfeita execução do objeto, uma vez que todos os meios necessários para a  operacionalização dos serviços)podem ser supridos apenas com a contratação ora proposta.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Os serviços que se pretende, portanto, são autônomos e prescindem de contratações correlatas ou interdependentes.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b/>
          <w:bCs/>
          <w:shd w:fill="FFFF00" w:val="clear"/>
        </w:rPr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POSSÍVEIS IMPACTOS AMBIENTAIS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/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420" w:type="dxa"/>
        <w:jc w:val="left"/>
        <w:tblInd w:w="3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3"/>
        <w:gridCol w:w="4937"/>
      </w:tblGrid>
      <w:tr>
        <w:trPr/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lineRule="auto" w:line="360" w:before="0" w:after="0"/>
              <w:jc w:val="center"/>
              <w:rPr>
                <w:rFonts w:ascii="Arial" w:hAnsi="Arial"/>
                <w:color w:val="auto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kern w:val="0"/>
                <w:sz w:val="22"/>
                <w:szCs w:val="22"/>
                <w:lang w:val="pt-BR" w:bidi="ar-SA"/>
              </w:rPr>
              <w:t>IMPACTO AMBIENTAL</w:t>
            </w:r>
          </w:p>
        </w:tc>
        <w:tc>
          <w:tcPr>
            <w:tcW w:w="4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Web"/>
              <w:widowControl w:val="false"/>
              <w:spacing w:lineRule="auto" w:line="360" w:before="0" w:after="0"/>
              <w:jc w:val="center"/>
              <w:rPr>
                <w:rFonts w:ascii="Arial" w:hAnsi="Arial"/>
                <w:color w:val="auto"/>
                <w:sz w:val="22"/>
                <w:szCs w:val="22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kern w:val="0"/>
                <w:sz w:val="22"/>
                <w:szCs w:val="22"/>
                <w:lang w:val="pt-BR" w:bidi="ar-SA"/>
              </w:rPr>
              <w:t>MEDIDA DE TRATAMENTO</w:t>
            </w:r>
          </w:p>
        </w:tc>
      </w:tr>
      <w:tr>
        <w:trPr/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ArialMT" w:hAnsi="ArialMT"/>
                <w:color w:val="0A0A0A"/>
                <w:sz w:val="21"/>
              </w:rPr>
            </w:pPr>
            <w:r>
              <w:rPr>
                <w:rFonts w:ascii="ArialMT" w:hAnsi="ArialMT"/>
                <w:color w:val="000000"/>
                <w:sz w:val="21"/>
              </w:rPr>
              <w:t xml:space="preserve">Geração de resíduos sólidos. </w:t>
            </w:r>
            <w:r>
              <w:rPr>
                <w:rFonts w:ascii="ArialMT" w:hAnsi="ArialMT"/>
                <w:color w:val="0A0A0A"/>
                <w:sz w:val="21"/>
              </w:rPr>
              <w:t>(entulho,</w:t>
            </w:r>
          </w:p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Arial" w:hAnsi="Arial"/>
                <w:color w:val="auto"/>
                <w:sz w:val="22"/>
                <w:szCs w:val="22"/>
              </w:rPr>
            </w:pPr>
            <w:r>
              <w:rPr>
                <w:rFonts w:eastAsia="Times New Roman" w:cs="Arial" w:ascii="ArialMT" w:hAnsi="ArialMT"/>
                <w:color w:val="0A0A0A"/>
                <w:kern w:val="0"/>
                <w:sz w:val="21"/>
                <w:szCs w:val="22"/>
                <w:lang w:val="pt-BR" w:bidi="ar-SA"/>
              </w:rPr>
              <w:t>sucatas, embalagens, restos de materiais).</w:t>
            </w:r>
          </w:p>
          <w:p>
            <w:pPr>
              <w:pStyle w:val="NormalWeb"/>
              <w:widowControl w:val="false"/>
              <w:spacing w:lineRule="auto" w:line="360" w:before="0" w:after="0"/>
              <w:jc w:val="both"/>
              <w:rPr>
                <w:rFonts w:ascii="Arial" w:hAnsi="Arial" w:eastAsia="Times New Roman" w:cs="Arial"/>
                <w:color w:val="auto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4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Realizar a gestão dos resíduos sólidos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produzidos durante as obras e a destinação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dos mesmos para empresas ou centrais de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recebimento devidamente licenciadas para o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recebimento.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Priorizar a reutilização e reciclagem sempre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Arial" w:hAnsi="Arial"/>
                <w:color w:val="auto"/>
                <w:sz w:val="22"/>
                <w:szCs w:val="22"/>
              </w:rPr>
            </w:pPr>
            <w:r>
              <w:rPr>
                <w:rFonts w:eastAsia="Times New Roman" w:cs="Arial" w:ascii="ArialMT" w:hAnsi="ArialMT"/>
                <w:color w:val="auto"/>
                <w:kern w:val="0"/>
                <w:sz w:val="21"/>
                <w:szCs w:val="22"/>
                <w:lang w:val="pt-BR" w:bidi="ar-SA"/>
              </w:rPr>
              <w:t>que possível.</w:t>
            </w:r>
          </w:p>
        </w:tc>
      </w:tr>
      <w:tr>
        <w:trPr/>
        <w:tc>
          <w:tcPr>
            <w:tcW w:w="4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jc w:val="both"/>
              <w:rPr>
                <w:rFonts w:ascii="Arial" w:hAnsi="Arial"/>
                <w:color w:val="auto"/>
                <w:sz w:val="22"/>
                <w:szCs w:val="22"/>
              </w:rPr>
            </w:pPr>
            <w:r>
              <w:rPr>
                <w:rFonts w:eastAsia="Times New Roman" w:cs="Arial" w:ascii="ArialMT" w:hAnsi="ArialMT"/>
                <w:color w:val="0A0A0A"/>
                <w:kern w:val="0"/>
                <w:sz w:val="21"/>
                <w:szCs w:val="22"/>
                <w:lang w:val="pt-BR" w:bidi="ar-SA"/>
              </w:rPr>
              <w:t>Poluição do Ar e Sonora.</w:t>
            </w:r>
          </w:p>
        </w:tc>
        <w:tc>
          <w:tcPr>
            <w:tcW w:w="4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Realizar as obras em dias e horários em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consonância com as leis pertinentes ao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sossego público.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Adotar medidas para minimizar a emissão de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particulados para não haver o incômodo à</w:t>
            </w:r>
          </w:p>
          <w:p>
            <w:pPr>
              <w:pStyle w:val="Normal"/>
              <w:jc w:val="left"/>
              <w:rPr>
                <w:rFonts w:ascii="ArialMT" w:hAnsi="ArialMT"/>
                <w:sz w:val="21"/>
              </w:rPr>
            </w:pPr>
            <w:r>
              <w:rPr>
                <w:rFonts w:ascii="ArialMT" w:hAnsi="ArialMT"/>
                <w:sz w:val="21"/>
              </w:rPr>
              <w:t>vizinhança.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Arial" w:hAnsi="Arial"/>
                <w:color w:val="auto"/>
                <w:sz w:val="22"/>
                <w:szCs w:val="22"/>
              </w:rPr>
            </w:pPr>
            <w:r>
              <w:rPr>
                <w:rFonts w:eastAsia="Times New Roman" w:cs="Arial" w:ascii="ArialMT" w:hAnsi="ArialMT"/>
                <w:color w:val="auto"/>
                <w:kern w:val="0"/>
                <w:sz w:val="21"/>
                <w:szCs w:val="22"/>
                <w:lang w:val="pt-BR" w:bidi="ar-SA"/>
              </w:rPr>
              <w:t>Manter o canteiro de obras organizado e limpo.</w:t>
            </w:r>
          </w:p>
        </w:tc>
      </w:tr>
    </w:tbl>
    <w:p>
      <w:pPr>
        <w:pStyle w:val="NormalWeb"/>
        <w:spacing w:lineRule="auto" w:line="360" w:before="0" w:after="0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Orientações complementares acerca da sustentabilidade da prestação almejada estão disponíveis na</w:t>
      </w:r>
      <w:r>
        <w:rPr>
          <w:rFonts w:cs="Arial" w:ascii="Arial" w:hAnsi="Arial"/>
          <w:color w:val="000000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2"/>
          <w:szCs w:val="22"/>
          <w:shd w:fill="auto" w:val="clear"/>
        </w:rPr>
        <w:t>008/2026</w:t>
      </w:r>
      <w:r>
        <w:rPr>
          <w:rFonts w:cs="Arial" w:ascii="Arial" w:hAnsi="Arial"/>
          <w:color w:val="000000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color w:val="auto"/>
          <w:sz w:val="22"/>
          <w:szCs w:val="22"/>
        </w:rPr>
        <w:t>do Departamento de Meio Ambiente, vinculado a Secretaria Municipal de Agricultura e Meio Ambiente.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DECLARAÇÃO DE VIABILIDADE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>Por derradeiro, grifamos que para aferição do valor dos serviços, foi observado o art. 23, §1° da Lei n° 14.133/2021.</w:t>
      </w:r>
    </w:p>
    <w:p>
      <w:pPr>
        <w:pStyle w:val="Normal"/>
        <w:spacing w:lineRule="auto" w:line="36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lineRule="auto" w:line="360"/>
        <w:jc w:val="both"/>
        <w:rPr>
          <w:shd w:fill="FFFF00" w:val="clear"/>
        </w:rPr>
      </w:pPr>
      <w:r>
        <w:rPr>
          <w:shd w:fill="FFFF00" w:val="clear"/>
        </w:rPr>
      </w:r>
    </w:p>
    <w:sectPr>
      <w:type w:val="nextPage"/>
      <w:pgSz w:w="11906" w:h="16838"/>
      <w:pgMar w:left="1276" w:right="1134" w:gutter="0" w:header="0" w:top="1418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MT">
    <w:charset w:val="00"/>
    <w:family w:val="swiss"/>
    <w:pitch w:val="variable"/>
  </w:font>
  <w:font w:name="ArialMT">
    <w:charset w:val="0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360"/>
  <w:compat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spacing w:before="240" w:after="60"/>
      <w:outlineLvl w:val="0"/>
    </w:pPr>
    <w:rPr>
      <w:b/>
      <w:kern w:val="2"/>
      <w:sz w:val="28"/>
    </w:rPr>
  </w:style>
  <w:style w:type="paragraph" w:styleId="Heading2">
    <w:name w:val="heading 2"/>
    <w:basedOn w:val="Normal"/>
    <w:next w:val="Normal"/>
    <w:link w:val="Ttulo2Char"/>
    <w:qFormat/>
    <w:pPr>
      <w:keepNext w:val="true"/>
      <w:numPr>
        <w:ilvl w:val="0"/>
        <w:numId w:val="0"/>
      </w:numPr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Ttulo3Char"/>
    <w:qFormat/>
    <w:pPr>
      <w:keepNext w:val="true"/>
      <w:numPr>
        <w:ilvl w:val="0"/>
        <w:numId w:val="0"/>
      </w:numPr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Heading7">
    <w:name w:val="heading 7"/>
    <w:basedOn w:val="Normal"/>
    <w:next w:val="Normal"/>
    <w:link w:val="Ttulo7Char"/>
    <w:qFormat/>
    <w:pPr>
      <w:keepNext w:val="true"/>
      <w:numPr>
        <w:ilvl w:val="0"/>
        <w:numId w:val="0"/>
      </w:numPr>
      <w:tabs>
        <w:tab w:val="clear" w:pos="708"/>
        <w:tab w:val="left" w:pos="2835" w:leader="none"/>
      </w:tabs>
      <w:spacing w:lineRule="exact" w:line="280"/>
      <w:ind w:hanging="57" w:left="57" w:right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4">
    <w:name w:val="Fonte parág. padrão4"/>
    <w:qFormat/>
    <w:rPr/>
  </w:style>
  <w:style w:type="character" w:styleId="Absatz-Standardschriftart">
    <w:name w:val="Absatz-Standardschriftart"/>
    <w:qFormat/>
    <w:rPr/>
  </w:style>
  <w:style w:type="character" w:styleId="Fontepargpadro3">
    <w:name w:val="Fonte parág. padrão3"/>
    <w:qFormat/>
    <w:rPr/>
  </w:style>
  <w:style w:type="character" w:styleId="WW-Absatz-Standardschriftart">
    <w:name w:val="WW-Absatz-Standardschriftart"/>
    <w:qFormat/>
    <w:rPr/>
  </w:style>
  <w:style w:type="character" w:styleId="Fontepargpadro2">
    <w:name w:val="Fonte parág. padrão2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Refdenotaderodap1">
    <w:name w:val="Ref. de nota de rodapé1"/>
    <w:qFormat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WW-Caracteresdenotadefim">
    <w:name w:val="WW-Caracteres de nota de fim"/>
    <w:qFormat/>
    <w:rPr/>
  </w:style>
  <w:style w:type="character" w:styleId="Smbolosdenumeraouser">
    <w:name w:val="Símbolos de numeração (user)"/>
    <w:qFormat/>
    <w:rPr/>
  </w:style>
  <w:style w:type="character" w:styleId="Refdenotadefim1">
    <w:name w:val="Ref. de nota de fim1"/>
    <w:qFormat/>
    <w:rPr>
      <w:vertAlign w:val="superscript"/>
    </w:rPr>
  </w:style>
  <w:style w:type="character" w:styleId="Refdenotaderodap2">
    <w:name w:val="Ref. de nota de rodapé2"/>
    <w:qFormat/>
    <w:rPr>
      <w:vertAlign w:val="superscript"/>
    </w:rPr>
  </w:style>
  <w:style w:type="character" w:styleId="Refdenotadefim2">
    <w:name w:val="Ref. de nota de fim2"/>
    <w:qFormat/>
    <w:rPr>
      <w:vertAlign w:val="superscript"/>
    </w:rPr>
  </w:style>
  <w:style w:type="character" w:styleId="Refdenotaderodap3">
    <w:name w:val="Ref. de nota de rodapé3"/>
    <w:qFormat/>
    <w:rPr>
      <w:vertAlign w:val="superscript"/>
    </w:rPr>
  </w:style>
  <w:style w:type="character" w:styleId="Refdenotadefim3">
    <w:name w:val="Ref. de nota de fim3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qFormat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Characters1">
    <w:name w:val="Endnote Characters1"/>
    <w:qFormat/>
    <w:rPr>
      <w:vertAlign w:val="superscript"/>
    </w:rPr>
  </w:style>
  <w:style w:type="character" w:styleId="RodapChar">
    <w:name w:val="Rodapé Char"/>
    <w:qFormat/>
    <w:rPr>
      <w:rFonts w:ascii="Arial" w:hAnsi="Arial" w:cs="Arial"/>
      <w:sz w:val="22"/>
      <w:lang w:eastAsia="zh-CN"/>
    </w:rPr>
  </w:style>
  <w:style w:type="character" w:styleId="Refdenotaderodap5">
    <w:name w:val="Ref. de nota de rodapé5"/>
    <w:qFormat/>
    <w:rPr>
      <w:vertAlign w:val="superscript"/>
    </w:rPr>
  </w:style>
  <w:style w:type="character" w:styleId="TextodebaloChar">
    <w:name w:val="Texto de balão Char"/>
    <w:qFormat/>
    <w:rPr>
      <w:rFonts w:ascii="Segoe UI" w:hAnsi="Segoe UI" w:cs="Segoe UI"/>
      <w:sz w:val="18"/>
      <w:szCs w:val="18"/>
      <w:lang w:eastAsia="zh-CN"/>
    </w:rPr>
  </w:style>
  <w:style w:type="character" w:styleId="InternetLink">
    <w:name w:val="Internet Link"/>
    <w:qFormat/>
    <w:rPr>
      <w:color w:val="0563C1"/>
      <w:u w:val="single"/>
    </w:rPr>
  </w:style>
  <w:style w:type="character" w:styleId="MenoPendente1">
    <w:name w:val="Menção Pendente1"/>
    <w:qFormat/>
    <w:rPr>
      <w:color w:val="808080"/>
      <w:shd w:fill="E6E6E6" w:val="clear"/>
    </w:rPr>
  </w:style>
  <w:style w:type="character" w:styleId="FollowedHyperlink">
    <w:name w:val="FollowedHyperlink"/>
    <w:basedOn w:val="DefaultParagraphFont"/>
    <w:rPr>
      <w:color w:themeColor="followedHyperlink" w:val="954F72"/>
      <w:u w:val="single"/>
    </w:rPr>
  </w:style>
  <w:style w:type="character" w:styleId="Ttulo2Char">
    <w:name w:val="Título 2 Char"/>
    <w:basedOn w:val="DefaultParagraphFont"/>
    <w:qFormat/>
    <w:rPr>
      <w:rFonts w:ascii="Calibri Light" w:hAnsi="Calibri Light"/>
      <w:b/>
      <w:bCs/>
      <w:i/>
      <w:iCs/>
      <w:sz w:val="28"/>
      <w:szCs w:val="28"/>
    </w:rPr>
  </w:style>
  <w:style w:type="character" w:styleId="Ttulo3Char">
    <w:name w:val="Título 3 Char"/>
    <w:basedOn w:val="DefaultParagraphFont"/>
    <w:qFormat/>
    <w:rPr>
      <w:rFonts w:ascii="Calibri Light" w:hAnsi="Calibri Light"/>
      <w:b/>
      <w:bCs/>
      <w:sz w:val="26"/>
      <w:szCs w:val="26"/>
    </w:rPr>
  </w:style>
  <w:style w:type="character" w:styleId="Ttulo7Char">
    <w:name w:val="Título 7 Char"/>
    <w:basedOn w:val="DefaultParagraphFont"/>
    <w:qFormat/>
    <w:rPr>
      <w:b/>
      <w:spacing w:val="14"/>
      <w:sz w:val="24"/>
    </w:rPr>
  </w:style>
  <w:style w:type="character" w:styleId="WW8Num2z0">
    <w:name w:val="WW8Num2z0"/>
    <w:qFormat/>
    <w:rPr>
      <w:rFonts w:ascii="Monotype Sorts" w:hAnsi="Monotype Sorts"/>
    </w:rPr>
  </w:style>
  <w:style w:type="character" w:styleId="WW8Num3z0">
    <w:name w:val="WW8Num3z0"/>
    <w:qFormat/>
    <w:rPr>
      <w:b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/>
    </w:rPr>
  </w:style>
  <w:style w:type="character" w:styleId="WW8Num4z2">
    <w:name w:val="WW8Num4z2"/>
    <w:qFormat/>
    <w:rPr>
      <w:rFonts w:ascii="Wingdings" w:hAnsi="Wingdings"/>
    </w:rPr>
  </w:style>
  <w:style w:type="character" w:styleId="WW8Num4z3">
    <w:name w:val="WW8Num4z3"/>
    <w:qFormat/>
    <w:rPr>
      <w:rFonts w:ascii="Symbol" w:hAnsi="Symbol"/>
    </w:rPr>
  </w:style>
  <w:style w:type="character" w:styleId="WW8Num5z0">
    <w:name w:val="WW8Num5z0"/>
    <w:qFormat/>
    <w:rPr>
      <w:rFonts w:ascii="Times New Roman" w:hAnsi="Times New Roman"/>
      <w:b/>
    </w:rPr>
  </w:style>
  <w:style w:type="character" w:styleId="WW8Num6z0">
    <w:name w:val="WW8Num6z0"/>
    <w:qFormat/>
    <w:rPr>
      <w:b/>
    </w:rPr>
  </w:style>
  <w:style w:type="character" w:styleId="WW8Num7z0">
    <w:name w:val="WW8Num7z0"/>
    <w:qFormat/>
    <w:rPr>
      <w:b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widowControl w:val="false"/>
      <w:suppressAutoHyphens w:val="true"/>
      <w:jc w:val="both"/>
    </w:pPr>
    <w:rPr>
      <w:rFonts w:ascii="Times New Roman" w:hAnsi="Times New Roman" w:cs="Times New Roman"/>
      <w:sz w:val="28"/>
    </w:rPr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3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2">
    <w:name w:val="Título2"/>
    <w:basedOn w:val="Normal"/>
    <w:next w:val="BodyText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">
    <w:name w:val="Título1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>
    <w:name w:val="Capítulo"/>
    <w:basedOn w:val="Normal"/>
    <w:next w:val="BodyText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itle">
    <w:name w:val="Subtitle"/>
    <w:basedOn w:val="Captulo"/>
    <w:next w:val="BodyText"/>
    <w:qFormat/>
    <w:pPr>
      <w:jc w:val="center"/>
    </w:pPr>
    <w:rPr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Footer">
    <w:name w:val="footer"/>
    <w:basedOn w:val="Normal"/>
    <w:link w:val="RodapChar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JE1">
    <w:name w:val="JE1"/>
    <w:basedOn w:val="Heading1"/>
    <w:qFormat/>
    <w:pPr>
      <w:suppressAutoHyphens w:val="true"/>
      <w:jc w:val="center"/>
    </w:pPr>
    <w:rPr/>
  </w:style>
  <w:style w:type="paragraph" w:styleId="BodyTextIndented">
    <w:name w:val="Body Text, Indented"/>
    <w:basedOn w:val="Normal"/>
    <w:qFormat/>
    <w:pPr>
      <w:suppressAutoHyphens w:val="true"/>
      <w:ind w:hanging="0" w:left="2410"/>
      <w:jc w:val="both"/>
    </w:pPr>
    <w:rPr>
      <w:b/>
      <w:sz w:val="24"/>
    </w:rPr>
  </w:style>
  <w:style w:type="paragraph" w:styleId="FootnoteText">
    <w:name w:val="footnote text"/>
    <w:basedOn w:val="Normal"/>
    <w:pPr>
      <w:suppressAutoHyphens w:val="true"/>
    </w:pPr>
    <w:rPr>
      <w:rFonts w:ascii="Times New Roman" w:hAnsi="Times New Roman" w:cs="Times New Roman"/>
      <w:sz w:val="20"/>
    </w:rPr>
  </w:style>
  <w:style w:type="paragraph" w:styleId="Corpodetexto21">
    <w:name w:val="Corpo de texto 21"/>
    <w:basedOn w:val="Normal"/>
    <w:qFormat/>
    <w:pPr>
      <w:jc w:val="both"/>
    </w:pPr>
    <w:rPr/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etabela"/>
    <w:qFormat/>
    <w:pPr>
      <w:jc w:val="center"/>
    </w:pPr>
    <w:rPr>
      <w:b/>
      <w:bCs/>
    </w:rPr>
  </w:style>
  <w:style w:type="paragraph" w:styleId="Contedodequadro">
    <w:name w:val="Conteúdo de quadro"/>
    <w:basedOn w:val="BodyText"/>
    <w:qFormat/>
    <w:pPr/>
    <w:rPr/>
  </w:style>
  <w:style w:type="paragraph" w:styleId="Ttulodatabela">
    <w:name w:val="Título da tabela"/>
    <w:basedOn w:val="Contedodatabelauser"/>
    <w:qFormat/>
    <w:pPr>
      <w:jc w:val="center"/>
    </w:pPr>
    <w:rPr>
      <w:b/>
      <w:bCs/>
    </w:rPr>
  </w:style>
  <w:style w:type="paragraph" w:styleId="Contedodoquadrouser">
    <w:name w:val="Conteúdo do quadro (user)"/>
    <w:basedOn w:val="BodyText"/>
    <w:qFormat/>
    <w:pPr/>
    <w:rPr/>
  </w:style>
  <w:style w:type="paragraph" w:styleId="BalloonText">
    <w:name w:val="Balloon Text"/>
    <w:basedOn w:val="Normal"/>
    <w:link w:val="TextodebaloChar"/>
    <w:qFormat/>
    <w:pPr/>
    <w:rPr>
      <w:rFonts w:ascii="Segoe UI" w:hAnsi="Segoe UI" w:cs="Segoe UI"/>
      <w:sz w:val="18"/>
      <w:szCs w:val="18"/>
    </w:rPr>
  </w:style>
  <w:style w:type="paragraph" w:styleId="Textoembloco1">
    <w:name w:val="Texto em bloco1"/>
    <w:basedOn w:val="Normal"/>
    <w:qFormat/>
    <w:pPr>
      <w:ind w:firstLine="1134" w:left="4253" w:right="57"/>
      <w:jc w:val="both"/>
    </w:pPr>
    <w:rPr>
      <w:rFonts w:cs="Times New Roman"/>
      <w:i/>
      <w:spacing w:val="14"/>
    </w:rPr>
  </w:style>
  <w:style w:type="paragraph" w:styleId="texto2">
    <w:name w:val="texto2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04partenormativa">
    <w:name w:val="04partenormativa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numbering" w:styleId="Semlistauser">
    <w:name w:val="Sem lista (user)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Application>LibreOffice/25.2.7.2$Windows_X86_64 LibreOffice_project/5cbfd1ab6520636bb5f7b99185aa69bd7456825d</Application>
  <AppVersion>15.0000</AppVersion>
  <Pages>5</Pages>
  <Words>1455</Words>
  <Characters>8372</Characters>
  <CharactersWithSpaces>9748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2022-10-06T14:25:00Z</dcterms:created>
  <dc:creator>Marcia Bello</dc:creator>
  <dc:description/>
  <dc:language>pt-BR</dc:language>
  <cp:lastModifiedBy/>
  <cp:lastPrinted>2022-11-10T17:28:00Z</cp:lastPrinted>
  <dcterms:modified xsi:type="dcterms:W3CDTF">2026-02-09T08:31:58Z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