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476" w:rsidRDefault="00A93476" w:rsidP="00A93476">
      <w:pPr>
        <w:autoSpaceDE w:val="0"/>
        <w:autoSpaceDN w:val="0"/>
        <w:adjustRightInd w:val="0"/>
        <w:spacing w:after="0" w:line="240" w:lineRule="auto"/>
        <w:jc w:val="center"/>
        <w:rPr>
          <w:rFonts w:ascii="Calibri" w:hAnsi="Calibri" w:cs="Calibri"/>
        </w:rPr>
      </w:pPr>
    </w:p>
    <w:p w:rsidR="00A93476" w:rsidRDefault="00A93476" w:rsidP="00A93476">
      <w:pPr>
        <w:autoSpaceDE w:val="0"/>
        <w:autoSpaceDN w:val="0"/>
        <w:adjustRightInd w:val="0"/>
        <w:spacing w:after="0" w:line="240" w:lineRule="auto"/>
        <w:jc w:val="center"/>
        <w:rPr>
          <w:rFonts w:ascii="Calibri" w:hAnsi="Calibri" w:cs="Calibri"/>
        </w:rPr>
      </w:pPr>
    </w:p>
    <w:p w:rsidR="00A93476" w:rsidRPr="00023536" w:rsidRDefault="00A93476" w:rsidP="00A93476">
      <w:pPr>
        <w:autoSpaceDE w:val="0"/>
        <w:autoSpaceDN w:val="0"/>
        <w:adjustRightInd w:val="0"/>
        <w:spacing w:after="0" w:line="240" w:lineRule="auto"/>
        <w:jc w:val="center"/>
        <w:rPr>
          <w:rFonts w:cstheme="minorHAnsi"/>
        </w:rPr>
      </w:pPr>
      <w:r>
        <w:rPr>
          <w:rFonts w:ascii="Calibri" w:hAnsi="Calibri" w:cs="Calibri"/>
          <w:noProof/>
        </w:rPr>
        <w:drawing>
          <wp:inline distT="0" distB="0" distL="0" distR="0">
            <wp:extent cx="666750" cy="542925"/>
            <wp:effectExtent l="1905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666750" cy="542925"/>
                    </a:xfrm>
                    <a:prstGeom prst="rect">
                      <a:avLst/>
                    </a:prstGeom>
                    <a:noFill/>
                    <a:ln w="9525">
                      <a:noFill/>
                      <a:miter lim="800000"/>
                      <a:headEnd/>
                      <a:tailEnd/>
                    </a:ln>
                  </pic:spPr>
                </pic:pic>
              </a:graphicData>
            </a:graphic>
          </wp:inline>
        </w:drawing>
      </w:r>
    </w:p>
    <w:p w:rsidR="00A93476" w:rsidRPr="009E758D" w:rsidRDefault="00A93476" w:rsidP="00F121AF">
      <w:pPr>
        <w:autoSpaceDE w:val="0"/>
        <w:autoSpaceDN w:val="0"/>
        <w:adjustRightInd w:val="0"/>
        <w:spacing w:after="0"/>
        <w:jc w:val="center"/>
        <w:rPr>
          <w:rFonts w:cstheme="minorHAnsi"/>
          <w:b/>
          <w:bCs/>
        </w:rPr>
      </w:pPr>
      <w:r w:rsidRPr="009E758D">
        <w:rPr>
          <w:rFonts w:cstheme="minorHAnsi"/>
          <w:b/>
          <w:bCs/>
        </w:rPr>
        <w:t>Estado do Rio Grande do Sul</w:t>
      </w:r>
    </w:p>
    <w:p w:rsidR="00A93476" w:rsidRPr="009E758D" w:rsidRDefault="00567B03" w:rsidP="00F121AF">
      <w:pPr>
        <w:autoSpaceDE w:val="0"/>
        <w:autoSpaceDN w:val="0"/>
        <w:adjustRightInd w:val="0"/>
        <w:spacing w:after="0"/>
        <w:jc w:val="center"/>
        <w:rPr>
          <w:rFonts w:cstheme="minorHAnsi"/>
          <w:b/>
          <w:bCs/>
        </w:rPr>
      </w:pPr>
      <w:r w:rsidRPr="009E758D">
        <w:rPr>
          <w:rFonts w:cstheme="minorHAnsi"/>
          <w:b/>
          <w:bCs/>
        </w:rPr>
        <w:t xml:space="preserve">Prefeitura do </w:t>
      </w:r>
      <w:r w:rsidR="00A93476" w:rsidRPr="009E758D">
        <w:rPr>
          <w:rFonts w:cstheme="minorHAnsi"/>
          <w:b/>
          <w:bCs/>
        </w:rPr>
        <w:t>Município de Santo Ângelo</w:t>
      </w:r>
    </w:p>
    <w:p w:rsidR="00A93476" w:rsidRPr="009E758D" w:rsidRDefault="00A93476" w:rsidP="00F121AF">
      <w:pPr>
        <w:autoSpaceDE w:val="0"/>
        <w:autoSpaceDN w:val="0"/>
        <w:adjustRightInd w:val="0"/>
        <w:spacing w:after="0"/>
        <w:jc w:val="center"/>
        <w:rPr>
          <w:rFonts w:cstheme="minorHAnsi"/>
          <w:b/>
          <w:bCs/>
        </w:rPr>
      </w:pPr>
      <w:r w:rsidRPr="009E758D">
        <w:rPr>
          <w:rFonts w:cstheme="minorHAnsi"/>
          <w:b/>
          <w:bCs/>
        </w:rPr>
        <w:t>Departamento Compras</w:t>
      </w:r>
      <w:r w:rsidR="00646453" w:rsidRPr="009E758D">
        <w:rPr>
          <w:rFonts w:cstheme="minorHAnsi"/>
          <w:b/>
          <w:bCs/>
        </w:rPr>
        <w:t xml:space="preserve"> e Patrimônio</w:t>
      </w:r>
    </w:p>
    <w:p w:rsidR="00A93476" w:rsidRPr="009E758D" w:rsidRDefault="00A93476" w:rsidP="00F121AF">
      <w:pPr>
        <w:autoSpaceDE w:val="0"/>
        <w:autoSpaceDN w:val="0"/>
        <w:adjustRightInd w:val="0"/>
        <w:spacing w:after="0"/>
        <w:jc w:val="center"/>
        <w:rPr>
          <w:rFonts w:cstheme="minorHAnsi"/>
        </w:rPr>
      </w:pPr>
    </w:p>
    <w:p w:rsidR="00A93476" w:rsidRPr="009E758D" w:rsidRDefault="00A93476" w:rsidP="00F121AF">
      <w:pPr>
        <w:autoSpaceDE w:val="0"/>
        <w:autoSpaceDN w:val="0"/>
        <w:adjustRightInd w:val="0"/>
        <w:spacing w:after="0"/>
        <w:jc w:val="center"/>
        <w:rPr>
          <w:rFonts w:cstheme="minorHAnsi"/>
          <w:b/>
        </w:rPr>
      </w:pPr>
      <w:r w:rsidRPr="009E758D">
        <w:rPr>
          <w:rFonts w:cstheme="minorHAnsi"/>
          <w:b/>
        </w:rPr>
        <w:t>ATA DE JULGAMENTO DE IMPUGNAÇÃO DE EDITAL</w:t>
      </w:r>
    </w:p>
    <w:p w:rsidR="00A93476" w:rsidRPr="009E758D" w:rsidRDefault="00A93476" w:rsidP="00F121AF">
      <w:pPr>
        <w:autoSpaceDE w:val="0"/>
        <w:autoSpaceDN w:val="0"/>
        <w:adjustRightInd w:val="0"/>
        <w:spacing w:after="0"/>
        <w:jc w:val="center"/>
        <w:rPr>
          <w:rFonts w:cstheme="minorHAnsi"/>
        </w:rPr>
      </w:pPr>
    </w:p>
    <w:p w:rsidR="000B3EC1" w:rsidRPr="009E758D" w:rsidRDefault="000B3EC1" w:rsidP="00055B4E">
      <w:pPr>
        <w:spacing w:after="120"/>
        <w:jc w:val="both"/>
        <w:rPr>
          <w:rFonts w:cstheme="minorHAnsi"/>
          <w:b/>
        </w:rPr>
      </w:pPr>
      <w:r w:rsidRPr="009E758D">
        <w:rPr>
          <w:rFonts w:cstheme="minorHAnsi"/>
        </w:rPr>
        <w:t xml:space="preserve">Trata-se do pedido de impugnação do edital nº </w:t>
      </w:r>
      <w:r w:rsidR="00D23B80">
        <w:rPr>
          <w:rFonts w:cstheme="minorHAnsi"/>
        </w:rPr>
        <w:t>100</w:t>
      </w:r>
      <w:r w:rsidRPr="009E758D">
        <w:rPr>
          <w:rFonts w:cstheme="minorHAnsi"/>
        </w:rPr>
        <w:t>/202</w:t>
      </w:r>
      <w:r w:rsidR="00644C05">
        <w:rPr>
          <w:rFonts w:cstheme="minorHAnsi"/>
        </w:rPr>
        <w:t>4</w:t>
      </w:r>
      <w:r w:rsidRPr="009E758D">
        <w:rPr>
          <w:rFonts w:cstheme="minorHAnsi"/>
        </w:rPr>
        <w:t xml:space="preserve"> interposta pela </w:t>
      </w:r>
      <w:r w:rsidR="00ED2305">
        <w:rPr>
          <w:rFonts w:cstheme="minorHAnsi"/>
        </w:rPr>
        <w:t xml:space="preserve">empresa </w:t>
      </w:r>
      <w:r w:rsidR="00C85BF8">
        <w:t>ZAGONEL ILUMINAÇÃO S.A, inscrita sob o CNPJ n. 44.233.812/0001-52, situada à BR 282, Km 576, pavilhão 02, Distrito Industrial Pinhal Leste, Pinhalzinho/SC, CEP 89870000</w:t>
      </w:r>
      <w:r w:rsidRPr="009E758D">
        <w:rPr>
          <w:rFonts w:cstheme="minorHAnsi"/>
        </w:rPr>
        <w:t>, requer em seu pedido de impugnação, que a municipalidade altere o edital d</w:t>
      </w:r>
      <w:r w:rsidR="00D23B80">
        <w:rPr>
          <w:rFonts w:cstheme="minorHAnsi"/>
        </w:rPr>
        <w:t>o</w:t>
      </w:r>
      <w:r w:rsidRPr="009E758D">
        <w:rPr>
          <w:rFonts w:cstheme="minorHAnsi"/>
        </w:rPr>
        <w:t xml:space="preserve"> </w:t>
      </w:r>
      <w:r w:rsidR="00D23B80">
        <w:rPr>
          <w:rFonts w:cstheme="minorHAnsi"/>
        </w:rPr>
        <w:t xml:space="preserve">citado </w:t>
      </w:r>
      <w:r w:rsidRPr="009E758D">
        <w:rPr>
          <w:rFonts w:cstheme="minorHAnsi"/>
        </w:rPr>
        <w:t>pregão eletrônico.</w:t>
      </w:r>
    </w:p>
    <w:p w:rsidR="00A93476" w:rsidRPr="009E758D" w:rsidRDefault="00A93476" w:rsidP="00055B4E">
      <w:pPr>
        <w:autoSpaceDE w:val="0"/>
        <w:autoSpaceDN w:val="0"/>
        <w:adjustRightInd w:val="0"/>
        <w:spacing w:after="120"/>
        <w:jc w:val="both"/>
        <w:rPr>
          <w:rFonts w:cstheme="minorHAnsi"/>
          <w:b/>
          <w:bCs/>
        </w:rPr>
      </w:pPr>
      <w:r w:rsidRPr="009E758D">
        <w:rPr>
          <w:rFonts w:cstheme="minorHAnsi"/>
          <w:b/>
          <w:bCs/>
        </w:rPr>
        <w:t>1. DA ALEGAÇÃO</w:t>
      </w:r>
    </w:p>
    <w:p w:rsidR="00AB3326" w:rsidRDefault="00D23B80" w:rsidP="00055B4E">
      <w:pPr>
        <w:autoSpaceDE w:val="0"/>
        <w:autoSpaceDN w:val="0"/>
        <w:adjustRightInd w:val="0"/>
        <w:spacing w:after="120"/>
        <w:jc w:val="both"/>
      </w:pPr>
      <w:r w:rsidRPr="009E758D">
        <w:rPr>
          <w:rFonts w:cstheme="minorHAnsi"/>
        </w:rPr>
        <w:t xml:space="preserve">A impugnante, em síntese, </w:t>
      </w:r>
      <w:r>
        <w:rPr>
          <w:rFonts w:cstheme="minorHAnsi"/>
        </w:rPr>
        <w:t>a</w:t>
      </w:r>
      <w:r w:rsidRPr="009E758D">
        <w:rPr>
          <w:rFonts w:cstheme="minorHAnsi"/>
        </w:rPr>
        <w:t>rgumenta que o edital possui irregularidades</w:t>
      </w:r>
      <w:r>
        <w:rPr>
          <w:rFonts w:cstheme="minorHAnsi"/>
        </w:rPr>
        <w:t>, Segundo a mesma, a</w:t>
      </w:r>
      <w:r w:rsidR="00C85BF8">
        <w:t>o realizar a análise das cláusulas e condições para participação no pleito em tela, identific</w:t>
      </w:r>
      <w:r>
        <w:t>ou</w:t>
      </w:r>
      <w:proofErr w:type="gramStart"/>
      <w:r w:rsidR="00C85BF8">
        <w:t xml:space="preserve"> </w:t>
      </w:r>
      <w:r>
        <w:t xml:space="preserve"> </w:t>
      </w:r>
      <w:proofErr w:type="gramEnd"/>
      <w:r>
        <w:t xml:space="preserve">02 </w:t>
      </w:r>
      <w:r w:rsidR="00C85BF8">
        <w:t xml:space="preserve">pontos que geram incertezas, </w:t>
      </w:r>
      <w:r>
        <w:t xml:space="preserve">01 </w:t>
      </w:r>
      <w:r w:rsidR="00C85BF8">
        <w:t xml:space="preserve">se refere </w:t>
      </w:r>
      <w:r>
        <w:t xml:space="preserve">a vida útil do LED de 100.000 horas e 02 se refere ao que a impugnante chama de “lente secundária” </w:t>
      </w:r>
      <w:r w:rsidR="00AB3326">
        <w:t>.</w:t>
      </w:r>
    </w:p>
    <w:p w:rsidR="00A93476" w:rsidRPr="009E758D" w:rsidRDefault="00920828" w:rsidP="00055B4E">
      <w:pPr>
        <w:autoSpaceDE w:val="0"/>
        <w:autoSpaceDN w:val="0"/>
        <w:adjustRightInd w:val="0"/>
        <w:spacing w:after="120"/>
        <w:jc w:val="both"/>
        <w:rPr>
          <w:rFonts w:cstheme="minorHAnsi"/>
          <w:b/>
          <w:bCs/>
        </w:rPr>
      </w:pPr>
      <w:r>
        <w:t xml:space="preserve"> </w:t>
      </w:r>
      <w:r w:rsidR="00A93476" w:rsidRPr="009E758D">
        <w:rPr>
          <w:rFonts w:cstheme="minorHAnsi"/>
          <w:b/>
          <w:bCs/>
        </w:rPr>
        <w:t>2. D</w:t>
      </w:r>
      <w:r w:rsidR="00E030E7" w:rsidRPr="009E758D">
        <w:rPr>
          <w:rFonts w:cstheme="minorHAnsi"/>
          <w:b/>
          <w:bCs/>
        </w:rPr>
        <w:t>A TEMPESTIVIDADE</w:t>
      </w:r>
    </w:p>
    <w:p w:rsidR="00A93476" w:rsidRDefault="00A93476" w:rsidP="00055B4E">
      <w:pPr>
        <w:autoSpaceDE w:val="0"/>
        <w:autoSpaceDN w:val="0"/>
        <w:adjustRightInd w:val="0"/>
        <w:spacing w:after="120"/>
        <w:jc w:val="both"/>
        <w:rPr>
          <w:rFonts w:cstheme="minorHAnsi"/>
        </w:rPr>
      </w:pPr>
      <w:r w:rsidRPr="009E758D">
        <w:rPr>
          <w:rFonts w:cstheme="minorHAnsi"/>
        </w:rPr>
        <w:t xml:space="preserve">Analisada a tempestividade da impugnação do instrumento convocatório de acordo com o previsto no artigo </w:t>
      </w:r>
      <w:r w:rsidR="003B5DBB">
        <w:rPr>
          <w:rFonts w:cstheme="minorHAnsi"/>
        </w:rPr>
        <w:t>164</w:t>
      </w:r>
      <w:r w:rsidRPr="009E758D">
        <w:rPr>
          <w:rFonts w:cstheme="minorHAnsi"/>
        </w:rPr>
        <w:t xml:space="preserve"> da Lei </w:t>
      </w:r>
      <w:r w:rsidR="003B5DBB">
        <w:rPr>
          <w:rFonts w:cstheme="minorHAnsi"/>
        </w:rPr>
        <w:t>14.133/21</w:t>
      </w:r>
      <w:r w:rsidRPr="009E758D">
        <w:rPr>
          <w:rFonts w:cstheme="minorHAnsi"/>
        </w:rPr>
        <w:t xml:space="preserve">, visto que é condição essencial para o conhecimento desta, verificou-se que a mesma foi </w:t>
      </w:r>
      <w:r w:rsidR="000B3EC1" w:rsidRPr="009E758D">
        <w:rPr>
          <w:rFonts w:cstheme="minorHAnsi"/>
        </w:rPr>
        <w:t xml:space="preserve">encaminhada de forma eletrônica no dia </w:t>
      </w:r>
      <w:r w:rsidR="005511EE">
        <w:rPr>
          <w:rFonts w:cstheme="minorHAnsi"/>
        </w:rPr>
        <w:t>17</w:t>
      </w:r>
      <w:r w:rsidR="003B5DBB">
        <w:rPr>
          <w:rFonts w:cstheme="minorHAnsi"/>
        </w:rPr>
        <w:t>/</w:t>
      </w:r>
      <w:r w:rsidR="00AB3326">
        <w:rPr>
          <w:rFonts w:cstheme="minorHAnsi"/>
        </w:rPr>
        <w:t>1</w:t>
      </w:r>
      <w:r w:rsidR="005511EE">
        <w:rPr>
          <w:rFonts w:cstheme="minorHAnsi"/>
        </w:rPr>
        <w:t>2</w:t>
      </w:r>
      <w:r w:rsidR="003B5DBB">
        <w:rPr>
          <w:rFonts w:cstheme="minorHAnsi"/>
        </w:rPr>
        <w:t>/2024</w:t>
      </w:r>
      <w:r w:rsidR="000B3EC1" w:rsidRPr="009E758D">
        <w:rPr>
          <w:rFonts w:cstheme="minorHAnsi"/>
        </w:rPr>
        <w:t xml:space="preserve"> </w:t>
      </w:r>
      <w:r w:rsidR="00FC08D7" w:rsidRPr="009E758D">
        <w:rPr>
          <w:rFonts w:cstheme="minorHAnsi"/>
        </w:rPr>
        <w:t>às</w:t>
      </w:r>
      <w:r w:rsidR="000B3EC1" w:rsidRPr="009E758D">
        <w:rPr>
          <w:rFonts w:cstheme="minorHAnsi"/>
        </w:rPr>
        <w:t xml:space="preserve"> 1</w:t>
      </w:r>
      <w:r w:rsidR="00CE763D">
        <w:rPr>
          <w:rFonts w:cstheme="minorHAnsi"/>
        </w:rPr>
        <w:t>7</w:t>
      </w:r>
      <w:r w:rsidR="007141ED" w:rsidRPr="009E758D">
        <w:rPr>
          <w:rFonts w:cstheme="minorHAnsi"/>
        </w:rPr>
        <w:t>h</w:t>
      </w:r>
      <w:r w:rsidR="005511EE">
        <w:rPr>
          <w:rFonts w:cstheme="minorHAnsi"/>
        </w:rPr>
        <w:t>36</w:t>
      </w:r>
      <w:r w:rsidR="000B3EC1" w:rsidRPr="009E758D">
        <w:rPr>
          <w:rFonts w:cstheme="minorHAnsi"/>
        </w:rPr>
        <w:t xml:space="preserve">min, </w:t>
      </w:r>
      <w:r w:rsidRPr="009E758D">
        <w:rPr>
          <w:rFonts w:cstheme="minorHAnsi"/>
        </w:rPr>
        <w:t xml:space="preserve">em conformidade com item </w:t>
      </w:r>
      <w:r w:rsidR="000B3EC1" w:rsidRPr="009E758D">
        <w:rPr>
          <w:rFonts w:cstheme="minorHAnsi"/>
        </w:rPr>
        <w:t>16.</w:t>
      </w:r>
      <w:r w:rsidR="003B5DBB">
        <w:rPr>
          <w:rFonts w:cstheme="minorHAnsi"/>
        </w:rPr>
        <w:t>1</w:t>
      </w:r>
      <w:r w:rsidRPr="009E758D">
        <w:rPr>
          <w:rFonts w:cstheme="minorHAnsi"/>
        </w:rPr>
        <w:t xml:space="preserve"> do edital, dentro do prazo legal, visto que a licitação </w:t>
      </w:r>
      <w:r w:rsidR="000B3EC1" w:rsidRPr="009E758D">
        <w:rPr>
          <w:rFonts w:cstheme="minorHAnsi"/>
        </w:rPr>
        <w:t xml:space="preserve">esta </w:t>
      </w:r>
      <w:r w:rsidRPr="009E758D">
        <w:rPr>
          <w:rFonts w:cstheme="minorHAnsi"/>
        </w:rPr>
        <w:t xml:space="preserve">marcada para o dia </w:t>
      </w:r>
      <w:r w:rsidR="005511EE">
        <w:rPr>
          <w:rFonts w:cstheme="minorHAnsi"/>
        </w:rPr>
        <w:t>23</w:t>
      </w:r>
      <w:r w:rsidR="00B55AB4" w:rsidRPr="009E758D">
        <w:rPr>
          <w:rFonts w:cstheme="minorHAnsi"/>
        </w:rPr>
        <w:t>/</w:t>
      </w:r>
      <w:r w:rsidR="00AB3326">
        <w:rPr>
          <w:rFonts w:cstheme="minorHAnsi"/>
        </w:rPr>
        <w:t>1</w:t>
      </w:r>
      <w:r w:rsidR="005511EE">
        <w:rPr>
          <w:rFonts w:cstheme="minorHAnsi"/>
        </w:rPr>
        <w:t>2</w:t>
      </w:r>
      <w:r w:rsidR="00B55AB4" w:rsidRPr="009E758D">
        <w:rPr>
          <w:rFonts w:cstheme="minorHAnsi"/>
        </w:rPr>
        <w:t>/202</w:t>
      </w:r>
      <w:r w:rsidR="003B5DBB">
        <w:rPr>
          <w:rFonts w:cstheme="minorHAnsi"/>
        </w:rPr>
        <w:t>4</w:t>
      </w:r>
      <w:r w:rsidRPr="009E758D">
        <w:rPr>
          <w:rFonts w:cstheme="minorHAnsi"/>
        </w:rPr>
        <w:t>.</w:t>
      </w:r>
    </w:p>
    <w:p w:rsidR="00E030E7" w:rsidRPr="009E758D" w:rsidRDefault="00E030E7" w:rsidP="00055B4E">
      <w:pPr>
        <w:spacing w:after="120"/>
        <w:rPr>
          <w:rFonts w:cstheme="minorHAnsi"/>
          <w:b/>
        </w:rPr>
      </w:pPr>
      <w:r w:rsidRPr="009E758D">
        <w:rPr>
          <w:rFonts w:cstheme="minorHAnsi"/>
          <w:b/>
        </w:rPr>
        <w:t>3. DO MÉRITO</w:t>
      </w:r>
    </w:p>
    <w:p w:rsidR="00E030E7" w:rsidRPr="009E758D" w:rsidRDefault="00E030E7" w:rsidP="00055B4E">
      <w:pPr>
        <w:tabs>
          <w:tab w:val="left" w:pos="1418"/>
        </w:tabs>
        <w:spacing w:after="120"/>
        <w:jc w:val="both"/>
        <w:rPr>
          <w:rFonts w:cstheme="minorHAnsi"/>
          <w:b/>
        </w:rPr>
      </w:pPr>
      <w:r w:rsidRPr="009E758D">
        <w:rPr>
          <w:rFonts w:cstheme="minorHAnsi"/>
        </w:rPr>
        <w:t xml:space="preserve">O Município de Santo Ângelo, por meio do procedimento administrativo de licitação nº </w:t>
      </w:r>
      <w:r w:rsidR="005511EE">
        <w:rPr>
          <w:rFonts w:cstheme="minorHAnsi"/>
        </w:rPr>
        <w:t>100</w:t>
      </w:r>
      <w:r w:rsidRPr="009E758D">
        <w:rPr>
          <w:rFonts w:cstheme="minorHAnsi"/>
        </w:rPr>
        <w:t>/202</w:t>
      </w:r>
      <w:r w:rsidR="003B5DBB">
        <w:rPr>
          <w:rFonts w:cstheme="minorHAnsi"/>
        </w:rPr>
        <w:t>4</w:t>
      </w:r>
      <w:r w:rsidRPr="009E758D">
        <w:rPr>
          <w:rFonts w:cstheme="minorHAnsi"/>
        </w:rPr>
        <w:t xml:space="preserve">, objetiva </w:t>
      </w:r>
      <w:r w:rsidR="00AB3326">
        <w:rPr>
          <w:rFonts w:ascii="Calibri" w:hAnsi="Calibri" w:cs="Calibri"/>
        </w:rPr>
        <w:t xml:space="preserve">a Aquisição </w:t>
      </w:r>
      <w:r w:rsidR="00AB3326" w:rsidRPr="00AB3326">
        <w:rPr>
          <w:rFonts w:ascii="Calibri" w:hAnsi="Calibri" w:cs="Calibri"/>
        </w:rPr>
        <w:t xml:space="preserve">de </w:t>
      </w:r>
      <w:r w:rsidR="003B5DBB" w:rsidRPr="00AB3326">
        <w:rPr>
          <w:rFonts w:ascii="Calibri" w:hAnsi="Calibri" w:cs="Calibri"/>
        </w:rPr>
        <w:t>luminárias de LED</w:t>
      </w:r>
      <w:r w:rsidR="00AB3326">
        <w:rPr>
          <w:rFonts w:ascii="Calibri" w:hAnsi="Calibri" w:cs="Calibri"/>
          <w:b/>
        </w:rPr>
        <w:t xml:space="preserve">. </w:t>
      </w:r>
      <w:r w:rsidR="00052045" w:rsidRPr="009E758D">
        <w:rPr>
          <w:rFonts w:cstheme="minorHAnsi"/>
        </w:rPr>
        <w:t>A insurgência da</w:t>
      </w:r>
      <w:r w:rsidRPr="009E758D">
        <w:rPr>
          <w:rFonts w:cstheme="minorHAnsi"/>
        </w:rPr>
        <w:t xml:space="preserve"> impugnante é especificamente </w:t>
      </w:r>
      <w:r w:rsidR="009F3C63">
        <w:rPr>
          <w:rFonts w:cstheme="minorHAnsi"/>
        </w:rPr>
        <w:t xml:space="preserve">em relação ao </w:t>
      </w:r>
      <w:r w:rsidR="00C81C7C">
        <w:rPr>
          <w:rFonts w:cstheme="minorHAnsi"/>
        </w:rPr>
        <w:t>termo de referencia</w:t>
      </w:r>
      <w:r w:rsidR="009F3C63">
        <w:t xml:space="preserve"> requer</w:t>
      </w:r>
      <w:r w:rsidR="00537597">
        <w:t>er</w:t>
      </w:r>
      <w:r w:rsidR="009F3C63">
        <w:t xml:space="preserve"> que as luminárias tenham </w:t>
      </w:r>
      <w:r w:rsidR="005511EE">
        <w:t>vida útil do LED de 100.000 horas e ao que a impugnante chama de “lente secundária”</w:t>
      </w:r>
      <w:r w:rsidR="009F3C63">
        <w:t xml:space="preserve">. </w:t>
      </w:r>
    </w:p>
    <w:p w:rsidR="00E030E7" w:rsidRPr="009E758D" w:rsidRDefault="00E030E7" w:rsidP="00055B4E">
      <w:pPr>
        <w:spacing w:after="120"/>
        <w:ind w:firstLine="1418"/>
        <w:jc w:val="both"/>
        <w:rPr>
          <w:rFonts w:cstheme="minorHAnsi"/>
        </w:rPr>
      </w:pPr>
      <w:r w:rsidRPr="009E758D">
        <w:rPr>
          <w:rFonts w:cstheme="minorHAnsi"/>
        </w:rPr>
        <w:t xml:space="preserve">Verifica-se que as exigências contidas no instrumento convocatório possuem respaldo no poder discricionário da administração pública, dentro do limite de legalidade e não têm o objetivo de frustrar o caráter competitivo do certame. </w:t>
      </w:r>
    </w:p>
    <w:p w:rsidR="00E030E7" w:rsidRPr="009E758D" w:rsidRDefault="00E030E7" w:rsidP="00055B4E">
      <w:pPr>
        <w:spacing w:after="120"/>
        <w:ind w:left="2694" w:hanging="426"/>
        <w:jc w:val="both"/>
        <w:rPr>
          <w:rFonts w:cstheme="minorHAnsi"/>
        </w:rPr>
      </w:pPr>
      <w:r w:rsidRPr="009E758D">
        <w:rPr>
          <w:rFonts w:cstheme="minorHAnsi"/>
          <w:b/>
        </w:rPr>
        <w:t xml:space="preserve">      </w:t>
      </w:r>
      <w:r w:rsidR="00F121AF" w:rsidRPr="009E758D">
        <w:rPr>
          <w:rFonts w:cstheme="minorHAnsi"/>
          <w:b/>
        </w:rPr>
        <w:t xml:space="preserve">   </w:t>
      </w:r>
      <w:r w:rsidRPr="009E758D">
        <w:rPr>
          <w:rFonts w:cstheme="minorHAnsi"/>
          <w:b/>
        </w:rPr>
        <w:t xml:space="preserve">Reservou-se à Administração a liberdade de escolha do momento de realização da licitação, do seu objeto, da especificação de condições de execução, das condições de pagamento etc. Essa competência discricionária exercita-se no momento preparatório e inicial da licitação. Uma vez realizadas essas escolhas, exaure-se a </w:t>
      </w:r>
      <w:r w:rsidRPr="009E758D">
        <w:rPr>
          <w:rFonts w:cstheme="minorHAnsi"/>
          <w:b/>
        </w:rPr>
        <w:lastRenderedPageBreak/>
        <w:t xml:space="preserve">discricionariedade e não mais pode ser invocada - ou, mais corretamente, se a administração pretender renovar o exercício dessa faculdade, estará sujeita a refazer toda a licitação. Assim, a Administração tem liberdade para escolher as condições sobre o contrato futuro. (Marçal </w:t>
      </w:r>
      <w:proofErr w:type="spellStart"/>
      <w:r w:rsidRPr="009E758D">
        <w:rPr>
          <w:rFonts w:cstheme="minorHAnsi"/>
          <w:b/>
        </w:rPr>
        <w:t>Justen</w:t>
      </w:r>
      <w:proofErr w:type="spellEnd"/>
      <w:r w:rsidRPr="009E758D">
        <w:rPr>
          <w:rFonts w:cstheme="minorHAnsi"/>
          <w:b/>
        </w:rPr>
        <w:t xml:space="preserve"> Filho, em sua obra Comentários à Lei de Licitações e Contratos Administrativos, 13a edição, São Paulo</w:t>
      </w:r>
      <w:r w:rsidRPr="009E758D">
        <w:rPr>
          <w:rFonts w:cstheme="minorHAnsi"/>
        </w:rPr>
        <w:t>, Dialética, 2009, em fls. 70).</w:t>
      </w:r>
    </w:p>
    <w:p w:rsidR="00E030E7" w:rsidRPr="009E758D" w:rsidRDefault="00E030E7" w:rsidP="00055B4E">
      <w:pPr>
        <w:tabs>
          <w:tab w:val="left" w:pos="1418"/>
        </w:tabs>
        <w:spacing w:after="120"/>
        <w:jc w:val="both"/>
        <w:rPr>
          <w:rFonts w:cstheme="minorHAnsi"/>
        </w:rPr>
      </w:pPr>
      <w:r w:rsidRPr="009E758D">
        <w:rPr>
          <w:rFonts w:cstheme="minorHAnsi"/>
        </w:rPr>
        <w:t xml:space="preserve">                       Dos ensinamentos de </w:t>
      </w:r>
      <w:proofErr w:type="spellStart"/>
      <w:r w:rsidRPr="009E758D">
        <w:rPr>
          <w:rFonts w:cstheme="minorHAnsi"/>
        </w:rPr>
        <w:t>Hely</w:t>
      </w:r>
      <w:proofErr w:type="spellEnd"/>
      <w:r w:rsidRPr="009E758D">
        <w:rPr>
          <w:rFonts w:cstheme="minorHAnsi"/>
        </w:rPr>
        <w:t xml:space="preserve"> Lopes Meireles, ao comentar os princípios da igualdade entre os licitantes e o da vinculação ao edital, extrai-se que: </w:t>
      </w:r>
    </w:p>
    <w:p w:rsidR="00E030E7" w:rsidRPr="009E758D" w:rsidRDefault="00E030E7" w:rsidP="00055B4E">
      <w:pPr>
        <w:spacing w:after="120"/>
        <w:ind w:left="2694" w:hanging="426"/>
        <w:jc w:val="both"/>
        <w:rPr>
          <w:rFonts w:cstheme="minorHAnsi"/>
        </w:rPr>
      </w:pPr>
      <w:r w:rsidRPr="009E758D">
        <w:rPr>
          <w:rFonts w:cstheme="minorHAnsi"/>
        </w:rPr>
        <w:t xml:space="preserve">       A igualdade entre os licitantes é principio impeditivo da discriminação entre os participantes do certame, quer através de cláusulas que, no edital ou convite, favoreçam uns em detrimento de outros, quer mediante julgamento faccioso, quer desiguale os iguais ou iguale os desiguais (artigo 30, § 10)". "O desatendimento a esse princípio constitui a forma mais insidiosa de desvio de poder, com que a Administração quebra a isonomia entre os licitantes, razão pela qual o Judiciário tem anulado </w:t>
      </w:r>
      <w:proofErr w:type="gramStart"/>
      <w:r w:rsidRPr="009E758D">
        <w:rPr>
          <w:rFonts w:cstheme="minorHAnsi"/>
        </w:rPr>
        <w:t>editais</w:t>
      </w:r>
      <w:proofErr w:type="gramEnd"/>
      <w:r w:rsidRPr="009E758D">
        <w:rPr>
          <w:rFonts w:cstheme="minorHAnsi"/>
        </w:rPr>
        <w:t xml:space="preserve"> e julgamentos em que se descobre a perseguição ou o favoritismo administrativo, sem nenhum objetivo ou vantagem de interesse público. </w:t>
      </w:r>
      <w:r w:rsidRPr="009E758D">
        <w:rPr>
          <w:rFonts w:cstheme="minorHAnsi"/>
          <w:b/>
        </w:rPr>
        <w:t xml:space="preserve">Todavia, não configura atentado ao princípio da igualdade entre os licitantes o estabelecimento de requisitos mínimos de participação no edital ou convite, porque a Administração pode e deve fixá-los sempre que necessários à garantia da execução do contrato, à segurança e perfeição da obra ou serviço, à regularidade do fornecimento ou ao atendimento de qualquer outro interesse </w:t>
      </w:r>
      <w:r w:rsidR="005A4B7F" w:rsidRPr="009E758D">
        <w:rPr>
          <w:rFonts w:cstheme="minorHAnsi"/>
          <w:b/>
        </w:rPr>
        <w:t>público “</w:t>
      </w:r>
      <w:r w:rsidRPr="009E758D">
        <w:rPr>
          <w:rFonts w:cstheme="minorHAnsi"/>
        </w:rPr>
        <w:t xml:space="preserve">(Direito Administrativo Brasileiro, 26a edição, Malheiros Editores, 2001, páginas 258 e 259)" (grifei). </w:t>
      </w:r>
    </w:p>
    <w:p w:rsidR="00F121AF" w:rsidRDefault="00E030E7" w:rsidP="00055B4E">
      <w:pPr>
        <w:spacing w:after="120"/>
        <w:jc w:val="both"/>
        <w:rPr>
          <w:rFonts w:cstheme="minorHAnsi"/>
        </w:rPr>
      </w:pPr>
      <w:r w:rsidRPr="009E758D">
        <w:rPr>
          <w:rFonts w:cstheme="minorHAnsi"/>
        </w:rPr>
        <w:t xml:space="preserve">                       Cabe ressaltar que, de modo algum esta sendo </w:t>
      </w:r>
      <w:r w:rsidRPr="009E758D">
        <w:rPr>
          <w:rFonts w:cstheme="minorHAnsi"/>
          <w:b/>
        </w:rPr>
        <w:t>restringida a competitividade ou ferindo o principio da isonomia</w:t>
      </w:r>
      <w:r w:rsidR="003B5DBB">
        <w:rPr>
          <w:rFonts w:cstheme="minorHAnsi"/>
          <w:b/>
        </w:rPr>
        <w:t xml:space="preserve"> ou quaisquer outro principio constitucional</w:t>
      </w:r>
      <w:r w:rsidRPr="009E758D">
        <w:rPr>
          <w:rFonts w:cstheme="minorHAnsi"/>
        </w:rPr>
        <w:t xml:space="preserve">. </w:t>
      </w:r>
      <w:r w:rsidR="0081783F" w:rsidRPr="009E758D">
        <w:rPr>
          <w:rFonts w:cstheme="minorHAnsi"/>
        </w:rPr>
        <w:t xml:space="preserve">Frisamos que, a exigência contida </w:t>
      </w:r>
      <w:r w:rsidR="003B5DBB">
        <w:rPr>
          <w:rFonts w:cstheme="minorHAnsi"/>
        </w:rPr>
        <w:t xml:space="preserve">no termo de referencia </w:t>
      </w:r>
      <w:r w:rsidR="00B4608A" w:rsidRPr="009E758D">
        <w:rPr>
          <w:rFonts w:cstheme="minorHAnsi"/>
        </w:rPr>
        <w:t xml:space="preserve">ora suscitado a impugnação pela autora não </w:t>
      </w:r>
      <w:r w:rsidR="00CE763D">
        <w:rPr>
          <w:rFonts w:cstheme="minorHAnsi"/>
        </w:rPr>
        <w:t xml:space="preserve">deve ser </w:t>
      </w:r>
      <w:r w:rsidR="00B4608A" w:rsidRPr="009E758D">
        <w:rPr>
          <w:rFonts w:cstheme="minorHAnsi"/>
        </w:rPr>
        <w:t xml:space="preserve">exigência inconveniente ou irrelevante, </w:t>
      </w:r>
      <w:r w:rsidR="00CE763D">
        <w:rPr>
          <w:rFonts w:cstheme="minorHAnsi"/>
        </w:rPr>
        <w:t>ou</w:t>
      </w:r>
      <w:r w:rsidR="00B4608A" w:rsidRPr="009E758D">
        <w:rPr>
          <w:rFonts w:cstheme="minorHAnsi"/>
        </w:rPr>
        <w:t xml:space="preserve"> que, </w:t>
      </w:r>
      <w:bookmarkStart w:id="0" w:name="_GoBack"/>
      <w:bookmarkEnd w:id="0"/>
      <w:r w:rsidR="00CE763D">
        <w:rPr>
          <w:rFonts w:cstheme="minorHAnsi"/>
        </w:rPr>
        <w:t>não</w:t>
      </w:r>
      <w:r w:rsidR="00B4608A" w:rsidRPr="009E758D">
        <w:rPr>
          <w:rFonts w:cstheme="minorHAnsi"/>
        </w:rPr>
        <w:t xml:space="preserve"> respeitam o interesse público</w:t>
      </w:r>
      <w:r w:rsidR="0028171A">
        <w:rPr>
          <w:rFonts w:cstheme="minorHAnsi"/>
        </w:rPr>
        <w:t xml:space="preserve">, os quais </w:t>
      </w:r>
      <w:r w:rsidR="00B4608A" w:rsidRPr="009E758D">
        <w:rPr>
          <w:rFonts w:cstheme="minorHAnsi"/>
        </w:rPr>
        <w:t>se amoldam aos princípios da Administração Pública</w:t>
      </w:r>
      <w:r w:rsidR="008D38F4" w:rsidRPr="009E758D">
        <w:rPr>
          <w:rFonts w:cstheme="minorHAnsi"/>
        </w:rPr>
        <w:t>.</w:t>
      </w:r>
      <w:r w:rsidR="00B4608A" w:rsidRPr="009E758D">
        <w:rPr>
          <w:rFonts w:cstheme="minorHAnsi"/>
        </w:rPr>
        <w:t xml:space="preserve"> </w:t>
      </w:r>
    </w:p>
    <w:p w:rsidR="005511EE" w:rsidRPr="005511EE" w:rsidRDefault="003B5DBB" w:rsidP="0038570F">
      <w:pPr>
        <w:shd w:val="clear" w:color="auto" w:fill="FFFFFF"/>
        <w:spacing w:after="120"/>
        <w:ind w:firstLine="1134"/>
        <w:jc w:val="both"/>
        <w:rPr>
          <w:rFonts w:ascii="Calibri" w:eastAsia="Times New Roman" w:hAnsi="Calibri" w:cs="Calibri"/>
          <w:color w:val="222222"/>
        </w:rPr>
      </w:pPr>
      <w:r>
        <w:rPr>
          <w:rFonts w:cstheme="minorHAnsi"/>
        </w:rPr>
        <w:t xml:space="preserve">Conforme </w:t>
      </w:r>
      <w:r w:rsidR="005511EE">
        <w:rPr>
          <w:rFonts w:cstheme="minorHAnsi"/>
        </w:rPr>
        <w:t xml:space="preserve">já informado anteriormente, </w:t>
      </w:r>
      <w:r w:rsidR="005511EE" w:rsidRPr="005511EE">
        <w:rPr>
          <w:rFonts w:ascii="Calibri" w:eastAsia="Times New Roman" w:hAnsi="Calibri" w:cs="Calibri"/>
          <w:color w:val="222222"/>
        </w:rPr>
        <w:t xml:space="preserve">exigências de vida útil luminárias LED de 100.000 horas para iluminação pública. O município já conta com mais de 7.000mil luminárias de LED instaladas </w:t>
      </w:r>
      <w:r w:rsidR="005511EE">
        <w:rPr>
          <w:rFonts w:ascii="Calibri" w:eastAsia="Times New Roman" w:hAnsi="Calibri" w:cs="Calibri"/>
          <w:color w:val="222222"/>
        </w:rPr>
        <w:t xml:space="preserve">e sua rede, </w:t>
      </w:r>
      <w:r w:rsidR="005511EE" w:rsidRPr="005511EE">
        <w:rPr>
          <w:rFonts w:ascii="Calibri" w:eastAsia="Times New Roman" w:hAnsi="Calibri" w:cs="Calibri"/>
          <w:color w:val="222222"/>
        </w:rPr>
        <w:t xml:space="preserve">sendo elas de 50.000 </w:t>
      </w:r>
      <w:r w:rsidR="0038570F" w:rsidRPr="005511EE">
        <w:rPr>
          <w:rFonts w:ascii="Calibri" w:eastAsia="Times New Roman" w:hAnsi="Calibri" w:cs="Calibri"/>
          <w:color w:val="222222"/>
        </w:rPr>
        <w:t>a</w:t>
      </w:r>
      <w:r w:rsidR="005511EE" w:rsidRPr="005511EE">
        <w:rPr>
          <w:rFonts w:ascii="Calibri" w:eastAsia="Times New Roman" w:hAnsi="Calibri" w:cs="Calibri"/>
          <w:color w:val="222222"/>
        </w:rPr>
        <w:t xml:space="preserve"> 100.000 horas de vida útil. Devido histórico de manutenções apresentadas ao decorrer do tempo por </w:t>
      </w:r>
      <w:r w:rsidR="00D93655" w:rsidRPr="005511EE">
        <w:rPr>
          <w:rFonts w:ascii="Calibri" w:eastAsia="Times New Roman" w:hAnsi="Calibri" w:cs="Calibri"/>
          <w:color w:val="222222"/>
        </w:rPr>
        <w:t>mau</w:t>
      </w:r>
      <w:r w:rsidR="005511EE" w:rsidRPr="005511EE">
        <w:rPr>
          <w:rFonts w:ascii="Calibri" w:eastAsia="Times New Roman" w:hAnsi="Calibri" w:cs="Calibri"/>
          <w:color w:val="222222"/>
        </w:rPr>
        <w:t xml:space="preserve"> funcionamento das luminárias acarretando na substituição das mesmas, constatou-se que destas, majoritariamente consistem em luminárias abaixo de 100.000 horas de vida útil. Em contrapartida, as luminárias que apresentavam em seu prospecto o tempo de vida útil de 100.000 horas, conforme </w:t>
      </w:r>
      <w:proofErr w:type="gramStart"/>
      <w:r w:rsidR="0038570F" w:rsidRPr="005511EE">
        <w:rPr>
          <w:rFonts w:ascii="Calibri" w:eastAsia="Times New Roman" w:hAnsi="Calibri" w:cs="Calibri"/>
          <w:color w:val="222222"/>
        </w:rPr>
        <w:t>o exigido no edital</w:t>
      </w:r>
      <w:r w:rsidR="0038570F">
        <w:rPr>
          <w:rFonts w:ascii="Calibri" w:eastAsia="Times New Roman" w:hAnsi="Calibri" w:cs="Calibri"/>
          <w:color w:val="222222"/>
        </w:rPr>
        <w:t xml:space="preserve"> tiveram</w:t>
      </w:r>
      <w:proofErr w:type="gramEnd"/>
      <w:r w:rsidR="005511EE" w:rsidRPr="005511EE">
        <w:rPr>
          <w:rFonts w:ascii="Calibri" w:eastAsia="Times New Roman" w:hAnsi="Calibri" w:cs="Calibri"/>
          <w:color w:val="222222"/>
        </w:rPr>
        <w:t xml:space="preserve"> um desempenho significativamente superior às demais, por não apresentar, até o </w:t>
      </w:r>
      <w:r w:rsidR="005511EE" w:rsidRPr="005511EE">
        <w:rPr>
          <w:rFonts w:ascii="Calibri" w:eastAsia="Times New Roman" w:hAnsi="Calibri" w:cs="Calibri"/>
          <w:color w:val="222222"/>
        </w:rPr>
        <w:lastRenderedPageBreak/>
        <w:t xml:space="preserve">devido momento, quase nenhuma manutenção no mesmo intervalo de tempo. Observa-se que as especificações  usadas para as compras das luminárias LED instaladas buscaram ser as mais semelhantes possíveis, descartando assim possíveis diferenças técnicas e apresentando de fato qualidade de materiais e design diferentes. Através de uma rápida pesquisa de mercado para marcas de Luminárias LED que possuam vida útil de 100.000 horas, verificou-se mais de </w:t>
      </w:r>
      <w:proofErr w:type="gramStart"/>
      <w:r w:rsidR="005511EE" w:rsidRPr="005511EE">
        <w:rPr>
          <w:rFonts w:ascii="Calibri" w:eastAsia="Times New Roman" w:hAnsi="Calibri" w:cs="Calibri"/>
          <w:color w:val="222222"/>
        </w:rPr>
        <w:t>6</w:t>
      </w:r>
      <w:proofErr w:type="gramEnd"/>
      <w:r w:rsidR="005511EE" w:rsidRPr="005511EE">
        <w:rPr>
          <w:rFonts w:ascii="Calibri" w:eastAsia="Times New Roman" w:hAnsi="Calibri" w:cs="Calibri"/>
          <w:color w:val="222222"/>
        </w:rPr>
        <w:t xml:space="preserve"> marcas condizentes com as exigências, como por exemplo: OSRAM, PHILIPS, NAVILLE, LASLED, SX LIGHTING, ILUMATIC, HDA ILUMINAÇÃO LED, LUMER, entre outras marcas</w:t>
      </w:r>
      <w:r w:rsidR="00D93655">
        <w:rPr>
          <w:rFonts w:ascii="Calibri" w:eastAsia="Times New Roman" w:hAnsi="Calibri" w:cs="Calibri"/>
          <w:color w:val="222222"/>
        </w:rPr>
        <w:t>,</w:t>
      </w:r>
      <w:r w:rsidR="005511EE" w:rsidRPr="005511EE">
        <w:rPr>
          <w:rFonts w:ascii="Calibri" w:eastAsia="Times New Roman" w:hAnsi="Calibri" w:cs="Calibri"/>
          <w:color w:val="222222"/>
        </w:rPr>
        <w:t xml:space="preserve"> </w:t>
      </w:r>
      <w:r w:rsidR="00D93655">
        <w:rPr>
          <w:rFonts w:ascii="Calibri" w:eastAsia="Times New Roman" w:hAnsi="Calibri" w:cs="Calibri"/>
          <w:color w:val="222222"/>
        </w:rPr>
        <w:t>e</w:t>
      </w:r>
      <w:r w:rsidR="005511EE" w:rsidRPr="005511EE">
        <w:rPr>
          <w:rFonts w:ascii="Calibri" w:eastAsia="Times New Roman" w:hAnsi="Calibri" w:cs="Calibri"/>
          <w:color w:val="222222"/>
        </w:rPr>
        <w:t xml:space="preserve"> também conforme, respondido </w:t>
      </w:r>
      <w:r w:rsidR="00D93655">
        <w:rPr>
          <w:rFonts w:ascii="Calibri" w:eastAsia="Times New Roman" w:hAnsi="Calibri" w:cs="Calibri"/>
          <w:color w:val="222222"/>
        </w:rPr>
        <w:t>a</w:t>
      </w:r>
      <w:r w:rsidR="005511EE" w:rsidRPr="005511EE">
        <w:rPr>
          <w:rFonts w:ascii="Calibri" w:eastAsia="Times New Roman" w:hAnsi="Calibri" w:cs="Calibri"/>
          <w:color w:val="222222"/>
        </w:rPr>
        <w:t xml:space="preserve">o Tribunal de Contas (referente ao Pregão Eletrônico 109/2022), do estudo realizado pelo servidor Pedro da Costa </w:t>
      </w:r>
      <w:proofErr w:type="spellStart"/>
      <w:r w:rsidR="005511EE" w:rsidRPr="005511EE">
        <w:rPr>
          <w:rFonts w:ascii="Calibri" w:eastAsia="Times New Roman" w:hAnsi="Calibri" w:cs="Calibri"/>
          <w:color w:val="222222"/>
        </w:rPr>
        <w:t>Petry</w:t>
      </w:r>
      <w:proofErr w:type="spellEnd"/>
      <w:r w:rsidR="005511EE" w:rsidRPr="005511EE">
        <w:rPr>
          <w:rFonts w:ascii="Calibri" w:eastAsia="Times New Roman" w:hAnsi="Calibri" w:cs="Calibri"/>
          <w:color w:val="222222"/>
        </w:rPr>
        <w:t>, CREA/RS 236504, engenheiro eletricista,  sobre o mesmo questionamento sobre a vida útil, além das informações anteriores,  nenhuma das luminárias de LED conseguiu superar a margem de comparação de 30% de custo x benefício comparada com as de 100.000 horas e a taxa de substituição de luminárias de LED abaixo de 100.000 horas no ano de 2022 foi de 7 a 12 luminárias de LED por mês, e apenas em casos esporádicos ocorreram substituições de luminárias de 100.000 horas de vida útil.”</w:t>
      </w:r>
    </w:p>
    <w:p w:rsidR="005511EE" w:rsidRDefault="005511EE" w:rsidP="0038570F">
      <w:pPr>
        <w:shd w:val="clear" w:color="auto" w:fill="FFFFFF"/>
        <w:spacing w:after="0" w:line="240" w:lineRule="auto"/>
        <w:ind w:firstLine="1134"/>
        <w:jc w:val="both"/>
        <w:rPr>
          <w:rFonts w:eastAsia="Times New Roman" w:cstheme="minorHAnsi"/>
          <w:b/>
          <w:bCs/>
          <w:color w:val="222222"/>
        </w:rPr>
      </w:pPr>
      <w:r w:rsidRPr="005511EE">
        <w:rPr>
          <w:rFonts w:eastAsia="Times New Roman" w:cstheme="minorHAnsi"/>
          <w:b/>
          <w:bCs/>
          <w:color w:val="222222"/>
        </w:rPr>
        <w:t>Portanto, a partir das informações apresentadas e partindo do princípio da economicidade, não há razão na compra de luminárias com tempo de vida útil diferente da exigida em edital.</w:t>
      </w:r>
    </w:p>
    <w:p w:rsidR="00D93655" w:rsidRDefault="00D93655" w:rsidP="00D93655">
      <w:pPr>
        <w:shd w:val="clear" w:color="auto" w:fill="FFFFFF"/>
        <w:spacing w:after="120" w:line="240" w:lineRule="auto"/>
        <w:jc w:val="both"/>
        <w:rPr>
          <w:rFonts w:eastAsia="Times New Roman" w:cstheme="minorHAnsi"/>
          <w:b/>
          <w:bCs/>
          <w:color w:val="222222"/>
        </w:rPr>
      </w:pPr>
    </w:p>
    <w:p w:rsidR="00D93655" w:rsidRDefault="00D93655" w:rsidP="0038570F">
      <w:pPr>
        <w:shd w:val="clear" w:color="auto" w:fill="FFFFFF"/>
        <w:spacing w:after="120" w:line="240" w:lineRule="auto"/>
        <w:ind w:firstLine="1134"/>
        <w:jc w:val="both"/>
        <w:rPr>
          <w:rFonts w:ascii="Calibri" w:hAnsi="Calibri" w:cs="Calibri"/>
          <w:color w:val="222222"/>
          <w:shd w:val="clear" w:color="auto" w:fill="FFFFFF"/>
        </w:rPr>
      </w:pPr>
      <w:r w:rsidRPr="00D93655">
        <w:rPr>
          <w:rFonts w:eastAsia="Times New Roman" w:cstheme="minorHAnsi"/>
          <w:bCs/>
          <w:color w:val="222222"/>
        </w:rPr>
        <w:t xml:space="preserve">No que se refere </w:t>
      </w:r>
      <w:r>
        <w:rPr>
          <w:rFonts w:eastAsia="Times New Roman" w:cstheme="minorHAnsi"/>
          <w:bCs/>
          <w:color w:val="222222"/>
        </w:rPr>
        <w:t>“lente secundaria”, a</w:t>
      </w:r>
      <w:r>
        <w:rPr>
          <w:rFonts w:ascii="Calibri" w:hAnsi="Calibri" w:cs="Calibri"/>
          <w:color w:val="222222"/>
          <w:shd w:val="clear" w:color="auto" w:fill="FFFFFF"/>
        </w:rPr>
        <w:t>pós verificarmos as especificações constantes no termo de referencia, entendemos que</w:t>
      </w:r>
      <w:r w:rsidR="0038570F">
        <w:rPr>
          <w:rFonts w:ascii="Calibri" w:hAnsi="Calibri" w:cs="Calibri"/>
          <w:color w:val="222222"/>
          <w:shd w:val="clear" w:color="auto" w:fill="FFFFFF"/>
        </w:rPr>
        <w:t xml:space="preserve"> </w:t>
      </w:r>
      <w:r>
        <w:rPr>
          <w:rFonts w:ascii="Calibri" w:hAnsi="Calibri" w:cs="Calibri"/>
          <w:color w:val="222222"/>
          <w:shd w:val="clear" w:color="auto" w:fill="FFFFFF"/>
        </w:rPr>
        <w:t xml:space="preserve">houve um equívoco por parte da impugnante quanto à exigência do refrator nas luminárias de LED para iluminação pública viária. Conforme disposto no </w:t>
      </w:r>
      <w:r w:rsidR="00430D13">
        <w:rPr>
          <w:rFonts w:ascii="Calibri" w:hAnsi="Calibri" w:cs="Calibri"/>
          <w:color w:val="222222"/>
          <w:shd w:val="clear" w:color="auto" w:fill="FFFFFF"/>
        </w:rPr>
        <w:t>t</w:t>
      </w:r>
      <w:r w:rsidR="00B93E79">
        <w:rPr>
          <w:rFonts w:ascii="Calibri" w:hAnsi="Calibri" w:cs="Calibri"/>
          <w:color w:val="222222"/>
          <w:shd w:val="clear" w:color="auto" w:fill="FFFFFF"/>
        </w:rPr>
        <w:t xml:space="preserve">ermo de </w:t>
      </w:r>
      <w:r w:rsidR="00430D13">
        <w:rPr>
          <w:rFonts w:ascii="Calibri" w:hAnsi="Calibri" w:cs="Calibri"/>
          <w:color w:val="222222"/>
          <w:shd w:val="clear" w:color="auto" w:fill="FFFFFF"/>
        </w:rPr>
        <w:t>r</w:t>
      </w:r>
      <w:r w:rsidR="00B93E79">
        <w:rPr>
          <w:rFonts w:ascii="Calibri" w:hAnsi="Calibri" w:cs="Calibri"/>
          <w:color w:val="222222"/>
          <w:shd w:val="clear" w:color="auto" w:fill="FFFFFF"/>
        </w:rPr>
        <w:t xml:space="preserve">eferencia que é parte integrante do </w:t>
      </w:r>
      <w:r>
        <w:rPr>
          <w:rFonts w:ascii="Calibri" w:hAnsi="Calibri" w:cs="Calibri"/>
          <w:color w:val="222222"/>
          <w:shd w:val="clear" w:color="auto" w:fill="FFFFFF"/>
        </w:rPr>
        <w:t>edital, de fato, é permitida a não utilização do refrator, desde que as demais especificações técnicas sejam atendidas.</w:t>
      </w:r>
    </w:p>
    <w:p w:rsidR="0038570F" w:rsidRPr="0038570F" w:rsidRDefault="0038570F" w:rsidP="0038570F">
      <w:pPr>
        <w:shd w:val="clear" w:color="auto" w:fill="FFFFFF"/>
        <w:spacing w:after="120" w:line="240" w:lineRule="auto"/>
        <w:ind w:left="1134"/>
        <w:jc w:val="both"/>
        <w:rPr>
          <w:rFonts w:eastAsia="Times New Roman" w:cstheme="minorHAnsi"/>
          <w:bCs/>
          <w:i/>
          <w:color w:val="222222"/>
          <w:u w:val="single"/>
        </w:rPr>
      </w:pPr>
      <w:r w:rsidRPr="0038570F">
        <w:rPr>
          <w:i/>
          <w:u w:val="single"/>
        </w:rPr>
        <w:t>“Lentes – Resistente a altas temperaturas, radiação ultravioleta, podendo ser lentes em policarbonato, desde que protejam o conjunto óptico em sua totalidade sem a necessidade do refrator.”</w:t>
      </w:r>
    </w:p>
    <w:p w:rsidR="00D93655" w:rsidRPr="005511EE" w:rsidRDefault="00D93655" w:rsidP="005511EE">
      <w:pPr>
        <w:shd w:val="clear" w:color="auto" w:fill="FFFFFF"/>
        <w:spacing w:after="0" w:line="240" w:lineRule="auto"/>
        <w:jc w:val="both"/>
        <w:rPr>
          <w:rFonts w:eastAsia="Times New Roman" w:cstheme="minorHAnsi"/>
          <w:color w:val="222222"/>
        </w:rPr>
      </w:pPr>
    </w:p>
    <w:p w:rsidR="0023187C" w:rsidRPr="005511EE" w:rsidRDefault="0023187C" w:rsidP="005511EE">
      <w:pPr>
        <w:shd w:val="clear" w:color="auto" w:fill="FFFFFF"/>
        <w:spacing w:after="120"/>
        <w:jc w:val="both"/>
        <w:rPr>
          <w:rFonts w:cstheme="minorHAnsi"/>
          <w:b/>
          <w:lang w:val="en-US"/>
        </w:rPr>
      </w:pPr>
      <w:r w:rsidRPr="005511EE">
        <w:rPr>
          <w:rFonts w:cstheme="minorHAnsi"/>
          <w:b/>
          <w:lang w:val="en-US"/>
        </w:rPr>
        <w:t>4. DO JULGAMENTO</w:t>
      </w:r>
    </w:p>
    <w:p w:rsidR="00E030E7" w:rsidRPr="009E758D" w:rsidRDefault="00E030E7" w:rsidP="00055B4E">
      <w:pPr>
        <w:tabs>
          <w:tab w:val="left" w:pos="1418"/>
        </w:tabs>
        <w:spacing w:after="120"/>
        <w:jc w:val="both"/>
        <w:rPr>
          <w:rFonts w:cstheme="minorHAnsi"/>
        </w:rPr>
      </w:pPr>
      <w:r w:rsidRPr="009E758D">
        <w:rPr>
          <w:rFonts w:cstheme="minorHAnsi"/>
        </w:rPr>
        <w:t xml:space="preserve">                        </w:t>
      </w:r>
      <w:r w:rsidR="004414AB" w:rsidRPr="009E758D">
        <w:rPr>
          <w:rFonts w:cstheme="minorHAnsi"/>
        </w:rPr>
        <w:t xml:space="preserve">Diante do exposto, pelos fundamentos fáticos e jurídicos, bem como pelas justificativas apresentadas, julga-se </w:t>
      </w:r>
      <w:r w:rsidR="0038570F" w:rsidRPr="0038570F">
        <w:rPr>
          <w:rFonts w:cstheme="minorHAnsi"/>
          <w:b/>
          <w:u w:val="single"/>
        </w:rPr>
        <w:t>IM</w:t>
      </w:r>
      <w:r w:rsidR="00055B4E" w:rsidRPr="0038570F">
        <w:rPr>
          <w:rFonts w:cstheme="minorHAnsi"/>
          <w:b/>
          <w:u w:val="single"/>
        </w:rPr>
        <w:t>P</w:t>
      </w:r>
      <w:r w:rsidR="00055B4E" w:rsidRPr="00055B4E">
        <w:rPr>
          <w:rFonts w:cstheme="minorHAnsi"/>
          <w:b/>
          <w:u w:val="single"/>
        </w:rPr>
        <w:t>ROCEDENTE</w:t>
      </w:r>
      <w:r w:rsidR="00055B4E" w:rsidRPr="009E758D">
        <w:rPr>
          <w:rFonts w:cstheme="minorHAnsi"/>
        </w:rPr>
        <w:t xml:space="preserve"> </w:t>
      </w:r>
      <w:r w:rsidRPr="009E758D">
        <w:rPr>
          <w:rFonts w:cstheme="minorHAnsi"/>
        </w:rPr>
        <w:t xml:space="preserve">o pedido de impugnação apresentado </w:t>
      </w:r>
      <w:r w:rsidR="00822DB5">
        <w:rPr>
          <w:rFonts w:cstheme="minorHAnsi"/>
        </w:rPr>
        <w:t xml:space="preserve">pela empresa </w:t>
      </w:r>
      <w:r w:rsidR="00C7747B">
        <w:t>ZAGONEL ILUMINAÇÃO S.A</w:t>
      </w:r>
      <w:r w:rsidRPr="009E758D">
        <w:rPr>
          <w:rFonts w:cstheme="minorHAnsi"/>
        </w:rPr>
        <w:t xml:space="preserve">, </w:t>
      </w:r>
      <w:r w:rsidR="0028171A">
        <w:rPr>
          <w:rFonts w:cstheme="minorHAnsi"/>
        </w:rPr>
        <w:t>efetuando</w:t>
      </w:r>
      <w:r w:rsidR="003C751B">
        <w:rPr>
          <w:rFonts w:cstheme="minorHAnsi"/>
        </w:rPr>
        <w:t xml:space="preserve">-se </w:t>
      </w:r>
      <w:r w:rsidR="0028171A">
        <w:rPr>
          <w:rFonts w:cstheme="minorHAnsi"/>
        </w:rPr>
        <w:t>as devidas correções n</w:t>
      </w:r>
      <w:r w:rsidRPr="009E758D">
        <w:rPr>
          <w:rFonts w:cstheme="minorHAnsi"/>
        </w:rPr>
        <w:t xml:space="preserve">o edital </w:t>
      </w:r>
      <w:r w:rsidR="0081783F" w:rsidRPr="009E758D">
        <w:rPr>
          <w:rFonts w:cstheme="minorHAnsi"/>
        </w:rPr>
        <w:t>no que tange a presente impugnação.</w:t>
      </w:r>
      <w:r w:rsidRPr="009E758D">
        <w:rPr>
          <w:rFonts w:cstheme="minorHAnsi"/>
        </w:rPr>
        <w:t xml:space="preserve"> </w:t>
      </w:r>
    </w:p>
    <w:p w:rsidR="0081783F" w:rsidRPr="009E758D" w:rsidRDefault="0081783F" w:rsidP="00055B4E">
      <w:pPr>
        <w:tabs>
          <w:tab w:val="left" w:pos="1418"/>
        </w:tabs>
        <w:spacing w:after="120"/>
        <w:jc w:val="both"/>
        <w:rPr>
          <w:rFonts w:cstheme="minorHAnsi"/>
        </w:rPr>
      </w:pPr>
    </w:p>
    <w:p w:rsidR="00E030E7" w:rsidRPr="009E758D" w:rsidRDefault="0081783F" w:rsidP="00055B4E">
      <w:pPr>
        <w:autoSpaceDE w:val="0"/>
        <w:autoSpaceDN w:val="0"/>
        <w:adjustRightInd w:val="0"/>
        <w:spacing w:after="120"/>
        <w:jc w:val="both"/>
        <w:rPr>
          <w:rFonts w:cstheme="minorHAnsi"/>
        </w:rPr>
      </w:pPr>
      <w:r w:rsidRPr="009E758D">
        <w:rPr>
          <w:rFonts w:cstheme="minorHAnsi"/>
        </w:rPr>
        <w:t>É a resposta ao pedido de impugnação apresentado.</w:t>
      </w:r>
    </w:p>
    <w:p w:rsidR="0054195B" w:rsidRPr="009E758D" w:rsidRDefault="00E030E7" w:rsidP="0038570F">
      <w:pPr>
        <w:spacing w:after="120"/>
        <w:ind w:firstLine="1418"/>
        <w:jc w:val="right"/>
        <w:rPr>
          <w:rFonts w:cstheme="minorHAnsi"/>
        </w:rPr>
      </w:pPr>
      <w:r w:rsidRPr="009E758D">
        <w:rPr>
          <w:rFonts w:cstheme="minorHAnsi"/>
        </w:rPr>
        <w:t xml:space="preserve">Santo Ângelo, </w:t>
      </w:r>
      <w:r w:rsidR="0038570F">
        <w:rPr>
          <w:rFonts w:cstheme="minorHAnsi"/>
        </w:rPr>
        <w:t>19 novembro</w:t>
      </w:r>
      <w:r w:rsidR="00055B4E">
        <w:rPr>
          <w:rFonts w:cstheme="minorHAnsi"/>
        </w:rPr>
        <w:t xml:space="preserve"> de </w:t>
      </w:r>
      <w:r w:rsidR="00822DB5">
        <w:rPr>
          <w:rFonts w:cstheme="minorHAnsi"/>
        </w:rPr>
        <w:t>202</w:t>
      </w:r>
      <w:r w:rsidR="00055B4E">
        <w:rPr>
          <w:rFonts w:cstheme="minorHAnsi"/>
        </w:rPr>
        <w:t>4</w:t>
      </w:r>
      <w:r w:rsidRPr="009E758D">
        <w:rPr>
          <w:rFonts w:cstheme="minorHAnsi"/>
        </w:rPr>
        <w:t>.</w:t>
      </w:r>
    </w:p>
    <w:p w:rsidR="0054195B" w:rsidRPr="009E758D" w:rsidRDefault="0054195B" w:rsidP="00055B4E">
      <w:pPr>
        <w:autoSpaceDE w:val="0"/>
        <w:autoSpaceDN w:val="0"/>
        <w:adjustRightInd w:val="0"/>
        <w:spacing w:after="120"/>
        <w:jc w:val="both"/>
        <w:rPr>
          <w:rFonts w:cstheme="minorHAnsi"/>
        </w:rPr>
      </w:pPr>
    </w:p>
    <w:p w:rsidR="0054195B" w:rsidRPr="009E758D" w:rsidRDefault="0054195B" w:rsidP="00055B4E">
      <w:pPr>
        <w:autoSpaceDE w:val="0"/>
        <w:autoSpaceDN w:val="0"/>
        <w:adjustRightInd w:val="0"/>
        <w:spacing w:after="120"/>
        <w:jc w:val="both"/>
        <w:rPr>
          <w:rFonts w:cstheme="minorHAnsi"/>
        </w:rPr>
      </w:pPr>
    </w:p>
    <w:p w:rsidR="004B3CEE" w:rsidRPr="00055B4E" w:rsidRDefault="004B3CEE" w:rsidP="00055B4E">
      <w:pPr>
        <w:spacing w:after="0" w:line="240" w:lineRule="auto"/>
        <w:rPr>
          <w:rFonts w:cstheme="minorHAnsi"/>
        </w:rPr>
      </w:pPr>
      <w:proofErr w:type="spellStart"/>
      <w:r w:rsidRPr="00055B4E">
        <w:rPr>
          <w:rFonts w:cstheme="minorHAnsi"/>
        </w:rPr>
        <w:t>Silmar</w:t>
      </w:r>
      <w:proofErr w:type="spellEnd"/>
      <w:r w:rsidRPr="00055B4E">
        <w:rPr>
          <w:rFonts w:cstheme="minorHAnsi"/>
        </w:rPr>
        <w:t xml:space="preserve"> Maciel Dos Santos    </w:t>
      </w:r>
      <w:r w:rsidR="00DF29DD" w:rsidRPr="00055B4E">
        <w:rPr>
          <w:rFonts w:cstheme="minorHAnsi"/>
        </w:rPr>
        <w:t xml:space="preserve">    </w:t>
      </w:r>
    </w:p>
    <w:p w:rsidR="00F121AF" w:rsidRPr="00055B4E" w:rsidRDefault="00E030E7" w:rsidP="00055B4E">
      <w:pPr>
        <w:spacing w:after="120"/>
        <w:rPr>
          <w:rFonts w:cstheme="minorHAnsi"/>
        </w:rPr>
      </w:pPr>
      <w:r w:rsidRPr="00055B4E">
        <w:rPr>
          <w:rFonts w:cstheme="minorHAnsi"/>
        </w:rPr>
        <w:t>Pregoeiro.</w:t>
      </w:r>
    </w:p>
    <w:sectPr w:rsidR="00F121AF" w:rsidRPr="00055B4E" w:rsidSect="00A93476">
      <w:pgSz w:w="12240" w:h="15840"/>
      <w:pgMar w:top="1417" w:right="1701" w:bottom="1417"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93655" w:rsidRDefault="00D93655" w:rsidP="007C06D5">
      <w:pPr>
        <w:spacing w:after="0" w:line="240" w:lineRule="auto"/>
      </w:pPr>
      <w:r>
        <w:separator/>
      </w:r>
    </w:p>
  </w:endnote>
  <w:endnote w:type="continuationSeparator" w:id="1">
    <w:p w:rsidR="00D93655" w:rsidRDefault="00D93655" w:rsidP="007C06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93655" w:rsidRDefault="00D93655" w:rsidP="007C06D5">
      <w:pPr>
        <w:spacing w:after="0" w:line="240" w:lineRule="auto"/>
      </w:pPr>
      <w:r>
        <w:separator/>
      </w:r>
    </w:p>
  </w:footnote>
  <w:footnote w:type="continuationSeparator" w:id="1">
    <w:p w:rsidR="00D93655" w:rsidRDefault="00D93655" w:rsidP="007C06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4F33EC"/>
    <w:multiLevelType w:val="hybridMultilevel"/>
    <w:tmpl w:val="8CD8E138"/>
    <w:lvl w:ilvl="0" w:tplc="F5A8E20C">
      <w:start w:val="1"/>
      <w:numFmt w:val="decimal"/>
      <w:lvlText w:val="%1."/>
      <w:lvlJc w:val="left"/>
      <w:pPr>
        <w:ind w:left="2484" w:hanging="360"/>
      </w:pPr>
      <w:rPr>
        <w:rFonts w:hint="default"/>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
    <w:nsid w:val="6F946061"/>
    <w:multiLevelType w:val="hybridMultilevel"/>
    <w:tmpl w:val="8ABCB7BE"/>
    <w:lvl w:ilvl="0" w:tplc="A756F708">
      <w:start w:val="1"/>
      <w:numFmt w:val="lowerRoman"/>
      <w:lvlText w:val="(%1)"/>
      <w:lvlJc w:val="left"/>
      <w:pPr>
        <w:ind w:left="1713" w:hanging="72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A93476"/>
    <w:rsid w:val="00011711"/>
    <w:rsid w:val="00023536"/>
    <w:rsid w:val="000242C2"/>
    <w:rsid w:val="00026CC9"/>
    <w:rsid w:val="0003127A"/>
    <w:rsid w:val="00044F0F"/>
    <w:rsid w:val="00052045"/>
    <w:rsid w:val="00055B4E"/>
    <w:rsid w:val="000B3EC1"/>
    <w:rsid w:val="000E7464"/>
    <w:rsid w:val="000F22B4"/>
    <w:rsid w:val="00131A7B"/>
    <w:rsid w:val="00134983"/>
    <w:rsid w:val="00141E30"/>
    <w:rsid w:val="00152028"/>
    <w:rsid w:val="001715D4"/>
    <w:rsid w:val="001D18FF"/>
    <w:rsid w:val="001E60FA"/>
    <w:rsid w:val="001F1757"/>
    <w:rsid w:val="00201546"/>
    <w:rsid w:val="0023187C"/>
    <w:rsid w:val="0028171A"/>
    <w:rsid w:val="00283ABD"/>
    <w:rsid w:val="002A0ACC"/>
    <w:rsid w:val="002A3498"/>
    <w:rsid w:val="00330944"/>
    <w:rsid w:val="00344D32"/>
    <w:rsid w:val="00367E62"/>
    <w:rsid w:val="003766D6"/>
    <w:rsid w:val="003801B0"/>
    <w:rsid w:val="0038570F"/>
    <w:rsid w:val="003B5DBB"/>
    <w:rsid w:val="003C751B"/>
    <w:rsid w:val="003C77EF"/>
    <w:rsid w:val="003D1982"/>
    <w:rsid w:val="00417C1C"/>
    <w:rsid w:val="00430D13"/>
    <w:rsid w:val="00437876"/>
    <w:rsid w:val="004414AB"/>
    <w:rsid w:val="0049771B"/>
    <w:rsid w:val="004A3654"/>
    <w:rsid w:val="004B3CEE"/>
    <w:rsid w:val="004D6BB5"/>
    <w:rsid w:val="004D722F"/>
    <w:rsid w:val="004F2AB6"/>
    <w:rsid w:val="004F5DBF"/>
    <w:rsid w:val="004F752A"/>
    <w:rsid w:val="00502DB2"/>
    <w:rsid w:val="0051624D"/>
    <w:rsid w:val="00525EC4"/>
    <w:rsid w:val="00537597"/>
    <w:rsid w:val="0054195B"/>
    <w:rsid w:val="005511EE"/>
    <w:rsid w:val="00567B03"/>
    <w:rsid w:val="0057488D"/>
    <w:rsid w:val="005A1B47"/>
    <w:rsid w:val="005A4B7F"/>
    <w:rsid w:val="005B1377"/>
    <w:rsid w:val="005D0F5F"/>
    <w:rsid w:val="005D7F10"/>
    <w:rsid w:val="005F01EC"/>
    <w:rsid w:val="005F1FD2"/>
    <w:rsid w:val="00614DC9"/>
    <w:rsid w:val="00620F14"/>
    <w:rsid w:val="00644C05"/>
    <w:rsid w:val="00646453"/>
    <w:rsid w:val="006B6A96"/>
    <w:rsid w:val="006D2F8A"/>
    <w:rsid w:val="007141ED"/>
    <w:rsid w:val="007256AB"/>
    <w:rsid w:val="00796BC3"/>
    <w:rsid w:val="007C06D5"/>
    <w:rsid w:val="00816004"/>
    <w:rsid w:val="00817148"/>
    <w:rsid w:val="0081783F"/>
    <w:rsid w:val="00822DB5"/>
    <w:rsid w:val="00833B27"/>
    <w:rsid w:val="0084231E"/>
    <w:rsid w:val="008773AD"/>
    <w:rsid w:val="00880FC3"/>
    <w:rsid w:val="008872C4"/>
    <w:rsid w:val="008954EA"/>
    <w:rsid w:val="008A46C1"/>
    <w:rsid w:val="008D38F4"/>
    <w:rsid w:val="008D798E"/>
    <w:rsid w:val="008E587D"/>
    <w:rsid w:val="00920828"/>
    <w:rsid w:val="00935087"/>
    <w:rsid w:val="00935470"/>
    <w:rsid w:val="00942B61"/>
    <w:rsid w:val="009722E8"/>
    <w:rsid w:val="009B77A0"/>
    <w:rsid w:val="009D04C2"/>
    <w:rsid w:val="009D0CAA"/>
    <w:rsid w:val="009E758D"/>
    <w:rsid w:val="009F3C63"/>
    <w:rsid w:val="00A72113"/>
    <w:rsid w:val="00A76556"/>
    <w:rsid w:val="00A91616"/>
    <w:rsid w:val="00A919D4"/>
    <w:rsid w:val="00A92CF4"/>
    <w:rsid w:val="00A93476"/>
    <w:rsid w:val="00AB3326"/>
    <w:rsid w:val="00AB7003"/>
    <w:rsid w:val="00B23FCA"/>
    <w:rsid w:val="00B4608A"/>
    <w:rsid w:val="00B55AB4"/>
    <w:rsid w:val="00B93E79"/>
    <w:rsid w:val="00BE0C64"/>
    <w:rsid w:val="00C51D37"/>
    <w:rsid w:val="00C52F54"/>
    <w:rsid w:val="00C665E5"/>
    <w:rsid w:val="00C6770A"/>
    <w:rsid w:val="00C7747B"/>
    <w:rsid w:val="00C81C7C"/>
    <w:rsid w:val="00C85BF8"/>
    <w:rsid w:val="00CC76AF"/>
    <w:rsid w:val="00CD7536"/>
    <w:rsid w:val="00CE0F29"/>
    <w:rsid w:val="00CE763D"/>
    <w:rsid w:val="00CF642D"/>
    <w:rsid w:val="00D23B80"/>
    <w:rsid w:val="00D330C9"/>
    <w:rsid w:val="00D445A3"/>
    <w:rsid w:val="00D5409F"/>
    <w:rsid w:val="00D65F4B"/>
    <w:rsid w:val="00D7469D"/>
    <w:rsid w:val="00D8709B"/>
    <w:rsid w:val="00D93655"/>
    <w:rsid w:val="00DC1A9D"/>
    <w:rsid w:val="00DD5FCD"/>
    <w:rsid w:val="00DF29DD"/>
    <w:rsid w:val="00E030E7"/>
    <w:rsid w:val="00E0418A"/>
    <w:rsid w:val="00E3286F"/>
    <w:rsid w:val="00E371A2"/>
    <w:rsid w:val="00E44B7B"/>
    <w:rsid w:val="00E6329E"/>
    <w:rsid w:val="00E715D8"/>
    <w:rsid w:val="00E834BC"/>
    <w:rsid w:val="00EC6FD6"/>
    <w:rsid w:val="00ED2305"/>
    <w:rsid w:val="00ED7241"/>
    <w:rsid w:val="00EF63F1"/>
    <w:rsid w:val="00F06BB2"/>
    <w:rsid w:val="00F10EAC"/>
    <w:rsid w:val="00F121AF"/>
    <w:rsid w:val="00F35118"/>
    <w:rsid w:val="00F5331A"/>
    <w:rsid w:val="00FC03F2"/>
    <w:rsid w:val="00FC08D7"/>
    <w:rsid w:val="00FD0D4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73AD"/>
  </w:style>
  <w:style w:type="paragraph" w:styleId="Ttulo1">
    <w:name w:val="heading 1"/>
    <w:basedOn w:val="Normal"/>
    <w:next w:val="Normal"/>
    <w:link w:val="Ttulo1Char"/>
    <w:qFormat/>
    <w:rsid w:val="004F5DBF"/>
    <w:pPr>
      <w:keepNext/>
      <w:spacing w:after="0" w:line="240" w:lineRule="auto"/>
      <w:jc w:val="both"/>
      <w:outlineLvl w:val="0"/>
    </w:pPr>
    <w:rPr>
      <w:rFonts w:ascii="Times New Roman" w:eastAsia="Times New Roman" w:hAnsi="Times New Roman" w:cs="Times New Roman"/>
      <w:sz w:val="24"/>
      <w:szCs w:val="20"/>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93476"/>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93476"/>
    <w:rPr>
      <w:rFonts w:ascii="Tahoma" w:hAnsi="Tahoma" w:cs="Tahoma"/>
      <w:sz w:val="16"/>
      <w:szCs w:val="16"/>
    </w:rPr>
  </w:style>
  <w:style w:type="paragraph" w:styleId="Textodenotaderodap">
    <w:name w:val="footnote text"/>
    <w:basedOn w:val="Normal"/>
    <w:link w:val="TextodenotaderodapChar"/>
    <w:uiPriority w:val="99"/>
    <w:semiHidden/>
    <w:unhideWhenUsed/>
    <w:rsid w:val="007C06D5"/>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uiPriority w:val="99"/>
    <w:semiHidden/>
    <w:rsid w:val="007C06D5"/>
    <w:rPr>
      <w:rFonts w:eastAsiaTheme="minorHAnsi"/>
      <w:sz w:val="20"/>
      <w:szCs w:val="20"/>
      <w:lang w:eastAsia="en-US"/>
    </w:rPr>
  </w:style>
  <w:style w:type="character" w:styleId="Refdenotaderodap">
    <w:name w:val="footnote reference"/>
    <w:basedOn w:val="Fontepargpadro"/>
    <w:uiPriority w:val="99"/>
    <w:semiHidden/>
    <w:unhideWhenUsed/>
    <w:rsid w:val="007C06D5"/>
    <w:rPr>
      <w:vertAlign w:val="superscript"/>
    </w:rPr>
  </w:style>
  <w:style w:type="paragraph" w:customStyle="1" w:styleId="subtarorx">
    <w:name w:val="subtaror x"/>
    <w:basedOn w:val="Normal"/>
    <w:rsid w:val="00B55AB4"/>
    <w:pPr>
      <w:tabs>
        <w:tab w:val="left" w:pos="-2340"/>
      </w:tabs>
      <w:suppressAutoHyphens/>
      <w:spacing w:after="0" w:line="240" w:lineRule="auto"/>
      <w:jc w:val="both"/>
    </w:pPr>
    <w:rPr>
      <w:rFonts w:ascii="Arial" w:eastAsia="Times New Roman" w:hAnsi="Arial" w:cs="Arial"/>
      <w:sz w:val="24"/>
      <w:szCs w:val="24"/>
      <w:lang w:eastAsia="zh-CN"/>
    </w:rPr>
  </w:style>
  <w:style w:type="paragraph" w:customStyle="1" w:styleId="Default">
    <w:name w:val="Default"/>
    <w:rsid w:val="0054195B"/>
    <w:pPr>
      <w:autoSpaceDE w:val="0"/>
      <w:autoSpaceDN w:val="0"/>
      <w:adjustRightInd w:val="0"/>
      <w:spacing w:after="0" w:line="240" w:lineRule="auto"/>
    </w:pPr>
    <w:rPr>
      <w:rFonts w:ascii="Tahoma" w:hAnsi="Tahoma" w:cs="Tahoma"/>
      <w:color w:val="000000"/>
      <w:sz w:val="24"/>
      <w:szCs w:val="24"/>
    </w:rPr>
  </w:style>
  <w:style w:type="paragraph" w:customStyle="1" w:styleId="Texto">
    <w:name w:val="Texto"/>
    <w:link w:val="TextoChar"/>
    <w:qFormat/>
    <w:rsid w:val="004B3CEE"/>
    <w:pPr>
      <w:spacing w:before="120" w:after="120" w:line="360" w:lineRule="auto"/>
      <w:jc w:val="both"/>
    </w:pPr>
    <w:rPr>
      <w:rFonts w:ascii="Times New Roman" w:eastAsia="Times New Roman" w:hAnsi="Times New Roman" w:cs="Times New Roman"/>
      <w:b/>
      <w:bCs/>
      <w:sz w:val="24"/>
      <w:szCs w:val="24"/>
    </w:rPr>
  </w:style>
  <w:style w:type="character" w:customStyle="1" w:styleId="TextoChar">
    <w:name w:val="Texto Char"/>
    <w:basedOn w:val="Fontepargpadro"/>
    <w:link w:val="Texto"/>
    <w:rsid w:val="004B3CEE"/>
    <w:rPr>
      <w:rFonts w:ascii="Times New Roman" w:eastAsia="Times New Roman" w:hAnsi="Times New Roman" w:cs="Times New Roman"/>
      <w:b/>
      <w:bCs/>
      <w:sz w:val="24"/>
      <w:szCs w:val="24"/>
    </w:rPr>
  </w:style>
  <w:style w:type="paragraph" w:styleId="PargrafodaLista">
    <w:name w:val="List Paragraph"/>
    <w:basedOn w:val="Normal"/>
    <w:uiPriority w:val="34"/>
    <w:qFormat/>
    <w:rsid w:val="00FC03F2"/>
    <w:pPr>
      <w:ind w:left="720"/>
      <w:contextualSpacing/>
    </w:pPr>
  </w:style>
  <w:style w:type="character" w:customStyle="1" w:styleId="Ttulo1Char">
    <w:name w:val="Título 1 Char"/>
    <w:basedOn w:val="Fontepargpadro"/>
    <w:link w:val="Ttulo1"/>
    <w:rsid w:val="004F5DBF"/>
    <w:rPr>
      <w:rFonts w:ascii="Times New Roman" w:eastAsia="Times New Roman" w:hAnsi="Times New Roman" w:cs="Times New Roman"/>
      <w:sz w:val="24"/>
      <w:szCs w:val="20"/>
      <w:lang w:val="pt-PT"/>
    </w:rPr>
  </w:style>
  <w:style w:type="paragraph" w:customStyle="1" w:styleId="PargrafodaLista1">
    <w:name w:val="Parágrafo da Lista1"/>
    <w:basedOn w:val="Normal"/>
    <w:rsid w:val="006D2F8A"/>
    <w:pPr>
      <w:suppressAutoHyphens/>
      <w:spacing w:before="100" w:after="100" w:line="240" w:lineRule="auto"/>
    </w:pPr>
    <w:rPr>
      <w:rFonts w:ascii="Times New Roman" w:eastAsia="Calibri" w:hAnsi="Times New Roman" w:cs="Times New Roman"/>
      <w:sz w:val="24"/>
      <w:szCs w:val="24"/>
      <w:lang w:eastAsia="zh-CN"/>
    </w:rPr>
  </w:style>
  <w:style w:type="character" w:styleId="Hyperlink">
    <w:name w:val="Hyperlink"/>
    <w:basedOn w:val="Fontepargpadro"/>
    <w:uiPriority w:val="99"/>
    <w:unhideWhenUsed/>
    <w:rsid w:val="00620F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59467379">
      <w:bodyDiv w:val="1"/>
      <w:marLeft w:val="0"/>
      <w:marRight w:val="0"/>
      <w:marTop w:val="0"/>
      <w:marBottom w:val="0"/>
      <w:divBdr>
        <w:top w:val="none" w:sz="0" w:space="0" w:color="auto"/>
        <w:left w:val="none" w:sz="0" w:space="0" w:color="auto"/>
        <w:bottom w:val="none" w:sz="0" w:space="0" w:color="auto"/>
        <w:right w:val="none" w:sz="0" w:space="0" w:color="auto"/>
      </w:divBdr>
      <w:divsChild>
        <w:div w:id="243879736">
          <w:marLeft w:val="0"/>
          <w:marRight w:val="0"/>
          <w:marTop w:val="0"/>
          <w:marBottom w:val="0"/>
          <w:divBdr>
            <w:top w:val="none" w:sz="0" w:space="0" w:color="auto"/>
            <w:left w:val="none" w:sz="0" w:space="0" w:color="auto"/>
            <w:bottom w:val="none" w:sz="0" w:space="0" w:color="auto"/>
            <w:right w:val="none" w:sz="0" w:space="0" w:color="auto"/>
          </w:divBdr>
        </w:div>
        <w:div w:id="1016538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970</TotalTime>
  <Pages>3</Pages>
  <Words>1181</Words>
  <Characters>6382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49</cp:revision>
  <dcterms:created xsi:type="dcterms:W3CDTF">2019-07-08T20:04:00Z</dcterms:created>
  <dcterms:modified xsi:type="dcterms:W3CDTF">2024-12-19T11:56:00Z</dcterms:modified>
</cp:coreProperties>
</file>