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0" w:type="dxa"/>
              <w:left w:w="0" w:type="dxa"/>
              <w:bottom w:w="0" w:type="dxa"/>
              <w:right w:w="0" w:type="dxa"/>
            </w:tcMar>
            <w:vAlign w:val="top"/>
          </w:tcPr>
          <w:bookmarkStart w:id="1" w:name="__bookmark_5"/>
          <w:bookmarkEnd w:id="1"/>
          <w:p>
            <w:pPr>
              <w:bidi w:val="0"/>
              <w:spacing w:before="0" w:after="0"/>
              <w:jc w:val="center"/>
            </w:pPr>
            <w:r>
              <w:rPr>
                <w:rFonts w:ascii="Verdana" w:eastAsia="Verdana" w:hAnsi="Verdana" w:cs="Verdana"/>
                <w:b/>
                <w:bCs/>
                <w:color w:val="000000"/>
                <w:spacing w:val="0"/>
                <w:sz w:val="16"/>
                <w:szCs w:val="16"/>
                <w:u w:val="single"/>
              </w:rPr>
              <w:t>N.º null/null</w:t>
            </w:r>
          </w:p>
          <w:p>
            <w:pPr>
              <w:bidi w:val="0"/>
              <w:spacing w:before="0" w:after="0"/>
              <w:jc w:val="center"/>
            </w:pPr>
            <w:r>
              <w:rPr>
                <w:rFonts w:ascii="Verdana" w:eastAsia="Verdana" w:hAnsi="Verdana" w:cs="Verdana"/>
                <w:b/>
                <w:bCs/>
                <w:color w:val="000000"/>
                <w:spacing w:val="0"/>
                <w:sz w:val="16"/>
                <w:szCs w:val="16"/>
              </w:rPr>
              <w:t>Sistema de Registro de Preços</w:t>
            </w:r>
          </w:p>
          <w:p>
            <w:pPr>
              <w:bidi w:val="0"/>
              <w:spacing w:before="0" w:after="141"/>
              <w:jc w:val="center"/>
            </w:pPr>
            <w:r>
              <w:rPr>
                <w:rFonts w:ascii="Verdana" w:eastAsia="Verdana" w:hAnsi="Verdana" w:cs="Verdana"/>
                <w:b/>
                <w:bCs/>
                <w:color w:val="000000"/>
                <w:spacing w:val="0"/>
                <w:sz w:val="16"/>
                <w:szCs w:val="16"/>
              </w:rPr>
              <w:t>Processo Administrativo Nº. null/null</w:t>
            </w:r>
          </w:p>
          <w:p>
            <w:pPr>
              <w:bidi w:val="0"/>
              <w:spacing w:before="0" w:after="141"/>
              <w:ind w:firstLine="700"/>
              <w:jc w:val="both"/>
            </w:pPr>
            <w:r>
              <w:rPr>
                <w:rFonts w:ascii="Verdana" w:eastAsia="Verdana" w:hAnsi="Verdana" w:cs="Verdana"/>
                <w:color w:val="000000"/>
                <w:spacing w:val="0"/>
                <w:sz w:val="16"/>
                <w:szCs w:val="16"/>
              </w:rPr>
              <w:t xml:space="preserve">O(A) Prefeito(a) Municipal de Campo Novo/RS, Sr(a). null, no uso de suas atribuições legais, por intermédio da Secretaria Municipal da Fazenda, mediante Pregoeiro(a), </w:t>
            </w:r>
            <w:r>
              <w:rPr>
                <w:rFonts w:ascii="Verdana" w:eastAsia="Verdana" w:hAnsi="Verdana" w:cs="Verdana"/>
                <w:b/>
                <w:bCs/>
                <w:color w:val="000000"/>
                <w:spacing w:val="0"/>
                <w:sz w:val="16"/>
                <w:szCs w:val="16"/>
              </w:rPr>
              <w:t>null</w:t>
            </w:r>
            <w:r>
              <w:rPr>
                <w:rFonts w:ascii="Verdana" w:eastAsia="Verdana" w:hAnsi="Verdana" w:cs="Verdana"/>
                <w:color w:val="000000"/>
                <w:spacing w:val="0"/>
                <w:sz w:val="16"/>
                <w:szCs w:val="16"/>
              </w:rPr>
              <w:t xml:space="preserve">, designado(a) pela nº , torna público, para conhecimento dos interessados, que realizará o </w:t>
            </w:r>
            <w:r>
              <w:rPr>
                <w:rFonts w:ascii="Verdana" w:eastAsia="Verdana" w:hAnsi="Verdana" w:cs="Verdana"/>
                <w:b/>
                <w:bCs/>
                <w:color w:val="000000"/>
                <w:spacing w:val="0"/>
                <w:sz w:val="16"/>
                <w:szCs w:val="16"/>
              </w:rPr>
              <w:t>Nº null/null</w:t>
            </w:r>
            <w:r>
              <w:rPr>
                <w:rFonts w:ascii="Verdana" w:eastAsia="Verdana" w:hAnsi="Verdana" w:cs="Verdana"/>
                <w:color w:val="000000"/>
                <w:spacing w:val="0"/>
                <w:sz w:val="16"/>
                <w:szCs w:val="16"/>
              </w:rPr>
              <w:t xml:space="preserve">, do tipo </w:t>
            </w:r>
            <w:r>
              <w:rPr>
                <w:rFonts w:ascii="Verdana" w:eastAsia="Verdana" w:hAnsi="Verdana" w:cs="Verdana"/>
                <w:b/>
                <w:bCs/>
                <w:color w:val="000000"/>
                <w:spacing w:val="0"/>
                <w:sz w:val="16"/>
                <w:szCs w:val="16"/>
              </w:rPr>
              <w:t>NULL NULL</w:t>
            </w:r>
            <w:r>
              <w:rPr>
                <w:rFonts w:ascii="Verdana" w:eastAsia="Verdana" w:hAnsi="Verdana" w:cs="Verdana"/>
                <w:color w:val="000000"/>
                <w:spacing w:val="0"/>
                <w:sz w:val="16"/>
                <w:szCs w:val="16"/>
              </w:rPr>
              <w:t xml:space="preserve">. A sessão pública será realizada na no dia </w:t>
            </w:r>
            <w:r>
              <w:rPr>
                <w:rFonts w:ascii="Verdana" w:eastAsia="Verdana" w:hAnsi="Verdana" w:cs="Verdana"/>
                <w:b/>
                <w:bCs/>
                <w:color w:val="000000"/>
                <w:spacing w:val="0"/>
                <w:sz w:val="16"/>
                <w:szCs w:val="16"/>
                <w:u w:val="single"/>
              </w:rPr>
              <w:t>, às hs</w:t>
            </w:r>
            <w:r>
              <w:rPr>
                <w:rFonts w:ascii="Verdana" w:eastAsia="Verdana" w:hAnsi="Verdana" w:cs="Verdana"/>
                <w:color w:val="000000"/>
                <w:spacing w:val="0"/>
                <w:sz w:val="16"/>
                <w:szCs w:val="16"/>
              </w:rPr>
              <w:t>, de conformidade com as disposições da Lei nº Lei nº 14.133, de 01 de abril de 2021, Decreto Municipal nº 038/2011, de 09 de maio de 2011.</w:t>
            </w:r>
          </w:p>
          <w:p>
            <w:pPr>
              <w:bidi w:val="0"/>
              <w:spacing w:before="0" w:after="0"/>
              <w:jc w:val="both"/>
            </w:pPr>
            <w:r>
              <w:rPr>
                <w:rFonts w:ascii="Verdana" w:eastAsia="Verdana" w:hAnsi="Verdana" w:cs="Verdana"/>
                <w:b/>
                <w:bCs/>
                <w:color w:val="000000"/>
                <w:spacing w:val="0"/>
                <w:sz w:val="16"/>
                <w:szCs w:val="16"/>
                <w:u w:val="single"/>
              </w:rPr>
              <w:t>1. DA DESCRIÇÃO DO OBJETO:</w:t>
            </w:r>
          </w:p>
          <w:p>
            <w:pPr>
              <w:bidi w:val="0"/>
              <w:spacing w:before="0" w:after="141"/>
              <w:ind w:firstLine="700"/>
              <w:jc w:val="both"/>
            </w:pPr>
            <w:r>
              <w:rPr>
                <w:rFonts w:ascii="Verdana" w:eastAsia="Verdana" w:hAnsi="Verdana" w:cs="Verdana"/>
                <w:b/>
                <w:bCs/>
                <w:color w:val="000000"/>
                <w:spacing w:val="0"/>
                <w:sz w:val="16"/>
                <w:szCs w:val="16"/>
              </w:rPr>
              <w:t>1.1</w:t>
            </w:r>
          </w:p>
          <w:p>
            <w:pPr>
              <w:bidi w:val="0"/>
              <w:spacing w:before="0" w:after="141"/>
              <w:ind w:firstLine="700"/>
              <w:jc w:val="both"/>
            </w:pPr>
            <w:r>
              <w:rPr>
                <w:rFonts w:ascii="Verdana" w:eastAsia="Verdana" w:hAnsi="Verdana" w:cs="Verdana"/>
                <w:b/>
                <w:bCs/>
                <w:color w:val="000000"/>
                <w:spacing w:val="0"/>
                <w:sz w:val="16"/>
                <w:szCs w:val="16"/>
              </w:rPr>
              <w:t>1.2</w:t>
            </w:r>
            <w:r>
              <w:rPr>
                <w:rFonts w:ascii="Verdana" w:eastAsia="Verdana" w:hAnsi="Verdana" w:cs="Verdana"/>
                <w:color w:val="000000"/>
                <w:spacing w:val="0"/>
                <w:sz w:val="16"/>
                <w:szCs w:val="16"/>
              </w:rPr>
              <w:t xml:space="preserve"> O sistema de </w:t>
            </w:r>
            <w:r>
              <w:rPr>
                <w:rFonts w:ascii="Verdana" w:eastAsia="Verdana" w:hAnsi="Verdana" w:cs="Verdana"/>
                <w:b/>
                <w:bCs/>
                <w:color w:val="000000"/>
                <w:spacing w:val="0"/>
                <w:sz w:val="16"/>
                <w:szCs w:val="16"/>
              </w:rPr>
              <w:t>REGISTRO DE PREÇOS</w:t>
            </w:r>
            <w:r>
              <w:rPr>
                <w:rFonts w:ascii="Verdana" w:eastAsia="Verdana" w:hAnsi="Verdana" w:cs="Verdana"/>
                <w:color w:val="000000"/>
                <w:spacing w:val="0"/>
                <w:sz w:val="16"/>
                <w:szCs w:val="16"/>
              </w:rPr>
              <w:t xml:space="preserve"> não obriga a compra, nem mesmo nas quantidades indicadas no Termo de Referência </w:t>
            </w:r>
            <w:r>
              <w:rPr>
                <w:rFonts w:ascii="Verdana" w:eastAsia="Verdana" w:hAnsi="Verdana" w:cs="Verdana"/>
                <w:b/>
                <w:bCs/>
                <w:color w:val="000000"/>
                <w:spacing w:val="0"/>
                <w:sz w:val="16"/>
                <w:szCs w:val="16"/>
              </w:rPr>
              <w:t>(ANEXO I)</w:t>
            </w:r>
            <w:r>
              <w:rPr>
                <w:rFonts w:ascii="Verdana" w:eastAsia="Verdana" w:hAnsi="Verdana" w:cs="Verdana"/>
                <w:color w:val="000000"/>
                <w:spacing w:val="0"/>
                <w:sz w:val="16"/>
                <w:szCs w:val="16"/>
              </w:rPr>
              <w:t>, podendo a Administração promover a aquisição em unidades de acordo com suas necessidades;</w:t>
            </w:r>
          </w:p>
          <w:p>
            <w:pPr>
              <w:bidi w:val="0"/>
              <w:spacing w:before="0" w:after="0"/>
              <w:jc w:val="both"/>
            </w:pPr>
            <w:r>
              <w:rPr>
                <w:rFonts w:ascii="Verdana" w:eastAsia="Verdana" w:hAnsi="Verdana" w:cs="Verdana"/>
                <w:b/>
                <w:bCs/>
                <w:color w:val="000000"/>
                <w:spacing w:val="0"/>
                <w:sz w:val="16"/>
                <w:szCs w:val="16"/>
                <w:u w:val="single"/>
              </w:rPr>
              <w:t>2. DAS CONDIÇÕES DE PARTICIPAÇÃO, DO LOCAL, DATA E HORÁRIO DA ABERTURA:</w:t>
            </w:r>
          </w:p>
          <w:p>
            <w:pPr>
              <w:bidi w:val="0"/>
              <w:spacing w:before="0" w:after="0"/>
              <w:jc w:val="both"/>
            </w:pPr>
            <w:r>
              <w:rPr>
                <w:rFonts w:ascii="Verdana" w:eastAsia="Verdana" w:hAnsi="Verdana" w:cs="Verdana"/>
                <w:b/>
                <w:bCs/>
                <w:color w:val="000000"/>
                <w:spacing w:val="0"/>
                <w:sz w:val="16"/>
                <w:szCs w:val="16"/>
              </w:rPr>
              <w:t>2.1</w:t>
            </w:r>
            <w:r>
              <w:rPr>
                <w:rFonts w:ascii="Verdana" w:eastAsia="Verdana" w:hAnsi="Verdana" w:cs="Verdana"/>
                <w:color w:val="000000"/>
                <w:spacing w:val="0"/>
                <w:sz w:val="16"/>
                <w:szCs w:val="16"/>
              </w:rPr>
              <w:t xml:space="preserve"> Poderão participar desta licitação empresas que atenderem todas as exigências constantes neste Edital.</w:t>
            </w:r>
          </w:p>
          <w:p>
            <w:pPr>
              <w:bidi w:val="0"/>
              <w:spacing w:before="0" w:after="0"/>
              <w:jc w:val="both"/>
            </w:pPr>
            <w:r>
              <w:rPr>
                <w:rFonts w:ascii="Verdana" w:eastAsia="Verdana" w:hAnsi="Verdana" w:cs="Verdana"/>
                <w:b/>
                <w:bCs/>
                <w:color w:val="000000"/>
                <w:spacing w:val="0"/>
                <w:sz w:val="16"/>
                <w:szCs w:val="16"/>
              </w:rPr>
              <w:t>2.2</w:t>
            </w:r>
            <w:r>
              <w:rPr>
                <w:rFonts w:ascii="Verdana" w:eastAsia="Verdana" w:hAnsi="Verdana" w:cs="Verdana"/>
                <w:color w:val="000000"/>
                <w:spacing w:val="0"/>
                <w:sz w:val="16"/>
                <w:szCs w:val="16"/>
              </w:rPr>
              <w:t xml:space="preserve"> Não poderão participar as empresas declaradas inidôneas por ato administrativo do Poder Público, sob processo de falência ou recuperação judicial, impedidas de licitar ou contratar com a Administração Pública, reunidas em consórcio e enquadradas nas disposições do artigo 9º da Lei nº 14.133/21.</w:t>
            </w:r>
          </w:p>
          <w:p>
            <w:pPr>
              <w:bidi w:val="0"/>
              <w:spacing w:before="0" w:after="0"/>
              <w:jc w:val="both"/>
            </w:pPr>
            <w:r>
              <w:rPr>
                <w:rFonts w:ascii="Verdana" w:eastAsia="Verdana" w:hAnsi="Verdana" w:cs="Verdana"/>
                <w:b/>
                <w:bCs/>
                <w:color w:val="000000"/>
                <w:spacing w:val="0"/>
                <w:sz w:val="16"/>
                <w:szCs w:val="16"/>
              </w:rPr>
              <w:t>2.2</w:t>
            </w:r>
            <w:r>
              <w:rPr>
                <w:rFonts w:ascii="Verdana" w:eastAsia="Verdana" w:hAnsi="Verdana" w:cs="Verdana"/>
                <w:color w:val="000000"/>
                <w:spacing w:val="0"/>
                <w:sz w:val="16"/>
                <w:szCs w:val="16"/>
              </w:rPr>
              <w:t xml:space="preserve"> Os envelopes nº 01 – DA PROPOSTA FINANCEIRA e nº 02 – DA DOCUMENTAÇÃO, serão recebidos no Protocolo Geral do Centro Administrativo Municipal de Campo Novo/RS, localizado na Av. Bento Gonçalves, nº 555, até às </w:t>
            </w:r>
            <w:r>
              <w:rPr>
                <w:rFonts w:ascii="Verdana" w:eastAsia="Verdana" w:hAnsi="Verdana" w:cs="Verdana"/>
                <w:b/>
                <w:bCs/>
                <w:color w:val="000000"/>
                <w:spacing w:val="0"/>
                <w:sz w:val="16"/>
                <w:szCs w:val="16"/>
              </w:rPr>
              <w:t>hs do dia</w:t>
            </w:r>
            <w:r>
              <w:rPr>
                <w:rFonts w:ascii="Verdana" w:eastAsia="Verdana" w:hAnsi="Verdana" w:cs="Verdana"/>
                <w:color w:val="000000"/>
                <w:spacing w:val="0"/>
                <w:sz w:val="16"/>
                <w:szCs w:val="16"/>
              </w:rPr>
              <w:t xml:space="preserve"> .</w:t>
            </w:r>
          </w:p>
          <w:p>
            <w:pPr>
              <w:bidi w:val="0"/>
              <w:spacing w:before="0" w:after="0"/>
              <w:jc w:val="both"/>
            </w:pPr>
            <w:r>
              <w:rPr>
                <w:rFonts w:ascii="Verdana" w:eastAsia="Verdana" w:hAnsi="Verdana" w:cs="Verdana"/>
                <w:b/>
                <w:bCs/>
                <w:color w:val="000000"/>
                <w:spacing w:val="0"/>
                <w:sz w:val="16"/>
                <w:szCs w:val="16"/>
              </w:rPr>
              <w:t>2.3</w:t>
            </w:r>
            <w:r>
              <w:rPr>
                <w:rFonts w:ascii="Verdana" w:eastAsia="Verdana" w:hAnsi="Verdana" w:cs="Verdana"/>
                <w:color w:val="000000"/>
                <w:spacing w:val="0"/>
                <w:sz w:val="16"/>
                <w:szCs w:val="16"/>
              </w:rPr>
              <w:t xml:space="preserve"> A empresa que não entregar os envelopes até o horário especificado no item 2.2 não poderá participar do certame.</w:t>
            </w:r>
          </w:p>
          <w:p>
            <w:pPr>
              <w:bidi w:val="0"/>
              <w:spacing w:before="0" w:after="141"/>
              <w:jc w:val="both"/>
            </w:pPr>
            <w:r>
              <w:rPr>
                <w:rFonts w:ascii="Verdana" w:eastAsia="Verdana" w:hAnsi="Verdana" w:cs="Verdana"/>
                <w:b/>
                <w:bCs/>
                <w:color w:val="000000"/>
                <w:spacing w:val="0"/>
                <w:sz w:val="16"/>
                <w:szCs w:val="16"/>
              </w:rPr>
              <w:t>2.4</w:t>
            </w:r>
            <w:r>
              <w:rPr>
                <w:rFonts w:ascii="Verdana" w:eastAsia="Verdana" w:hAnsi="Verdana" w:cs="Verdana"/>
                <w:color w:val="000000"/>
                <w:spacing w:val="0"/>
                <w:sz w:val="16"/>
                <w:szCs w:val="16"/>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bidi w:val="0"/>
              <w:spacing w:before="0" w:after="0"/>
              <w:jc w:val="both"/>
            </w:pPr>
            <w:r>
              <w:rPr>
                <w:rFonts w:ascii="Verdana" w:eastAsia="Verdana" w:hAnsi="Verdana" w:cs="Verdana"/>
                <w:b/>
                <w:bCs/>
                <w:color w:val="000000"/>
                <w:spacing w:val="0"/>
                <w:sz w:val="16"/>
                <w:szCs w:val="16"/>
                <w:u w:val="single"/>
              </w:rPr>
              <w:t>3. DO CREDENCIAMENTO E DA REPRESENTAÇÃO:</w:t>
            </w:r>
          </w:p>
          <w:p>
            <w:pPr>
              <w:bidi w:val="0"/>
              <w:spacing w:before="0" w:after="0"/>
              <w:jc w:val="both"/>
            </w:pPr>
            <w:r>
              <w:rPr>
                <w:rFonts w:ascii="Verdana" w:eastAsia="Verdana" w:hAnsi="Verdana" w:cs="Verdana"/>
                <w:b/>
                <w:bCs/>
                <w:color w:val="000000"/>
                <w:spacing w:val="0"/>
                <w:sz w:val="16"/>
                <w:szCs w:val="16"/>
              </w:rPr>
              <w:t>3.1</w:t>
            </w:r>
            <w:r>
              <w:rPr>
                <w:rFonts w:ascii="Verdana" w:eastAsia="Verdana" w:hAnsi="Verdana" w:cs="Verdana"/>
                <w:color w:val="000000"/>
                <w:spacing w:val="0"/>
                <w:sz w:val="16"/>
                <w:szCs w:val="16"/>
              </w:rPr>
              <w:t xml:space="preserve"> O proponente deverá se apresentar para credenciamento junto a Pregoeira no dia </w:t>
            </w:r>
            <w:r>
              <w:rPr>
                <w:rFonts w:ascii="Verdana" w:eastAsia="Verdana" w:hAnsi="Verdana" w:cs="Verdana"/>
                <w:color w:val="000000"/>
                <w:spacing w:val="0"/>
                <w:sz w:val="16"/>
                <w:szCs w:val="16"/>
              </w:rPr>
              <w:t xml:space="preserve">, às </w:t>
            </w:r>
            <w:r>
              <w:rPr>
                <w:rFonts w:ascii="Verdana" w:eastAsia="Verdana" w:hAnsi="Verdana" w:cs="Verdana"/>
                <w:b/>
                <w:bCs/>
                <w:color w:val="000000"/>
                <w:spacing w:val="0"/>
                <w:sz w:val="16"/>
                <w:szCs w:val="16"/>
              </w:rPr>
              <w:t>hs</w:t>
            </w:r>
            <w:r>
              <w:rPr>
                <w:rFonts w:ascii="Verdana" w:eastAsia="Verdana" w:hAnsi="Verdana" w:cs="Verdana"/>
                <w:color w:val="000000"/>
                <w:spacing w:val="0"/>
                <w:sz w:val="16"/>
                <w:szCs w:val="16"/>
              </w:rPr>
              <w:t>, para credenciamento por meio da apresentação dos seguintes documentos:</w:t>
            </w:r>
          </w:p>
          <w:p>
            <w:pPr>
              <w:bidi w:val="0"/>
              <w:spacing w:before="0" w:after="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Quando sócio(s): documento de identificação do representante legal, contrato social e alterações que apontem quem representa a empresa licitante;</w:t>
            </w:r>
          </w:p>
          <w:p>
            <w:pPr>
              <w:bidi w:val="0"/>
              <w:spacing w:before="0" w:after="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Quando procurador: documento de identificação pessoal do procurador, </w:t>
            </w:r>
            <w:r>
              <w:rPr>
                <w:rFonts w:ascii="Verdana" w:eastAsia="Verdana" w:hAnsi="Verdana" w:cs="Verdana"/>
                <w:color w:val="000000"/>
                <w:spacing w:val="0"/>
                <w:sz w:val="16"/>
                <w:szCs w:val="16"/>
                <w:u w:val="single"/>
              </w:rPr>
              <w:t>procuração com poderes para participação no pregão e dar lances ou preencher o termo de credenciamento</w:t>
            </w:r>
            <w:r>
              <w:rPr>
                <w:rFonts w:ascii="Verdana" w:eastAsia="Verdana" w:hAnsi="Verdana" w:cs="Verdana"/>
                <w:color w:val="000000"/>
                <w:spacing w:val="0"/>
                <w:sz w:val="16"/>
                <w:szCs w:val="16"/>
              </w:rPr>
              <w:t xml:space="preserve"> e contrato social e alterações que apontem a representação legal da empresa licitante.</w:t>
            </w:r>
          </w:p>
          <w:p>
            <w:pPr>
              <w:bidi w:val="0"/>
              <w:spacing w:before="0" w:after="0"/>
              <w:jc w:val="both"/>
            </w:pPr>
            <w:r>
              <w:rPr>
                <w:rFonts w:ascii="Verdana" w:eastAsia="Verdana" w:hAnsi="Verdana" w:cs="Verdana"/>
                <w:b/>
                <w:bCs/>
                <w:color w:val="000000"/>
                <w:spacing w:val="0"/>
                <w:sz w:val="16"/>
                <w:szCs w:val="16"/>
              </w:rPr>
              <w:t>Obs. 1:</w:t>
            </w:r>
            <w:r>
              <w:rPr>
                <w:rFonts w:ascii="Verdana" w:eastAsia="Verdana" w:hAnsi="Verdana" w:cs="Verdana"/>
                <w:color w:val="000000"/>
                <w:spacing w:val="0"/>
                <w:sz w:val="16"/>
                <w:szCs w:val="16"/>
              </w:rPr>
              <w:t xml:space="preserve"> A falta de representação não impedirá a licitante de participar do certame licitatório, ficando, porém impedida de manifestar-se durante as sessões, inclusive quanto à formulação de lances verbais e manifestação de interesse na interposição de recursos.</w:t>
            </w:r>
          </w:p>
          <w:p>
            <w:pPr>
              <w:bidi w:val="0"/>
              <w:spacing w:before="0" w:after="0"/>
              <w:jc w:val="both"/>
            </w:pPr>
            <w:r>
              <w:rPr>
                <w:rFonts w:ascii="Verdana" w:eastAsia="Verdana" w:hAnsi="Verdana" w:cs="Verdana"/>
                <w:b/>
                <w:bCs/>
                <w:color w:val="000000"/>
                <w:spacing w:val="0"/>
                <w:sz w:val="16"/>
                <w:szCs w:val="16"/>
              </w:rPr>
              <w:t>3.2</w:t>
            </w:r>
            <w:r>
              <w:rPr>
                <w:rFonts w:ascii="Verdana" w:eastAsia="Verdana" w:hAnsi="Verdana" w:cs="Verdana"/>
                <w:color w:val="000000"/>
                <w:spacing w:val="0"/>
                <w:sz w:val="16"/>
                <w:szCs w:val="16"/>
              </w:rPr>
              <w:t xml:space="preserve"> Concluída a fase de credenciamento, as licitantes deverão entregar, a Pregoeira, fora dos envelopes nº 01 - PROPOSTA e nº 02 – DOCUMENTAÇÃO:</w:t>
            </w:r>
          </w:p>
          <w:p>
            <w:pPr>
              <w:bidi w:val="0"/>
              <w:spacing w:before="0" w:after="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Declaração assinada pelo representante legal de que cumpre os requisitos de habilitação, nos termos do artigo 17, da Lei nº 14.133, de 01/04/2021 e</w:t>
            </w:r>
          </w:p>
          <w:p>
            <w:pPr>
              <w:bidi w:val="0"/>
              <w:spacing w:before="0" w:after="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Declaração do responsável técnico (CONTADOR), com o respectivo registro no Conselho Regional de Contabilidade–CRC, que a licitante se enquadra como microempresa ou EPP, caso as Microempresas (ME) ou Empresas de Pequeno Porte (EPP), desejarem fazer uso dos benefícios da Lei Complementar nº 123/2006 ou Certidão Simplificada de registro na junta comercial que comprove ser Microempresa (ME) ou Empresas de Pequeno Porte (EPP) no ano de 2021.</w:t>
            </w:r>
          </w:p>
          <w:p>
            <w:pPr>
              <w:bidi w:val="0"/>
              <w:spacing w:before="0" w:after="0"/>
              <w:jc w:val="both"/>
            </w:pPr>
            <w:r>
              <w:rPr>
                <w:rFonts w:ascii="Verdana" w:eastAsia="Verdana" w:hAnsi="Verdana" w:cs="Verdana"/>
                <w:b/>
                <w:bCs/>
                <w:color w:val="000000"/>
                <w:spacing w:val="0"/>
                <w:sz w:val="16"/>
                <w:szCs w:val="16"/>
              </w:rPr>
              <w:t>Obs. 1:</w:t>
            </w:r>
            <w:r>
              <w:rPr>
                <w:rFonts w:ascii="Verdana" w:eastAsia="Verdana" w:hAnsi="Verdana" w:cs="Verdana"/>
                <w:color w:val="000000"/>
                <w:spacing w:val="0"/>
                <w:sz w:val="16"/>
                <w:szCs w:val="16"/>
              </w:rPr>
              <w:t xml:space="preserve"> A ausência da Declaração especificada na alínea “a” impedirá a licitante de participar das fases subsequentes do certame.</w:t>
            </w:r>
          </w:p>
          <w:p>
            <w:pPr>
              <w:bidi w:val="0"/>
              <w:spacing w:before="0" w:after="141"/>
              <w:jc w:val="both"/>
            </w:pPr>
            <w:r>
              <w:rPr>
                <w:rFonts w:ascii="Verdana" w:eastAsia="Verdana" w:hAnsi="Verdana" w:cs="Verdana"/>
                <w:b/>
                <w:bCs/>
                <w:color w:val="000000"/>
                <w:spacing w:val="0"/>
                <w:sz w:val="16"/>
                <w:szCs w:val="16"/>
              </w:rPr>
              <w:t>Obs. 2:</w:t>
            </w:r>
            <w:r>
              <w:rPr>
                <w:rFonts w:ascii="Verdana" w:eastAsia="Verdana" w:hAnsi="Verdana" w:cs="Verdana"/>
                <w:color w:val="000000"/>
                <w:spacing w:val="0"/>
                <w:sz w:val="16"/>
                <w:szCs w:val="16"/>
              </w:rPr>
              <w:t xml:space="preserve"> A ausência da apresentação da declaração de ser ME e EPP não impedirá a licitante de participar das fases subsequentes, entretanto, não lhe assistirá direito aos benefícios previsto na Lei Complementar nº 123/2006.</w:t>
            </w:r>
          </w:p>
          <w:p>
            <w:pPr>
              <w:bidi w:val="0"/>
              <w:spacing w:before="0" w:after="0"/>
              <w:jc w:val="both"/>
            </w:pPr>
            <w:r>
              <w:rPr>
                <w:rFonts w:ascii="Verdana" w:eastAsia="Verdana" w:hAnsi="Verdana" w:cs="Verdana"/>
                <w:b/>
                <w:bCs/>
                <w:color w:val="000000"/>
                <w:spacing w:val="0"/>
                <w:sz w:val="16"/>
                <w:szCs w:val="16"/>
                <w:u w:val="single"/>
              </w:rPr>
              <w:t>4. DO RECEBIMENTO E ABERTURA DOS ENVELOPES:</w:t>
            </w:r>
          </w:p>
          <w:p>
            <w:pPr>
              <w:bidi w:val="0"/>
              <w:spacing w:before="0" w:after="0"/>
              <w:jc w:val="both"/>
            </w:pPr>
            <w:r>
              <w:rPr>
                <w:rFonts w:ascii="Verdana" w:eastAsia="Verdana" w:hAnsi="Verdana" w:cs="Verdana"/>
                <w:b/>
                <w:bCs/>
                <w:color w:val="000000"/>
                <w:spacing w:val="0"/>
                <w:sz w:val="16"/>
                <w:szCs w:val="16"/>
              </w:rPr>
              <w:t>4.1</w:t>
            </w:r>
            <w:r>
              <w:rPr>
                <w:rFonts w:ascii="Verdana" w:eastAsia="Verdana" w:hAnsi="Verdana" w:cs="Verdana"/>
                <w:color w:val="000000"/>
                <w:spacing w:val="0"/>
                <w:sz w:val="16"/>
                <w:szCs w:val="16"/>
              </w:rPr>
              <w:t xml:space="preserve"> Os envelopes nº 01 – DA PROPOSTA FINANCEIRA e nº 02 – DA DOCUMENTAÇÃO, serão recebidos no Protocolo Geral do Centro Administrativo Municipal de Campo Novo, localizado na Av. Bento Gonçalves, nº 555, </w:t>
            </w:r>
            <w:r>
              <w:rPr>
                <w:rFonts w:ascii="Verdana" w:eastAsia="Verdana" w:hAnsi="Verdana" w:cs="Verdana"/>
                <w:b/>
                <w:bCs/>
                <w:color w:val="000000"/>
                <w:spacing w:val="0"/>
                <w:sz w:val="16"/>
                <w:szCs w:val="16"/>
              </w:rPr>
              <w:t>até às hs do dia</w:t>
            </w:r>
            <w:r>
              <w:rPr>
                <w:rFonts w:ascii="Verdana" w:eastAsia="Verdana" w:hAnsi="Verdana" w:cs="Verdana"/>
                <w:color w:val="000000"/>
                <w:spacing w:val="0"/>
                <w:sz w:val="16"/>
                <w:szCs w:val="16"/>
              </w:rPr>
              <w:t xml:space="preserve"> .</w:t>
            </w:r>
          </w:p>
          <w:p>
            <w:pPr>
              <w:bidi w:val="0"/>
              <w:spacing w:before="0" w:after="141"/>
              <w:jc w:val="both"/>
            </w:pPr>
            <w:r>
              <w:rPr>
                <w:rFonts w:ascii="Verdana" w:eastAsia="Verdana" w:hAnsi="Verdana" w:cs="Verdana"/>
                <w:b/>
                <w:bCs/>
                <w:color w:val="000000"/>
                <w:spacing w:val="0"/>
                <w:sz w:val="16"/>
                <w:szCs w:val="16"/>
              </w:rPr>
              <w:t>4.2</w:t>
            </w:r>
            <w:r>
              <w:rPr>
                <w:rFonts w:ascii="Verdana" w:eastAsia="Verdana" w:hAnsi="Verdana" w:cs="Verdana"/>
                <w:color w:val="000000"/>
                <w:spacing w:val="0"/>
                <w:sz w:val="16"/>
                <w:szCs w:val="16"/>
              </w:rPr>
              <w:t xml:space="preserve"> A empresa que não entregar os envelopes até o horário especificado no item 2.2 não poderá participar do certame.</w:t>
            </w:r>
          </w:p>
          <w:p>
            <w:pPr>
              <w:bidi w:val="0"/>
              <w:spacing w:before="0" w:after="0"/>
              <w:jc w:val="both"/>
            </w:pPr>
            <w:r>
              <w:rPr>
                <w:rFonts w:ascii="Verdana" w:eastAsia="Verdana" w:hAnsi="Verdana" w:cs="Verdana"/>
                <w:b/>
                <w:bCs/>
                <w:color w:val="000000"/>
                <w:spacing w:val="0"/>
                <w:sz w:val="16"/>
                <w:szCs w:val="16"/>
                <w:u w:val="single"/>
              </w:rPr>
              <w:t>5. DA PROPOSTA DE PREÇOS:</w:t>
            </w:r>
          </w:p>
          <w:p>
            <w:pPr>
              <w:bidi w:val="0"/>
              <w:spacing w:before="0" w:after="141"/>
              <w:jc w:val="both"/>
            </w:pPr>
            <w:r>
              <w:rPr>
                <w:rFonts w:ascii="Verdana" w:eastAsia="Verdana" w:hAnsi="Verdana" w:cs="Verdana"/>
                <w:b/>
                <w:bCs/>
                <w:color w:val="000000"/>
                <w:spacing w:val="0"/>
                <w:sz w:val="16"/>
                <w:szCs w:val="16"/>
              </w:rPr>
              <w:t>5.1</w:t>
            </w:r>
            <w:r>
              <w:rPr>
                <w:rFonts w:ascii="Verdana" w:eastAsia="Verdana" w:hAnsi="Verdana" w:cs="Verdana"/>
                <w:color w:val="000000"/>
                <w:spacing w:val="0"/>
                <w:sz w:val="16"/>
                <w:szCs w:val="16"/>
              </w:rPr>
              <w:t xml:space="preserve"> A Proposta de Preços será apresentada em uma via, em papel com identificação da empresa, redigida em linguagem clara, sem emendas, rasuras ou entrelinhas, identificada e assinada pelo licitante ou seu representante legal, a ser entregue em envelope indevassável, lacrado, contendo identificação do proponente na face externa, com as seguintes indicações:</w:t>
            </w:r>
          </w:p>
          <w:p>
            <w:pPr>
              <w:bidi w:val="0"/>
              <w:spacing w:before="0" w:after="0"/>
              <w:ind w:left="700"/>
              <w:jc w:val="both"/>
            </w:pPr>
            <w:r>
              <w:rPr>
                <w:rFonts w:ascii="Verdana" w:eastAsia="Verdana" w:hAnsi="Verdana" w:cs="Verdana"/>
                <w:b/>
                <w:bCs/>
                <w:color w:val="000000"/>
                <w:spacing w:val="0"/>
                <w:sz w:val="16"/>
                <w:szCs w:val="16"/>
              </w:rPr>
              <w:t>ENVELOPE N° 01 - "PROPOSTA"</w:t>
            </w:r>
          </w:p>
          <w:p>
            <w:pPr>
              <w:bidi w:val="0"/>
              <w:spacing w:before="0" w:after="0"/>
              <w:ind w:left="700"/>
              <w:jc w:val="both"/>
            </w:pPr>
            <w:r>
              <w:rPr>
                <w:rFonts w:ascii="Verdana" w:eastAsia="Verdana" w:hAnsi="Verdana" w:cs="Verdana"/>
                <w:b/>
                <w:bCs/>
                <w:color w:val="000000"/>
                <w:spacing w:val="0"/>
                <w:sz w:val="16"/>
                <w:szCs w:val="16"/>
              </w:rPr>
              <w:t>EMPRESA:</w:t>
            </w:r>
          </w:p>
          <w:p>
            <w:pPr>
              <w:bidi w:val="0"/>
              <w:spacing w:before="0" w:after="0"/>
              <w:ind w:left="700"/>
              <w:jc w:val="both"/>
            </w:pPr>
            <w:r>
              <w:rPr>
                <w:rFonts w:ascii="Verdana" w:eastAsia="Verdana" w:hAnsi="Verdana" w:cs="Verdana"/>
                <w:b/>
                <w:bCs/>
                <w:color w:val="000000"/>
                <w:spacing w:val="0"/>
                <w:sz w:val="16"/>
                <w:szCs w:val="16"/>
              </w:rPr>
              <w:t>AO MUNICÍPIO DE CAMPO NOVO</w:t>
            </w:r>
          </w:p>
          <w:p>
            <w:pPr>
              <w:bidi w:val="0"/>
              <w:spacing w:before="0" w:after="0"/>
              <w:ind w:left="700"/>
              <w:jc w:val="both"/>
            </w:pPr>
            <w:r>
              <w:rPr>
                <w:rFonts w:ascii="Verdana" w:eastAsia="Verdana" w:hAnsi="Verdana" w:cs="Verdana"/>
                <w:b/>
                <w:bCs/>
                <w:color w:val="000000"/>
                <w:spacing w:val="0"/>
                <w:sz w:val="16"/>
                <w:szCs w:val="16"/>
              </w:rPr>
              <w:t>PROCESSO ADMINISTRATIVO Nº: null/null</w:t>
            </w:r>
          </w:p>
          <w:p>
            <w:pPr>
              <w:bidi w:val="0"/>
              <w:spacing w:before="0" w:after="141"/>
              <w:ind w:left="700"/>
              <w:jc w:val="both"/>
            </w:pPr>
            <w:r>
              <w:rPr>
                <w:rFonts w:ascii="Verdana" w:eastAsia="Verdana" w:hAnsi="Verdana" w:cs="Verdana"/>
                <w:b/>
                <w:bCs/>
                <w:color w:val="000000"/>
                <w:spacing w:val="0"/>
                <w:sz w:val="16"/>
                <w:szCs w:val="16"/>
              </w:rPr>
              <w:t>N°: null/null</w:t>
            </w:r>
          </w:p>
          <w:p>
            <w:pPr>
              <w:bidi w:val="0"/>
              <w:spacing w:before="0" w:after="0"/>
              <w:jc w:val="both"/>
            </w:pPr>
            <w:r>
              <w:rPr>
                <w:rFonts w:ascii="Verdana" w:eastAsia="Verdana" w:hAnsi="Verdana" w:cs="Verdana"/>
                <w:b/>
                <w:bCs/>
                <w:color w:val="000000"/>
                <w:spacing w:val="0"/>
                <w:sz w:val="16"/>
                <w:szCs w:val="16"/>
              </w:rPr>
              <w:t>5.2</w:t>
            </w:r>
            <w:r>
              <w:rPr>
                <w:rFonts w:ascii="Verdana" w:eastAsia="Verdana" w:hAnsi="Verdana" w:cs="Verdana"/>
                <w:color w:val="000000"/>
                <w:spacing w:val="0"/>
                <w:sz w:val="16"/>
                <w:szCs w:val="16"/>
              </w:rPr>
              <w:t xml:space="preserve"> A proposta, cujo prazo de validade é fixado pela Administração em 60 (sessenta) dias, deverá ser datada e assinada pelo representante legal da empresa, redigida em linguagem clara, sem rasuras, ressalvas ou entrelinhas, e deverá conter:</w:t>
            </w:r>
          </w:p>
          <w:p>
            <w:pPr>
              <w:bidi w:val="0"/>
              <w:spacing w:before="0" w:after="0"/>
              <w:ind w:firstLine="700"/>
              <w:jc w:val="both"/>
            </w:pPr>
            <w:r>
              <w:rPr>
                <w:rFonts w:ascii="Verdana" w:eastAsia="Verdana" w:hAnsi="Verdana" w:cs="Verdana"/>
                <w:b/>
                <w:bCs/>
                <w:color w:val="000000"/>
                <w:spacing w:val="0"/>
                <w:sz w:val="16"/>
                <w:szCs w:val="16"/>
              </w:rPr>
              <w:t>a) razão social da empresa, telefone e e-mail;</w:t>
            </w:r>
          </w:p>
          <w:p>
            <w:pPr>
              <w:bidi w:val="0"/>
              <w:spacing w:before="0" w:after="0"/>
              <w:ind w:firstLine="700"/>
              <w:jc w:val="both"/>
            </w:pPr>
            <w:r>
              <w:rPr>
                <w:rFonts w:ascii="Verdana" w:eastAsia="Verdana" w:hAnsi="Verdana" w:cs="Verdana"/>
                <w:b/>
                <w:bCs/>
                <w:color w:val="000000"/>
                <w:spacing w:val="0"/>
                <w:sz w:val="16"/>
                <w:szCs w:val="16"/>
              </w:rPr>
              <w:t>b) descrição completa do produto ofertado, marca e demais dados técnicos;</w:t>
            </w:r>
          </w:p>
          <w:p>
            <w:pPr>
              <w:bidi w:val="0"/>
              <w:spacing w:before="0" w:after="0"/>
              <w:ind w:firstLine="700"/>
              <w:jc w:val="both"/>
            </w:pPr>
            <w:r>
              <w:rPr>
                <w:rFonts w:ascii="Verdana" w:eastAsia="Verdana" w:hAnsi="Verdana" w:cs="Verdana"/>
                <w:b/>
                <w:bCs/>
                <w:color w:val="000000"/>
                <w:spacing w:val="0"/>
                <w:sz w:val="16"/>
                <w:szCs w:val="16"/>
              </w:rPr>
              <w:t>c) preço unitário e total,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pPr>
              <w:bidi w:val="0"/>
              <w:spacing w:before="0" w:after="0"/>
              <w:jc w:val="both"/>
            </w:pPr>
            <w:r>
              <w:rPr>
                <w:rFonts w:ascii="Verdana" w:eastAsia="Verdana" w:hAnsi="Verdana" w:cs="Verdana"/>
                <w:b/>
                <w:bCs/>
                <w:color w:val="000000"/>
                <w:spacing w:val="0"/>
                <w:sz w:val="16"/>
                <w:szCs w:val="16"/>
              </w:rPr>
              <w:t>Obs. Serão considerados, para fins de julgamento, os valores constantes no preço até, no máximo, duas casas decimais após a vírgula, sendo desprezadas as demais, se houver, também em eventual contratação.</w:t>
            </w:r>
          </w:p>
          <w:p>
            <w:pPr>
              <w:bidi w:val="0"/>
              <w:spacing w:before="0" w:after="141"/>
              <w:jc w:val="both"/>
            </w:pPr>
            <w:r>
              <w:rPr>
                <w:rFonts w:ascii="Verdana" w:eastAsia="Verdana" w:hAnsi="Verdana" w:cs="Verdana"/>
                <w:b/>
                <w:bCs/>
                <w:color w:val="000000"/>
                <w:spacing w:val="0"/>
                <w:sz w:val="16"/>
                <w:szCs w:val="16"/>
              </w:rPr>
              <w:t>5.3</w:t>
            </w:r>
            <w:r>
              <w:rPr>
                <w:rFonts w:ascii="Verdana" w:eastAsia="Verdana" w:hAnsi="Verdana" w:cs="Verdana"/>
                <w:color w:val="000000"/>
                <w:spacing w:val="0"/>
                <w:sz w:val="16"/>
                <w:szCs w:val="16"/>
              </w:rPr>
              <w:t xml:space="preserve"> Poderão ser admitidos, pela Pregoeira, erros de natureza formais, desde que não comprometam o interesse público e da Administração.</w:t>
            </w:r>
          </w:p>
          <w:p>
            <w:pPr>
              <w:bidi w:val="0"/>
              <w:spacing w:before="0" w:after="0"/>
              <w:jc w:val="both"/>
            </w:pPr>
            <w:r>
              <w:rPr>
                <w:rFonts w:ascii="Verdana" w:eastAsia="Verdana" w:hAnsi="Verdana" w:cs="Verdana"/>
                <w:b/>
                <w:bCs/>
                <w:color w:val="000000"/>
                <w:spacing w:val="0"/>
                <w:sz w:val="16"/>
                <w:szCs w:val="16"/>
                <w:u w:val="single"/>
              </w:rPr>
              <w:t>6. DA OBTENÇÃO E OPERAÇÃO DA PROPOSTA:</w:t>
            </w:r>
          </w:p>
          <w:p>
            <w:pPr>
              <w:bidi w:val="0"/>
              <w:spacing w:before="0" w:after="141"/>
              <w:jc w:val="both"/>
            </w:pPr>
            <w:r>
              <w:rPr>
                <w:rFonts w:ascii="Verdana" w:eastAsia="Verdana" w:hAnsi="Verdana" w:cs="Verdana"/>
                <w:b/>
                <w:bCs/>
                <w:color w:val="000000"/>
                <w:spacing w:val="0"/>
                <w:sz w:val="16"/>
                <w:szCs w:val="16"/>
              </w:rPr>
              <w:t>6.1</w:t>
            </w:r>
            <w:r>
              <w:rPr>
                <w:rFonts w:ascii="Verdana" w:eastAsia="Verdana" w:hAnsi="Verdana" w:cs="Verdana"/>
                <w:color w:val="000000"/>
                <w:spacing w:val="0"/>
                <w:sz w:val="16"/>
                <w:szCs w:val="16"/>
              </w:rPr>
              <w:t xml:space="preserve"> A proposta deverá ser redigida em língua portuguesa, salvo quanto às expressões técnicas de uso correto, sem rasuras, emendas, borrões ou entrelinhas e ser datada e assinada pelo representante da licitante ou pelo procurador.</w:t>
            </w:r>
          </w:p>
          <w:p>
            <w:pPr>
              <w:bidi w:val="0"/>
              <w:spacing w:before="0" w:after="0"/>
              <w:jc w:val="both"/>
            </w:pPr>
            <w:r>
              <w:rPr>
                <w:rFonts w:ascii="Verdana" w:eastAsia="Verdana" w:hAnsi="Verdana" w:cs="Verdana"/>
                <w:b/>
                <w:bCs/>
                <w:color w:val="000000"/>
                <w:spacing w:val="0"/>
                <w:sz w:val="16"/>
                <w:szCs w:val="16"/>
              </w:rPr>
              <w:t>6.2</w:t>
            </w:r>
            <w:r>
              <w:rPr>
                <w:rFonts w:ascii="Verdana" w:eastAsia="Verdana" w:hAnsi="Verdana" w:cs="Verdana"/>
                <w:color w:val="000000"/>
                <w:spacing w:val="0"/>
                <w:sz w:val="16"/>
                <w:szCs w:val="16"/>
              </w:rPr>
              <w:t xml:space="preserve"> A proposta de preço deverá ser cadastrada pelo link:</w:t>
            </w:r>
          </w:p>
          <w:p>
            <w:pPr>
              <w:bidi w:val="0"/>
              <w:spacing w:before="0" w:after="141"/>
              <w:jc w:val="both"/>
            </w:pPr>
            <w:hyperlink r:id="rId4" w:history="1">
              <w:r>
                <w:rPr>
                  <w:rStyle w:val="Hyperlink"/>
                  <w:rFonts w:ascii="Verdana" w:eastAsia="Verdana" w:hAnsi="Verdana" w:cs="Verdana"/>
                  <w:spacing w:val="0"/>
                  <w:sz w:val="16"/>
                  <w:szCs w:val="16"/>
                </w:rPr>
                <w:t>https://camponovo.atende.net/?pg=autoatendimento#!/tipo/servico/valor/9/padrao/1/load/1</w:t>
              </w:r>
            </w:hyperlink>
            <w:r>
              <w:rPr>
                <w:rFonts w:ascii="Verdana" w:eastAsia="Verdana" w:hAnsi="Verdana" w:cs="Verdana"/>
                <w:color w:val="000000"/>
                <w:spacing w:val="0"/>
                <w:sz w:val="16"/>
                <w:szCs w:val="16"/>
              </w:rPr>
              <w:t>. Nesta opção aparecerão todas as Licitações que estão disponíveis para a digitação das propostas. O participante deve localizar a licitação a qual irá participar e na ação ADICIONAR PROPOSTA, registrar a sua proposta de preços, incluindo MARCA e MODELO quando houver. Após a digitação as informações, devem ser confirmadas na ação CONFIRMAR, localizada no canto inferior esquerdo da tela. Esta confirmação irá gerar o documento da proposta, o qual deverá OBRIGATORIAMENTE ser impressa e entregue dentro do envelope da proposta. Este documento impresso se faz necessário, pois na impressão da proposta é gerado o NUMERO DO PROTOCOLO e a SENHA DO PROTOCOLO, dados estes que serão utilizados na abertura da licitação para importação da proposta digitada pelo representante.</w:t>
            </w:r>
          </w:p>
          <w:p>
            <w:pPr>
              <w:bidi w:val="0"/>
              <w:spacing w:before="0" w:after="0"/>
              <w:jc w:val="both"/>
            </w:pPr>
            <w:r>
              <w:rPr>
                <w:rFonts w:ascii="Verdana" w:eastAsia="Verdana" w:hAnsi="Verdana" w:cs="Verdana"/>
                <w:b/>
                <w:bCs/>
                <w:color w:val="000000"/>
                <w:spacing w:val="0"/>
                <w:sz w:val="16"/>
                <w:szCs w:val="16"/>
                <w:u w:val="single"/>
              </w:rPr>
              <w:t>7. CASO A EMPRESA NÃO CONSIGA APRESENTAR A PROPOSTA PELO SISTEMA:</w:t>
            </w:r>
          </w:p>
          <w:p>
            <w:pPr>
              <w:bidi w:val="0"/>
              <w:spacing w:before="0" w:after="0"/>
              <w:jc w:val="both"/>
            </w:pPr>
            <w:r>
              <w:rPr>
                <w:rFonts w:ascii="Verdana" w:eastAsia="Verdana" w:hAnsi="Verdana" w:cs="Verdana"/>
                <w:color w:val="000000"/>
                <w:spacing w:val="0"/>
                <w:sz w:val="16"/>
                <w:szCs w:val="16"/>
              </w:rPr>
              <w:t>A proposta de preço deverá conter no mínimo os seguintes elementos:</w:t>
            </w:r>
          </w:p>
          <w:p>
            <w:pPr>
              <w:bidi w:val="0"/>
              <w:spacing w:before="0" w:after="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Nome do proponente, endereço completo, telefone, e-mail, CNPJ;</w:t>
            </w:r>
          </w:p>
          <w:p>
            <w:pPr>
              <w:bidi w:val="0"/>
              <w:spacing w:before="0" w:after="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Número do ;</w:t>
            </w:r>
          </w:p>
          <w:p>
            <w:pPr>
              <w:bidi w:val="0"/>
              <w:spacing w:before="0" w:after="0"/>
              <w:jc w:val="both"/>
            </w:pPr>
            <w:r>
              <w:rPr>
                <w:rFonts w:ascii="Verdana" w:eastAsia="Verdana" w:hAnsi="Verdana" w:cs="Verdana"/>
                <w:b/>
                <w:bCs/>
                <w:color w:val="000000"/>
                <w:spacing w:val="0"/>
                <w:sz w:val="16"/>
                <w:szCs w:val="16"/>
              </w:rPr>
              <w:t>c)</w:t>
            </w:r>
            <w:r>
              <w:rPr>
                <w:rFonts w:ascii="Verdana" w:eastAsia="Verdana" w:hAnsi="Verdana" w:cs="Verdana"/>
                <w:color w:val="000000"/>
                <w:spacing w:val="0"/>
                <w:sz w:val="16"/>
                <w:szCs w:val="16"/>
              </w:rPr>
              <w:t xml:space="preserve"> Descrição do objeto da licitação em conformidade com as especificações deste Edital, marca do produto cotado, quando houver;</w:t>
            </w:r>
          </w:p>
          <w:p>
            <w:pPr>
              <w:bidi w:val="0"/>
              <w:spacing w:before="0" w:after="0"/>
              <w:jc w:val="both"/>
            </w:pPr>
            <w:r>
              <w:rPr>
                <w:rFonts w:ascii="Verdana" w:eastAsia="Verdana" w:hAnsi="Verdana" w:cs="Verdana"/>
                <w:b/>
                <w:bCs/>
                <w:color w:val="000000"/>
                <w:spacing w:val="0"/>
                <w:sz w:val="16"/>
                <w:szCs w:val="16"/>
              </w:rPr>
              <w:t>d)</w:t>
            </w:r>
            <w:r>
              <w:rPr>
                <w:rFonts w:ascii="Verdana" w:eastAsia="Verdana" w:hAnsi="Verdana" w:cs="Verdana"/>
                <w:color w:val="000000"/>
                <w:spacing w:val="0"/>
                <w:sz w:val="16"/>
                <w:szCs w:val="16"/>
              </w:rPr>
              <w:t xml:space="preserve">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pPr>
              <w:bidi w:val="0"/>
              <w:spacing w:before="0" w:after="141"/>
              <w:jc w:val="both"/>
            </w:pPr>
            <w:r>
              <w:rPr>
                <w:rFonts w:ascii="Verdana" w:eastAsia="Verdana" w:hAnsi="Verdana" w:cs="Verdana"/>
                <w:b/>
                <w:bCs/>
                <w:color w:val="000000"/>
                <w:spacing w:val="0"/>
                <w:sz w:val="16"/>
                <w:szCs w:val="16"/>
              </w:rPr>
              <w:t>e)</w:t>
            </w:r>
            <w:r>
              <w:rPr>
                <w:rFonts w:ascii="Verdana" w:eastAsia="Verdana" w:hAnsi="Verdana" w:cs="Verdana"/>
                <w:color w:val="000000"/>
                <w:spacing w:val="0"/>
                <w:sz w:val="16"/>
                <w:szCs w:val="16"/>
              </w:rPr>
              <w:t xml:space="preserve"> Prazo de validade da proposta: 60 (sessenta) dias;</w:t>
            </w:r>
          </w:p>
          <w:p>
            <w:pPr>
              <w:bidi w:val="0"/>
              <w:spacing w:before="0" w:after="141"/>
              <w:jc w:val="both"/>
            </w:pPr>
            <w:r>
              <w:rPr>
                <w:rFonts w:ascii="Verdana" w:eastAsia="Verdana" w:hAnsi="Verdana" w:cs="Verdana"/>
                <w:b/>
                <w:bCs/>
                <w:color w:val="000000"/>
                <w:spacing w:val="0"/>
                <w:sz w:val="16"/>
                <w:szCs w:val="16"/>
              </w:rPr>
              <w:t>7.1</w:t>
            </w:r>
            <w:r>
              <w:rPr>
                <w:rFonts w:ascii="Verdana" w:eastAsia="Verdana" w:hAnsi="Verdana" w:cs="Verdana"/>
                <w:color w:val="000000"/>
                <w:spacing w:val="0"/>
                <w:sz w:val="16"/>
                <w:szCs w:val="16"/>
              </w:rPr>
              <w:t xml:space="preserve"> Havendo divergência na redação da proposta entre o valor unitário e o valor total, será considerado o valor unitário para fins de proposta de preços bem como, no caso de discordância entre o valor em algarismo e por extenso, prevalecerá este último.</w:t>
            </w:r>
          </w:p>
          <w:p>
            <w:pPr>
              <w:bidi w:val="0"/>
              <w:spacing w:before="0" w:after="141"/>
              <w:jc w:val="both"/>
            </w:pPr>
            <w:r>
              <w:rPr>
                <w:rFonts w:ascii="Verdana" w:eastAsia="Verdana" w:hAnsi="Verdana" w:cs="Verdana"/>
                <w:b/>
                <w:bCs/>
                <w:color w:val="000000"/>
                <w:spacing w:val="0"/>
                <w:sz w:val="16"/>
                <w:szCs w:val="16"/>
              </w:rPr>
              <w:t>7.2</w:t>
            </w:r>
            <w:r>
              <w:rPr>
                <w:rFonts w:ascii="Verdana" w:eastAsia="Verdana" w:hAnsi="Verdana" w:cs="Verdana"/>
                <w:color w:val="000000"/>
                <w:spacing w:val="0"/>
                <w:sz w:val="16"/>
                <w:szCs w:val="16"/>
              </w:rPr>
              <w:t xml:space="preserve"> A apresentação da proposta será considerada como evidência e atestado de que a licitante examinou criteriosamente este edital e todos os seus documentos e anexos, aceitando integralmente os seus termos, e que o objeto cotado apresenta todas as características e especificações mínimas exigidas neste edital.</w:t>
            </w:r>
          </w:p>
          <w:p>
            <w:pPr>
              <w:bidi w:val="0"/>
              <w:spacing w:before="0" w:after="141"/>
              <w:jc w:val="both"/>
            </w:pPr>
            <w:r>
              <w:rPr>
                <w:rFonts w:ascii="Verdana" w:eastAsia="Verdana" w:hAnsi="Verdana" w:cs="Verdana"/>
                <w:b/>
                <w:bCs/>
                <w:color w:val="000000"/>
                <w:spacing w:val="0"/>
                <w:sz w:val="16"/>
                <w:szCs w:val="16"/>
              </w:rPr>
              <w:t>7.3</w:t>
            </w:r>
            <w:r>
              <w:rPr>
                <w:rFonts w:ascii="Verdana" w:eastAsia="Verdana" w:hAnsi="Verdana" w:cs="Verdana"/>
                <w:color w:val="000000"/>
                <w:spacing w:val="0"/>
                <w:sz w:val="16"/>
                <w:szCs w:val="16"/>
              </w:rPr>
              <w:t xml:space="preserve"> A licitante vencedora deverá manter atualizados telefone e endereço, devendo comunicar ao Setor de Compras, qualquer alteração de dados.</w:t>
            </w:r>
          </w:p>
          <w:p>
            <w:pPr>
              <w:bidi w:val="0"/>
              <w:spacing w:before="0" w:after="141"/>
              <w:jc w:val="both"/>
            </w:pPr>
            <w:r>
              <w:rPr>
                <w:rFonts w:ascii="Verdana" w:eastAsia="Verdana" w:hAnsi="Verdana" w:cs="Verdana"/>
                <w:b/>
                <w:bCs/>
                <w:color w:val="000000"/>
                <w:spacing w:val="0"/>
                <w:sz w:val="16"/>
                <w:szCs w:val="16"/>
              </w:rPr>
              <w:t>7.4</w:t>
            </w:r>
            <w:r>
              <w:rPr>
                <w:rFonts w:ascii="Verdana" w:eastAsia="Verdana" w:hAnsi="Verdana" w:cs="Verdana"/>
                <w:color w:val="000000"/>
                <w:spacing w:val="0"/>
                <w:sz w:val="16"/>
                <w:szCs w:val="16"/>
              </w:rPr>
              <w:t xml:space="preserve"> Não serão aceitas propostas enviadas por qualquer outro meio eletrônico de transmissão de dados e/ou apresentados.</w:t>
            </w:r>
          </w:p>
          <w:p>
            <w:pPr>
              <w:bidi w:val="0"/>
              <w:spacing w:before="0" w:after="0"/>
              <w:jc w:val="both"/>
            </w:pPr>
            <w:r>
              <w:rPr>
                <w:rFonts w:ascii="Verdana" w:eastAsia="Verdana" w:hAnsi="Verdana" w:cs="Verdana"/>
                <w:b/>
                <w:bCs/>
                <w:color w:val="000000"/>
                <w:spacing w:val="0"/>
                <w:sz w:val="16"/>
                <w:szCs w:val="16"/>
              </w:rPr>
              <w:t>7.5</w:t>
            </w:r>
            <w:r>
              <w:rPr>
                <w:rFonts w:ascii="Verdana" w:eastAsia="Verdana" w:hAnsi="Verdana" w:cs="Verdana"/>
                <w:color w:val="000000"/>
                <w:spacing w:val="0"/>
                <w:sz w:val="16"/>
                <w:szCs w:val="16"/>
              </w:rPr>
              <w:t xml:space="preserve"> A inobservância das determinações acima implicará na desclassificação da proponente.</w:t>
            </w:r>
          </w:p>
          <w:p>
            <w:pPr>
              <w:bidi w:val="0"/>
              <w:spacing w:before="0" w:after="141"/>
              <w:jc w:val="both"/>
            </w:pPr>
            <w:r>
              <w:rPr>
                <w:rFonts w:ascii="Verdana" w:eastAsia="Verdana" w:hAnsi="Verdana" w:cs="Verdana"/>
                <w:color w:val="000000"/>
                <w:spacing w:val="0"/>
                <w:sz w:val="16"/>
                <w:szCs w:val="16"/>
              </w:rPr>
              <w:t>Obs.: Serão considerados, para fins de julgamento, os valores com duas casas decimais após a vírgula, sendo desprezadas as demais, se houver, também em eventual contratação.</w:t>
            </w:r>
          </w:p>
          <w:p>
            <w:pPr>
              <w:bidi w:val="0"/>
              <w:spacing w:before="0" w:after="141"/>
              <w:jc w:val="both"/>
            </w:pPr>
            <w:r>
              <w:rPr>
                <w:rFonts w:ascii="Verdana" w:eastAsia="Verdana" w:hAnsi="Verdana" w:cs="Verdana"/>
                <w:b/>
                <w:bCs/>
                <w:color w:val="000000"/>
                <w:spacing w:val="0"/>
                <w:sz w:val="16"/>
                <w:szCs w:val="16"/>
              </w:rPr>
              <w:t>Obs.: A PROPOSTA GERADA PELO SISTEMA TEM A FINALIDADE DE AGILIZAR O LANÇAMENTO DAS MESMAS, SENDO FACULTADA À EMPRESA A APRESENTAÇÃO DE PROPOSTA IMPRESSA, A QUAL DEVERÁ ATENDER OS REQUISITOS EXPRESSOS NO ITEM 6.2 HAVENDO DIVERGÊNCIA DE VALORES ENTRE AS PROPOSTAS APRESENTADAS, SERÃO CONSIDERADOS OS VALORES EXPRESSOS NA PROPOSTA EMPRESA.</w:t>
            </w:r>
          </w:p>
          <w:p>
            <w:pPr>
              <w:bidi w:val="0"/>
              <w:spacing w:before="0" w:after="0"/>
              <w:jc w:val="both"/>
            </w:pPr>
            <w:r>
              <w:rPr>
                <w:rFonts w:ascii="Verdana" w:eastAsia="Verdana" w:hAnsi="Verdana" w:cs="Verdana"/>
                <w:b/>
                <w:bCs/>
                <w:color w:val="000000"/>
                <w:spacing w:val="0"/>
                <w:sz w:val="16"/>
                <w:szCs w:val="16"/>
                <w:u w:val="single"/>
              </w:rPr>
              <w:t>8. DO JULGAMENTO DAS PROPOSTAS:</w:t>
            </w:r>
          </w:p>
          <w:p>
            <w:pPr>
              <w:bidi w:val="0"/>
              <w:spacing w:before="0" w:after="0"/>
              <w:jc w:val="both"/>
            </w:pPr>
            <w:r>
              <w:rPr>
                <w:rFonts w:ascii="Verdana" w:eastAsia="Verdana" w:hAnsi="Verdana" w:cs="Verdana"/>
                <w:b/>
                <w:bCs/>
                <w:color w:val="000000"/>
                <w:spacing w:val="0"/>
                <w:sz w:val="16"/>
                <w:szCs w:val="16"/>
              </w:rPr>
              <w:t>8.1</w:t>
            </w:r>
            <w:r>
              <w:rPr>
                <w:rFonts w:ascii="Verdana" w:eastAsia="Verdana" w:hAnsi="Verdana" w:cs="Verdana"/>
                <w:color w:val="000000"/>
                <w:spacing w:val="0"/>
                <w:sz w:val="16"/>
                <w:szCs w:val="16"/>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pPr>
              <w:bidi w:val="0"/>
              <w:spacing w:before="0" w:after="0"/>
              <w:ind w:firstLine="700"/>
              <w:jc w:val="both"/>
            </w:pPr>
            <w:r>
              <w:rPr>
                <w:rFonts w:ascii="Verdana" w:eastAsia="Verdana" w:hAnsi="Verdana" w:cs="Verdana"/>
                <w:b/>
                <w:bCs/>
                <w:color w:val="000000"/>
                <w:spacing w:val="0"/>
                <w:sz w:val="16"/>
                <w:szCs w:val="16"/>
              </w:rPr>
              <w:t>8.1.1</w:t>
            </w:r>
            <w:r>
              <w:rPr>
                <w:rFonts w:ascii="Verdana" w:eastAsia="Verdana" w:hAnsi="Verdana" w:cs="Verdana"/>
                <w:color w:val="000000"/>
                <w:spacing w:val="0"/>
                <w:sz w:val="16"/>
                <w:szCs w:val="16"/>
              </w:rPr>
              <w:t xml:space="preserve"> As Microempresas e Empresas de Pequeno Porte (EPP) terão tratamento diferenciado previsto na Lei Complementar nº 123/2006, artigos 42 a 49;</w:t>
            </w:r>
          </w:p>
          <w:p>
            <w:pPr>
              <w:bidi w:val="0"/>
              <w:spacing w:before="0" w:after="0"/>
              <w:ind w:firstLine="700"/>
              <w:jc w:val="both"/>
            </w:pPr>
            <w:r>
              <w:rPr>
                <w:rFonts w:ascii="Verdana" w:eastAsia="Verdana" w:hAnsi="Verdana" w:cs="Verdana"/>
                <w:b/>
                <w:bCs/>
                <w:color w:val="000000"/>
                <w:spacing w:val="0"/>
                <w:sz w:val="16"/>
                <w:szCs w:val="16"/>
              </w:rPr>
              <w:t>8.1.2</w:t>
            </w:r>
            <w:r>
              <w:rPr>
                <w:rFonts w:ascii="Verdana" w:eastAsia="Verdana" w:hAnsi="Verdana" w:cs="Verdana"/>
                <w:color w:val="000000"/>
                <w:spacing w:val="0"/>
                <w:sz w:val="16"/>
                <w:szCs w:val="16"/>
              </w:rPr>
              <w:t xml:space="preserve"> No caso de empate quando as propostas forem apresentadas por Microempresas ou EPPs, será assegurado como critério de desempate, preferência na contratação para as Microempresas e as EPPs, nas situações em que as propostas apresentadas sejam iguais ou até 5% (cinco por cento) superiores ao melhor preço (art. 44, §2º da LC nº 123/2006).</w:t>
            </w:r>
          </w:p>
          <w:p>
            <w:pPr>
              <w:bidi w:val="0"/>
              <w:spacing w:before="0" w:after="0"/>
              <w:jc w:val="both"/>
            </w:pPr>
            <w:r>
              <w:rPr>
                <w:rFonts w:ascii="Verdana" w:eastAsia="Verdana" w:hAnsi="Verdana" w:cs="Verdana"/>
                <w:b/>
                <w:bCs/>
                <w:color w:val="000000"/>
                <w:spacing w:val="0"/>
                <w:sz w:val="16"/>
                <w:szCs w:val="16"/>
              </w:rPr>
              <w:t>8.2</w:t>
            </w:r>
            <w:r>
              <w:rPr>
                <w:rFonts w:ascii="Verdana" w:eastAsia="Verdana" w:hAnsi="Verdana" w:cs="Verdana"/>
                <w:color w:val="000000"/>
                <w:spacing w:val="0"/>
                <w:sz w:val="16"/>
                <w:szCs w:val="16"/>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pPr>
              <w:bidi w:val="0"/>
              <w:spacing w:before="0" w:after="0"/>
              <w:jc w:val="both"/>
            </w:pPr>
            <w:r>
              <w:rPr>
                <w:rFonts w:ascii="Verdana" w:eastAsia="Verdana" w:hAnsi="Verdana" w:cs="Verdana"/>
                <w:b/>
                <w:bCs/>
                <w:color w:val="000000"/>
                <w:spacing w:val="0"/>
                <w:sz w:val="16"/>
                <w:szCs w:val="16"/>
              </w:rPr>
              <w:t>8.3</w:t>
            </w:r>
            <w:r>
              <w:rPr>
                <w:rFonts w:ascii="Verdana" w:eastAsia="Verdana" w:hAnsi="Verdana" w:cs="Verdana"/>
                <w:color w:val="000000"/>
                <w:spacing w:val="0"/>
                <w:sz w:val="16"/>
                <w:szCs w:val="16"/>
              </w:rPr>
              <w:t xml:space="preserve"> No curso da sessão, as autoras das propostas que atenderem aos requisitos dos itens anteriores serão convidadas, individualmente, a apresentarem novos lances, verbais e sucessivos, em valores distintos e decrescentes, a partir do autor da proposta classificada de maior preço, até a proclamação da vencedora.</w:t>
            </w:r>
          </w:p>
          <w:p>
            <w:pPr>
              <w:bidi w:val="0"/>
              <w:spacing w:before="0" w:after="0"/>
              <w:jc w:val="both"/>
            </w:pPr>
            <w:r>
              <w:rPr>
                <w:rFonts w:ascii="Verdana" w:eastAsia="Verdana" w:hAnsi="Verdana" w:cs="Verdana"/>
                <w:b/>
                <w:bCs/>
                <w:color w:val="000000"/>
                <w:spacing w:val="0"/>
                <w:sz w:val="16"/>
                <w:szCs w:val="16"/>
              </w:rPr>
              <w:t>8.4</w:t>
            </w:r>
            <w:r>
              <w:rPr>
                <w:rFonts w:ascii="Verdana" w:eastAsia="Verdana" w:hAnsi="Verdana" w:cs="Verdana"/>
                <w:color w:val="000000"/>
                <w:spacing w:val="0"/>
                <w:sz w:val="16"/>
                <w:szCs w:val="16"/>
              </w:rPr>
              <w:t xml:space="preserve"> Caso duas ou mais propostas iniciais apresentarem preços iguais, será realizado sorteio para determinação da ordem de oferta dos lances.</w:t>
            </w:r>
          </w:p>
          <w:p>
            <w:pPr>
              <w:bidi w:val="0"/>
              <w:spacing w:before="0" w:after="0"/>
              <w:jc w:val="both"/>
            </w:pPr>
            <w:r>
              <w:rPr>
                <w:rFonts w:ascii="Verdana" w:eastAsia="Verdana" w:hAnsi="Verdana" w:cs="Verdana"/>
                <w:b/>
                <w:bCs/>
                <w:color w:val="000000"/>
                <w:spacing w:val="0"/>
                <w:sz w:val="16"/>
                <w:szCs w:val="16"/>
              </w:rPr>
              <w:t>8.5</w:t>
            </w:r>
            <w:r>
              <w:rPr>
                <w:rFonts w:ascii="Verdana" w:eastAsia="Verdana" w:hAnsi="Verdana" w:cs="Verdana"/>
                <w:color w:val="000000"/>
                <w:spacing w:val="0"/>
                <w:sz w:val="16"/>
                <w:szCs w:val="16"/>
              </w:rPr>
              <w:t xml:space="preserve"> A oferta dos lances deverá ser efetuada no momento em que for conferida a palavra à licitante, obedecida a ordem prevista nos itens 6.3 e 6.4.</w:t>
            </w:r>
          </w:p>
          <w:p>
            <w:pPr>
              <w:bidi w:val="0"/>
              <w:spacing w:before="0" w:after="0"/>
              <w:ind w:firstLine="700"/>
              <w:jc w:val="both"/>
            </w:pPr>
            <w:r>
              <w:rPr>
                <w:rFonts w:ascii="Verdana" w:eastAsia="Verdana" w:hAnsi="Verdana" w:cs="Verdana"/>
                <w:b/>
                <w:bCs/>
                <w:color w:val="000000"/>
                <w:spacing w:val="0"/>
                <w:sz w:val="16"/>
                <w:szCs w:val="16"/>
              </w:rPr>
              <w:t>8.5.1</w:t>
            </w:r>
            <w:r>
              <w:rPr>
                <w:rFonts w:ascii="Verdana" w:eastAsia="Verdana" w:hAnsi="Verdana" w:cs="Verdana"/>
                <w:color w:val="000000"/>
                <w:spacing w:val="0"/>
                <w:sz w:val="16"/>
                <w:szCs w:val="16"/>
              </w:rPr>
              <w:t xml:space="preserve"> Dada a palavra a licitante, esta disporá de até 1 (um) minuto para apresentar nova proposta.</w:t>
            </w:r>
          </w:p>
          <w:p>
            <w:pPr>
              <w:bidi w:val="0"/>
              <w:spacing w:before="0" w:after="0"/>
              <w:ind w:firstLine="700"/>
              <w:jc w:val="both"/>
            </w:pPr>
            <w:r>
              <w:rPr>
                <w:rFonts w:ascii="Verdana" w:eastAsia="Verdana" w:hAnsi="Verdana" w:cs="Verdana"/>
                <w:b/>
                <w:bCs/>
                <w:color w:val="000000"/>
                <w:spacing w:val="0"/>
                <w:sz w:val="16"/>
                <w:szCs w:val="16"/>
              </w:rPr>
              <w:t>8.5.2</w:t>
            </w:r>
            <w:r>
              <w:rPr>
                <w:rFonts w:ascii="Verdana" w:eastAsia="Verdana" w:hAnsi="Verdana" w:cs="Verdana"/>
                <w:color w:val="000000"/>
                <w:spacing w:val="0"/>
                <w:sz w:val="16"/>
                <w:szCs w:val="16"/>
              </w:rPr>
              <w:t xml:space="preserve"> Não será aceito o uso de telefone celular durante a sessão de lances.</w:t>
            </w:r>
          </w:p>
          <w:p>
            <w:pPr>
              <w:bidi w:val="0"/>
              <w:spacing w:before="0" w:after="0"/>
              <w:jc w:val="both"/>
            </w:pPr>
            <w:r>
              <w:rPr>
                <w:rFonts w:ascii="Verdana" w:eastAsia="Verdana" w:hAnsi="Verdana" w:cs="Verdana"/>
                <w:b/>
                <w:bCs/>
                <w:color w:val="000000"/>
                <w:spacing w:val="0"/>
                <w:sz w:val="16"/>
                <w:szCs w:val="16"/>
              </w:rPr>
              <w:t>8.6</w:t>
            </w:r>
            <w:r>
              <w:rPr>
                <w:rFonts w:ascii="Verdana" w:eastAsia="Verdana" w:hAnsi="Verdana" w:cs="Verdana"/>
                <w:color w:val="000000"/>
                <w:spacing w:val="0"/>
                <w:sz w:val="16"/>
                <w:szCs w:val="16"/>
              </w:rPr>
              <w:t xml:space="preserve"> É vedada a oferta de lance com vista ao empate.</w:t>
            </w:r>
          </w:p>
          <w:p>
            <w:pPr>
              <w:bidi w:val="0"/>
              <w:spacing w:before="0" w:after="0"/>
              <w:jc w:val="both"/>
            </w:pPr>
            <w:r>
              <w:rPr>
                <w:rFonts w:ascii="Verdana" w:eastAsia="Verdana" w:hAnsi="Verdana" w:cs="Verdana"/>
                <w:b/>
                <w:bCs/>
                <w:color w:val="000000"/>
                <w:spacing w:val="0"/>
                <w:sz w:val="16"/>
                <w:szCs w:val="16"/>
              </w:rPr>
              <w:t>8.7</w:t>
            </w:r>
            <w:r>
              <w:rPr>
                <w:rFonts w:ascii="Verdana" w:eastAsia="Verdana" w:hAnsi="Verdana" w:cs="Verdana"/>
                <w:color w:val="000000"/>
                <w:spacing w:val="0"/>
                <w:sz w:val="16"/>
                <w:szCs w:val="16"/>
              </w:rPr>
              <w:t xml:space="preserve"> Não poderá haver desistência dos lances já ofertados, sujeitando-se a proponente desistente às penalidades constantes no item 14 deste edital.</w:t>
            </w:r>
          </w:p>
          <w:p>
            <w:pPr>
              <w:bidi w:val="0"/>
              <w:spacing w:before="0" w:after="0"/>
              <w:jc w:val="both"/>
            </w:pPr>
            <w:r>
              <w:rPr>
                <w:rFonts w:ascii="Verdana" w:eastAsia="Verdana" w:hAnsi="Verdana" w:cs="Verdana"/>
                <w:b/>
                <w:bCs/>
                <w:color w:val="000000"/>
                <w:spacing w:val="0"/>
                <w:sz w:val="16"/>
                <w:szCs w:val="16"/>
              </w:rPr>
              <w:t>8.8</w:t>
            </w:r>
            <w:r>
              <w:rPr>
                <w:rFonts w:ascii="Verdana" w:eastAsia="Verdana" w:hAnsi="Verdana" w:cs="Verdana"/>
                <w:color w:val="000000"/>
                <w:spacing w:val="0"/>
                <w:sz w:val="16"/>
                <w:szCs w:val="16"/>
              </w:rPr>
              <w:t xml:space="preserve"> O desinteresse em apresentar lance verbal, quando convocada pela Pregoeira, implicará na exclusão da licitante desta fase do certame e consequentemente, no impedimento de apresentar novos lances, sendo mantido o último preço apresentado pela mesma, que será considerado para efeito de ordenação das propostas.</w:t>
            </w:r>
          </w:p>
          <w:p>
            <w:pPr>
              <w:bidi w:val="0"/>
              <w:spacing w:before="0" w:after="0"/>
              <w:jc w:val="both"/>
            </w:pPr>
            <w:r>
              <w:rPr>
                <w:rFonts w:ascii="Verdana" w:eastAsia="Verdana" w:hAnsi="Verdana" w:cs="Verdana"/>
                <w:b/>
                <w:bCs/>
                <w:color w:val="000000"/>
                <w:spacing w:val="0"/>
                <w:sz w:val="16"/>
                <w:szCs w:val="16"/>
              </w:rPr>
              <w:t>8.9</w:t>
            </w:r>
            <w:r>
              <w:rPr>
                <w:rFonts w:ascii="Verdana" w:eastAsia="Verdana" w:hAnsi="Verdana" w:cs="Verdana"/>
                <w:color w:val="000000"/>
                <w:spacing w:val="0"/>
                <w:sz w:val="16"/>
                <w:szCs w:val="16"/>
              </w:rPr>
              <w:t xml:space="preserve"> Caso não seja ofertado nenhum lance verbal, será verificada a conformidade entre a proposta escrita de menor preço unitário e o valor estimado para a contratação, podendo a Pregoeira negociar diretamente com a proponente para que seja obtido preço melhor.</w:t>
            </w:r>
          </w:p>
          <w:p>
            <w:pPr>
              <w:bidi w:val="0"/>
              <w:spacing w:before="0" w:after="0"/>
              <w:jc w:val="both"/>
            </w:pPr>
            <w:r>
              <w:rPr>
                <w:rFonts w:ascii="Verdana" w:eastAsia="Verdana" w:hAnsi="Verdana" w:cs="Verdana"/>
                <w:b/>
                <w:bCs/>
                <w:color w:val="000000"/>
                <w:spacing w:val="0"/>
                <w:sz w:val="16"/>
                <w:szCs w:val="16"/>
              </w:rPr>
              <w:t>8.10</w:t>
            </w:r>
            <w:r>
              <w:rPr>
                <w:rFonts w:ascii="Verdana" w:eastAsia="Verdana" w:hAnsi="Verdana" w:cs="Verdana"/>
                <w:color w:val="000000"/>
                <w:spacing w:val="0"/>
                <w:sz w:val="16"/>
                <w:szCs w:val="16"/>
              </w:rPr>
              <w:t xml:space="preserve"> O encerramento da etapa competitiva dar-se-á quando, convocadas pela Pregoeira, as licitantes manifestarem seu desinteresse em apresentar novos lances.</w:t>
            </w:r>
          </w:p>
          <w:p>
            <w:pPr>
              <w:bidi w:val="0"/>
              <w:spacing w:before="0" w:after="0"/>
              <w:jc w:val="both"/>
            </w:pPr>
            <w:r>
              <w:rPr>
                <w:rFonts w:ascii="Verdana" w:eastAsia="Verdana" w:hAnsi="Verdana" w:cs="Verdana"/>
                <w:b/>
                <w:bCs/>
                <w:color w:val="000000"/>
                <w:spacing w:val="0"/>
                <w:sz w:val="16"/>
                <w:szCs w:val="16"/>
              </w:rPr>
              <w:t>8.11</w:t>
            </w:r>
            <w:r>
              <w:rPr>
                <w:rFonts w:ascii="Verdana" w:eastAsia="Verdana" w:hAnsi="Verdana" w:cs="Verdana"/>
                <w:color w:val="000000"/>
                <w:spacing w:val="0"/>
                <w:sz w:val="16"/>
                <w:szCs w:val="16"/>
              </w:rPr>
              <w:t xml:space="preserve"> Dos lances ofertados não caberá retratação e os subsequentes deverão ser sempre de menor valor que o anterior.</w:t>
            </w:r>
          </w:p>
          <w:p>
            <w:pPr>
              <w:bidi w:val="0"/>
              <w:spacing w:before="0" w:after="0"/>
              <w:jc w:val="both"/>
            </w:pPr>
            <w:r>
              <w:rPr>
                <w:rFonts w:ascii="Verdana" w:eastAsia="Verdana" w:hAnsi="Verdana" w:cs="Verdana"/>
                <w:b/>
                <w:bCs/>
                <w:color w:val="000000"/>
                <w:spacing w:val="0"/>
                <w:sz w:val="16"/>
                <w:szCs w:val="16"/>
              </w:rPr>
              <w:t>8.12</w:t>
            </w:r>
            <w:r>
              <w:rPr>
                <w:rFonts w:ascii="Verdana" w:eastAsia="Verdana" w:hAnsi="Verdana" w:cs="Verdana"/>
                <w:color w:val="000000"/>
                <w:spacing w:val="0"/>
                <w:sz w:val="16"/>
                <w:szCs w:val="16"/>
              </w:rPr>
              <w:t xml:space="preserve"> Encerrada a etapa competitiva e ordenadas as ofertas, de acordo com o menor preço apresentado, o Pregoeira verificará a aceitabilidade da proposta de valor mais baixo, comparando-a com os valores consignados, decidindo motivadamente a respeito.</w:t>
            </w:r>
          </w:p>
          <w:p>
            <w:pPr>
              <w:bidi w:val="0"/>
              <w:spacing w:before="0" w:after="0"/>
              <w:jc w:val="both"/>
            </w:pPr>
            <w:r>
              <w:rPr>
                <w:rFonts w:ascii="Verdana" w:eastAsia="Verdana" w:hAnsi="Verdana" w:cs="Verdana"/>
                <w:b/>
                <w:bCs/>
                <w:color w:val="000000"/>
                <w:spacing w:val="0"/>
                <w:sz w:val="16"/>
                <w:szCs w:val="16"/>
              </w:rPr>
              <w:t>8.13</w:t>
            </w:r>
            <w:r>
              <w:rPr>
                <w:rFonts w:ascii="Verdana" w:eastAsia="Verdana" w:hAnsi="Verdana" w:cs="Verdana"/>
                <w:color w:val="000000"/>
                <w:spacing w:val="0"/>
                <w:sz w:val="16"/>
                <w:szCs w:val="16"/>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pPr>
              <w:bidi w:val="0"/>
              <w:spacing w:before="0" w:after="0"/>
              <w:jc w:val="both"/>
            </w:pPr>
            <w:r>
              <w:rPr>
                <w:rFonts w:ascii="Verdana" w:eastAsia="Verdana" w:hAnsi="Verdana" w:cs="Verdana"/>
                <w:b/>
                <w:bCs/>
                <w:color w:val="000000"/>
                <w:spacing w:val="0"/>
                <w:sz w:val="16"/>
                <w:szCs w:val="16"/>
              </w:rPr>
              <w:t>8.14</w:t>
            </w:r>
            <w:r>
              <w:rPr>
                <w:rFonts w:ascii="Verdana" w:eastAsia="Verdana" w:hAnsi="Verdana" w:cs="Verdana"/>
                <w:color w:val="000000"/>
                <w:spacing w:val="0"/>
                <w:sz w:val="16"/>
                <w:szCs w:val="16"/>
              </w:rPr>
              <w:t xml:space="preserve"> Serão desclassificadas as propostas que:</w:t>
            </w:r>
          </w:p>
          <w:p>
            <w:pPr>
              <w:bidi w:val="0"/>
              <w:spacing w:before="0" w:after="0"/>
              <w:ind w:firstLine="70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superiores aos valores contidos no Termo de Referência anexo do presente edital (ANEXO I);</w:t>
            </w:r>
          </w:p>
          <w:p>
            <w:pPr>
              <w:bidi w:val="0"/>
              <w:spacing w:before="0" w:after="0"/>
              <w:ind w:firstLine="70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Proposta que apresente preços unitários simbólicos, irrisórios ou de valor zero, ainda que o ato convocatório da licitação não tenha estabelecido limites mínimos;</w:t>
            </w:r>
          </w:p>
          <w:p>
            <w:pPr>
              <w:bidi w:val="0"/>
              <w:spacing w:before="0" w:after="0"/>
              <w:ind w:firstLine="700"/>
              <w:jc w:val="both"/>
            </w:pPr>
            <w:r>
              <w:rPr>
                <w:rFonts w:ascii="Verdana" w:eastAsia="Verdana" w:hAnsi="Verdana" w:cs="Verdana"/>
                <w:b/>
                <w:bCs/>
                <w:color w:val="000000"/>
                <w:spacing w:val="0"/>
                <w:sz w:val="16"/>
                <w:szCs w:val="16"/>
              </w:rPr>
              <w:t>c)</w:t>
            </w:r>
            <w:r>
              <w:rPr>
                <w:rFonts w:ascii="Verdana" w:eastAsia="Verdana" w:hAnsi="Verdana" w:cs="Verdana"/>
                <w:color w:val="000000"/>
                <w:spacing w:val="0"/>
                <w:sz w:val="16"/>
                <w:szCs w:val="16"/>
              </w:rPr>
              <w:t xml:space="preserve"> não atenderem as exigências contidas no objeto desta licitação;</w:t>
            </w:r>
          </w:p>
          <w:p>
            <w:pPr>
              <w:bidi w:val="0"/>
              <w:spacing w:before="0" w:after="0"/>
              <w:ind w:firstLine="700"/>
              <w:jc w:val="both"/>
            </w:pPr>
            <w:r>
              <w:rPr>
                <w:rFonts w:ascii="Verdana" w:eastAsia="Verdana" w:hAnsi="Verdana" w:cs="Verdana"/>
                <w:b/>
                <w:bCs/>
                <w:color w:val="000000"/>
                <w:spacing w:val="0"/>
                <w:sz w:val="16"/>
                <w:szCs w:val="16"/>
              </w:rPr>
              <w:t>d)</w:t>
            </w:r>
            <w:r>
              <w:rPr>
                <w:rFonts w:ascii="Verdana" w:eastAsia="Verdana" w:hAnsi="Verdana" w:cs="Verdana"/>
                <w:color w:val="000000"/>
                <w:spacing w:val="0"/>
                <w:sz w:val="16"/>
                <w:szCs w:val="16"/>
              </w:rPr>
              <w:t xml:space="preserve"> forem omissas em pontos essenciais, de modo a ensejar dúvidas;</w:t>
            </w:r>
          </w:p>
          <w:p>
            <w:pPr>
              <w:bidi w:val="0"/>
              <w:spacing w:before="0" w:after="0"/>
              <w:ind w:firstLine="700"/>
              <w:jc w:val="both"/>
            </w:pPr>
            <w:r>
              <w:rPr>
                <w:rFonts w:ascii="Verdana" w:eastAsia="Verdana" w:hAnsi="Verdana" w:cs="Verdana"/>
                <w:b/>
                <w:bCs/>
                <w:color w:val="000000"/>
                <w:spacing w:val="0"/>
                <w:sz w:val="16"/>
                <w:szCs w:val="16"/>
              </w:rPr>
              <w:t>e)</w:t>
            </w:r>
            <w:r>
              <w:rPr>
                <w:rFonts w:ascii="Verdana" w:eastAsia="Verdana" w:hAnsi="Verdana" w:cs="Verdana"/>
                <w:color w:val="000000"/>
                <w:spacing w:val="0"/>
                <w:sz w:val="16"/>
                <w:szCs w:val="16"/>
              </w:rPr>
              <w:t xml:space="preserve"> afrontem qualquer dispositivo legal vigente, bem como as que não atenderem aos requisitos do item 05;</w:t>
            </w:r>
          </w:p>
          <w:p>
            <w:pPr>
              <w:bidi w:val="0"/>
              <w:spacing w:before="0" w:after="0"/>
              <w:ind w:firstLine="700"/>
              <w:jc w:val="both"/>
            </w:pPr>
            <w:r>
              <w:rPr>
                <w:rFonts w:ascii="Verdana" w:eastAsia="Verdana" w:hAnsi="Verdana" w:cs="Verdana"/>
                <w:b/>
                <w:bCs/>
                <w:color w:val="000000"/>
                <w:spacing w:val="0"/>
                <w:sz w:val="16"/>
                <w:szCs w:val="16"/>
              </w:rPr>
              <w:t>f)</w:t>
            </w:r>
            <w:r>
              <w:rPr>
                <w:rFonts w:ascii="Verdana" w:eastAsia="Verdana" w:hAnsi="Verdana" w:cs="Verdana"/>
                <w:color w:val="000000"/>
                <w:spacing w:val="0"/>
                <w:sz w:val="16"/>
                <w:szCs w:val="16"/>
              </w:rPr>
              <w:t xml:space="preserve"> contiverem opções de preços alternativos ou que apresentarem preços manifestamente inexequíveis presumindo-se como tais as que contiverem preços vis ou excessivos, face aos preços correntes no mercado.</w:t>
            </w:r>
          </w:p>
          <w:p>
            <w:pPr>
              <w:bidi w:val="0"/>
              <w:spacing w:before="0" w:after="0"/>
              <w:jc w:val="both"/>
            </w:pPr>
            <w:r>
              <w:rPr>
                <w:rFonts w:ascii="Verdana" w:eastAsia="Verdana" w:hAnsi="Verdana" w:cs="Verdana"/>
                <w:color w:val="000000"/>
                <w:spacing w:val="0"/>
                <w:sz w:val="16"/>
                <w:szCs w:val="16"/>
              </w:rPr>
              <w:t>Obs. Quaisquer inserções na proposta que visem modificar, extinguir ou criar direitos, sem previsão no edital, serão tidas como inexistentes, aproveitando-se a proposta no que não for conflitante com o instrumento convocatório.</w:t>
            </w:r>
          </w:p>
          <w:p>
            <w:pPr>
              <w:bidi w:val="0"/>
              <w:spacing w:before="0" w:after="0"/>
              <w:jc w:val="both"/>
            </w:pPr>
            <w:r>
              <w:rPr>
                <w:rFonts w:ascii="Verdana" w:eastAsia="Verdana" w:hAnsi="Verdana" w:cs="Verdana"/>
                <w:b/>
                <w:bCs/>
                <w:color w:val="000000"/>
                <w:spacing w:val="0"/>
                <w:sz w:val="16"/>
                <w:szCs w:val="16"/>
              </w:rPr>
              <w:t>8.15</w:t>
            </w:r>
            <w:r>
              <w:rPr>
                <w:rFonts w:ascii="Verdana" w:eastAsia="Verdana" w:hAnsi="Verdana" w:cs="Verdana"/>
                <w:color w:val="000000"/>
                <w:spacing w:val="0"/>
                <w:sz w:val="16"/>
                <w:szCs w:val="16"/>
              </w:rPr>
              <w:t xml:space="preserve"> Encerrada a sessão de lances, será verificada a ocorrência do empate ficto, previsto no art. 44, §2º, da Lei Complementar nº 123/06, sendo assegurada, como critério do desempate, preferência de contratação para as microempresas, as empresas de pequeno porte.</w:t>
            </w:r>
          </w:p>
          <w:p>
            <w:pPr>
              <w:bidi w:val="0"/>
              <w:spacing w:before="0" w:after="0"/>
              <w:ind w:firstLine="700"/>
              <w:jc w:val="both"/>
            </w:pPr>
            <w:r>
              <w:rPr>
                <w:rFonts w:ascii="Verdana" w:eastAsia="Verdana" w:hAnsi="Verdana" w:cs="Verdana"/>
                <w:b/>
                <w:bCs/>
                <w:color w:val="000000"/>
                <w:spacing w:val="0"/>
                <w:sz w:val="16"/>
                <w:szCs w:val="16"/>
              </w:rPr>
              <w:t>8.15.1</w:t>
            </w:r>
            <w:r>
              <w:rPr>
                <w:rFonts w:ascii="Verdana" w:eastAsia="Verdana" w:hAnsi="Verdana" w:cs="Verdana"/>
                <w:color w:val="000000"/>
                <w:spacing w:val="0"/>
                <w:sz w:val="16"/>
                <w:szCs w:val="16"/>
              </w:rPr>
              <w:t xml:space="preserve"> Entende-se como empate ficto aquelas situações em que as propostas apresentadas pela microempresa e pela empresa de pequeno porte sejam superiores em até 5% (cinco por cento) à proposta de menor valor.</w:t>
            </w:r>
          </w:p>
          <w:p>
            <w:pPr>
              <w:bidi w:val="0"/>
              <w:spacing w:before="0" w:after="0"/>
              <w:jc w:val="both"/>
            </w:pPr>
            <w:r>
              <w:rPr>
                <w:rFonts w:ascii="Verdana" w:eastAsia="Verdana" w:hAnsi="Verdana" w:cs="Verdana"/>
                <w:color w:val="000000"/>
                <w:spacing w:val="0"/>
                <w:sz w:val="16"/>
                <w:szCs w:val="16"/>
              </w:rPr>
              <w:t>8.16 Ocorrendo o empate, na forma do item anterior, proceder-se-á da seguinte forma:</w:t>
            </w:r>
          </w:p>
          <w:p>
            <w:pPr>
              <w:bidi w:val="0"/>
              <w:spacing w:before="0" w:after="0"/>
              <w:ind w:firstLine="70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A microempresa, a empresa de pequeno porte detentora da proposta de menor valor será convocada para apresentar, no prazo de 05 (cinco) minutos, nova proposta, inferior àquela considerada, até então, de menor preço, situação em que será declarada vencedora do certame.</w:t>
            </w:r>
          </w:p>
          <w:p>
            <w:pPr>
              <w:bidi w:val="0"/>
              <w:spacing w:before="0" w:after="0"/>
              <w:ind w:firstLine="70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Se a microempresa, a empresa de pequeno porte, convocada na forma da alínea anterior, não apresentar nova proposta, inferior à de menor preço, será facultada, pela ordem de classificação, às demais microempresas, empresas de pequeno porte remanescentes, que se enquadrarem na hipótese do item 8.15.1 deste edital, a apresentação de nova proposta, no prazo previsto na alínea a deste item.</w:t>
            </w:r>
          </w:p>
          <w:p>
            <w:pPr>
              <w:bidi w:val="0"/>
              <w:spacing w:before="0" w:after="0"/>
              <w:jc w:val="both"/>
            </w:pPr>
            <w:r>
              <w:rPr>
                <w:rFonts w:ascii="Verdana" w:eastAsia="Verdana" w:hAnsi="Verdana" w:cs="Verdana"/>
                <w:b/>
                <w:bCs/>
                <w:color w:val="000000"/>
                <w:spacing w:val="0"/>
                <w:sz w:val="16"/>
                <w:szCs w:val="16"/>
              </w:rPr>
              <w:t>8.17</w:t>
            </w:r>
            <w:r>
              <w:rPr>
                <w:rFonts w:ascii="Verdana" w:eastAsia="Verdana" w:hAnsi="Verdana" w:cs="Verdana"/>
                <w:color w:val="000000"/>
                <w:spacing w:val="0"/>
                <w:sz w:val="16"/>
                <w:szCs w:val="16"/>
              </w:rPr>
              <w:t xml:space="preserve"> Não serão consideradas, para julgamento das propostas, vantagens não previstas no edital.</w:t>
            </w:r>
          </w:p>
          <w:p>
            <w:pPr>
              <w:bidi w:val="0"/>
              <w:spacing w:before="0" w:after="0"/>
              <w:jc w:val="both"/>
            </w:pPr>
            <w:r>
              <w:rPr>
                <w:rFonts w:ascii="Verdana" w:eastAsia="Verdana" w:hAnsi="Verdana" w:cs="Verdana"/>
                <w:b/>
                <w:bCs/>
                <w:color w:val="000000"/>
                <w:spacing w:val="0"/>
                <w:sz w:val="16"/>
                <w:szCs w:val="16"/>
              </w:rPr>
              <w:t>8.18</w:t>
            </w:r>
            <w:r>
              <w:rPr>
                <w:rFonts w:ascii="Verdana" w:eastAsia="Verdana" w:hAnsi="Verdana" w:cs="Verdana"/>
                <w:color w:val="000000"/>
                <w:spacing w:val="0"/>
                <w:sz w:val="16"/>
                <w:szCs w:val="16"/>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pPr>
              <w:bidi w:val="0"/>
              <w:spacing w:before="0" w:after="0"/>
              <w:jc w:val="both"/>
            </w:pPr>
            <w:r>
              <w:rPr>
                <w:rFonts w:ascii="Verdana" w:eastAsia="Verdana" w:hAnsi="Verdana" w:cs="Verdana"/>
                <w:b/>
                <w:bCs/>
                <w:color w:val="000000"/>
                <w:spacing w:val="0"/>
                <w:sz w:val="16"/>
                <w:szCs w:val="16"/>
              </w:rPr>
              <w:t>8.19</w:t>
            </w:r>
            <w:r>
              <w:rPr>
                <w:rFonts w:ascii="Verdana" w:eastAsia="Verdana" w:hAnsi="Verdana" w:cs="Verdana"/>
                <w:color w:val="000000"/>
                <w:spacing w:val="0"/>
                <w:sz w:val="16"/>
                <w:szCs w:val="16"/>
              </w:rPr>
              <w:t xml:space="preserve"> A sessão pública não será suspensa, salvo motivo excepcional, devendo todas e quaisquer informações acerca do objeto serem esclarecidas previamente junto ao setor de licitações deste município.</w:t>
            </w:r>
          </w:p>
          <w:p>
            <w:pPr>
              <w:bidi w:val="0"/>
              <w:spacing w:before="0" w:after="141"/>
              <w:jc w:val="both"/>
            </w:pPr>
            <w:r>
              <w:rPr>
                <w:rFonts w:ascii="Verdana" w:eastAsia="Verdana" w:hAnsi="Verdana" w:cs="Verdana"/>
                <w:b/>
                <w:bCs/>
                <w:color w:val="000000"/>
                <w:spacing w:val="0"/>
                <w:sz w:val="16"/>
                <w:szCs w:val="16"/>
              </w:rPr>
              <w:t>8.20</w:t>
            </w:r>
            <w:r>
              <w:rPr>
                <w:rFonts w:ascii="Verdana" w:eastAsia="Verdana" w:hAnsi="Verdana" w:cs="Verdana"/>
                <w:color w:val="000000"/>
                <w:spacing w:val="0"/>
                <w:sz w:val="16"/>
                <w:szCs w:val="16"/>
              </w:rPr>
              <w:t xml:space="preserve"> Caso haja necessidade de adiamento da sessão pública, será marcada nova data para continuação dos trabalhos, devendo ficar intimadas, no mesmo ato, as licitantes presentes.</w:t>
            </w:r>
          </w:p>
          <w:p>
            <w:pPr>
              <w:bidi w:val="0"/>
              <w:spacing w:before="0" w:after="0"/>
              <w:jc w:val="both"/>
            </w:pPr>
            <w:r>
              <w:rPr>
                <w:rFonts w:ascii="Verdana" w:eastAsia="Verdana" w:hAnsi="Verdana" w:cs="Verdana"/>
                <w:b/>
                <w:bCs/>
                <w:color w:val="000000"/>
                <w:spacing w:val="0"/>
                <w:sz w:val="16"/>
                <w:szCs w:val="16"/>
                <w:u w:val="single"/>
              </w:rPr>
              <w:t>9. DA HABILITAÇÃO:</w:t>
            </w:r>
          </w:p>
          <w:p>
            <w:pPr>
              <w:bidi w:val="0"/>
              <w:spacing w:before="0" w:after="141"/>
              <w:jc w:val="both"/>
            </w:pPr>
            <w:r>
              <w:rPr>
                <w:rFonts w:ascii="Verdana" w:eastAsia="Verdana" w:hAnsi="Verdana" w:cs="Verdana"/>
                <w:b/>
                <w:bCs/>
                <w:color w:val="000000"/>
                <w:spacing w:val="0"/>
                <w:sz w:val="16"/>
                <w:szCs w:val="16"/>
              </w:rPr>
              <w:t>9.1</w:t>
            </w:r>
            <w:r>
              <w:rPr>
                <w:rFonts w:ascii="Verdana" w:eastAsia="Verdana" w:hAnsi="Verdana" w:cs="Verdana"/>
                <w:color w:val="000000"/>
                <w:spacing w:val="0"/>
                <w:sz w:val="16"/>
                <w:szCs w:val="16"/>
              </w:rPr>
              <w:t xml:space="preserve"> Os documentos necessários à habilitação deverão ser apresentados em envelope indevassável, lacrado, contendo identificação do proponente na face externa, com as seguintes indicações:</w:t>
            </w:r>
          </w:p>
          <w:p>
            <w:pPr>
              <w:bidi w:val="0"/>
              <w:spacing w:before="0" w:after="0"/>
              <w:ind w:left="700"/>
              <w:jc w:val="both"/>
            </w:pPr>
            <w:r>
              <w:rPr>
                <w:rFonts w:ascii="Verdana" w:eastAsia="Verdana" w:hAnsi="Verdana" w:cs="Verdana"/>
                <w:b/>
                <w:bCs/>
                <w:color w:val="000000"/>
                <w:spacing w:val="0"/>
                <w:sz w:val="16"/>
                <w:szCs w:val="16"/>
              </w:rPr>
              <w:t>ENVELOPE N° 02 - "HABILITAÇÃO"</w:t>
            </w:r>
          </w:p>
          <w:p>
            <w:pPr>
              <w:bidi w:val="0"/>
              <w:spacing w:before="0" w:after="0"/>
              <w:ind w:left="700"/>
              <w:jc w:val="both"/>
            </w:pPr>
            <w:r>
              <w:rPr>
                <w:rFonts w:ascii="Verdana" w:eastAsia="Verdana" w:hAnsi="Verdana" w:cs="Verdana"/>
                <w:b/>
                <w:bCs/>
                <w:color w:val="000000"/>
                <w:spacing w:val="0"/>
                <w:sz w:val="16"/>
                <w:szCs w:val="16"/>
              </w:rPr>
              <w:t>EMPRESA:</w:t>
            </w:r>
          </w:p>
          <w:p>
            <w:pPr>
              <w:bidi w:val="0"/>
              <w:spacing w:before="0" w:after="0"/>
              <w:ind w:left="700"/>
              <w:jc w:val="both"/>
            </w:pPr>
            <w:r>
              <w:rPr>
                <w:rFonts w:ascii="Verdana" w:eastAsia="Verdana" w:hAnsi="Verdana" w:cs="Verdana"/>
                <w:b/>
                <w:bCs/>
                <w:color w:val="000000"/>
                <w:spacing w:val="0"/>
                <w:sz w:val="16"/>
                <w:szCs w:val="16"/>
              </w:rPr>
              <w:t>AO MUNICÍPIO DE CAMPO NOVO</w:t>
            </w:r>
          </w:p>
          <w:p>
            <w:pPr>
              <w:bidi w:val="0"/>
              <w:spacing w:before="0" w:after="0"/>
              <w:ind w:left="700"/>
              <w:jc w:val="both"/>
            </w:pPr>
            <w:r>
              <w:rPr>
                <w:rFonts w:ascii="Verdana" w:eastAsia="Verdana" w:hAnsi="Verdana" w:cs="Verdana"/>
                <w:b/>
                <w:bCs/>
                <w:color w:val="000000"/>
                <w:spacing w:val="0"/>
                <w:sz w:val="16"/>
                <w:szCs w:val="16"/>
              </w:rPr>
              <w:t>PROCESSO ADMINISTRATIVO Nº: null/null</w:t>
            </w:r>
          </w:p>
          <w:p>
            <w:pPr>
              <w:bidi w:val="0"/>
              <w:spacing w:before="0" w:after="141"/>
              <w:ind w:left="700"/>
              <w:jc w:val="both"/>
            </w:pPr>
            <w:r>
              <w:rPr>
                <w:rFonts w:ascii="Verdana" w:eastAsia="Verdana" w:hAnsi="Verdana" w:cs="Verdana"/>
                <w:b/>
                <w:bCs/>
                <w:color w:val="000000"/>
                <w:spacing w:val="0"/>
                <w:sz w:val="16"/>
                <w:szCs w:val="16"/>
              </w:rPr>
              <w:t>N°: null/null</w:t>
            </w:r>
          </w:p>
          <w:p>
            <w:pPr>
              <w:bidi w:val="0"/>
              <w:spacing w:before="0" w:after="0"/>
              <w:jc w:val="both"/>
            </w:pPr>
            <w:r>
              <w:rPr>
                <w:rFonts w:ascii="Verdana" w:eastAsia="Verdana" w:hAnsi="Verdana" w:cs="Verdana"/>
                <w:b/>
                <w:bCs/>
                <w:color w:val="000000"/>
                <w:spacing w:val="0"/>
                <w:sz w:val="16"/>
                <w:szCs w:val="16"/>
              </w:rPr>
              <w:t>9.2</w:t>
            </w:r>
            <w:r>
              <w:rPr>
                <w:rFonts w:ascii="Verdana" w:eastAsia="Verdana" w:hAnsi="Verdana" w:cs="Verdana"/>
                <w:color w:val="000000"/>
                <w:spacing w:val="0"/>
                <w:sz w:val="16"/>
                <w:szCs w:val="16"/>
              </w:rPr>
              <w:t xml:space="preserve"> Para habilitação, neste pregão a licitante deverá apresentar, no envelope n° 02 – os documentos de habilitação em 01 (uma) via original ou autenticada, com exceção daqueles emitidos via internet que terão sua autenticidade confirmada na página do órgão que o expediu.</w:t>
            </w:r>
          </w:p>
          <w:p>
            <w:pPr>
              <w:bidi w:val="0"/>
              <w:spacing w:before="0" w:after="0"/>
              <w:jc w:val="both"/>
            </w:pPr>
            <w:r>
              <w:rPr>
                <w:rFonts w:ascii="Verdana" w:eastAsia="Verdana" w:hAnsi="Verdana" w:cs="Verdana"/>
                <w:b/>
                <w:bCs/>
                <w:color w:val="000000"/>
                <w:spacing w:val="0"/>
                <w:sz w:val="16"/>
                <w:szCs w:val="16"/>
              </w:rPr>
              <w:t>9.3</w:t>
            </w:r>
            <w:r>
              <w:rPr>
                <w:rFonts w:ascii="Verdana" w:eastAsia="Verdana" w:hAnsi="Verdana" w:cs="Verdana"/>
                <w:color w:val="000000"/>
                <w:spacing w:val="0"/>
                <w:sz w:val="16"/>
                <w:szCs w:val="16"/>
              </w:rPr>
              <w:t xml:space="preserve"> O proponente fica obrigado a fornecer à Comissão Julgadora os documentos originais correspondentes em qualquer época que lhes forem solicitados.</w:t>
            </w:r>
          </w:p>
          <w:p>
            <w:pPr>
              <w:bidi w:val="0"/>
              <w:spacing w:before="0" w:after="0"/>
              <w:jc w:val="both"/>
            </w:pPr>
            <w:r>
              <w:rPr>
                <w:rFonts w:ascii="Verdana" w:eastAsia="Verdana" w:hAnsi="Verdana" w:cs="Verdana"/>
                <w:b/>
                <w:bCs/>
                <w:color w:val="000000"/>
                <w:spacing w:val="0"/>
                <w:sz w:val="16"/>
                <w:szCs w:val="16"/>
              </w:rPr>
              <w:t>9.4</w:t>
            </w:r>
            <w:r>
              <w:rPr>
                <w:rFonts w:ascii="Verdana" w:eastAsia="Verdana" w:hAnsi="Verdana" w:cs="Verdana"/>
                <w:color w:val="000000"/>
                <w:spacing w:val="0"/>
                <w:sz w:val="16"/>
                <w:szCs w:val="16"/>
              </w:rPr>
              <w:t xml:space="preserve"> Não serão aceitos protocolos, documentos em cópia não autenticada, nem documentos com prazo de validade vencido.</w:t>
            </w:r>
          </w:p>
          <w:p>
            <w:pPr>
              <w:bidi w:val="0"/>
              <w:spacing w:before="0" w:after="141"/>
              <w:jc w:val="both"/>
            </w:pPr>
            <w:r>
              <w:rPr>
                <w:rFonts w:ascii="Verdana" w:eastAsia="Verdana" w:hAnsi="Verdana" w:cs="Verdana"/>
                <w:b/>
                <w:bCs/>
                <w:color w:val="000000"/>
                <w:spacing w:val="0"/>
                <w:sz w:val="16"/>
                <w:szCs w:val="16"/>
              </w:rPr>
              <w:t>9.5</w:t>
            </w:r>
            <w:r>
              <w:rPr>
                <w:rFonts w:ascii="Verdana" w:eastAsia="Verdana" w:hAnsi="Verdana" w:cs="Verdana"/>
                <w:color w:val="000000"/>
                <w:spacing w:val="0"/>
                <w:sz w:val="16"/>
                <w:szCs w:val="16"/>
              </w:rPr>
              <w:t xml:space="preserve"> Os documentos deverão estar autenticados antes do início da sessão de abertura da licitação, pois, em hipótese alguma serão autenticados durante a realização do certame.</w:t>
            </w:r>
          </w:p>
          <w:p>
            <w:pPr>
              <w:bidi w:val="0"/>
              <w:spacing w:before="0" w:after="0"/>
              <w:jc w:val="both"/>
            </w:pPr>
            <w:r>
              <w:rPr>
                <w:rFonts w:ascii="Verdana" w:eastAsia="Verdana" w:hAnsi="Verdana" w:cs="Verdana"/>
                <w:b/>
                <w:bCs/>
                <w:color w:val="000000"/>
                <w:spacing w:val="0"/>
                <w:sz w:val="16"/>
                <w:szCs w:val="16"/>
                <w:u w:val="single"/>
              </w:rPr>
              <w:t>9.6 A HABILITAÇÃO DA LICITANTE SERÁ VERIFICADA MEDIANTE APRESENTAÇÃO DOS SEGUINTES DOCUMENTOS:</w:t>
            </w:r>
          </w:p>
          <w:p>
            <w:pPr>
              <w:bidi w:val="0"/>
              <w:spacing w:before="0" w:after="0"/>
              <w:ind w:firstLine="700"/>
              <w:jc w:val="both"/>
            </w:pPr>
            <w:r>
              <w:rPr>
                <w:rFonts w:ascii="Verdana" w:eastAsia="Verdana" w:hAnsi="Verdana" w:cs="Verdana"/>
                <w:b/>
                <w:bCs/>
                <w:color w:val="000000"/>
                <w:spacing w:val="0"/>
                <w:sz w:val="16"/>
                <w:szCs w:val="16"/>
              </w:rPr>
              <w:t>9.6.1 HABILITAÇÃO JURÍDICA:</w:t>
            </w:r>
          </w:p>
          <w:p>
            <w:pPr>
              <w:bidi w:val="0"/>
              <w:spacing w:before="0" w:after="0"/>
              <w:ind w:firstLine="70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Registro comercial, no caso de empresa individual; ou</w:t>
            </w:r>
          </w:p>
          <w:p>
            <w:pPr>
              <w:bidi w:val="0"/>
              <w:spacing w:before="0" w:after="0"/>
              <w:ind w:firstLine="70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Ato constitutivo, estatuto ou contrato social em vigor, devidamente registrado, em se tratando de sociedades comerciais, e, no caso de sociedade por ações, acompanhado de documentos de eleição de seus administradores; ou</w:t>
            </w:r>
          </w:p>
          <w:p>
            <w:pPr>
              <w:bidi w:val="0"/>
              <w:spacing w:before="0" w:after="0"/>
              <w:ind w:firstLine="700"/>
              <w:jc w:val="both"/>
            </w:pPr>
            <w:r>
              <w:rPr>
                <w:rFonts w:ascii="Verdana" w:eastAsia="Verdana" w:hAnsi="Verdana" w:cs="Verdana"/>
                <w:b/>
                <w:bCs/>
                <w:color w:val="000000"/>
                <w:spacing w:val="0"/>
                <w:sz w:val="16"/>
                <w:szCs w:val="16"/>
              </w:rPr>
              <w:t>c)</w:t>
            </w:r>
            <w:r>
              <w:rPr>
                <w:rFonts w:ascii="Verdana" w:eastAsia="Verdana" w:hAnsi="Verdana" w:cs="Verdana"/>
                <w:color w:val="000000"/>
                <w:spacing w:val="0"/>
                <w:sz w:val="16"/>
                <w:szCs w:val="16"/>
              </w:rPr>
              <w:t xml:space="preserve"> Inscrição do ato constitutivo no caso de sociedades civis, acompanhada de prova de posse da diretoria em exercício.</w:t>
            </w:r>
          </w:p>
          <w:p>
            <w:pPr>
              <w:bidi w:val="0"/>
              <w:spacing w:before="0" w:after="0"/>
              <w:ind w:firstLine="700"/>
              <w:jc w:val="both"/>
            </w:pPr>
            <w:r>
              <w:rPr>
                <w:rFonts w:ascii="Verdana" w:eastAsia="Verdana" w:hAnsi="Verdana" w:cs="Verdana"/>
                <w:b/>
                <w:bCs/>
                <w:color w:val="000000"/>
                <w:spacing w:val="0"/>
                <w:sz w:val="16"/>
                <w:szCs w:val="16"/>
              </w:rPr>
              <w:t>d)</w:t>
            </w:r>
            <w:r>
              <w:rPr>
                <w:rFonts w:ascii="Verdana" w:eastAsia="Verdana" w:hAnsi="Verdana" w:cs="Verdana"/>
                <w:color w:val="000000"/>
                <w:spacing w:val="0"/>
                <w:sz w:val="16"/>
                <w:szCs w:val="16"/>
              </w:rPr>
              <w:t xml:space="preserve"> decreto de autorização, em se tratando de empresa ou sociedade estrangeira em funcionamento no País, e ato de registro ou autorização para funcionamento expedido pelo órgão competente, quando a atividade assim o exigir.</w:t>
            </w:r>
          </w:p>
          <w:p>
            <w:pPr>
              <w:bidi w:val="0"/>
              <w:spacing w:before="0" w:after="0"/>
              <w:ind w:firstLine="700"/>
              <w:jc w:val="both"/>
            </w:pPr>
            <w:r>
              <w:rPr>
                <w:rFonts w:ascii="Verdana" w:eastAsia="Verdana" w:hAnsi="Verdana" w:cs="Verdana"/>
                <w:b/>
                <w:bCs/>
                <w:color w:val="000000"/>
                <w:spacing w:val="0"/>
                <w:sz w:val="16"/>
                <w:szCs w:val="16"/>
              </w:rPr>
              <w:t>e)</w:t>
            </w:r>
            <w:r>
              <w:rPr>
                <w:rFonts w:ascii="Verdana" w:eastAsia="Verdana" w:hAnsi="Verdana" w:cs="Verdana"/>
                <w:color w:val="000000"/>
                <w:spacing w:val="0"/>
                <w:sz w:val="16"/>
                <w:szCs w:val="16"/>
              </w:rPr>
              <w:t xml:space="preserve"> Declaração da licitante que não emprega menor de 18 (dezoito) anos em trabalho noturno, perigoso ou insalubre e não emprega menor de 16 (dezesseis) anos, conforme o modelo do Decreto Federal n.° 4.358/02;</w:t>
            </w:r>
          </w:p>
          <w:p>
            <w:pPr>
              <w:bidi w:val="0"/>
              <w:spacing w:before="0" w:after="141"/>
              <w:jc w:val="both"/>
            </w:pPr>
            <w:r>
              <w:rPr>
                <w:rFonts w:ascii="Verdana" w:eastAsia="Verdana" w:hAnsi="Verdana" w:cs="Verdana"/>
                <w:b/>
                <w:bCs/>
                <w:color w:val="000000"/>
                <w:spacing w:val="0"/>
                <w:sz w:val="16"/>
                <w:szCs w:val="16"/>
              </w:rPr>
              <w:t>Obs.</w:t>
            </w:r>
            <w:r>
              <w:rPr>
                <w:rFonts w:ascii="Verdana" w:eastAsia="Verdana" w:hAnsi="Verdana" w:cs="Verdana"/>
                <w:color w:val="000000"/>
                <w:spacing w:val="0"/>
                <w:sz w:val="16"/>
                <w:szCs w:val="16"/>
              </w:rPr>
              <w:t xml:space="preserve"> A licitante fica dispensada da apresentação dos documentos enumerados nas letras “a”, “b” ou “c” deste subitem (7.6.1), caso já tenha apresentado quando do credenciamento junto ao Pregoeira.</w:t>
            </w:r>
          </w:p>
          <w:p>
            <w:pPr>
              <w:bidi w:val="0"/>
              <w:spacing w:before="0" w:after="0"/>
              <w:ind w:firstLine="700"/>
              <w:jc w:val="both"/>
            </w:pPr>
            <w:r>
              <w:rPr>
                <w:rFonts w:ascii="Verdana" w:eastAsia="Verdana" w:hAnsi="Verdana" w:cs="Verdana"/>
                <w:b/>
                <w:bCs/>
                <w:color w:val="000000"/>
                <w:spacing w:val="0"/>
                <w:sz w:val="16"/>
                <w:szCs w:val="16"/>
              </w:rPr>
              <w:t>9.6.2 REGULARIDADE FISCAL E TRABALHISTA:</w:t>
            </w:r>
          </w:p>
          <w:p>
            <w:pPr>
              <w:bidi w:val="0"/>
              <w:spacing w:before="0" w:after="0"/>
              <w:ind w:firstLine="70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Prova do Cadastro Geral de Contribuintes do Ministério da Fazenda – </w:t>
            </w:r>
            <w:r>
              <w:rPr>
                <w:rFonts w:ascii="Verdana" w:eastAsia="Verdana" w:hAnsi="Verdana" w:cs="Verdana"/>
                <w:b/>
                <w:bCs/>
                <w:color w:val="000000"/>
                <w:spacing w:val="0"/>
                <w:sz w:val="16"/>
                <w:szCs w:val="16"/>
              </w:rPr>
              <w:t>CNPJ</w:t>
            </w:r>
            <w:r>
              <w:rPr>
                <w:rFonts w:ascii="Verdana" w:eastAsia="Verdana" w:hAnsi="Verdana" w:cs="Verdana"/>
                <w:color w:val="000000"/>
                <w:spacing w:val="0"/>
                <w:sz w:val="16"/>
                <w:szCs w:val="16"/>
              </w:rPr>
              <w:t>, pertinente ao seu ramo de atividade compatível com o objeto;</w:t>
            </w:r>
          </w:p>
          <w:p>
            <w:pPr>
              <w:bidi w:val="0"/>
              <w:spacing w:before="0" w:after="0"/>
              <w:ind w:firstLine="70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Certidão Negativa ou Positiva com Efeitos de Negativa para com a </w:t>
            </w:r>
            <w:r>
              <w:rPr>
                <w:rFonts w:ascii="Verdana" w:eastAsia="Verdana" w:hAnsi="Verdana" w:cs="Verdana"/>
                <w:b/>
                <w:bCs/>
                <w:color w:val="000000"/>
                <w:spacing w:val="0"/>
                <w:sz w:val="16"/>
                <w:szCs w:val="16"/>
              </w:rPr>
              <w:t>Fazenda Federal</w:t>
            </w:r>
            <w:r>
              <w:rPr>
                <w:rFonts w:ascii="Verdana" w:eastAsia="Verdana" w:hAnsi="Verdana" w:cs="Verdana"/>
                <w:color w:val="000000"/>
                <w:spacing w:val="0"/>
                <w:sz w:val="16"/>
                <w:szCs w:val="16"/>
              </w:rPr>
              <w:t>, através de certidão conjunta de Tributos e Contribuições Federais e Dívida Ativa da União;</w:t>
            </w:r>
          </w:p>
          <w:p>
            <w:pPr>
              <w:bidi w:val="0"/>
              <w:spacing w:before="0" w:after="0"/>
              <w:ind w:firstLine="700"/>
              <w:jc w:val="both"/>
            </w:pPr>
            <w:r>
              <w:rPr>
                <w:rFonts w:ascii="Verdana" w:eastAsia="Verdana" w:hAnsi="Verdana" w:cs="Verdana"/>
                <w:b/>
                <w:bCs/>
                <w:color w:val="000000"/>
                <w:spacing w:val="0"/>
                <w:sz w:val="16"/>
                <w:szCs w:val="16"/>
              </w:rPr>
              <w:t>c)</w:t>
            </w:r>
            <w:r>
              <w:rPr>
                <w:rFonts w:ascii="Verdana" w:eastAsia="Verdana" w:hAnsi="Verdana" w:cs="Verdana"/>
                <w:color w:val="000000"/>
                <w:spacing w:val="0"/>
                <w:sz w:val="16"/>
                <w:szCs w:val="16"/>
              </w:rPr>
              <w:t xml:space="preserve"> Certidão Negativa ou Positiva com Efeitos de Negativa para com a </w:t>
            </w:r>
            <w:r>
              <w:rPr>
                <w:rFonts w:ascii="Verdana" w:eastAsia="Verdana" w:hAnsi="Verdana" w:cs="Verdana"/>
                <w:b/>
                <w:bCs/>
                <w:color w:val="000000"/>
                <w:spacing w:val="0"/>
                <w:sz w:val="16"/>
                <w:szCs w:val="16"/>
              </w:rPr>
              <w:t>Fazenda Estadual</w:t>
            </w:r>
            <w:r>
              <w:rPr>
                <w:rFonts w:ascii="Verdana" w:eastAsia="Verdana" w:hAnsi="Verdana" w:cs="Verdana"/>
                <w:color w:val="000000"/>
                <w:spacing w:val="0"/>
                <w:sz w:val="16"/>
                <w:szCs w:val="16"/>
              </w:rPr>
              <w:t>, relativo aos tributos estaduais, do domicílio ou sede da licitante;</w:t>
            </w:r>
          </w:p>
          <w:p>
            <w:pPr>
              <w:bidi w:val="0"/>
              <w:spacing w:before="0" w:after="0"/>
              <w:ind w:firstLine="700"/>
              <w:jc w:val="both"/>
            </w:pPr>
            <w:r>
              <w:rPr>
                <w:rFonts w:ascii="Verdana" w:eastAsia="Verdana" w:hAnsi="Verdana" w:cs="Verdana"/>
                <w:b/>
                <w:bCs/>
                <w:color w:val="000000"/>
                <w:spacing w:val="0"/>
                <w:sz w:val="16"/>
                <w:szCs w:val="16"/>
              </w:rPr>
              <w:t>d)</w:t>
            </w:r>
            <w:r>
              <w:rPr>
                <w:rFonts w:ascii="Verdana" w:eastAsia="Verdana" w:hAnsi="Verdana" w:cs="Verdana"/>
                <w:color w:val="000000"/>
                <w:spacing w:val="0"/>
                <w:sz w:val="16"/>
                <w:szCs w:val="16"/>
              </w:rPr>
              <w:t xml:space="preserve"> Certidão Negativa ou Positiva com Efeitos de Negativa para com a </w:t>
            </w:r>
            <w:r>
              <w:rPr>
                <w:rFonts w:ascii="Verdana" w:eastAsia="Verdana" w:hAnsi="Verdana" w:cs="Verdana"/>
                <w:b/>
                <w:bCs/>
                <w:color w:val="000000"/>
                <w:spacing w:val="0"/>
                <w:sz w:val="16"/>
                <w:szCs w:val="16"/>
              </w:rPr>
              <w:t>Fazenda Municipal</w:t>
            </w:r>
            <w:r>
              <w:rPr>
                <w:rFonts w:ascii="Verdana" w:eastAsia="Verdana" w:hAnsi="Verdana" w:cs="Verdana"/>
                <w:color w:val="000000"/>
                <w:spacing w:val="0"/>
                <w:sz w:val="16"/>
                <w:szCs w:val="16"/>
              </w:rPr>
              <w:t>, relativo aos tributos municipais, do domicílio ou sede da licitante;</w:t>
            </w:r>
          </w:p>
          <w:p>
            <w:pPr>
              <w:bidi w:val="0"/>
              <w:spacing w:before="0" w:after="0"/>
              <w:ind w:firstLine="700"/>
              <w:jc w:val="both"/>
            </w:pPr>
            <w:r>
              <w:rPr>
                <w:rFonts w:ascii="Verdana" w:eastAsia="Verdana" w:hAnsi="Verdana" w:cs="Verdana"/>
                <w:b/>
                <w:bCs/>
                <w:color w:val="000000"/>
                <w:spacing w:val="0"/>
                <w:sz w:val="16"/>
                <w:szCs w:val="16"/>
              </w:rPr>
              <w:t>e)</w:t>
            </w:r>
            <w:r>
              <w:rPr>
                <w:rFonts w:ascii="Verdana" w:eastAsia="Verdana" w:hAnsi="Verdana" w:cs="Verdana"/>
                <w:color w:val="000000"/>
                <w:spacing w:val="0"/>
                <w:sz w:val="16"/>
                <w:szCs w:val="16"/>
              </w:rPr>
              <w:t xml:space="preserve"> Certidão Negativa ou Positiva com Efeitos de Negativa de Débitos, comprovando a regularidade com o Fundo de Garantia por Tempo de Serviço – </w:t>
            </w:r>
            <w:r>
              <w:rPr>
                <w:rFonts w:ascii="Verdana" w:eastAsia="Verdana" w:hAnsi="Verdana" w:cs="Verdana"/>
                <w:b/>
                <w:bCs/>
                <w:color w:val="000000"/>
                <w:spacing w:val="0"/>
                <w:sz w:val="16"/>
                <w:szCs w:val="16"/>
              </w:rPr>
              <w:t>FGTS</w:t>
            </w:r>
            <w:r>
              <w:rPr>
                <w:rFonts w:ascii="Verdana" w:eastAsia="Verdana" w:hAnsi="Verdana" w:cs="Verdana"/>
                <w:color w:val="000000"/>
                <w:spacing w:val="0"/>
                <w:sz w:val="16"/>
                <w:szCs w:val="16"/>
              </w:rPr>
              <w:t>;</w:t>
            </w:r>
          </w:p>
          <w:p>
            <w:pPr>
              <w:bidi w:val="0"/>
              <w:spacing w:before="0" w:after="141"/>
              <w:ind w:firstLine="700"/>
              <w:jc w:val="both"/>
            </w:pPr>
            <w:r>
              <w:rPr>
                <w:rFonts w:ascii="Verdana" w:eastAsia="Verdana" w:hAnsi="Verdana" w:cs="Verdana"/>
                <w:b/>
                <w:bCs/>
                <w:color w:val="000000"/>
                <w:spacing w:val="0"/>
                <w:sz w:val="16"/>
                <w:szCs w:val="16"/>
              </w:rPr>
              <w:t>f)</w:t>
            </w:r>
            <w:r>
              <w:rPr>
                <w:rFonts w:ascii="Verdana" w:eastAsia="Verdana" w:hAnsi="Verdana" w:cs="Verdana"/>
                <w:color w:val="000000"/>
                <w:spacing w:val="0"/>
                <w:sz w:val="16"/>
                <w:szCs w:val="16"/>
              </w:rPr>
              <w:t xml:space="preserve"> Certidão de negativa de débitos trabalhistas - </w:t>
            </w:r>
            <w:r>
              <w:rPr>
                <w:rFonts w:ascii="Verdana" w:eastAsia="Verdana" w:hAnsi="Verdana" w:cs="Verdana"/>
                <w:b/>
                <w:bCs/>
                <w:color w:val="000000"/>
                <w:spacing w:val="0"/>
                <w:sz w:val="16"/>
                <w:szCs w:val="16"/>
              </w:rPr>
              <w:t>CNDT</w:t>
            </w:r>
            <w:r>
              <w:rPr>
                <w:rFonts w:ascii="Verdana" w:eastAsia="Verdana" w:hAnsi="Verdana" w:cs="Verdana"/>
                <w:color w:val="000000"/>
                <w:spacing w:val="0"/>
                <w:sz w:val="16"/>
                <w:szCs w:val="16"/>
              </w:rPr>
              <w:t>.</w:t>
            </w:r>
          </w:p>
          <w:p>
            <w:pPr>
              <w:bidi w:val="0"/>
              <w:spacing w:before="0" w:after="0"/>
              <w:jc w:val="both"/>
            </w:pPr>
            <w:r>
              <w:rPr>
                <w:rFonts w:ascii="Verdana" w:eastAsia="Verdana" w:hAnsi="Verdana" w:cs="Verdana"/>
                <w:b/>
                <w:bCs/>
                <w:color w:val="000000"/>
                <w:spacing w:val="0"/>
                <w:sz w:val="16"/>
                <w:szCs w:val="16"/>
              </w:rPr>
              <w:t>9.7</w:t>
            </w:r>
            <w:r>
              <w:rPr>
                <w:rFonts w:ascii="Verdana" w:eastAsia="Verdana" w:hAnsi="Verdana" w:cs="Verdana"/>
                <w:color w:val="000000"/>
                <w:spacing w:val="0"/>
                <w:sz w:val="16"/>
                <w:szCs w:val="16"/>
              </w:rPr>
              <w:t xml:space="preserve"> As declarações deverão ser devidamente assinadas pelo sócio proprietário, ou seu representante legal, neste caso, desde que seja anexada a procuração com poderes específicos para o fim.</w:t>
            </w:r>
          </w:p>
          <w:p>
            <w:pPr>
              <w:bidi w:val="0"/>
              <w:spacing w:before="0" w:after="0"/>
              <w:jc w:val="both"/>
            </w:pPr>
            <w:r>
              <w:rPr>
                <w:rFonts w:ascii="Verdana" w:eastAsia="Verdana" w:hAnsi="Verdana" w:cs="Verdana"/>
                <w:b/>
                <w:bCs/>
                <w:color w:val="000000"/>
                <w:spacing w:val="0"/>
                <w:sz w:val="16"/>
                <w:szCs w:val="16"/>
              </w:rPr>
              <w:t>9.8</w:t>
            </w:r>
            <w:r>
              <w:rPr>
                <w:rFonts w:ascii="Verdana" w:eastAsia="Verdana" w:hAnsi="Verdana" w:cs="Verdana"/>
                <w:color w:val="000000"/>
                <w:spacing w:val="0"/>
                <w:sz w:val="16"/>
                <w:szCs w:val="16"/>
              </w:rPr>
              <w:t xml:space="preserve"> A documentação que não apresentar prazo de validade considerar-se-á válida pelo prazo de 60 (sessenta) dias a contar da data da expedição.</w:t>
            </w:r>
          </w:p>
          <w:p>
            <w:pPr>
              <w:bidi w:val="0"/>
              <w:spacing w:before="0" w:after="0"/>
              <w:jc w:val="both"/>
            </w:pPr>
            <w:r>
              <w:rPr>
                <w:rFonts w:ascii="Verdana" w:eastAsia="Verdana" w:hAnsi="Verdana" w:cs="Verdana"/>
                <w:b/>
                <w:bCs/>
                <w:color w:val="000000"/>
                <w:spacing w:val="0"/>
                <w:sz w:val="16"/>
                <w:szCs w:val="16"/>
              </w:rPr>
              <w:t>9.9</w:t>
            </w:r>
            <w:r>
              <w:rPr>
                <w:rFonts w:ascii="Verdana" w:eastAsia="Verdana" w:hAnsi="Verdana" w:cs="Verdana"/>
                <w:color w:val="000000"/>
                <w:spacing w:val="0"/>
                <w:sz w:val="16"/>
                <w:szCs w:val="16"/>
              </w:rPr>
              <w:t xml:space="preserve"> O envelope de documentação que não for aberto ficará em poder do Pregoeira pelo prazo de 30 (trinta) dias, a contar da homologação da licitação, devendo a licitante retirá-lo, após aquele período, no prazo de 5 (cinco) dias, sob pena de inutilização do envelope.</w:t>
            </w:r>
          </w:p>
          <w:p>
            <w:pPr>
              <w:bidi w:val="0"/>
              <w:spacing w:before="0" w:after="0"/>
              <w:jc w:val="both"/>
            </w:pPr>
            <w:r>
              <w:rPr>
                <w:rFonts w:ascii="Verdana" w:eastAsia="Verdana" w:hAnsi="Verdana" w:cs="Verdana"/>
                <w:b/>
                <w:bCs/>
                <w:color w:val="000000"/>
                <w:spacing w:val="0"/>
                <w:sz w:val="16"/>
                <w:szCs w:val="16"/>
              </w:rPr>
              <w:t>9.9</w:t>
            </w:r>
            <w:r>
              <w:rPr>
                <w:rFonts w:ascii="Verdana" w:eastAsia="Verdana" w:hAnsi="Verdana" w:cs="Verdana"/>
                <w:color w:val="000000"/>
                <w:spacing w:val="0"/>
                <w:sz w:val="16"/>
                <w:szCs w:val="16"/>
              </w:rPr>
              <w:t xml:space="preserve"> Ao final das(s) sessão(ões), realizada(s) em ato público, será lavrada ata, devidamente assinada por todos os presentes, com a verificação da conformidade de cada proposta ao Edital, julgamento e classificação dos mesmos.</w:t>
            </w:r>
          </w:p>
          <w:p>
            <w:pPr>
              <w:bidi w:val="0"/>
              <w:spacing w:before="0" w:after="0"/>
              <w:jc w:val="both"/>
            </w:pPr>
            <w:r>
              <w:rPr>
                <w:rFonts w:ascii="Verdana" w:eastAsia="Verdana" w:hAnsi="Verdana" w:cs="Verdana"/>
                <w:b/>
                <w:bCs/>
                <w:color w:val="000000"/>
                <w:spacing w:val="0"/>
                <w:sz w:val="16"/>
                <w:szCs w:val="16"/>
              </w:rPr>
              <w:t>9.10</w:t>
            </w:r>
            <w:r>
              <w:rPr>
                <w:rFonts w:ascii="Verdana" w:eastAsia="Verdana" w:hAnsi="Verdana" w:cs="Verdana"/>
                <w:color w:val="000000"/>
                <w:spacing w:val="0"/>
                <w:sz w:val="16"/>
                <w:szCs w:val="16"/>
              </w:rPr>
              <w:t xml:space="preserve"> É facultado ao Município de Campo Novo/RS, em qualquer fase da licitação, promover diligências destinadas a esclarecer ou a complementar a instrução do processo.</w:t>
            </w:r>
          </w:p>
          <w:p>
            <w:pPr>
              <w:bidi w:val="0"/>
              <w:spacing w:before="0" w:after="141"/>
              <w:jc w:val="both"/>
            </w:pPr>
            <w:r>
              <w:rPr>
                <w:rFonts w:ascii="Verdana" w:eastAsia="Verdana" w:hAnsi="Verdana" w:cs="Verdana"/>
                <w:b/>
                <w:bCs/>
                <w:color w:val="000000"/>
                <w:spacing w:val="0"/>
                <w:sz w:val="16"/>
                <w:szCs w:val="16"/>
              </w:rPr>
              <w:t>9.11</w:t>
            </w:r>
            <w:r>
              <w:rPr>
                <w:rFonts w:ascii="Verdana" w:eastAsia="Verdana" w:hAnsi="Verdana" w:cs="Verdana"/>
                <w:color w:val="000000"/>
                <w:spacing w:val="0"/>
                <w:sz w:val="16"/>
                <w:szCs w:val="16"/>
              </w:rPr>
              <w:t xml:space="preserve"> Será julgada inabilitada na fase de HABILITAÇÃO, a proponente que colocar documentos em envelopes trocados.</w:t>
            </w:r>
          </w:p>
          <w:p>
            <w:pPr>
              <w:bidi w:val="0"/>
              <w:spacing w:before="0" w:after="0"/>
              <w:jc w:val="both"/>
            </w:pPr>
            <w:r>
              <w:rPr>
                <w:rFonts w:ascii="Verdana" w:eastAsia="Verdana" w:hAnsi="Verdana" w:cs="Verdana"/>
                <w:b/>
                <w:bCs/>
                <w:color w:val="000000"/>
                <w:spacing w:val="0"/>
                <w:sz w:val="16"/>
                <w:szCs w:val="16"/>
                <w:u w:val="single"/>
              </w:rPr>
              <w:t>10. DA ADJUDICAÇÃO:</w:t>
            </w:r>
          </w:p>
          <w:p>
            <w:pPr>
              <w:bidi w:val="0"/>
              <w:spacing w:before="0" w:after="0"/>
              <w:jc w:val="both"/>
            </w:pPr>
            <w:r>
              <w:rPr>
                <w:rFonts w:ascii="Verdana" w:eastAsia="Verdana" w:hAnsi="Verdana" w:cs="Verdana"/>
                <w:b/>
                <w:bCs/>
                <w:color w:val="000000"/>
                <w:spacing w:val="0"/>
                <w:sz w:val="16"/>
                <w:szCs w:val="16"/>
              </w:rPr>
              <w:t>10.1</w:t>
            </w:r>
            <w:r>
              <w:rPr>
                <w:rFonts w:ascii="Verdana" w:eastAsia="Verdana" w:hAnsi="Verdana" w:cs="Verdana"/>
                <w:color w:val="000000"/>
                <w:spacing w:val="0"/>
                <w:sz w:val="16"/>
                <w:szCs w:val="16"/>
              </w:rPr>
              <w:t xml:space="preserve"> Constatado o atendimento das exigências fixadas no edital, a licitante que ofertar o menor preço por item será declarada vencedora, sendo-lhe adjudicado o objeto do certame.</w:t>
            </w:r>
          </w:p>
          <w:p>
            <w:pPr>
              <w:bidi w:val="0"/>
              <w:spacing w:before="0" w:after="0"/>
              <w:jc w:val="both"/>
            </w:pPr>
            <w:r>
              <w:rPr>
                <w:rFonts w:ascii="Verdana" w:eastAsia="Verdana" w:hAnsi="Verdana" w:cs="Verdana"/>
                <w:b/>
                <w:bCs/>
                <w:color w:val="000000"/>
                <w:spacing w:val="0"/>
                <w:sz w:val="16"/>
                <w:szCs w:val="16"/>
              </w:rPr>
              <w:t>10.2</w:t>
            </w:r>
            <w:r>
              <w:rPr>
                <w:rFonts w:ascii="Verdana" w:eastAsia="Verdana" w:hAnsi="Verdana" w:cs="Verdana"/>
                <w:color w:val="000000"/>
                <w:spacing w:val="0"/>
                <w:sz w:val="16"/>
                <w:szCs w:val="16"/>
              </w:rPr>
              <w:t xml:space="preserve"> Em caso de desatendimento às exigências da habilitação, a Pregoeira inabilitará a licitante e examinará as ofertas subsequentes e qualificação das licitantes, na ordem de classificação e, assim sucessivamente, até a apuração de uma que atenda ao edital, sendo a respectiva licitante declarada vencedora, ocasião em que o Pregoeira poderá negociar diretamente com a proponente para que seja obtido preço melhor.</w:t>
            </w:r>
          </w:p>
          <w:p>
            <w:pPr>
              <w:bidi w:val="0"/>
              <w:spacing w:before="0" w:after="141"/>
              <w:jc w:val="both"/>
            </w:pPr>
            <w:r>
              <w:rPr>
                <w:rFonts w:ascii="Verdana" w:eastAsia="Verdana" w:hAnsi="Verdana" w:cs="Verdana"/>
                <w:b/>
                <w:bCs/>
                <w:color w:val="000000"/>
                <w:spacing w:val="0"/>
                <w:sz w:val="16"/>
                <w:szCs w:val="16"/>
              </w:rPr>
              <w:t>10.3</w:t>
            </w:r>
            <w:r>
              <w:rPr>
                <w:rFonts w:ascii="Verdana" w:eastAsia="Verdana" w:hAnsi="Verdana" w:cs="Verdana"/>
                <w:color w:val="000000"/>
                <w:spacing w:val="0"/>
                <w:sz w:val="16"/>
                <w:szCs w:val="16"/>
              </w:rPr>
              <w:t xml:space="preserve"> Encerrado o julgamento das propostas e da habilitação, a Pregoeira proclamará a vencedora e, a seguir, proporcionará ás licitantes a oportunidade para manifestarem a intenção de interpor recurso, esclarecendo que a falta dessa manifestação expressa, imediata e motivada, importará na decadência do direito de recorrer por parte da licitante.</w:t>
            </w:r>
          </w:p>
          <w:p>
            <w:pPr>
              <w:bidi w:val="0"/>
              <w:spacing w:before="0" w:after="0"/>
              <w:jc w:val="both"/>
            </w:pPr>
            <w:r>
              <w:rPr>
                <w:rFonts w:ascii="Verdana" w:eastAsia="Verdana" w:hAnsi="Verdana" w:cs="Verdana"/>
                <w:b/>
                <w:bCs/>
                <w:color w:val="000000"/>
                <w:spacing w:val="0"/>
                <w:sz w:val="16"/>
                <w:szCs w:val="16"/>
                <w:u w:val="single"/>
              </w:rPr>
              <w:t>11 DO EQUILÍBRIO ECONÔMICO-FINANCEIRO DO CONTRATO:</w:t>
            </w:r>
          </w:p>
          <w:p>
            <w:pPr>
              <w:bidi w:val="0"/>
              <w:spacing w:before="0" w:after="141"/>
              <w:ind w:firstLine="700"/>
              <w:jc w:val="both"/>
            </w:pPr>
            <w:r>
              <w:rPr>
                <w:rFonts w:ascii="Verdana" w:eastAsia="Verdana" w:hAnsi="Verdana" w:cs="Verdana"/>
                <w:color w:val="000000"/>
                <w:spacing w:val="0"/>
                <w:sz w:val="16"/>
                <w:szCs w:val="16"/>
              </w:rPr>
              <w:t>O contrato poderá ser repactuado, nos termos do artigo 125,a Lei n° 14.133/21, visando a sua adequação aos novos preços de mercado, a fim de restabelecer o equilíbrio econômico-financeiro entre os encargos do contrato e a retribuição por parte com a demonstração analítica da variação dos componentes dos custos do contrato, devidamente justificada, de acordo com os novos valores, mediante comprovação documental (nota fiscal) e requerimento expresso da CONTRATADA.</w:t>
            </w:r>
          </w:p>
          <w:p>
            <w:pPr>
              <w:bidi w:val="0"/>
              <w:spacing w:before="0" w:after="0"/>
              <w:jc w:val="both"/>
            </w:pPr>
            <w:r>
              <w:rPr>
                <w:rFonts w:ascii="Verdana" w:eastAsia="Verdana" w:hAnsi="Verdana" w:cs="Verdana"/>
                <w:b/>
                <w:bCs/>
                <w:color w:val="000000"/>
                <w:spacing w:val="0"/>
                <w:sz w:val="16"/>
                <w:szCs w:val="16"/>
                <w:u w:val="single"/>
              </w:rPr>
              <w:t>12. DA IMPUGNAÇÃO AO ATO CONVOCATÓRIO:</w:t>
            </w:r>
          </w:p>
          <w:p>
            <w:pPr>
              <w:bidi w:val="0"/>
              <w:spacing w:before="0" w:after="0"/>
              <w:jc w:val="both"/>
            </w:pPr>
            <w:r>
              <w:rPr>
                <w:rFonts w:ascii="Verdana" w:eastAsia="Verdana" w:hAnsi="Verdana" w:cs="Verdana"/>
                <w:b/>
                <w:bCs/>
                <w:color w:val="000000"/>
                <w:spacing w:val="0"/>
                <w:sz w:val="16"/>
                <w:szCs w:val="16"/>
              </w:rPr>
              <w:t>12.1</w:t>
            </w:r>
            <w:r>
              <w:rPr>
                <w:rFonts w:ascii="Verdana" w:eastAsia="Verdana" w:hAnsi="Verdana" w:cs="Verdana"/>
                <w:color w:val="000000"/>
                <w:spacing w:val="0"/>
                <w:sz w:val="16"/>
                <w:szCs w:val="16"/>
              </w:rPr>
              <w:t xml:space="preserve"> As impugnações ao ato convocatório do pregão serão recebidas até 02 (dois) dias úteis antes da data fixada para o recebimento das propostas, exclusivamente por escrito e entregue no Protocolo Geral, localizado no Centro Administrativo Municipal, na Av. Bento Gonçalves, nº 555, Centro, Campo Novo/RS.</w:t>
            </w:r>
          </w:p>
          <w:p>
            <w:pPr>
              <w:bidi w:val="0"/>
              <w:spacing w:before="0" w:after="0"/>
              <w:ind w:firstLine="700"/>
              <w:jc w:val="both"/>
            </w:pPr>
            <w:r>
              <w:rPr>
                <w:rFonts w:ascii="Verdana" w:eastAsia="Verdana" w:hAnsi="Verdana" w:cs="Verdana"/>
                <w:b/>
                <w:bCs/>
                <w:color w:val="000000"/>
                <w:spacing w:val="0"/>
                <w:sz w:val="16"/>
                <w:szCs w:val="16"/>
              </w:rPr>
              <w:t>12.1.1</w:t>
            </w:r>
            <w:r>
              <w:rPr>
                <w:rFonts w:ascii="Verdana" w:eastAsia="Verdana" w:hAnsi="Verdana" w:cs="Verdana"/>
                <w:color w:val="000000"/>
                <w:spacing w:val="0"/>
                <w:sz w:val="16"/>
                <w:szCs w:val="16"/>
              </w:rPr>
              <w:t xml:space="preserve"> Caberá ao Prefeito, ou ao Secretário Municipal designado, apreciar e decidir as impugnações ao Edital no prazo de 48 (quarenta e oito) horas;</w:t>
            </w:r>
          </w:p>
          <w:p>
            <w:pPr>
              <w:bidi w:val="0"/>
              <w:spacing w:before="0" w:after="141"/>
              <w:ind w:firstLine="700"/>
              <w:jc w:val="both"/>
            </w:pPr>
            <w:r>
              <w:rPr>
                <w:rFonts w:ascii="Verdana" w:eastAsia="Verdana" w:hAnsi="Verdana" w:cs="Verdana"/>
                <w:b/>
                <w:bCs/>
                <w:color w:val="000000"/>
                <w:spacing w:val="0"/>
                <w:sz w:val="16"/>
                <w:szCs w:val="16"/>
              </w:rPr>
              <w:t>12.1.2</w:t>
            </w:r>
            <w:r>
              <w:rPr>
                <w:rFonts w:ascii="Verdana" w:eastAsia="Verdana" w:hAnsi="Verdana" w:cs="Verdana"/>
                <w:color w:val="000000"/>
                <w:spacing w:val="0"/>
                <w:sz w:val="16"/>
                <w:szCs w:val="16"/>
              </w:rPr>
              <w:t xml:space="preserve"> Deferida a impugnação contra o ato convocatório, será designada nova data para realização do certame.</w:t>
            </w:r>
          </w:p>
          <w:p>
            <w:pPr>
              <w:bidi w:val="0"/>
              <w:spacing w:before="0" w:after="0"/>
              <w:jc w:val="both"/>
            </w:pPr>
            <w:r>
              <w:rPr>
                <w:rFonts w:ascii="Verdana" w:eastAsia="Verdana" w:hAnsi="Verdana" w:cs="Verdana"/>
                <w:b/>
                <w:bCs/>
                <w:color w:val="000000"/>
                <w:spacing w:val="0"/>
                <w:sz w:val="16"/>
                <w:szCs w:val="16"/>
                <w:u w:val="single"/>
              </w:rPr>
              <w:t>13. DOS RECURSOS ADMINISTRATIVOS:</w:t>
            </w:r>
          </w:p>
          <w:p>
            <w:pPr>
              <w:bidi w:val="0"/>
              <w:spacing w:before="0" w:after="0"/>
              <w:jc w:val="both"/>
            </w:pPr>
            <w:r>
              <w:rPr>
                <w:rFonts w:ascii="Verdana" w:eastAsia="Verdana" w:hAnsi="Verdana" w:cs="Verdana"/>
                <w:b/>
                <w:bCs/>
                <w:color w:val="000000"/>
                <w:spacing w:val="0"/>
                <w:sz w:val="16"/>
                <w:szCs w:val="16"/>
              </w:rPr>
              <w:t>13.1</w:t>
            </w:r>
            <w:r>
              <w:rPr>
                <w:rFonts w:ascii="Verdana" w:eastAsia="Verdana" w:hAnsi="Verdana" w:cs="Verdana"/>
                <w:color w:val="000000"/>
                <w:spacing w:val="0"/>
                <w:sz w:val="16"/>
                <w:szCs w:val="16"/>
              </w:rPr>
              <w:t xml:space="preserve"> Tendo a licitante manifestado motivadamente, na sessão pública do pregão, a intenção de recorrer, esta terá o prazo de 03 (três) dias corridos para apresentação das razões de recurso.</w:t>
            </w:r>
          </w:p>
          <w:p>
            <w:pPr>
              <w:bidi w:val="0"/>
              <w:spacing w:before="0" w:after="0"/>
              <w:jc w:val="both"/>
            </w:pPr>
            <w:r>
              <w:rPr>
                <w:rFonts w:ascii="Verdana" w:eastAsia="Verdana" w:hAnsi="Verdana" w:cs="Verdana"/>
                <w:b/>
                <w:bCs/>
                <w:color w:val="000000"/>
                <w:spacing w:val="0"/>
                <w:sz w:val="16"/>
                <w:szCs w:val="16"/>
              </w:rPr>
              <w:t>13.2</w:t>
            </w:r>
            <w:r>
              <w:rPr>
                <w:rFonts w:ascii="Verdana" w:eastAsia="Verdana" w:hAnsi="Verdana" w:cs="Verdana"/>
                <w:color w:val="000000"/>
                <w:spacing w:val="0"/>
                <w:sz w:val="16"/>
                <w:szCs w:val="16"/>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pPr>
              <w:bidi w:val="0"/>
              <w:spacing w:before="0" w:after="0"/>
              <w:jc w:val="both"/>
            </w:pPr>
            <w:r>
              <w:rPr>
                <w:rFonts w:ascii="Verdana" w:eastAsia="Verdana" w:hAnsi="Verdana" w:cs="Verdana"/>
                <w:b/>
                <w:bCs/>
                <w:color w:val="000000"/>
                <w:spacing w:val="0"/>
                <w:sz w:val="16"/>
                <w:szCs w:val="16"/>
              </w:rPr>
              <w:t>13.3</w:t>
            </w:r>
            <w:r>
              <w:rPr>
                <w:rFonts w:ascii="Verdana" w:eastAsia="Verdana" w:hAnsi="Verdana" w:cs="Verdana"/>
                <w:color w:val="000000"/>
                <w:spacing w:val="0"/>
                <w:sz w:val="16"/>
                <w:szCs w:val="16"/>
              </w:rPr>
              <w:t xml:space="preserve"> A manifestação expressa da intenção de recurso e da motivação, na sessão pública do pregão, são pressupostos de admissibilidade dos recursos.</w:t>
            </w:r>
          </w:p>
          <w:p>
            <w:pPr>
              <w:bidi w:val="0"/>
              <w:spacing w:before="0" w:after="141"/>
              <w:jc w:val="both"/>
            </w:pPr>
            <w:r>
              <w:rPr>
                <w:rFonts w:ascii="Verdana" w:eastAsia="Verdana" w:hAnsi="Verdana" w:cs="Verdana"/>
                <w:b/>
                <w:bCs/>
                <w:color w:val="000000"/>
                <w:spacing w:val="0"/>
                <w:sz w:val="16"/>
                <w:szCs w:val="16"/>
              </w:rPr>
              <w:t>13.4</w:t>
            </w:r>
            <w:r>
              <w:rPr>
                <w:rFonts w:ascii="Verdana" w:eastAsia="Verdana" w:hAnsi="Verdana" w:cs="Verdana"/>
                <w:color w:val="000000"/>
                <w:spacing w:val="0"/>
                <w:sz w:val="16"/>
                <w:szCs w:val="16"/>
              </w:rPr>
              <w:t xml:space="preserve"> O recurso será dirigido à autoridade superior, por intermédio daquela que praticou o ato recorrido, a qual poderá no prazo de 05 (cinco) dias úteis, reconsiderar sua decisão ou fazê-lo subir, acompanhado de suas razões, devendo, neste caso, a decisão ser proferida dentro do prazo de 05 (cinco) dias úteis, contado da subida do recurso, sob pena de responsabilidade daquele que houver dado causa à demora.</w:t>
            </w:r>
          </w:p>
          <w:p>
            <w:pPr>
              <w:bidi w:val="0"/>
              <w:spacing w:before="0" w:after="0"/>
              <w:jc w:val="both"/>
            </w:pPr>
            <w:r>
              <w:rPr>
                <w:rFonts w:ascii="Verdana" w:eastAsia="Verdana" w:hAnsi="Verdana" w:cs="Verdana"/>
                <w:b/>
                <w:bCs/>
                <w:color w:val="000000"/>
                <w:spacing w:val="0"/>
                <w:sz w:val="16"/>
                <w:szCs w:val="16"/>
                <w:u w:val="single"/>
              </w:rPr>
              <w:t>14 DA FORMALIZAÇÃO DA ATA DE REGISTRO DE PREÇOS:</w:t>
            </w:r>
          </w:p>
          <w:p>
            <w:pPr>
              <w:bidi w:val="0"/>
              <w:spacing w:before="0" w:after="141"/>
              <w:jc w:val="both"/>
            </w:pPr>
            <w:r>
              <w:rPr>
                <w:rFonts w:ascii="Verdana" w:eastAsia="Verdana" w:hAnsi="Verdana" w:cs="Verdana"/>
                <w:b/>
                <w:bCs/>
                <w:color w:val="000000"/>
                <w:spacing w:val="0"/>
                <w:sz w:val="16"/>
                <w:szCs w:val="16"/>
              </w:rPr>
              <w:t>14.1</w:t>
            </w:r>
            <w:r>
              <w:rPr>
                <w:rFonts w:ascii="Verdana" w:eastAsia="Verdana" w:hAnsi="Verdana" w:cs="Verdana"/>
                <w:color w:val="000000"/>
                <w:spacing w:val="0"/>
                <w:sz w:val="16"/>
                <w:szCs w:val="16"/>
              </w:rPr>
              <w:t xml:space="preserve"> O Registro de Preços será formalizado mediante Ata de Registro de Preços, conforme modelo do </w:t>
            </w:r>
            <w:r>
              <w:rPr>
                <w:rFonts w:ascii="Verdana" w:eastAsia="Verdana" w:hAnsi="Verdana" w:cs="Verdana"/>
                <w:b/>
                <w:bCs/>
                <w:color w:val="000000"/>
                <w:spacing w:val="0"/>
                <w:sz w:val="16"/>
                <w:szCs w:val="16"/>
              </w:rPr>
              <w:t>ANEXO II</w:t>
            </w:r>
            <w:r>
              <w:rPr>
                <w:rFonts w:ascii="Verdana" w:eastAsia="Verdana" w:hAnsi="Verdana" w:cs="Verdana"/>
                <w:color w:val="000000"/>
                <w:spacing w:val="0"/>
                <w:sz w:val="16"/>
                <w:szCs w:val="16"/>
              </w:rPr>
              <w:t xml:space="preserve"> deste Edital, que será formalizada no prazo </w:t>
            </w:r>
            <w:r>
              <w:rPr>
                <w:rFonts w:ascii="Verdana" w:eastAsia="Verdana" w:hAnsi="Verdana" w:cs="Verdana"/>
                <w:b/>
                <w:bCs/>
                <w:color w:val="000000"/>
                <w:spacing w:val="0"/>
                <w:sz w:val="16"/>
                <w:szCs w:val="16"/>
              </w:rPr>
              <w:t>de até 03 (três) dias úteis</w:t>
            </w:r>
            <w:r>
              <w:rPr>
                <w:rFonts w:ascii="Verdana" w:eastAsia="Verdana" w:hAnsi="Verdana" w:cs="Verdana"/>
                <w:color w:val="000000"/>
                <w:spacing w:val="0"/>
                <w:sz w:val="16"/>
                <w:szCs w:val="16"/>
              </w:rPr>
              <w:t xml:space="preserve"> após a homologação do presente certame.</w:t>
            </w:r>
          </w:p>
          <w:p>
            <w:pPr>
              <w:bidi w:val="0"/>
              <w:spacing w:before="0" w:after="141"/>
              <w:jc w:val="both"/>
            </w:pPr>
            <w:r>
              <w:rPr>
                <w:rFonts w:ascii="Verdana" w:eastAsia="Verdana" w:hAnsi="Verdana" w:cs="Verdana"/>
                <w:b/>
                <w:bCs/>
                <w:color w:val="000000"/>
                <w:spacing w:val="0"/>
                <w:sz w:val="16"/>
                <w:szCs w:val="16"/>
              </w:rPr>
              <w:t>14.2</w:t>
            </w:r>
            <w:r>
              <w:rPr>
                <w:rFonts w:ascii="Verdana" w:eastAsia="Verdana" w:hAnsi="Verdana" w:cs="Verdana"/>
                <w:color w:val="000000"/>
                <w:spacing w:val="0"/>
                <w:sz w:val="16"/>
                <w:szCs w:val="16"/>
              </w:rPr>
              <w:t xml:space="preserve"> A ata terá efeito de compromisso de fornecimento nas condições e prazos estipulados no Edital.</w:t>
            </w:r>
          </w:p>
          <w:p>
            <w:pPr>
              <w:bidi w:val="0"/>
              <w:spacing w:before="0" w:after="141"/>
              <w:jc w:val="both"/>
            </w:pPr>
            <w:r>
              <w:rPr>
                <w:rFonts w:ascii="Verdana" w:eastAsia="Verdana" w:hAnsi="Verdana" w:cs="Verdana"/>
                <w:b/>
                <w:bCs/>
                <w:color w:val="000000"/>
                <w:spacing w:val="0"/>
                <w:sz w:val="16"/>
                <w:szCs w:val="16"/>
              </w:rPr>
              <w:t>14.3</w:t>
            </w:r>
            <w:r>
              <w:rPr>
                <w:rFonts w:ascii="Verdana" w:eastAsia="Verdana" w:hAnsi="Verdana" w:cs="Verdana"/>
                <w:color w:val="000000"/>
                <w:spacing w:val="0"/>
                <w:sz w:val="16"/>
                <w:szCs w:val="16"/>
              </w:rPr>
              <w:t xml:space="preserve"> O Município publicará a Ata de Registro de Preços no site oficial do Município </w:t>
            </w:r>
            <w:hyperlink r:id="rId5" w:history="1">
              <w:r>
                <w:rPr>
                  <w:rStyle w:val="Hyperlink"/>
                  <w:rFonts w:ascii="Verdana" w:eastAsia="Verdana" w:hAnsi="Verdana" w:cs="Verdana"/>
                  <w:spacing w:val="0"/>
                  <w:sz w:val="16"/>
                  <w:szCs w:val="16"/>
                </w:rPr>
                <w:t>https://camponovo.atende.net/</w:t>
              </w:r>
            </w:hyperlink>
            <w:r>
              <w:rPr>
                <w:rFonts w:ascii="Verdana" w:eastAsia="Verdana" w:hAnsi="Verdana" w:cs="Verdana"/>
                <w:color w:val="000000"/>
                <w:spacing w:val="0"/>
                <w:sz w:val="16"/>
                <w:szCs w:val="16"/>
              </w:rPr>
              <w:t xml:space="preserve"> e no Pelourinho Municipal, localizado no hall de entrada do Centro Administrativo Municipal, sito na AV. Bento Gonçalves, nº 555, Bairro Centro.</w:t>
            </w:r>
          </w:p>
          <w:p>
            <w:pPr>
              <w:bidi w:val="0"/>
              <w:spacing w:before="0" w:after="141"/>
              <w:jc w:val="both"/>
            </w:pPr>
            <w:r>
              <w:rPr>
                <w:rFonts w:ascii="Verdana" w:eastAsia="Verdana" w:hAnsi="Verdana" w:cs="Verdana"/>
                <w:b/>
                <w:bCs/>
                <w:color w:val="000000"/>
                <w:spacing w:val="0"/>
                <w:sz w:val="16"/>
                <w:szCs w:val="16"/>
              </w:rPr>
              <w:t>14.4</w:t>
            </w:r>
            <w:r>
              <w:rPr>
                <w:rFonts w:ascii="Verdana" w:eastAsia="Verdana" w:hAnsi="Verdana" w:cs="Verdana"/>
                <w:color w:val="000000"/>
                <w:spacing w:val="0"/>
                <w:sz w:val="16"/>
                <w:szCs w:val="16"/>
              </w:rPr>
              <w:t xml:space="preserve"> A Ata de Registro de Preços terá validade de no máximo de 12 (doze) meses, contados da data de sua publicação no site oficial do Município </w:t>
            </w:r>
            <w:hyperlink r:id="rId5" w:history="1">
              <w:r>
                <w:rPr>
                  <w:rStyle w:val="Hyperlink"/>
                  <w:rFonts w:ascii="Verdana" w:eastAsia="Verdana" w:hAnsi="Verdana" w:cs="Verdana"/>
                  <w:spacing w:val="0"/>
                  <w:sz w:val="16"/>
                  <w:szCs w:val="16"/>
                </w:rPr>
                <w:t>https://camponovo.atende.net/</w:t>
              </w:r>
            </w:hyperlink>
            <w:r>
              <w:rPr>
                <w:rFonts w:ascii="Verdana" w:eastAsia="Verdana" w:hAnsi="Verdana" w:cs="Verdana"/>
                <w:color w:val="000000"/>
                <w:spacing w:val="0"/>
                <w:sz w:val="16"/>
                <w:szCs w:val="16"/>
              </w:rPr>
              <w:t>.</w:t>
            </w:r>
          </w:p>
          <w:p>
            <w:pPr>
              <w:bidi w:val="0"/>
              <w:spacing w:before="0" w:after="141"/>
              <w:jc w:val="both"/>
            </w:pPr>
            <w:r>
              <w:rPr>
                <w:rFonts w:ascii="Verdana" w:eastAsia="Verdana" w:hAnsi="Verdana" w:cs="Verdana"/>
                <w:b/>
                <w:bCs/>
                <w:color w:val="000000"/>
                <w:spacing w:val="0"/>
                <w:sz w:val="16"/>
                <w:szCs w:val="16"/>
              </w:rPr>
              <w:t>14.5</w:t>
            </w:r>
            <w:r>
              <w:rPr>
                <w:rFonts w:ascii="Verdana" w:eastAsia="Verdana" w:hAnsi="Verdana" w:cs="Verdana"/>
                <w:color w:val="000000"/>
                <w:spacing w:val="0"/>
                <w:sz w:val="16"/>
                <w:szCs w:val="16"/>
              </w:rPr>
              <w:t xml:space="preserve"> A existência de preços registrados não assegura ao licitante o direito ao fornecimento do objeto, podendo a Administração, se assim entender, promover nova licitação específica para aquisição dos mesmos, sendo assegurada, entretanto, ao fornecedor com preço registrado o fornecimento em igualdade de condições.</w:t>
            </w:r>
          </w:p>
          <w:p>
            <w:pPr>
              <w:bidi w:val="0"/>
              <w:spacing w:before="0" w:after="0"/>
              <w:jc w:val="both"/>
            </w:pPr>
            <w:r>
              <w:rPr>
                <w:rFonts w:ascii="Verdana" w:eastAsia="Verdana" w:hAnsi="Verdana" w:cs="Verdana"/>
                <w:b/>
                <w:bCs/>
                <w:color w:val="000000"/>
                <w:spacing w:val="0"/>
                <w:sz w:val="16"/>
                <w:szCs w:val="16"/>
                <w:u w:val="single"/>
              </w:rPr>
              <w:t>15 DAS CONDIÇÕES DE FORNECIMENTO:</w:t>
            </w:r>
          </w:p>
          <w:p>
            <w:pPr>
              <w:bidi w:val="0"/>
              <w:spacing w:before="0" w:after="141"/>
              <w:jc w:val="both"/>
            </w:pPr>
            <w:r>
              <w:rPr>
                <w:rFonts w:ascii="Verdana" w:eastAsia="Verdana" w:hAnsi="Verdana" w:cs="Verdana"/>
                <w:b/>
                <w:bCs/>
                <w:color w:val="000000"/>
                <w:spacing w:val="0"/>
                <w:sz w:val="16"/>
                <w:szCs w:val="16"/>
              </w:rPr>
              <w:t>15.1</w:t>
            </w:r>
            <w:r>
              <w:rPr>
                <w:rFonts w:ascii="Verdana" w:eastAsia="Verdana" w:hAnsi="Verdana" w:cs="Verdana"/>
                <w:color w:val="000000"/>
                <w:spacing w:val="0"/>
                <w:sz w:val="16"/>
                <w:szCs w:val="16"/>
              </w:rPr>
              <w:t xml:space="preserve"> A Secretaria que necessitar dos itens expedirá “autorização de entrega”, sendo que a empresa adjudicatária após o recebimento da autorização terá o prazo de 03 (três) dias para a entrega da quantidade solicitada na autorização, descarregados nas devidas secretarias e/ou escolas, sem quaisquer ônus ao Município.</w:t>
            </w:r>
          </w:p>
          <w:p>
            <w:pPr>
              <w:bidi w:val="0"/>
              <w:spacing w:before="0" w:after="141"/>
              <w:jc w:val="both"/>
            </w:pPr>
            <w:r>
              <w:rPr>
                <w:rFonts w:ascii="Verdana" w:eastAsia="Verdana" w:hAnsi="Verdana" w:cs="Verdana"/>
                <w:b/>
                <w:bCs/>
                <w:color w:val="000000"/>
                <w:spacing w:val="0"/>
                <w:sz w:val="16"/>
                <w:szCs w:val="16"/>
              </w:rPr>
              <w:t>15.2</w:t>
            </w:r>
            <w:r>
              <w:rPr>
                <w:rFonts w:ascii="Verdana" w:eastAsia="Verdana" w:hAnsi="Verdana" w:cs="Verdana"/>
                <w:color w:val="000000"/>
                <w:spacing w:val="0"/>
                <w:sz w:val="16"/>
                <w:szCs w:val="16"/>
              </w:rPr>
              <w:t xml:space="preserve"> Os itens deverão ser acondicionados (embalados) de forma a não se sujeitar a danos durante o transporte, desde o fornecedor até o local da entrega, bem como, deverão ser entregues em suas embalagens originais, atendendo ainda, a proponente, as prescrições contidas na Lei 8.078/90 (Código de Defesa do Consumidor).</w:t>
            </w:r>
          </w:p>
          <w:p>
            <w:pPr>
              <w:bidi w:val="0"/>
              <w:spacing w:before="0" w:after="141"/>
              <w:jc w:val="both"/>
            </w:pPr>
            <w:r>
              <w:rPr>
                <w:rFonts w:ascii="Verdana" w:eastAsia="Verdana" w:hAnsi="Verdana" w:cs="Verdana"/>
                <w:b/>
                <w:bCs/>
                <w:color w:val="000000"/>
                <w:spacing w:val="0"/>
                <w:sz w:val="16"/>
                <w:szCs w:val="16"/>
              </w:rPr>
              <w:t>15.3</w:t>
            </w:r>
            <w:r>
              <w:rPr>
                <w:rFonts w:ascii="Verdana" w:eastAsia="Verdana" w:hAnsi="Verdana" w:cs="Verdana"/>
                <w:color w:val="000000"/>
                <w:spacing w:val="0"/>
                <w:sz w:val="16"/>
                <w:szCs w:val="16"/>
              </w:rPr>
              <w:t xml:space="preserve"> Caso algumas das características do item não corresponda ao exigido pelo Edital ou apresentada na Proposta, a adjudicatária deverá providenciar, no prazo máximo de 02 (dois) dias úteis a substituição, contados da data de notificação expedida pelo Município, visando ao atendimento das especificações, sem prejuízo de incidência das sanções previstas no Contrato, na Lei Federal nº 14.133/21 e no Código de Defesa do Consumidor, sem quaisquer ônus adicionais ao Município.</w:t>
            </w:r>
          </w:p>
          <w:p>
            <w:pPr>
              <w:bidi w:val="0"/>
              <w:spacing w:before="0" w:after="141"/>
              <w:jc w:val="both"/>
            </w:pPr>
            <w:r>
              <w:rPr>
                <w:rFonts w:ascii="Verdana" w:eastAsia="Verdana" w:hAnsi="Verdana" w:cs="Verdana"/>
                <w:b/>
                <w:bCs/>
                <w:color w:val="000000"/>
                <w:spacing w:val="0"/>
                <w:sz w:val="16"/>
                <w:szCs w:val="16"/>
              </w:rPr>
              <w:t>15.4</w:t>
            </w:r>
            <w:r>
              <w:rPr>
                <w:rFonts w:ascii="Verdana" w:eastAsia="Verdana" w:hAnsi="Verdana" w:cs="Verdana"/>
                <w:color w:val="000000"/>
                <w:spacing w:val="0"/>
                <w:sz w:val="16"/>
                <w:szCs w:val="16"/>
              </w:rPr>
              <w:t xml:space="preserve"> O recebimento dos materiais, objeto deste certame não exclui a responsabilidade da licitante adjudicatária quanto aos vícios ocultos, ou seja, só manifestados quando da sua normal utilização pelo Município de Campo Novo- RS.</w:t>
            </w:r>
          </w:p>
          <w:p>
            <w:pPr>
              <w:bidi w:val="0"/>
              <w:spacing w:before="0" w:after="141"/>
              <w:jc w:val="both"/>
            </w:pPr>
            <w:r>
              <w:rPr>
                <w:rFonts w:ascii="Verdana" w:eastAsia="Verdana" w:hAnsi="Verdana" w:cs="Verdana"/>
                <w:b/>
                <w:bCs/>
                <w:color w:val="000000"/>
                <w:spacing w:val="0"/>
                <w:sz w:val="16"/>
                <w:szCs w:val="16"/>
              </w:rPr>
              <w:t>15.5</w:t>
            </w:r>
            <w:r>
              <w:rPr>
                <w:rFonts w:ascii="Verdana" w:eastAsia="Verdana" w:hAnsi="Verdana" w:cs="Verdana"/>
                <w:color w:val="000000"/>
                <w:spacing w:val="0"/>
                <w:sz w:val="16"/>
                <w:szCs w:val="16"/>
              </w:rPr>
              <w:t xml:space="preserve"> As despesas de frete e seguro até a entrega dos itens, no local indicado pelo Município correrão por conta exclusiva da empresa adjudicatária.</w:t>
            </w:r>
          </w:p>
          <w:p>
            <w:pPr>
              <w:bidi w:val="0"/>
              <w:spacing w:before="0" w:after="0"/>
              <w:jc w:val="both"/>
            </w:pPr>
            <w:r>
              <w:rPr>
                <w:rFonts w:ascii="Verdana" w:eastAsia="Verdana" w:hAnsi="Verdana" w:cs="Verdana"/>
                <w:b/>
                <w:bCs/>
                <w:color w:val="000000"/>
                <w:spacing w:val="0"/>
                <w:sz w:val="16"/>
                <w:szCs w:val="16"/>
                <w:u w:val="single"/>
              </w:rPr>
              <w:t>16. DAS DOTAÇÕES ORÇAMENTÁRIAS</w:t>
            </w:r>
          </w:p>
          <w:p>
            <w:pPr>
              <w:bidi w:val="0"/>
              <w:spacing w:before="0" w:after="141"/>
              <w:jc w:val="both"/>
            </w:pPr>
            <w:r>
              <w:rPr>
                <w:rFonts w:ascii="Verdana" w:eastAsia="Verdana" w:hAnsi="Verdana" w:cs="Verdana"/>
                <w:color w:val="000000"/>
                <w:spacing w:val="0"/>
                <w:sz w:val="16"/>
                <w:szCs w:val="16"/>
              </w:rPr>
              <w:t>Os recursos orçamentários necessários para cobertura das despesas deste edital correrão por conta da seguinte dotação orçamentária de e 1, constantes do orçamento vigente.</w:t>
            </w:r>
          </w:p>
          <w:p>
            <w:pPr>
              <w:bidi w:val="0"/>
              <w:spacing w:before="0" w:after="0"/>
              <w:jc w:val="both"/>
            </w:pPr>
            <w:r>
              <w:rPr>
                <w:rFonts w:ascii="Verdana" w:eastAsia="Verdana" w:hAnsi="Verdana" w:cs="Verdana"/>
                <w:b/>
                <w:bCs/>
                <w:color w:val="000000"/>
                <w:spacing w:val="0"/>
                <w:sz w:val="16"/>
                <w:szCs w:val="16"/>
                <w:u w:val="single"/>
              </w:rPr>
              <w:t>17. DO PAGAMENTO:</w:t>
            </w:r>
          </w:p>
          <w:p>
            <w:pPr>
              <w:bidi w:val="0"/>
              <w:spacing w:before="0" w:after="0"/>
              <w:jc w:val="both"/>
            </w:pPr>
            <w:r>
              <w:rPr>
                <w:rFonts w:ascii="Verdana" w:eastAsia="Verdana" w:hAnsi="Verdana" w:cs="Verdana"/>
                <w:b/>
                <w:bCs/>
                <w:color w:val="000000"/>
                <w:spacing w:val="0"/>
                <w:sz w:val="16"/>
                <w:szCs w:val="16"/>
              </w:rPr>
              <w:t>17.1</w:t>
            </w:r>
            <w:r>
              <w:rPr>
                <w:rFonts w:ascii="Verdana" w:eastAsia="Verdana" w:hAnsi="Verdana" w:cs="Verdana"/>
                <w:color w:val="000000"/>
                <w:spacing w:val="0"/>
                <w:sz w:val="16"/>
                <w:szCs w:val="16"/>
              </w:rPr>
              <w:t xml:space="preserve"> O pagamento será efetuado até 15 (quinze) dias úteis após a entrega do material e a apresentação de Nota Fiscal, devidamente discriminada, a qual será conferida e atestada pelo responsável da respectiva Secretaria Municipal.</w:t>
            </w:r>
          </w:p>
          <w:p>
            <w:pPr>
              <w:bidi w:val="0"/>
              <w:spacing w:before="0" w:after="0"/>
              <w:jc w:val="both"/>
            </w:pPr>
            <w:r>
              <w:rPr>
                <w:rFonts w:ascii="Verdana" w:eastAsia="Verdana" w:hAnsi="Verdana" w:cs="Verdana"/>
                <w:b/>
                <w:bCs/>
                <w:color w:val="000000"/>
                <w:spacing w:val="0"/>
                <w:sz w:val="16"/>
                <w:szCs w:val="16"/>
              </w:rPr>
              <w:t>17.2</w:t>
            </w:r>
            <w:r>
              <w:rPr>
                <w:rFonts w:ascii="Verdana" w:eastAsia="Verdana" w:hAnsi="Verdana" w:cs="Verdana"/>
                <w:color w:val="000000"/>
                <w:spacing w:val="0"/>
                <w:sz w:val="16"/>
                <w:szCs w:val="16"/>
              </w:rPr>
              <w:t xml:space="preserve"> A nota fiscal que contiver erro será devolvida à empresa adjudicatária para retificação e reapresentação, interrompendo-se a contagem do prazo fixado de 15 (quinze) dias úteis para o pagamento, que recomeçará a ser contado integralmente a partir da data de sua reapresentação.</w:t>
            </w:r>
          </w:p>
          <w:p>
            <w:pPr>
              <w:bidi w:val="0"/>
              <w:spacing w:before="0" w:after="141"/>
              <w:jc w:val="both"/>
            </w:pPr>
            <w:r>
              <w:rPr>
                <w:rFonts w:ascii="Verdana" w:eastAsia="Verdana" w:hAnsi="Verdana" w:cs="Verdana"/>
                <w:b/>
                <w:bCs/>
                <w:color w:val="000000"/>
                <w:spacing w:val="0"/>
                <w:sz w:val="16"/>
                <w:szCs w:val="16"/>
              </w:rPr>
              <w:t>17.3</w:t>
            </w:r>
            <w:r>
              <w:rPr>
                <w:rFonts w:ascii="Verdana" w:eastAsia="Verdana" w:hAnsi="Verdana" w:cs="Verdana"/>
                <w:color w:val="000000"/>
                <w:spacing w:val="0"/>
                <w:sz w:val="16"/>
                <w:szCs w:val="16"/>
              </w:rPr>
              <w:t xml:space="preserve"> O pagamento será efetivado através de depósito, em conta corrente da empresa adjudicatária.</w:t>
            </w:r>
          </w:p>
          <w:p>
            <w:pPr>
              <w:bidi w:val="0"/>
              <w:spacing w:before="0" w:after="0"/>
              <w:jc w:val="both"/>
            </w:pPr>
            <w:r>
              <w:rPr>
                <w:rFonts w:ascii="Verdana" w:eastAsia="Verdana" w:hAnsi="Verdana" w:cs="Verdana"/>
                <w:b/>
                <w:bCs/>
                <w:color w:val="000000"/>
                <w:spacing w:val="0"/>
                <w:sz w:val="16"/>
                <w:szCs w:val="16"/>
                <w:u w:val="single"/>
              </w:rPr>
              <w:t>18. DAS PENALIDADES:</w:t>
            </w:r>
          </w:p>
          <w:p>
            <w:pPr>
              <w:bidi w:val="0"/>
              <w:spacing w:before="0" w:after="0"/>
              <w:jc w:val="both"/>
            </w:pPr>
            <w:r>
              <w:rPr>
                <w:rFonts w:ascii="Verdana" w:eastAsia="Verdana" w:hAnsi="Verdana" w:cs="Verdana"/>
                <w:b/>
                <w:bCs/>
                <w:color w:val="000000"/>
                <w:spacing w:val="0"/>
                <w:sz w:val="16"/>
                <w:szCs w:val="16"/>
              </w:rPr>
              <w:t>18.1</w:t>
            </w:r>
            <w:r>
              <w:rPr>
                <w:rFonts w:ascii="Verdana" w:eastAsia="Verdana" w:hAnsi="Verdana" w:cs="Verdana"/>
                <w:color w:val="000000"/>
                <w:spacing w:val="0"/>
                <w:sz w:val="16"/>
                <w:szCs w:val="16"/>
              </w:rPr>
              <w:t xml:space="preserve"> Pelo inadimplemento das obrigações, seja na condição de participante do pregão ou de contratante, as licitantes, conforme a infração, estarão sujeitas às seguintes penalidades:</w:t>
            </w:r>
          </w:p>
          <w:p>
            <w:pPr>
              <w:bidi w:val="0"/>
              <w:spacing w:before="0" w:after="0"/>
              <w:ind w:firstLine="70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Deixar de apresentar a documentação exigida no certame: suspensão do direito de licitar e contratar com a Administração pelo prazo de 2 anos e multa de 10% sobre o valor do último lance ofertado;</w:t>
            </w:r>
          </w:p>
          <w:p>
            <w:pPr>
              <w:bidi w:val="0"/>
              <w:spacing w:before="0" w:after="0"/>
              <w:ind w:firstLine="70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Manter comportamento inadequado durante o pregão: afastamento do certame e suspensão do direito de licitar e contratar com a Administração pelo prazo de 2 anos;</w:t>
            </w:r>
          </w:p>
          <w:p>
            <w:pPr>
              <w:bidi w:val="0"/>
              <w:spacing w:before="0" w:after="0"/>
              <w:ind w:firstLine="700"/>
              <w:jc w:val="both"/>
            </w:pPr>
            <w:r>
              <w:rPr>
                <w:rFonts w:ascii="Verdana" w:eastAsia="Verdana" w:hAnsi="Verdana" w:cs="Verdana"/>
                <w:b/>
                <w:bCs/>
                <w:color w:val="000000"/>
                <w:spacing w:val="0"/>
                <w:sz w:val="16"/>
                <w:szCs w:val="16"/>
              </w:rPr>
              <w:t>c)</w:t>
            </w:r>
            <w:r>
              <w:rPr>
                <w:rFonts w:ascii="Verdana" w:eastAsia="Verdana" w:hAnsi="Verdana" w:cs="Verdana"/>
                <w:color w:val="000000"/>
                <w:spacing w:val="0"/>
                <w:sz w:val="16"/>
                <w:szCs w:val="16"/>
              </w:rPr>
              <w:t xml:space="preserve"> Deixar de manter a proposta (recusa injustificada para contratar): suspensão do direito de licitar e contratar com a Administração pelo prazo de 5 anos e multa de 10% sobre o valor do último lance ofertado;</w:t>
            </w:r>
          </w:p>
          <w:p>
            <w:pPr>
              <w:bidi w:val="0"/>
              <w:spacing w:before="0" w:after="0"/>
              <w:ind w:firstLine="700"/>
              <w:jc w:val="both"/>
            </w:pPr>
            <w:r>
              <w:rPr>
                <w:rFonts w:ascii="Verdana" w:eastAsia="Verdana" w:hAnsi="Verdana" w:cs="Verdana"/>
                <w:b/>
                <w:bCs/>
                <w:color w:val="000000"/>
                <w:spacing w:val="0"/>
                <w:sz w:val="16"/>
                <w:szCs w:val="16"/>
              </w:rPr>
              <w:t>d)</w:t>
            </w:r>
            <w:r>
              <w:rPr>
                <w:rFonts w:ascii="Verdana" w:eastAsia="Verdana" w:hAnsi="Verdana" w:cs="Verdana"/>
                <w:color w:val="000000"/>
                <w:spacing w:val="0"/>
                <w:sz w:val="16"/>
                <w:szCs w:val="16"/>
              </w:rPr>
              <w:t xml:space="preserve"> Fornecer o objeto com irregularidades, passíveis de correção durante a execução e sem prejuízo ao resultado: advertência;</w:t>
            </w:r>
          </w:p>
          <w:p>
            <w:pPr>
              <w:bidi w:val="0"/>
              <w:spacing w:before="0" w:after="0"/>
              <w:ind w:firstLine="700"/>
              <w:jc w:val="both"/>
            </w:pPr>
            <w:r>
              <w:rPr>
                <w:rFonts w:ascii="Verdana" w:eastAsia="Verdana" w:hAnsi="Verdana" w:cs="Verdana"/>
                <w:b/>
                <w:bCs/>
                <w:color w:val="000000"/>
                <w:spacing w:val="0"/>
                <w:sz w:val="16"/>
                <w:szCs w:val="16"/>
              </w:rPr>
              <w:t>e)</w:t>
            </w:r>
            <w:r>
              <w:rPr>
                <w:rFonts w:ascii="Verdana" w:eastAsia="Verdana" w:hAnsi="Verdana" w:cs="Verdana"/>
                <w:color w:val="000000"/>
                <w:spacing w:val="0"/>
                <w:sz w:val="16"/>
                <w:szCs w:val="16"/>
              </w:rPr>
              <w:t xml:space="preserve"> Fornecer o objeto com atraso injustificado, até o limite de 03(três) dias, após os quais será considerado como inexecução contratual: multa diária de 0,5% sobre o valor atualizado do contrato;</w:t>
            </w:r>
          </w:p>
          <w:p>
            <w:pPr>
              <w:bidi w:val="0"/>
              <w:spacing w:before="0" w:after="0"/>
              <w:ind w:firstLine="700"/>
              <w:jc w:val="both"/>
            </w:pPr>
            <w:r>
              <w:rPr>
                <w:rFonts w:ascii="Verdana" w:eastAsia="Verdana" w:hAnsi="Verdana" w:cs="Verdana"/>
                <w:b/>
                <w:bCs/>
                <w:color w:val="000000"/>
                <w:spacing w:val="0"/>
                <w:sz w:val="16"/>
                <w:szCs w:val="16"/>
              </w:rPr>
              <w:t>f)</w:t>
            </w:r>
            <w:r>
              <w:rPr>
                <w:rFonts w:ascii="Verdana" w:eastAsia="Verdana" w:hAnsi="Verdana" w:cs="Verdana"/>
                <w:color w:val="000000"/>
                <w:spacing w:val="0"/>
                <w:sz w:val="16"/>
                <w:szCs w:val="16"/>
              </w:rPr>
              <w:t xml:space="preserve"> Inexecução parcial do objeto: suspensão do direito de licitar e contratar com a Administração pelo prazo de 3 anos e multa de 8% sobre o valor correspondente ao montante não adimplido do contrato;</w:t>
            </w:r>
          </w:p>
          <w:p>
            <w:pPr>
              <w:bidi w:val="0"/>
              <w:spacing w:before="0" w:after="0"/>
              <w:ind w:firstLine="700"/>
              <w:jc w:val="both"/>
            </w:pPr>
            <w:r>
              <w:rPr>
                <w:rFonts w:ascii="Verdana" w:eastAsia="Verdana" w:hAnsi="Verdana" w:cs="Verdana"/>
                <w:b/>
                <w:bCs/>
                <w:color w:val="000000"/>
                <w:spacing w:val="0"/>
                <w:sz w:val="16"/>
                <w:szCs w:val="16"/>
              </w:rPr>
              <w:t>g)</w:t>
            </w:r>
            <w:r>
              <w:rPr>
                <w:rFonts w:ascii="Verdana" w:eastAsia="Verdana" w:hAnsi="Verdana" w:cs="Verdana"/>
                <w:color w:val="000000"/>
                <w:spacing w:val="0"/>
                <w:sz w:val="16"/>
                <w:szCs w:val="16"/>
              </w:rPr>
              <w:t xml:space="preserve"> Inexecução total do objeto: suspensão do direito de licitar e contratar com a Administração pelo prazo de 5 anos e multa de 10% sobre o valor atualizado do contrato;</w:t>
            </w:r>
          </w:p>
          <w:p>
            <w:pPr>
              <w:bidi w:val="0"/>
              <w:spacing w:before="0" w:after="141"/>
              <w:ind w:firstLine="700"/>
              <w:jc w:val="both"/>
            </w:pPr>
            <w:r>
              <w:rPr>
                <w:rFonts w:ascii="Verdana" w:eastAsia="Verdana" w:hAnsi="Verdana" w:cs="Verdana"/>
                <w:color w:val="000000"/>
                <w:spacing w:val="0"/>
                <w:sz w:val="16"/>
                <w:szCs w:val="16"/>
              </w:rPr>
              <w:t>h) Causar prejuízo material resultante diretamente do fornecimento: declaração de inidoneidade cumulada com a suspensão do direito de licitar e contratar com a Administração Pública pelo prazo de 5 anos e multa de 10 % sobre o valor atualizado do contrato.</w:t>
            </w:r>
          </w:p>
          <w:p>
            <w:pPr>
              <w:bidi w:val="0"/>
              <w:spacing w:before="0" w:after="141"/>
              <w:jc w:val="both"/>
            </w:pPr>
            <w:r>
              <w:rPr>
                <w:rFonts w:ascii="Verdana" w:eastAsia="Verdana" w:hAnsi="Verdana" w:cs="Verdana"/>
                <w:b/>
                <w:bCs/>
                <w:color w:val="000000"/>
                <w:spacing w:val="0"/>
                <w:sz w:val="16"/>
                <w:szCs w:val="16"/>
              </w:rPr>
              <w:t>18.2</w:t>
            </w:r>
            <w:r>
              <w:rPr>
                <w:rFonts w:ascii="Verdana" w:eastAsia="Verdana" w:hAnsi="Verdana" w:cs="Verdana"/>
                <w:color w:val="000000"/>
                <w:spacing w:val="0"/>
                <w:sz w:val="16"/>
                <w:szCs w:val="16"/>
              </w:rPr>
              <w:t xml:space="preserve"> As penalidades serão registradas no cadastro da empresa adjudicatária, quando for o caso.</w:t>
            </w:r>
          </w:p>
          <w:p>
            <w:pPr>
              <w:bidi w:val="0"/>
              <w:spacing w:before="0" w:after="141"/>
              <w:jc w:val="both"/>
            </w:pPr>
            <w:r>
              <w:rPr>
                <w:rFonts w:ascii="Verdana" w:eastAsia="Verdana" w:hAnsi="Verdana" w:cs="Verdana"/>
                <w:b/>
                <w:bCs/>
                <w:color w:val="000000"/>
                <w:spacing w:val="0"/>
                <w:sz w:val="16"/>
                <w:szCs w:val="16"/>
              </w:rPr>
              <w:t>18.3</w:t>
            </w:r>
            <w:r>
              <w:rPr>
                <w:rFonts w:ascii="Verdana" w:eastAsia="Verdana" w:hAnsi="Verdana" w:cs="Verdana"/>
                <w:color w:val="000000"/>
                <w:spacing w:val="0"/>
                <w:sz w:val="16"/>
                <w:szCs w:val="16"/>
              </w:rPr>
              <w:t xml:space="preserve"> Nenhum pagamento será efetuado pela Administração enquanto pendente de liquidação qualquer obrigação financeira que for imposta ao fornecedor em virtude de penalidade ou inadimplência contratual.</w:t>
            </w:r>
          </w:p>
          <w:p>
            <w:pPr>
              <w:bidi w:val="0"/>
              <w:spacing w:before="0" w:after="0"/>
              <w:jc w:val="both"/>
            </w:pPr>
            <w:r>
              <w:rPr>
                <w:rFonts w:ascii="Verdana" w:eastAsia="Verdana" w:hAnsi="Verdana" w:cs="Verdana"/>
                <w:b/>
                <w:bCs/>
                <w:color w:val="000000"/>
                <w:spacing w:val="0"/>
                <w:sz w:val="16"/>
                <w:szCs w:val="16"/>
                <w:u w:val="single"/>
              </w:rPr>
              <w:t>19. DO REAJUSTAMENTO DE PREÇOS:</w:t>
            </w:r>
          </w:p>
          <w:p>
            <w:pPr>
              <w:bidi w:val="0"/>
              <w:spacing w:before="0" w:after="141"/>
              <w:jc w:val="both"/>
            </w:pPr>
            <w:r>
              <w:rPr>
                <w:rFonts w:ascii="Verdana" w:eastAsia="Verdana" w:hAnsi="Verdana" w:cs="Verdana"/>
                <w:b/>
                <w:bCs/>
                <w:color w:val="000000"/>
                <w:spacing w:val="0"/>
                <w:sz w:val="16"/>
                <w:szCs w:val="16"/>
              </w:rPr>
              <w:t>19.1</w:t>
            </w:r>
            <w:r>
              <w:rPr>
                <w:rFonts w:ascii="Verdana" w:eastAsia="Verdana" w:hAnsi="Verdana" w:cs="Verdana"/>
                <w:color w:val="000000"/>
                <w:spacing w:val="0"/>
                <w:sz w:val="16"/>
                <w:szCs w:val="16"/>
              </w:rPr>
              <w:t xml:space="preserve"> Considerado o prazo de validade de 12 (doze) meses da Ata de Registro de Preços e, em atendimento ao §1º do artigo 28, da Lei Federal nº 9.069 de 29/06/1995, ao artigo 3º, §1º, da Medida Provisória nº 1488-16, de 02/10/1996 e demais legislações pertinentes, é vedado qualquer reajustamento de preços, até que seja completado o período de 12 (doze) meses contados a partir da data de recebimento das propostas indicadas no preâmbulo do Edital do </w:t>
            </w:r>
            <w:r>
              <w:rPr>
                <w:rFonts w:ascii="Verdana" w:eastAsia="Verdana" w:hAnsi="Verdana" w:cs="Verdana"/>
                <w:b/>
                <w:bCs/>
                <w:color w:val="000000"/>
                <w:spacing w:val="0"/>
                <w:sz w:val="16"/>
                <w:szCs w:val="16"/>
              </w:rPr>
              <w:t>nº null/null</w:t>
            </w:r>
            <w:r>
              <w:rPr>
                <w:rFonts w:ascii="Verdana" w:eastAsia="Verdana" w:hAnsi="Verdana" w:cs="Verdana"/>
                <w:color w:val="000000"/>
                <w:spacing w:val="0"/>
                <w:sz w:val="16"/>
                <w:szCs w:val="16"/>
              </w:rPr>
              <w:t>, o qual integra a presente Ata de Registro de Preços, observadas as disposições constantes do Decreto Municipal.</w:t>
            </w:r>
          </w:p>
          <w:p>
            <w:pPr>
              <w:bidi w:val="0"/>
              <w:spacing w:before="0" w:after="141"/>
              <w:jc w:val="both"/>
            </w:pPr>
            <w:r>
              <w:rPr>
                <w:rFonts w:ascii="Verdana" w:eastAsia="Verdana" w:hAnsi="Verdana" w:cs="Verdana"/>
                <w:b/>
                <w:bCs/>
                <w:color w:val="000000"/>
                <w:spacing w:val="0"/>
                <w:sz w:val="16"/>
                <w:szCs w:val="16"/>
              </w:rPr>
              <w:t>19.2</w:t>
            </w:r>
            <w:r>
              <w:rPr>
                <w:rFonts w:ascii="Verdana" w:eastAsia="Verdana" w:hAnsi="Verdana" w:cs="Verdana"/>
                <w:color w:val="000000"/>
                <w:spacing w:val="0"/>
                <w:sz w:val="16"/>
                <w:szCs w:val="16"/>
              </w:rPr>
              <w:t xml:space="preserve"> Fica ressalvada a possibilidade de alteração das condições para a concessão de reajustes em face da superveniência de normas federais aplicáveis à espécie ou de alteração dos preços, comprovadamente, praticados no mercado, com a finalidade de manter o equilíbrio econômico e financeiro da avença.</w:t>
            </w:r>
          </w:p>
          <w:p>
            <w:pPr>
              <w:bidi w:val="0"/>
              <w:spacing w:before="0" w:after="0"/>
              <w:jc w:val="both"/>
            </w:pPr>
            <w:r>
              <w:rPr>
                <w:rFonts w:ascii="Verdana" w:eastAsia="Verdana" w:hAnsi="Verdana" w:cs="Verdana"/>
                <w:b/>
                <w:bCs/>
                <w:color w:val="000000"/>
                <w:spacing w:val="0"/>
                <w:sz w:val="16"/>
                <w:szCs w:val="16"/>
                <w:u w:val="single"/>
              </w:rPr>
              <w:t>20. DA SUSPENSÃO E CANCELAMENTO DA ATA DE REGISTRO DE PREÇOS:</w:t>
            </w:r>
          </w:p>
          <w:p>
            <w:pPr>
              <w:bidi w:val="0"/>
              <w:spacing w:before="0" w:after="0"/>
              <w:jc w:val="both"/>
            </w:pPr>
            <w:r>
              <w:rPr>
                <w:rFonts w:ascii="Verdana" w:eastAsia="Verdana" w:hAnsi="Verdana" w:cs="Verdana"/>
                <w:b/>
                <w:bCs/>
                <w:color w:val="000000"/>
                <w:spacing w:val="0"/>
                <w:sz w:val="16"/>
                <w:szCs w:val="16"/>
              </w:rPr>
              <w:t>20.1</w:t>
            </w:r>
            <w:r>
              <w:rPr>
                <w:rFonts w:ascii="Verdana" w:eastAsia="Verdana" w:hAnsi="Verdana" w:cs="Verdana"/>
                <w:color w:val="000000"/>
                <w:spacing w:val="0"/>
                <w:sz w:val="16"/>
                <w:szCs w:val="16"/>
              </w:rPr>
              <w:t xml:space="preserve"> O preço registrado poderá ser suspenso ou cancelado, facultada a defesa prévia do interessado, no prazo de cinco dias úteis, nos seguintes casos:</w:t>
            </w:r>
          </w:p>
          <w:p>
            <w:pPr>
              <w:bidi w:val="0"/>
              <w:spacing w:before="0" w:after="0"/>
              <w:jc w:val="both"/>
            </w:pPr>
            <w:r>
              <w:rPr>
                <w:rFonts w:ascii="Verdana" w:eastAsia="Verdana" w:hAnsi="Verdana" w:cs="Verdana"/>
                <w:b/>
                <w:bCs/>
                <w:color w:val="000000"/>
                <w:spacing w:val="0"/>
                <w:sz w:val="16"/>
                <w:szCs w:val="16"/>
              </w:rPr>
              <w:t>I -</w:t>
            </w:r>
            <w:r>
              <w:rPr>
                <w:rFonts w:ascii="Verdana" w:eastAsia="Verdana" w:hAnsi="Verdana" w:cs="Verdana"/>
                <w:color w:val="000000"/>
                <w:spacing w:val="0"/>
                <w:sz w:val="16"/>
                <w:szCs w:val="16"/>
              </w:rPr>
              <w:t xml:space="preserve"> Pela Administração, quando:</w:t>
            </w:r>
          </w:p>
          <w:p>
            <w:pPr>
              <w:bidi w:val="0"/>
              <w:spacing w:before="0" w:after="0"/>
              <w:ind w:firstLine="700"/>
              <w:jc w:val="both"/>
            </w:pPr>
            <w:r>
              <w:rPr>
                <w:rFonts w:ascii="Verdana" w:eastAsia="Verdana" w:hAnsi="Verdana" w:cs="Verdana"/>
                <w:b/>
                <w:bCs/>
                <w:color w:val="000000"/>
                <w:spacing w:val="0"/>
                <w:sz w:val="16"/>
                <w:szCs w:val="16"/>
              </w:rPr>
              <w:t>a)</w:t>
            </w:r>
            <w:r>
              <w:rPr>
                <w:rFonts w:ascii="Verdana" w:eastAsia="Verdana" w:hAnsi="Verdana" w:cs="Verdana"/>
                <w:color w:val="000000"/>
                <w:spacing w:val="0"/>
                <w:sz w:val="16"/>
                <w:szCs w:val="16"/>
              </w:rPr>
              <w:t xml:space="preserve"> o fornecedor não cumprir as exigências do instrumento convocatório que der origem ao registro de preços;</w:t>
            </w:r>
          </w:p>
          <w:p>
            <w:pPr>
              <w:bidi w:val="0"/>
              <w:spacing w:before="0" w:after="0"/>
              <w:ind w:firstLine="700"/>
              <w:jc w:val="both"/>
            </w:pPr>
            <w:r>
              <w:rPr>
                <w:rFonts w:ascii="Verdana" w:eastAsia="Verdana" w:hAnsi="Verdana" w:cs="Verdana"/>
                <w:b/>
                <w:bCs/>
                <w:color w:val="000000"/>
                <w:spacing w:val="0"/>
                <w:sz w:val="16"/>
                <w:szCs w:val="16"/>
              </w:rPr>
              <w:t>b)</w:t>
            </w:r>
            <w:r>
              <w:rPr>
                <w:rFonts w:ascii="Verdana" w:eastAsia="Verdana" w:hAnsi="Verdana" w:cs="Verdana"/>
                <w:color w:val="000000"/>
                <w:spacing w:val="0"/>
                <w:sz w:val="16"/>
                <w:szCs w:val="16"/>
              </w:rPr>
              <w:t xml:space="preserve"> o fornecedor não formalizar contrato decorrente do registro de preços ou não tenha retirado o instrumento equivalente no prazo estabelecido, se a Administração não aceitar sua justificativa;</w:t>
            </w:r>
          </w:p>
          <w:p>
            <w:pPr>
              <w:bidi w:val="0"/>
              <w:spacing w:before="0" w:after="0"/>
              <w:ind w:firstLine="700"/>
              <w:jc w:val="both"/>
            </w:pPr>
            <w:r>
              <w:rPr>
                <w:rFonts w:ascii="Verdana" w:eastAsia="Verdana" w:hAnsi="Verdana" w:cs="Verdana"/>
                <w:b/>
                <w:bCs/>
                <w:color w:val="000000"/>
                <w:spacing w:val="0"/>
                <w:sz w:val="16"/>
                <w:szCs w:val="16"/>
              </w:rPr>
              <w:t>c)</w:t>
            </w:r>
            <w:r>
              <w:rPr>
                <w:rFonts w:ascii="Verdana" w:eastAsia="Verdana" w:hAnsi="Verdana" w:cs="Verdana"/>
                <w:color w:val="000000"/>
                <w:spacing w:val="0"/>
                <w:sz w:val="16"/>
                <w:szCs w:val="16"/>
              </w:rPr>
              <w:t xml:space="preserve"> o fornecedor der causa a rescisão administrativa de contrato decorrente do registro de preços;</w:t>
            </w:r>
          </w:p>
          <w:p>
            <w:pPr>
              <w:bidi w:val="0"/>
              <w:spacing w:before="0" w:after="0"/>
              <w:ind w:firstLine="700"/>
              <w:jc w:val="both"/>
            </w:pPr>
            <w:r>
              <w:rPr>
                <w:rFonts w:ascii="Verdana" w:eastAsia="Verdana" w:hAnsi="Verdana" w:cs="Verdana"/>
                <w:b/>
                <w:bCs/>
                <w:color w:val="000000"/>
                <w:spacing w:val="0"/>
                <w:sz w:val="16"/>
                <w:szCs w:val="16"/>
              </w:rPr>
              <w:t>d)</w:t>
            </w:r>
            <w:r>
              <w:rPr>
                <w:rFonts w:ascii="Verdana" w:eastAsia="Verdana" w:hAnsi="Verdana" w:cs="Verdana"/>
                <w:color w:val="000000"/>
                <w:spacing w:val="0"/>
                <w:sz w:val="16"/>
                <w:szCs w:val="16"/>
              </w:rPr>
              <w:t xml:space="preserve"> em qualquer das hipóteses de inexecução total ou parcial do contrato decorrente do registro de preços;</w:t>
            </w:r>
          </w:p>
          <w:p>
            <w:pPr>
              <w:bidi w:val="0"/>
              <w:spacing w:before="0" w:after="0"/>
              <w:ind w:firstLine="700"/>
              <w:jc w:val="both"/>
            </w:pPr>
            <w:r>
              <w:rPr>
                <w:rFonts w:ascii="Verdana" w:eastAsia="Verdana" w:hAnsi="Verdana" w:cs="Verdana"/>
                <w:b/>
                <w:bCs/>
                <w:color w:val="000000"/>
                <w:spacing w:val="0"/>
                <w:sz w:val="16"/>
                <w:szCs w:val="16"/>
              </w:rPr>
              <w:t>e)</w:t>
            </w:r>
            <w:r>
              <w:rPr>
                <w:rFonts w:ascii="Verdana" w:eastAsia="Verdana" w:hAnsi="Verdana" w:cs="Verdana"/>
                <w:color w:val="000000"/>
                <w:spacing w:val="0"/>
                <w:sz w:val="16"/>
                <w:szCs w:val="16"/>
              </w:rPr>
              <w:t xml:space="preserve"> os preços registrados se apresentarem superiores aos praticados pelo mercado;</w:t>
            </w:r>
          </w:p>
          <w:p>
            <w:pPr>
              <w:bidi w:val="0"/>
              <w:spacing w:before="0" w:after="0"/>
              <w:ind w:firstLine="700"/>
              <w:jc w:val="both"/>
            </w:pPr>
            <w:r>
              <w:rPr>
                <w:rFonts w:ascii="Verdana" w:eastAsia="Verdana" w:hAnsi="Verdana" w:cs="Verdana"/>
                <w:b/>
                <w:bCs/>
                <w:color w:val="000000"/>
                <w:spacing w:val="0"/>
                <w:sz w:val="16"/>
                <w:szCs w:val="16"/>
              </w:rPr>
              <w:t>f)</w:t>
            </w:r>
            <w:r>
              <w:rPr>
                <w:rFonts w:ascii="Verdana" w:eastAsia="Verdana" w:hAnsi="Verdana" w:cs="Verdana"/>
                <w:color w:val="000000"/>
                <w:spacing w:val="0"/>
                <w:sz w:val="16"/>
                <w:szCs w:val="16"/>
              </w:rPr>
              <w:t xml:space="preserve"> por razões de interesse público, devidamente fundamentadas;</w:t>
            </w:r>
          </w:p>
          <w:p>
            <w:pPr>
              <w:bidi w:val="0"/>
              <w:spacing w:before="0" w:after="0"/>
              <w:jc w:val="both"/>
            </w:pPr>
            <w:r>
              <w:rPr>
                <w:rFonts w:ascii="Verdana" w:eastAsia="Verdana" w:hAnsi="Verdana" w:cs="Verdana"/>
                <w:b/>
                <w:bCs/>
                <w:color w:val="000000"/>
                <w:spacing w:val="0"/>
                <w:sz w:val="16"/>
                <w:szCs w:val="16"/>
              </w:rPr>
              <w:t>II -</w:t>
            </w:r>
            <w:r>
              <w:rPr>
                <w:rFonts w:ascii="Verdana" w:eastAsia="Verdana" w:hAnsi="Verdana" w:cs="Verdana"/>
                <w:color w:val="000000"/>
                <w:spacing w:val="0"/>
                <w:sz w:val="16"/>
                <w:szCs w:val="16"/>
              </w:rPr>
              <w:t xml:space="preserve"> Pelo fornecedor, quando, mediante solicitação por escrito, comprovar estar impossibilitado de cumprir as exigências do instrumento convocatório que deu origem ao registro de preços.</w:t>
            </w:r>
          </w:p>
          <w:p>
            <w:pPr>
              <w:bidi w:val="0"/>
              <w:spacing w:before="0" w:after="0"/>
              <w:ind w:firstLine="700"/>
              <w:jc w:val="both"/>
            </w:pPr>
            <w:r>
              <w:rPr>
                <w:rFonts w:ascii="Verdana" w:eastAsia="Verdana" w:hAnsi="Verdana" w:cs="Verdana"/>
                <w:b/>
                <w:bCs/>
                <w:color w:val="000000"/>
                <w:spacing w:val="0"/>
                <w:sz w:val="16"/>
                <w:szCs w:val="16"/>
              </w:rPr>
              <w:t>§ 1º</w:t>
            </w:r>
            <w:r>
              <w:rPr>
                <w:rFonts w:ascii="Verdana" w:eastAsia="Verdana" w:hAnsi="Verdana" w:cs="Verdana"/>
                <w:color w:val="000000"/>
                <w:spacing w:val="0"/>
                <w:sz w:val="16"/>
                <w:szCs w:val="16"/>
              </w:rPr>
              <w:t xml:space="preserve"> O cancelamento de registro, nas hipóteses previstas, será formalizado por despacho fundamentado do Secretário de Administração.</w:t>
            </w:r>
          </w:p>
          <w:p>
            <w:pPr>
              <w:bidi w:val="0"/>
              <w:spacing w:before="0" w:after="0"/>
              <w:ind w:firstLine="700"/>
              <w:jc w:val="both"/>
            </w:pPr>
            <w:r>
              <w:rPr>
                <w:rFonts w:ascii="Verdana" w:eastAsia="Verdana" w:hAnsi="Verdana" w:cs="Verdana"/>
                <w:b/>
                <w:bCs/>
                <w:color w:val="000000"/>
                <w:spacing w:val="0"/>
                <w:sz w:val="16"/>
                <w:szCs w:val="16"/>
              </w:rPr>
              <w:t>§ 2º</w:t>
            </w:r>
            <w:r>
              <w:rPr>
                <w:rFonts w:ascii="Verdana" w:eastAsia="Verdana" w:hAnsi="Verdana" w:cs="Verdana"/>
                <w:color w:val="000000"/>
                <w:spacing w:val="0"/>
                <w:sz w:val="16"/>
                <w:szCs w:val="16"/>
              </w:rPr>
              <w:t xml:space="preserve"> A comunicação do cancelamento do preço registrado, nos casos previstos no inciso I deste artigo, será feita pessoalmente ou por correspondência com aviso de recebimento, juntando-se comprovante nos autos que deram origem ao registro de preços.</w:t>
            </w:r>
          </w:p>
          <w:p>
            <w:pPr>
              <w:bidi w:val="0"/>
              <w:spacing w:before="0" w:after="0"/>
              <w:ind w:firstLine="700"/>
              <w:jc w:val="both"/>
            </w:pPr>
            <w:r>
              <w:rPr>
                <w:rFonts w:ascii="Verdana" w:eastAsia="Verdana" w:hAnsi="Verdana" w:cs="Verdana"/>
                <w:b/>
                <w:bCs/>
                <w:color w:val="000000"/>
                <w:spacing w:val="0"/>
                <w:sz w:val="16"/>
                <w:szCs w:val="16"/>
              </w:rPr>
              <w:t>§ 3º</w:t>
            </w:r>
            <w:r>
              <w:rPr>
                <w:rFonts w:ascii="Verdana" w:eastAsia="Verdana" w:hAnsi="Verdana" w:cs="Verdana"/>
                <w:color w:val="000000"/>
                <w:spacing w:val="0"/>
                <w:sz w:val="16"/>
                <w:szCs w:val="16"/>
              </w:rPr>
              <w:t xml:space="preserve"> No caso de ser ignorado, incerto ou inacessível o lugar do fornecedor, a comunicação será feita por publicação na Imprensa Oficial do Município, considerando-se cancelado o preço registrado a partir da publicação.</w:t>
            </w:r>
          </w:p>
          <w:p>
            <w:pPr>
              <w:bidi w:val="0"/>
              <w:spacing w:before="0" w:after="141"/>
              <w:ind w:firstLine="700"/>
              <w:jc w:val="both"/>
            </w:pPr>
            <w:r>
              <w:rPr>
                <w:rFonts w:ascii="Verdana" w:eastAsia="Verdana" w:hAnsi="Verdana" w:cs="Verdana"/>
                <w:b/>
                <w:bCs/>
                <w:color w:val="000000"/>
                <w:spacing w:val="0"/>
                <w:sz w:val="16"/>
                <w:szCs w:val="16"/>
              </w:rPr>
              <w:t>§ 4º</w:t>
            </w:r>
            <w:r>
              <w:rPr>
                <w:rFonts w:ascii="Verdana" w:eastAsia="Verdana" w:hAnsi="Verdana" w:cs="Verdana"/>
                <w:color w:val="000000"/>
                <w:spacing w:val="0"/>
                <w:sz w:val="16"/>
                <w:szCs w:val="16"/>
              </w:rPr>
              <w:t xml:space="preserve"> Da decisão que a cancelar ou suspender o preço registrado cabe recurso, no prazo de cinco dias úteis.</w:t>
            </w:r>
          </w:p>
          <w:p>
            <w:pPr>
              <w:bidi w:val="0"/>
              <w:spacing w:before="0" w:after="0"/>
              <w:jc w:val="both"/>
            </w:pPr>
            <w:r>
              <w:rPr>
                <w:rFonts w:ascii="Verdana" w:eastAsia="Verdana" w:hAnsi="Verdana" w:cs="Verdana"/>
                <w:b/>
                <w:bCs/>
                <w:color w:val="000000"/>
                <w:spacing w:val="0"/>
                <w:sz w:val="16"/>
                <w:szCs w:val="16"/>
              </w:rPr>
              <w:t>20.2</w:t>
            </w:r>
            <w:r>
              <w:rPr>
                <w:rFonts w:ascii="Verdana" w:eastAsia="Verdana" w:hAnsi="Verdana" w:cs="Verdana"/>
                <w:color w:val="000000"/>
                <w:spacing w:val="0"/>
                <w:sz w:val="16"/>
                <w:szCs w:val="16"/>
              </w:rPr>
              <w:t xml:space="preserve"> Os preços registrados poderão ser suspensos nos seguintes casos:</w:t>
            </w:r>
          </w:p>
          <w:p>
            <w:pPr>
              <w:bidi w:val="0"/>
              <w:spacing w:before="0" w:after="0"/>
              <w:jc w:val="both"/>
            </w:pPr>
            <w:r>
              <w:rPr>
                <w:rFonts w:ascii="Verdana" w:eastAsia="Verdana" w:hAnsi="Verdana" w:cs="Verdana"/>
                <w:b/>
                <w:bCs/>
                <w:color w:val="000000"/>
                <w:spacing w:val="0"/>
                <w:sz w:val="16"/>
                <w:szCs w:val="16"/>
              </w:rPr>
              <w:t>I -</w:t>
            </w:r>
            <w:r>
              <w:rPr>
                <w:rFonts w:ascii="Verdana" w:eastAsia="Verdana" w:hAnsi="Verdana" w:cs="Verdana"/>
                <w:color w:val="000000"/>
                <w:spacing w:val="0"/>
                <w:sz w:val="16"/>
                <w:szCs w:val="16"/>
              </w:rPr>
              <w:t xml:space="preserve"> pela Administração, por meio de edital, quando por ela julgado que o fornecedor esteja temporariamente impossibilitado de cumprir as exigências da licitação que deu origem ao registro de preços ou, ainda, por interesse do Município, ressalvadas as contratações já levadas a efeito até a data da decisão;</w:t>
            </w:r>
          </w:p>
          <w:p>
            <w:pPr>
              <w:bidi w:val="0"/>
              <w:spacing w:before="0" w:after="0"/>
              <w:jc w:val="both"/>
            </w:pPr>
            <w:r>
              <w:rPr>
                <w:rFonts w:ascii="Verdana" w:eastAsia="Verdana" w:hAnsi="Verdana" w:cs="Verdana"/>
                <w:b/>
                <w:bCs/>
                <w:color w:val="000000"/>
                <w:spacing w:val="0"/>
                <w:sz w:val="16"/>
                <w:szCs w:val="16"/>
              </w:rPr>
              <w:t>II -</w:t>
            </w:r>
            <w:r>
              <w:rPr>
                <w:rFonts w:ascii="Verdana" w:eastAsia="Verdana" w:hAnsi="Verdana" w:cs="Verdana"/>
                <w:color w:val="000000"/>
                <w:spacing w:val="0"/>
                <w:sz w:val="16"/>
                <w:szCs w:val="16"/>
              </w:rPr>
              <w:t xml:space="preserve"> pelo fornecedor, quando mediante solicitação por escrito, comprovar estar temporariamente impossibilitado de cumprir as exigências da licitação que deu origem ao registro de preços.</w:t>
            </w:r>
          </w:p>
          <w:p>
            <w:pPr>
              <w:bidi w:val="0"/>
              <w:spacing w:before="0" w:after="0"/>
              <w:ind w:firstLine="700"/>
              <w:jc w:val="both"/>
            </w:pPr>
            <w:r>
              <w:rPr>
                <w:rFonts w:ascii="Verdana" w:eastAsia="Verdana" w:hAnsi="Verdana" w:cs="Verdana"/>
                <w:b/>
                <w:bCs/>
                <w:color w:val="000000"/>
                <w:spacing w:val="0"/>
                <w:sz w:val="16"/>
                <w:szCs w:val="16"/>
              </w:rPr>
              <w:t>§ 1º</w:t>
            </w:r>
            <w:r>
              <w:rPr>
                <w:rFonts w:ascii="Verdana" w:eastAsia="Verdana" w:hAnsi="Verdana" w:cs="Verdana"/>
                <w:color w:val="000000"/>
                <w:spacing w:val="0"/>
                <w:sz w:val="16"/>
                <w:szCs w:val="16"/>
              </w:rPr>
              <w:t xml:space="preserve"> A suspensão de registro de preço, nas hipóteses previstas, será formalizado por despacho fundamentado do Secretário de Administração.</w:t>
            </w:r>
          </w:p>
          <w:p>
            <w:pPr>
              <w:bidi w:val="0"/>
              <w:spacing w:before="0" w:after="0"/>
              <w:ind w:firstLine="700"/>
              <w:jc w:val="both"/>
            </w:pPr>
            <w:r>
              <w:rPr>
                <w:rFonts w:ascii="Verdana" w:eastAsia="Verdana" w:hAnsi="Verdana" w:cs="Verdana"/>
                <w:b/>
                <w:bCs/>
                <w:color w:val="000000"/>
                <w:spacing w:val="0"/>
                <w:sz w:val="16"/>
                <w:szCs w:val="16"/>
              </w:rPr>
              <w:t>§ 2º</w:t>
            </w:r>
            <w:r>
              <w:rPr>
                <w:rFonts w:ascii="Verdana" w:eastAsia="Verdana" w:hAnsi="Verdana" w:cs="Verdana"/>
                <w:color w:val="000000"/>
                <w:spacing w:val="0"/>
                <w:sz w:val="16"/>
                <w:szCs w:val="16"/>
              </w:rPr>
              <w:t xml:space="preserve"> Será estabelecido no edital ou no expediente da solicitação de que tratam os incisos I e II, o prazo previsto para a suspensão temporária do preço registrado.</w:t>
            </w:r>
          </w:p>
          <w:p>
            <w:pPr>
              <w:bidi w:val="0"/>
              <w:spacing w:before="0" w:after="141"/>
              <w:ind w:firstLine="700"/>
              <w:jc w:val="both"/>
            </w:pPr>
            <w:r>
              <w:rPr>
                <w:rFonts w:ascii="Verdana" w:eastAsia="Verdana" w:hAnsi="Verdana" w:cs="Verdana"/>
                <w:b/>
                <w:bCs/>
                <w:color w:val="000000"/>
                <w:spacing w:val="0"/>
                <w:sz w:val="16"/>
                <w:szCs w:val="16"/>
              </w:rPr>
              <w:t>§ 3º</w:t>
            </w:r>
            <w:r>
              <w:rPr>
                <w:rFonts w:ascii="Verdana" w:eastAsia="Verdana" w:hAnsi="Verdana" w:cs="Verdana"/>
                <w:color w:val="000000"/>
                <w:spacing w:val="0"/>
                <w:sz w:val="16"/>
                <w:szCs w:val="16"/>
              </w:rPr>
              <w:t xml:space="preserve"> Enquanto perdurar a suspensão poderão ser realizadas novas licitações para aquisição dos itens constantes dos registros de preços.</w:t>
            </w:r>
          </w:p>
          <w:p>
            <w:pPr>
              <w:bidi w:val="0"/>
              <w:spacing w:before="0" w:after="0"/>
              <w:jc w:val="both"/>
            </w:pPr>
            <w:r>
              <w:rPr>
                <w:rFonts w:ascii="Verdana" w:eastAsia="Verdana" w:hAnsi="Verdana" w:cs="Verdana"/>
                <w:b/>
                <w:bCs/>
                <w:color w:val="000000"/>
                <w:spacing w:val="0"/>
                <w:sz w:val="16"/>
                <w:szCs w:val="16"/>
                <w:u w:val="single"/>
              </w:rPr>
              <w:t>21 DAS DISPOSIÇÕES GERAIS</w:t>
            </w:r>
          </w:p>
          <w:p>
            <w:pPr>
              <w:bidi w:val="0"/>
              <w:spacing w:before="0" w:after="0"/>
              <w:jc w:val="both"/>
            </w:pPr>
            <w:r>
              <w:rPr>
                <w:rFonts w:ascii="Verdana" w:eastAsia="Verdana" w:hAnsi="Verdana" w:cs="Verdana"/>
                <w:b/>
                <w:bCs/>
                <w:color w:val="000000"/>
                <w:spacing w:val="0"/>
                <w:sz w:val="16"/>
                <w:szCs w:val="16"/>
              </w:rPr>
              <w:t>21.1</w:t>
            </w:r>
            <w:r>
              <w:rPr>
                <w:rFonts w:ascii="Verdana" w:eastAsia="Verdana" w:hAnsi="Verdana" w:cs="Verdana"/>
                <w:color w:val="000000"/>
                <w:spacing w:val="0"/>
                <w:sz w:val="16"/>
                <w:szCs w:val="16"/>
              </w:rPr>
              <w:t xml:space="preserve"> Não serão consideradas as propostas que deixarem de atender qualquer das disposições do presente Edital.</w:t>
            </w:r>
          </w:p>
          <w:p>
            <w:pPr>
              <w:bidi w:val="0"/>
              <w:spacing w:before="0" w:after="0"/>
              <w:jc w:val="both"/>
            </w:pPr>
            <w:r>
              <w:rPr>
                <w:rFonts w:ascii="Verdana" w:eastAsia="Verdana" w:hAnsi="Verdana" w:cs="Verdana"/>
                <w:b/>
                <w:bCs/>
                <w:color w:val="000000"/>
                <w:spacing w:val="0"/>
                <w:sz w:val="16"/>
                <w:szCs w:val="16"/>
              </w:rPr>
              <w:t>21.2</w:t>
            </w:r>
            <w:r>
              <w:rPr>
                <w:rFonts w:ascii="Verdana" w:eastAsia="Verdana" w:hAnsi="Verdana" w:cs="Verdana"/>
                <w:color w:val="000000"/>
                <w:spacing w:val="0"/>
                <w:sz w:val="16"/>
                <w:szCs w:val="16"/>
              </w:rPr>
              <w:t xml:space="preserve"> Quaisquer informações ou dúvidas de ordem técnica, bem como aquelas decorrentes de interpretação do edital, deverão ser solicitadas, ao Município de Campo Novo/RS, setor de Licitações, sito à Av. Bento Gonçalves, nº 555, de segundas às sextas-feiras, no horário das 07:30 às 11:30hs e das 13 às 17hs, pelo telefone (55) 3528-1300, preferencialmente, com antecedência mínima de 03 (três) dias da data marcada para recebimento dos envelopes.</w:t>
            </w:r>
          </w:p>
          <w:p>
            <w:pPr>
              <w:bidi w:val="0"/>
              <w:spacing w:before="0" w:after="0"/>
              <w:jc w:val="both"/>
            </w:pPr>
            <w:r>
              <w:rPr>
                <w:rFonts w:ascii="Verdana" w:eastAsia="Verdana" w:hAnsi="Verdana" w:cs="Verdana"/>
                <w:b/>
                <w:bCs/>
                <w:color w:val="000000"/>
                <w:spacing w:val="0"/>
                <w:sz w:val="16"/>
                <w:szCs w:val="16"/>
              </w:rPr>
              <w:t>21.3</w:t>
            </w:r>
            <w:r>
              <w:rPr>
                <w:rFonts w:ascii="Verdana" w:eastAsia="Verdana" w:hAnsi="Verdana" w:cs="Verdana"/>
                <w:color w:val="000000"/>
                <w:spacing w:val="0"/>
                <w:sz w:val="16"/>
                <w:szCs w:val="16"/>
              </w:rPr>
              <w:t xml:space="preserve"> Para agilização dos trabalhos, solicita-se que as licitantes façam constar na documentação o seu endereço, e-mail e os números de fax e telefone.</w:t>
            </w:r>
          </w:p>
          <w:p>
            <w:pPr>
              <w:bidi w:val="0"/>
              <w:spacing w:before="0" w:after="0"/>
              <w:jc w:val="both"/>
            </w:pPr>
            <w:r>
              <w:rPr>
                <w:rFonts w:ascii="Verdana" w:eastAsia="Verdana" w:hAnsi="Verdana" w:cs="Verdana"/>
                <w:b/>
                <w:bCs/>
                <w:color w:val="000000"/>
                <w:spacing w:val="0"/>
                <w:sz w:val="16"/>
                <w:szCs w:val="16"/>
              </w:rPr>
              <w:t>21.4</w:t>
            </w:r>
            <w:r>
              <w:rPr>
                <w:rFonts w:ascii="Verdana" w:eastAsia="Verdana" w:hAnsi="Verdana" w:cs="Verdana"/>
                <w:color w:val="000000"/>
                <w:spacing w:val="0"/>
                <w:sz w:val="16"/>
                <w:szCs w:val="16"/>
              </w:rPr>
              <w:t xml:space="preserve"> Os casos omissos serão resolvidos pela Pregoeira, que decidirá com base na legislação em vigor.</w:t>
            </w:r>
          </w:p>
          <w:p>
            <w:pPr>
              <w:bidi w:val="0"/>
              <w:spacing w:before="0" w:after="0"/>
              <w:jc w:val="both"/>
            </w:pPr>
            <w:r>
              <w:rPr>
                <w:rFonts w:ascii="Verdana" w:eastAsia="Verdana" w:hAnsi="Verdana" w:cs="Verdana"/>
                <w:b/>
                <w:bCs/>
                <w:color w:val="000000"/>
                <w:spacing w:val="0"/>
                <w:sz w:val="16"/>
                <w:szCs w:val="16"/>
              </w:rPr>
              <w:t>21.5</w:t>
            </w:r>
            <w:r>
              <w:rPr>
                <w:rFonts w:ascii="Verdana" w:eastAsia="Verdana" w:hAnsi="Verdana" w:cs="Verdana"/>
                <w:color w:val="000000"/>
                <w:spacing w:val="0"/>
                <w:sz w:val="16"/>
                <w:szCs w:val="16"/>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14.133/21, sobre o valor inicial contratado.</w:t>
            </w:r>
          </w:p>
          <w:p>
            <w:pPr>
              <w:bidi w:val="0"/>
              <w:spacing w:before="0" w:after="0"/>
              <w:jc w:val="both"/>
            </w:pPr>
            <w:r>
              <w:rPr>
                <w:rFonts w:ascii="Verdana" w:eastAsia="Verdana" w:hAnsi="Verdana" w:cs="Verdana"/>
                <w:b/>
                <w:bCs/>
                <w:color w:val="000000"/>
                <w:spacing w:val="0"/>
                <w:sz w:val="16"/>
                <w:szCs w:val="16"/>
              </w:rPr>
              <w:t>21.6</w:t>
            </w:r>
            <w:r>
              <w:rPr>
                <w:rFonts w:ascii="Verdana" w:eastAsia="Verdana" w:hAnsi="Verdana" w:cs="Verdana"/>
                <w:color w:val="000000"/>
                <w:spacing w:val="0"/>
                <w:sz w:val="16"/>
                <w:szCs w:val="16"/>
              </w:rPr>
              <w:t xml:space="preserve"> O Município de Campo Novo/RS se reserva o direito de anular ou revogar a presente licitação, no total ou em parte, sem que caiba indenização de qualquer espécie. (art. 60 da Lei Federal nº 14.133/21).</w:t>
            </w:r>
          </w:p>
          <w:p>
            <w:pPr>
              <w:bidi w:val="0"/>
              <w:spacing w:before="0" w:after="0"/>
              <w:jc w:val="both"/>
            </w:pPr>
            <w:r>
              <w:rPr>
                <w:rFonts w:ascii="Verdana" w:eastAsia="Verdana" w:hAnsi="Verdana" w:cs="Verdana"/>
                <w:b/>
                <w:bCs/>
                <w:color w:val="000000"/>
                <w:spacing w:val="0"/>
                <w:sz w:val="16"/>
                <w:szCs w:val="16"/>
              </w:rPr>
              <w:t>21.7</w:t>
            </w:r>
            <w:r>
              <w:rPr>
                <w:rFonts w:ascii="Verdana" w:eastAsia="Verdana" w:hAnsi="Verdana" w:cs="Verdana"/>
                <w:color w:val="000000"/>
                <w:spacing w:val="0"/>
                <w:sz w:val="16"/>
                <w:szCs w:val="16"/>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bidi w:val="0"/>
              <w:spacing w:before="0" w:after="0"/>
              <w:jc w:val="both"/>
            </w:pPr>
            <w:r>
              <w:rPr>
                <w:rFonts w:ascii="Verdana" w:eastAsia="Verdana" w:hAnsi="Verdana" w:cs="Verdana"/>
                <w:b/>
                <w:bCs/>
                <w:color w:val="000000"/>
                <w:spacing w:val="0"/>
                <w:sz w:val="16"/>
                <w:szCs w:val="16"/>
              </w:rPr>
              <w:t>21.8</w:t>
            </w:r>
            <w:r>
              <w:rPr>
                <w:rFonts w:ascii="Verdana" w:eastAsia="Verdana" w:hAnsi="Verdana" w:cs="Verdana"/>
                <w:color w:val="000000"/>
                <w:spacing w:val="0"/>
                <w:sz w:val="16"/>
                <w:szCs w:val="16"/>
              </w:rPr>
              <w:t xml:space="preserve"> Após a apresentação da proposta, não caberá desistência, salvo por motivo justo decorrente de fato superveniente e aceito pela Pregoeira.</w:t>
            </w:r>
          </w:p>
          <w:p>
            <w:pPr>
              <w:bidi w:val="0"/>
              <w:spacing w:before="0" w:after="141"/>
              <w:jc w:val="both"/>
            </w:pPr>
            <w:r>
              <w:rPr>
                <w:rFonts w:ascii="Verdana" w:eastAsia="Verdana" w:hAnsi="Verdana" w:cs="Verdana"/>
                <w:b/>
                <w:bCs/>
                <w:color w:val="000000"/>
                <w:spacing w:val="0"/>
                <w:sz w:val="16"/>
                <w:szCs w:val="16"/>
              </w:rPr>
              <w:t>21.9</w:t>
            </w:r>
            <w:r>
              <w:rPr>
                <w:rFonts w:ascii="Verdana" w:eastAsia="Verdana" w:hAnsi="Verdana" w:cs="Verdana"/>
                <w:color w:val="000000"/>
                <w:spacing w:val="0"/>
                <w:sz w:val="16"/>
                <w:szCs w:val="16"/>
              </w:rPr>
              <w:t xml:space="preserve"> Fica eleito o Foro da Comarca de Campo Novo/RS, para dirimir eventuais litígios decorrentes do presente .</w:t>
            </w:r>
          </w:p>
          <w:p>
            <w:pPr>
              <w:bidi w:val="0"/>
              <w:spacing w:before="0" w:after="0"/>
              <w:jc w:val="both"/>
            </w:pPr>
            <w:r>
              <w:rPr>
                <w:rFonts w:ascii="Verdana" w:eastAsia="Verdana" w:hAnsi="Verdana" w:cs="Verdana"/>
                <w:b/>
                <w:bCs/>
                <w:color w:val="000000"/>
                <w:spacing w:val="0"/>
                <w:sz w:val="16"/>
                <w:szCs w:val="16"/>
              </w:rPr>
              <w:t>21.10</w:t>
            </w:r>
            <w:r>
              <w:rPr>
                <w:rFonts w:ascii="Verdana" w:eastAsia="Verdana" w:hAnsi="Verdana" w:cs="Verdana"/>
                <w:color w:val="000000"/>
                <w:spacing w:val="0"/>
                <w:sz w:val="16"/>
                <w:szCs w:val="16"/>
              </w:rPr>
              <w:t xml:space="preserve"> São anexos deste Edital:</w:t>
            </w:r>
          </w:p>
          <w:p>
            <w:pPr>
              <w:bidi w:val="0"/>
              <w:spacing w:before="0" w:after="0"/>
              <w:jc w:val="both"/>
            </w:pPr>
            <w:r>
              <w:rPr>
                <w:rFonts w:ascii="Verdana" w:eastAsia="Verdana" w:hAnsi="Verdana" w:cs="Verdana"/>
                <w:b/>
                <w:bCs/>
                <w:color w:val="000000"/>
                <w:spacing w:val="0"/>
                <w:sz w:val="16"/>
                <w:szCs w:val="16"/>
              </w:rPr>
              <w:t>ANEXO I – Termo de Referência;</w:t>
            </w:r>
          </w:p>
          <w:p>
            <w:pPr>
              <w:bidi w:val="0"/>
              <w:spacing w:before="0" w:after="0"/>
              <w:jc w:val="both"/>
            </w:pPr>
            <w:r>
              <w:rPr>
                <w:rFonts w:ascii="Verdana" w:eastAsia="Verdana" w:hAnsi="Verdana" w:cs="Verdana"/>
                <w:b/>
                <w:bCs/>
                <w:color w:val="000000"/>
                <w:spacing w:val="0"/>
                <w:sz w:val="16"/>
                <w:szCs w:val="16"/>
              </w:rPr>
              <w:t>ANEXO II - Modelo de Declaração de Preenchimento dos Requisitos de Habilitação;</w:t>
            </w:r>
          </w:p>
          <w:p>
            <w:pPr>
              <w:bidi w:val="0"/>
              <w:spacing w:before="0" w:after="0"/>
              <w:jc w:val="both"/>
            </w:pPr>
            <w:r>
              <w:rPr>
                <w:rFonts w:ascii="Verdana" w:eastAsia="Verdana" w:hAnsi="Verdana" w:cs="Verdana"/>
                <w:b/>
                <w:bCs/>
                <w:color w:val="000000"/>
                <w:spacing w:val="0"/>
                <w:sz w:val="16"/>
                <w:szCs w:val="16"/>
              </w:rPr>
              <w:t>ANEXO III - Modelo de Declaração de Enquadramento ME ou EPP;</w:t>
            </w:r>
          </w:p>
          <w:p>
            <w:pPr>
              <w:bidi w:val="0"/>
              <w:spacing w:before="0" w:after="0"/>
              <w:jc w:val="both"/>
            </w:pPr>
            <w:r>
              <w:rPr>
                <w:rFonts w:ascii="Verdana" w:eastAsia="Verdana" w:hAnsi="Verdana" w:cs="Verdana"/>
                <w:b/>
                <w:bCs/>
                <w:color w:val="000000"/>
                <w:spacing w:val="0"/>
                <w:sz w:val="16"/>
                <w:szCs w:val="16"/>
              </w:rPr>
              <w:t>ANEXO IV - Modelo de Declaração de que não emprega menor de idade;</w:t>
            </w:r>
          </w:p>
          <w:p>
            <w:pPr>
              <w:bidi w:val="0"/>
              <w:spacing w:before="0" w:after="141"/>
              <w:jc w:val="both"/>
            </w:pPr>
            <w:r>
              <w:rPr>
                <w:rFonts w:ascii="Verdana" w:eastAsia="Verdana" w:hAnsi="Verdana" w:cs="Verdana"/>
                <w:b/>
                <w:bCs/>
                <w:color w:val="000000"/>
                <w:spacing w:val="0"/>
                <w:sz w:val="16"/>
                <w:szCs w:val="16"/>
              </w:rPr>
              <w:t>ANEXO V – Ata Registro de Preço.</w:t>
            </w:r>
          </w:p>
          <w:p>
            <w:pPr>
              <w:bidi w:val="0"/>
              <w:spacing w:before="0" w:after="425"/>
              <w:jc w:val="center"/>
            </w:pPr>
            <w:r>
              <w:rPr>
                <w:rFonts w:ascii="Verdana" w:eastAsia="Verdana" w:hAnsi="Verdana" w:cs="Verdana"/>
                <w:b/>
                <w:bCs/>
                <w:color w:val="000000"/>
                <w:spacing w:val="0"/>
                <w:sz w:val="16"/>
                <w:szCs w:val="16"/>
              </w:rPr>
              <w:t>Campo Novo/RS, .</w:t>
            </w:r>
          </w:p>
          <w:p>
            <w:pPr>
              <w:bidi w:val="0"/>
              <w:spacing w:before="0" w:after="0"/>
              <w:jc w:val="center"/>
            </w:pPr>
            <w:r>
              <w:rPr>
                <w:rFonts w:ascii="Verdana" w:eastAsia="Verdana" w:hAnsi="Verdana" w:cs="Verdana"/>
                <w:b/>
                <w:bCs/>
                <w:color w:val="000000"/>
                <w:spacing w:val="0"/>
                <w:sz w:val="16"/>
                <w:szCs w:val="16"/>
              </w:rPr>
              <w:t>Prefeito(a) Municipal</w:t>
            </w:r>
          </w:p>
        </w:tc>
      </w:tr>
    </w:tbl>
    <w:p>
      <w:pPr>
        <w:sectPr>
          <w:headerReference w:type="default" r:id="rId6"/>
          <w:footerReference w:type="default" r:id="rId7"/>
          <w:pgSz w:w="11905" w:h="16837" w:orient="portrait"/>
          <w:pgMar w:top="360" w:right="720" w:bottom="360" w:left="720" w:header="360" w:footer="360"/>
          <w:cols w:space="708"/>
        </w:sectPr>
      </w:pPr>
    </w:p>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2" w:name="__bookmark_6"/>
          <w:bookmarkEnd w:id="2"/>
          <w:p>
            <w:pPr>
              <w:bidi w:val="0"/>
              <w:spacing w:before="0" w:after="141"/>
              <w:jc w:val="center"/>
            </w:pPr>
            <w:r>
              <w:rPr>
                <w:rFonts w:ascii="Verdana" w:eastAsia="Verdana" w:hAnsi="Verdana" w:cs="Verdana"/>
                <w:b/>
                <w:bCs/>
                <w:color w:val="000000"/>
                <w:spacing w:val="0"/>
                <w:sz w:val="16"/>
                <w:szCs w:val="16"/>
              </w:rPr>
              <w:t>ANEXO I – TERMO DE REFERÊNCIA</w:t>
            </w:r>
          </w:p>
        </w:tc>
      </w:tr>
    </w:tbl>
    <w:bookmarkStart w:id="3" w:name="__bookmark_7"/>
    <w:bookmarkEnd w:id="3"/>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283"/>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bookmarkStart w:id="4" w:name="__bookmark_8"/>
          <w:bookmarkEnd w:id="4"/>
          <w:bookmarkStart w:id="5" w:name="__bookmark_9"/>
          <w:bookmarkEnd w:id="5"/>
          <w:p/>
          <w:p>
            <w:pPr>
              <w:spacing w:line="1" w:lineRule="auto"/>
            </w:pPr>
          </w:p>
        </w:tc>
      </w:tr>
      <w:tr>
        <w:tblPrEx>
          <w:tblW w:w="10425" w:type="dxa"/>
          <w:tblInd w:w="20" w:type="dxa"/>
          <w:tblLayout w:type="fixed"/>
          <w:tblLook w:val="01E0"/>
        </w:tblPrEx>
        <w:trPr>
          <w:trHeight w:hRule="exact" w:val="283"/>
        </w:trPr>
        <w:tc>
          <w:tcPr>
            <w:tcW w:w="10465" w:type="dxa"/>
            <w:noWrap w:val="0"/>
            <w:tcMar>
              <w:top w:w="0" w:type="dxa"/>
              <w:left w:w="0" w:type="dxa"/>
              <w:bottom w:w="0" w:type="dxa"/>
              <w:right w:w="0" w:type="dxa"/>
            </w:tcMar>
            <w:vAlign w:val="top"/>
          </w:tcPr>
          <w:p>
            <w:pPr>
              <w:spacing w:line="1" w:lineRule="auto"/>
            </w:pPr>
          </w:p>
        </w:tc>
      </w:tr>
    </w:tbl>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p>
            <w:pPr>
              <w:bidi w:val="0"/>
              <w:spacing w:before="0" w:after="0"/>
              <w:jc w:val="both"/>
            </w:pPr>
            <w:r>
              <w:rPr>
                <w:rFonts w:ascii="Verdana" w:eastAsia="Verdana" w:hAnsi="Verdana" w:cs="Verdana"/>
                <w:b/>
                <w:bCs/>
                <w:color w:val="000000"/>
                <w:spacing w:val="0"/>
                <w:sz w:val="16"/>
                <w:szCs w:val="16"/>
                <w:u w:val="single"/>
              </w:rPr>
              <w:t>Obs.: 1)Todos os produtos devem ser entregues com a data de validade de no mínimo um ano, com exceção dos perecíveis.</w:t>
            </w:r>
          </w:p>
          <w:p>
            <w:pPr>
              <w:bidi w:val="0"/>
              <w:spacing w:before="0" w:after="0"/>
              <w:jc w:val="both"/>
            </w:pPr>
            <w:r>
              <w:rPr>
                <w:rFonts w:ascii="Verdana" w:eastAsia="Verdana" w:hAnsi="Verdana" w:cs="Verdana"/>
                <w:b/>
                <w:bCs/>
                <w:color w:val="000000"/>
                <w:spacing w:val="0"/>
                <w:sz w:val="16"/>
                <w:szCs w:val="16"/>
                <w:u w:val="single"/>
              </w:rPr>
              <w:t>2) Observar o prazo de entrega no item 15.1 do edital.</w:t>
            </w:r>
          </w:p>
        </w:tc>
      </w:tr>
    </w:tbl>
    <w:p>
      <w:pPr>
        <w:sectPr>
          <w:headerReference w:type="default" r:id="rId8"/>
          <w:footerReference w:type="default" r:id="rId9"/>
          <w:pgSz w:w="11905" w:h="16837" w:orient="portrait"/>
          <w:pgMar w:top="360" w:right="720" w:bottom="360" w:left="720" w:header="360" w:footer="360"/>
          <w:cols w:space="708"/>
        </w:sectPr>
      </w:pPr>
    </w:p>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6" w:name="__bookmark_10"/>
          <w:bookmarkEnd w:id="6"/>
          <w:p>
            <w:pPr>
              <w:bidi w:val="0"/>
              <w:spacing w:before="0" w:after="141"/>
              <w:jc w:val="center"/>
            </w:pPr>
            <w:r>
              <w:rPr>
                <w:rFonts w:ascii="Verdana" w:eastAsia="Verdana" w:hAnsi="Verdana" w:cs="Verdana"/>
                <w:b/>
                <w:bCs/>
                <w:color w:val="000000"/>
                <w:spacing w:val="0"/>
                <w:sz w:val="16"/>
                <w:szCs w:val="16"/>
              </w:rPr>
              <w:t>ANEXO II - MODELO DE DECLARAÇÃO DE PREENCHIMENTO DOS REQUISITOS DE HABILITAÇÃO</w:t>
            </w:r>
          </w:p>
          <w:p>
            <w:pPr>
              <w:bidi w:val="0"/>
              <w:spacing w:before="0" w:after="141"/>
              <w:jc w:val="center"/>
            </w:pPr>
            <w:r>
              <w:rPr>
                <w:rFonts w:ascii="Verdana" w:eastAsia="Verdana" w:hAnsi="Verdana" w:cs="Verdana"/>
                <w:b/>
                <w:bCs/>
                <w:color w:val="000000"/>
                <w:spacing w:val="0"/>
                <w:sz w:val="16"/>
                <w:szCs w:val="16"/>
              </w:rPr>
              <w:t>Declaração de Preenchimento dos Requisitos de Habilitação</w:t>
            </w:r>
          </w:p>
          <w:p>
            <w:pPr>
              <w:bidi w:val="0"/>
              <w:spacing w:before="0" w:after="141"/>
              <w:jc w:val="both"/>
            </w:pPr>
            <w:r>
              <w:rPr>
                <w:rFonts w:ascii="Verdana" w:eastAsia="Verdana" w:hAnsi="Verdana" w:cs="Verdana"/>
                <w:color w:val="000000"/>
                <w:spacing w:val="0"/>
                <w:sz w:val="16"/>
                <w:szCs w:val="16"/>
              </w:rPr>
              <w:t>(Nome da Empresa), CNPJ nº ______________, sediada na _____________________ (endereço), __________________ (cidade/estado), declara, sob as penas da Lei, que preenche plenamente os requisitos de habilitação estabelecidos no presente Edital, nº null/null, ciente da obrigatoriedade de declarar ocorrências posteriores.</w:t>
            </w:r>
          </w:p>
          <w:p>
            <w:pPr>
              <w:bidi w:val="0"/>
              <w:spacing w:before="0" w:after="425"/>
              <w:jc w:val="center"/>
            </w:pPr>
            <w:r>
              <w:rPr>
                <w:rFonts w:ascii="Verdana" w:eastAsia="Verdana" w:hAnsi="Verdana" w:cs="Verdana"/>
                <w:color w:val="000000"/>
                <w:spacing w:val="0"/>
                <w:sz w:val="16"/>
                <w:szCs w:val="16"/>
              </w:rPr>
              <w:t>_________________, _____ de _____________ de .</w:t>
            </w:r>
          </w:p>
          <w:p>
            <w:pPr>
              <w:bidi w:val="0"/>
              <w:spacing w:before="0" w:after="0"/>
              <w:jc w:val="center"/>
            </w:pPr>
            <w:r>
              <w:rPr>
                <w:rFonts w:ascii="Verdana" w:eastAsia="Verdana" w:hAnsi="Verdana" w:cs="Verdana"/>
                <w:color w:val="000000"/>
                <w:spacing w:val="0"/>
                <w:sz w:val="16"/>
                <w:szCs w:val="16"/>
              </w:rPr>
              <w:t>_____________________________</w:t>
            </w:r>
          </w:p>
          <w:p>
            <w:pPr>
              <w:bidi w:val="0"/>
              <w:spacing w:before="0" w:after="283"/>
              <w:jc w:val="center"/>
            </w:pPr>
            <w:r>
              <w:rPr>
                <w:rFonts w:ascii="Verdana" w:eastAsia="Verdana" w:hAnsi="Verdana" w:cs="Verdana"/>
                <w:color w:val="000000"/>
                <w:spacing w:val="0"/>
                <w:sz w:val="16"/>
                <w:szCs w:val="16"/>
              </w:rPr>
              <w:t>Nome do Declarante</w:t>
            </w:r>
          </w:p>
          <w:p>
            <w:pPr>
              <w:bidi w:val="0"/>
              <w:spacing w:before="0" w:after="0"/>
              <w:jc w:val="both"/>
            </w:pPr>
            <w:r>
              <w:rPr>
                <w:rFonts w:ascii="Verdana" w:eastAsia="Verdana" w:hAnsi="Verdana" w:cs="Verdana"/>
                <w:b/>
                <w:bCs/>
                <w:color w:val="000000"/>
                <w:spacing w:val="0"/>
                <w:sz w:val="16"/>
                <w:szCs w:val="16"/>
              </w:rPr>
              <w:t>Obs.</w:t>
            </w:r>
            <w:r>
              <w:rPr>
                <w:rFonts w:ascii="Verdana" w:eastAsia="Verdana" w:hAnsi="Verdana" w:cs="Verdana"/>
                <w:color w:val="000000"/>
                <w:spacing w:val="0"/>
                <w:sz w:val="16"/>
                <w:szCs w:val="16"/>
              </w:rPr>
              <w:t xml:space="preserve"> Este anexo deverá ser apresentado fora dos envelopes, por ocasião do credenciamento.</w:t>
            </w:r>
          </w:p>
        </w:tc>
      </w:tr>
    </w:tbl>
    <w:p>
      <w:pPr>
        <w:sectPr>
          <w:headerReference w:type="default" r:id="rId10"/>
          <w:footerReference w:type="default" r:id="rId11"/>
          <w:pgSz w:w="11905" w:h="16837" w:orient="portrait"/>
          <w:pgMar w:top="360" w:right="720" w:bottom="360" w:left="720" w:header="360" w:footer="360"/>
          <w:cols w:space="708"/>
        </w:sectPr>
      </w:pPr>
    </w:p>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7" w:name="__bookmark_11"/>
          <w:bookmarkEnd w:id="7"/>
          <w:p>
            <w:pPr>
              <w:bidi w:val="0"/>
              <w:spacing w:before="0" w:after="141"/>
              <w:jc w:val="center"/>
            </w:pPr>
            <w:r>
              <w:rPr>
                <w:rFonts w:ascii="Verdana" w:eastAsia="Verdana" w:hAnsi="Verdana" w:cs="Verdana"/>
                <w:b/>
                <w:bCs/>
                <w:color w:val="000000"/>
                <w:spacing w:val="0"/>
                <w:sz w:val="16"/>
                <w:szCs w:val="16"/>
              </w:rPr>
              <w:t>ANEXO III - MODELO DE DECLARAÇÃO DE ENQUADRAMENTO ME OU EPP</w:t>
            </w:r>
          </w:p>
          <w:p>
            <w:pPr>
              <w:bidi w:val="0"/>
              <w:spacing w:before="0" w:after="141"/>
              <w:jc w:val="center"/>
            </w:pPr>
            <w:r>
              <w:rPr>
                <w:rFonts w:ascii="Verdana" w:eastAsia="Verdana" w:hAnsi="Verdana" w:cs="Verdana"/>
                <w:b/>
                <w:bCs/>
                <w:color w:val="000000"/>
                <w:spacing w:val="0"/>
                <w:sz w:val="16"/>
                <w:szCs w:val="16"/>
              </w:rPr>
              <w:t>Declaração de Enquadramento ME ou EPP</w:t>
            </w:r>
          </w:p>
          <w:p>
            <w:pPr>
              <w:bidi w:val="0"/>
              <w:spacing w:before="0" w:after="141"/>
              <w:jc w:val="both"/>
            </w:pPr>
            <w:r>
              <w:rPr>
                <w:rFonts w:ascii="Verdana" w:eastAsia="Verdana" w:hAnsi="Verdana" w:cs="Verdana"/>
                <w:color w:val="000000"/>
                <w:spacing w:val="0"/>
                <w:sz w:val="16"/>
                <w:szCs w:val="16"/>
              </w:rPr>
              <w:t>DECLARO para os devidos fins e sob as penalidades da lei, que a empresa ____________________________, inscrita no CNPJ sob nº__________________, está enquadrada como _____________________ (microempresa/EPP), e cumpre os requisitos estabelecidos no artigo 3º da Lei Complementar nº 123, de 14 de dezembro de 2006, e está apta a usufruir do tratamento favorecido estabelecido nos artigos 42 ao 49 da referida lei. Outrossim declaro que não existe qualquer impedimento entre os previstos nos incisos do §4 do artigo 3º da Lei Complementar nº 123/2006.</w:t>
            </w:r>
          </w:p>
          <w:p>
            <w:pPr>
              <w:bidi w:val="0"/>
              <w:spacing w:before="0" w:after="425"/>
              <w:jc w:val="center"/>
            </w:pPr>
            <w:r>
              <w:rPr>
                <w:rFonts w:ascii="Verdana" w:eastAsia="Verdana" w:hAnsi="Verdana" w:cs="Verdana"/>
                <w:color w:val="000000"/>
                <w:spacing w:val="0"/>
                <w:sz w:val="16"/>
                <w:szCs w:val="16"/>
              </w:rPr>
              <w:t>_________________, _____ de _____________ de .</w:t>
            </w:r>
          </w:p>
          <w:p>
            <w:pPr>
              <w:bidi w:val="0"/>
              <w:spacing w:before="0" w:after="0"/>
              <w:jc w:val="center"/>
            </w:pPr>
            <w:r>
              <w:rPr>
                <w:rFonts w:ascii="Verdana" w:eastAsia="Verdana" w:hAnsi="Verdana" w:cs="Verdana"/>
                <w:color w:val="000000"/>
                <w:spacing w:val="0"/>
                <w:sz w:val="16"/>
                <w:szCs w:val="16"/>
              </w:rPr>
              <w:t>_____________________________</w:t>
            </w:r>
          </w:p>
          <w:p>
            <w:pPr>
              <w:bidi w:val="0"/>
              <w:spacing w:before="0" w:after="0"/>
              <w:jc w:val="center"/>
            </w:pPr>
            <w:r>
              <w:rPr>
                <w:rFonts w:ascii="Verdana" w:eastAsia="Verdana" w:hAnsi="Verdana" w:cs="Verdana"/>
                <w:color w:val="000000"/>
                <w:spacing w:val="0"/>
                <w:sz w:val="16"/>
                <w:szCs w:val="16"/>
              </w:rPr>
              <w:t>Nome do Declarante (contador):</w:t>
            </w:r>
          </w:p>
          <w:p>
            <w:pPr>
              <w:bidi w:val="0"/>
              <w:spacing w:before="0" w:after="425"/>
              <w:jc w:val="center"/>
            </w:pPr>
            <w:r>
              <w:rPr>
                <w:rFonts w:ascii="Verdana" w:eastAsia="Verdana" w:hAnsi="Verdana" w:cs="Verdana"/>
                <w:color w:val="000000"/>
                <w:spacing w:val="0"/>
                <w:sz w:val="16"/>
                <w:szCs w:val="16"/>
              </w:rPr>
              <w:t>CRC:</w:t>
            </w:r>
          </w:p>
          <w:p>
            <w:pPr>
              <w:bidi w:val="0"/>
              <w:spacing w:before="0" w:after="0"/>
              <w:jc w:val="center"/>
            </w:pPr>
            <w:r>
              <w:rPr>
                <w:rFonts w:ascii="Verdana" w:eastAsia="Verdana" w:hAnsi="Verdana" w:cs="Verdana"/>
                <w:color w:val="000000"/>
                <w:spacing w:val="0"/>
                <w:sz w:val="16"/>
                <w:szCs w:val="16"/>
              </w:rPr>
              <w:t>_______________________</w:t>
            </w:r>
          </w:p>
          <w:p>
            <w:pPr>
              <w:bidi w:val="0"/>
              <w:spacing w:before="0" w:after="425"/>
              <w:jc w:val="center"/>
            </w:pPr>
            <w:r>
              <w:rPr>
                <w:rFonts w:ascii="Verdana" w:eastAsia="Verdana" w:hAnsi="Verdana" w:cs="Verdana"/>
                <w:color w:val="000000"/>
                <w:spacing w:val="0"/>
                <w:sz w:val="16"/>
                <w:szCs w:val="16"/>
              </w:rPr>
              <w:t>Nome do Proprietário</w:t>
            </w:r>
          </w:p>
          <w:p>
            <w:pPr>
              <w:bidi w:val="0"/>
              <w:spacing w:before="0" w:after="0"/>
              <w:jc w:val="both"/>
            </w:pPr>
            <w:r>
              <w:rPr>
                <w:rFonts w:ascii="Verdana" w:eastAsia="Verdana" w:hAnsi="Verdana" w:cs="Verdana"/>
                <w:b/>
                <w:bCs/>
                <w:color w:val="000000"/>
                <w:spacing w:val="0"/>
                <w:sz w:val="16"/>
                <w:szCs w:val="16"/>
              </w:rPr>
              <w:t>Obs. 1</w:t>
            </w:r>
            <w:r>
              <w:rPr>
                <w:rFonts w:ascii="Verdana" w:eastAsia="Verdana" w:hAnsi="Verdana" w:cs="Verdana"/>
                <w:color w:val="000000"/>
                <w:spacing w:val="0"/>
                <w:sz w:val="16"/>
                <w:szCs w:val="16"/>
              </w:rPr>
              <w:t xml:space="preserve"> Este anexo deverá ser apresentado fora dos envelopes, por ocasião do credenciamento.</w:t>
            </w:r>
          </w:p>
          <w:p>
            <w:pPr>
              <w:bidi w:val="0"/>
              <w:spacing w:before="0" w:after="0"/>
              <w:jc w:val="both"/>
            </w:pPr>
            <w:r>
              <w:rPr>
                <w:rFonts w:ascii="Verdana" w:eastAsia="Verdana" w:hAnsi="Verdana" w:cs="Verdana"/>
                <w:b/>
                <w:bCs/>
                <w:color w:val="000000"/>
                <w:spacing w:val="0"/>
                <w:sz w:val="16"/>
                <w:szCs w:val="16"/>
              </w:rPr>
              <w:t>Obs. 2</w:t>
            </w:r>
            <w:r>
              <w:rPr>
                <w:rFonts w:ascii="Verdana" w:eastAsia="Verdana" w:hAnsi="Verdana" w:cs="Verdana"/>
                <w:color w:val="000000"/>
                <w:spacing w:val="0"/>
                <w:sz w:val="16"/>
                <w:szCs w:val="16"/>
              </w:rPr>
              <w:t xml:space="preserve"> Esta declaração deverá ser assinada pelo Contador devidamente registrado no CRC (Conselho Regional de Contabilidade) e pelo proprietário, ou seu representante legal, neste caso, desde que seja anexada a procuração.</w:t>
            </w:r>
          </w:p>
        </w:tc>
      </w:tr>
    </w:tbl>
    <w:p>
      <w:pPr>
        <w:sectPr>
          <w:headerReference w:type="default" r:id="rId12"/>
          <w:footerReference w:type="default" r:id="rId13"/>
          <w:pgSz w:w="11905" w:h="16837" w:orient="portrait"/>
          <w:pgMar w:top="360" w:right="720" w:bottom="360" w:left="720" w:header="360" w:footer="360"/>
          <w:cols w:space="708"/>
        </w:sectPr>
      </w:pPr>
    </w:p>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8" w:name="__bookmark_12"/>
          <w:bookmarkEnd w:id="8"/>
          <w:p>
            <w:pPr>
              <w:bidi w:val="0"/>
              <w:spacing w:before="0" w:after="141"/>
              <w:jc w:val="center"/>
            </w:pPr>
            <w:r>
              <w:rPr>
                <w:rFonts w:ascii="Verdana" w:eastAsia="Verdana" w:hAnsi="Verdana" w:cs="Verdana"/>
                <w:b/>
                <w:bCs/>
                <w:color w:val="000000"/>
                <w:spacing w:val="0"/>
                <w:sz w:val="16"/>
                <w:szCs w:val="16"/>
                <w:u w:val="single"/>
              </w:rPr>
              <w:t>ANEXO IV - MODELO DE DECLARAÇÃO QUE NÃO EMPREGA MENOR, CONFORME O MODELO DO DECRETO N° 4.358/2002.</w:t>
            </w:r>
          </w:p>
          <w:p>
            <w:pPr>
              <w:bidi w:val="0"/>
              <w:spacing w:before="0" w:after="0"/>
              <w:jc w:val="both"/>
            </w:pPr>
            <w:r>
              <w:rPr>
                <w:rFonts w:ascii="Verdana" w:eastAsia="Verdana" w:hAnsi="Verdana" w:cs="Verdana"/>
                <w:color w:val="000000"/>
                <w:spacing w:val="0"/>
                <w:sz w:val="16"/>
                <w:szCs w:val="16"/>
              </w:rPr>
              <w:t>Ref.: n° null/null</w:t>
            </w:r>
          </w:p>
          <w:p>
            <w:pPr>
              <w:bidi w:val="0"/>
              <w:spacing w:before="0" w:after="0"/>
              <w:jc w:val="both"/>
            </w:pPr>
            <w:r>
              <w:rPr>
                <w:rFonts w:ascii="Verdana" w:eastAsia="Verdana" w:hAnsi="Verdana" w:cs="Verdana"/>
                <w:color w:val="000000"/>
                <w:spacing w:val="0"/>
                <w:sz w:val="16"/>
                <w:szCs w:val="16"/>
              </w:rPr>
              <w:t xml:space="preserve">................................., inscrito no CNPJ n° ..................., por intermédio de seu representante legal o(a) Sr(a) ...................................., portador(a) da Carteira de Identidade no ............................ e do CPF no ........................., </w:t>
            </w:r>
            <w:r>
              <w:rPr>
                <w:rFonts w:ascii="Verdana" w:eastAsia="Verdana" w:hAnsi="Verdana" w:cs="Verdana"/>
                <w:b/>
                <w:bCs/>
                <w:color w:val="000000"/>
                <w:spacing w:val="0"/>
                <w:sz w:val="16"/>
                <w:szCs w:val="16"/>
              </w:rPr>
              <w:t>DECLARA</w:t>
            </w:r>
            <w:r>
              <w:rPr>
                <w:rFonts w:ascii="Verdana" w:eastAsia="Verdana" w:hAnsi="Verdana" w:cs="Verdana"/>
                <w:color w:val="000000"/>
                <w:spacing w:val="0"/>
                <w:sz w:val="16"/>
                <w:szCs w:val="16"/>
              </w:rPr>
              <w:t xml:space="preserve">, para fins do disposto no </w:t>
            </w:r>
            <w:hyperlink r:id="rId14" w:history="1">
              <w:r>
                <w:rPr>
                  <w:rStyle w:val="Hyperlink"/>
                  <w:rFonts w:ascii="Verdana" w:eastAsia="Verdana" w:hAnsi="Verdana" w:cs="Verdana"/>
                  <w:spacing w:val="0"/>
                  <w:sz w:val="16"/>
                  <w:szCs w:val="16"/>
                </w:rPr>
                <w:t>inciso V do art. 62 da Lei no 14.133, de 01 de abril de 2021</w:t>
              </w:r>
            </w:hyperlink>
            <w:r>
              <w:rPr>
                <w:rFonts w:ascii="Verdana" w:eastAsia="Verdana" w:hAnsi="Verdana" w:cs="Verdana"/>
                <w:color w:val="000000"/>
                <w:spacing w:val="0"/>
                <w:sz w:val="16"/>
                <w:szCs w:val="16"/>
              </w:rPr>
              <w:t>, acrescido pela Lei no 9.854, de 27 de outubro de 1999, que não emprega menor de dezoito anos em trabalho noturno, perigoso ou insalubre e não emprega menor de dezesseis anos.</w:t>
            </w:r>
          </w:p>
          <w:p>
            <w:pPr>
              <w:bidi w:val="0"/>
              <w:spacing w:before="0" w:after="283"/>
              <w:jc w:val="both"/>
            </w:pPr>
            <w:r>
              <w:rPr>
                <w:rFonts w:ascii="Verdana" w:eastAsia="Verdana" w:hAnsi="Verdana" w:cs="Verdana"/>
                <w:color w:val="000000"/>
                <w:spacing w:val="0"/>
                <w:sz w:val="16"/>
                <w:szCs w:val="16"/>
              </w:rPr>
              <w:t>Ressalva: emprega menor, a partir de quatorze anos, na condição de aprendiz (    ).</w:t>
            </w:r>
          </w:p>
          <w:p>
            <w:pPr>
              <w:bidi w:val="0"/>
              <w:spacing w:before="0" w:after="0"/>
              <w:jc w:val="center"/>
            </w:pPr>
            <w:r>
              <w:rPr>
                <w:rFonts w:ascii="Verdana" w:eastAsia="Verdana" w:hAnsi="Verdana" w:cs="Verdana"/>
                <w:color w:val="000000"/>
                <w:spacing w:val="0"/>
                <w:sz w:val="16"/>
                <w:szCs w:val="16"/>
              </w:rPr>
              <w:t>............................................</w:t>
            </w:r>
          </w:p>
          <w:p>
            <w:pPr>
              <w:bidi w:val="0"/>
              <w:spacing w:before="0" w:after="425"/>
              <w:jc w:val="center"/>
            </w:pPr>
            <w:r>
              <w:rPr>
                <w:rFonts w:ascii="Verdana" w:eastAsia="Verdana" w:hAnsi="Verdana" w:cs="Verdana"/>
                <w:color w:val="000000"/>
                <w:spacing w:val="0"/>
                <w:sz w:val="16"/>
                <w:szCs w:val="16"/>
              </w:rPr>
              <w:t>(data)</w:t>
            </w:r>
          </w:p>
          <w:p>
            <w:pPr>
              <w:bidi w:val="0"/>
              <w:spacing w:before="0" w:after="0"/>
              <w:jc w:val="center"/>
            </w:pPr>
            <w:r>
              <w:rPr>
                <w:rFonts w:ascii="Verdana" w:eastAsia="Verdana" w:hAnsi="Verdana" w:cs="Verdana"/>
                <w:color w:val="000000"/>
                <w:spacing w:val="0"/>
                <w:sz w:val="16"/>
                <w:szCs w:val="16"/>
              </w:rPr>
              <w:t>_____________________________</w:t>
            </w:r>
          </w:p>
          <w:p>
            <w:pPr>
              <w:bidi w:val="0"/>
              <w:spacing w:before="0" w:after="425"/>
              <w:jc w:val="center"/>
            </w:pPr>
            <w:r>
              <w:rPr>
                <w:rFonts w:ascii="Verdana" w:eastAsia="Verdana" w:hAnsi="Verdana" w:cs="Verdana"/>
                <w:color w:val="000000"/>
                <w:spacing w:val="0"/>
                <w:sz w:val="16"/>
                <w:szCs w:val="16"/>
              </w:rPr>
              <w:t>(representante legal)</w:t>
            </w:r>
          </w:p>
          <w:p>
            <w:pPr>
              <w:bidi w:val="0"/>
              <w:spacing w:before="0" w:after="0"/>
              <w:jc w:val="center"/>
            </w:pPr>
            <w:r>
              <w:rPr>
                <w:rFonts w:ascii="Verdana" w:eastAsia="Verdana" w:hAnsi="Verdana" w:cs="Verdana"/>
                <w:color w:val="000000"/>
                <w:spacing w:val="0"/>
                <w:sz w:val="16"/>
                <w:szCs w:val="16"/>
              </w:rPr>
              <w:t>_______________________</w:t>
            </w:r>
          </w:p>
          <w:p>
            <w:pPr>
              <w:bidi w:val="0"/>
              <w:spacing w:before="0" w:after="425"/>
              <w:jc w:val="center"/>
            </w:pPr>
            <w:r>
              <w:rPr>
                <w:rFonts w:ascii="Verdana" w:eastAsia="Verdana" w:hAnsi="Verdana" w:cs="Verdana"/>
                <w:color w:val="000000"/>
                <w:spacing w:val="0"/>
                <w:sz w:val="16"/>
                <w:szCs w:val="16"/>
              </w:rPr>
              <w:t>Nome do Proprietário</w:t>
            </w:r>
          </w:p>
          <w:p>
            <w:pPr>
              <w:bidi w:val="0"/>
              <w:spacing w:before="0" w:after="0"/>
              <w:jc w:val="both"/>
            </w:pPr>
            <w:r>
              <w:rPr>
                <w:rFonts w:ascii="Verdana" w:eastAsia="Verdana" w:hAnsi="Verdana" w:cs="Verdana"/>
                <w:color w:val="000000"/>
                <w:spacing w:val="0"/>
                <w:sz w:val="16"/>
                <w:szCs w:val="16"/>
              </w:rPr>
              <w:t>(Observação: em caso afirmativo, assinalar a ressalva acima).</w:t>
            </w:r>
          </w:p>
        </w:tc>
      </w:tr>
    </w:tbl>
    <w:p>
      <w:pPr>
        <w:sectPr>
          <w:headerReference w:type="default" r:id="rId15"/>
          <w:footerReference w:type="default" r:id="rId16"/>
          <w:pgSz w:w="11905" w:h="16837" w:orient="portrait"/>
          <w:pgMar w:top="360" w:right="720" w:bottom="360" w:left="720" w:header="360" w:footer="360"/>
          <w:cols w:space="708"/>
        </w:sectPr>
      </w:pPr>
    </w:p>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9" w:name="__bookmark_13"/>
          <w:bookmarkEnd w:id="9"/>
          <w:p>
            <w:pPr>
              <w:bidi w:val="0"/>
              <w:spacing w:before="0" w:after="141"/>
              <w:jc w:val="center"/>
            </w:pPr>
            <w:r>
              <w:rPr>
                <w:rFonts w:ascii="Verdana" w:eastAsia="Verdana" w:hAnsi="Verdana" w:cs="Verdana"/>
                <w:b/>
                <w:bCs/>
                <w:color w:val="000000"/>
                <w:spacing w:val="0"/>
                <w:sz w:val="16"/>
                <w:szCs w:val="16"/>
              </w:rPr>
              <w:t>ANEXO V - ATA DE REGISTRO DE PREÇOS</w:t>
            </w:r>
          </w:p>
          <w:p>
            <w:pPr>
              <w:bidi w:val="0"/>
              <w:spacing w:before="0" w:after="0"/>
              <w:jc w:val="both"/>
            </w:pPr>
            <w:r>
              <w:rPr>
                <w:rFonts w:ascii="Verdana" w:eastAsia="Verdana" w:hAnsi="Verdana" w:cs="Verdana"/>
                <w:color w:val="000000"/>
                <w:spacing w:val="0"/>
                <w:sz w:val="16"/>
                <w:szCs w:val="16"/>
              </w:rPr>
              <w:t>No dia xx de xxxxx de o(a) por meio do(a), pessoa jurídica de direito público, situado na Bento Gonçalves Nº. 555, Centro, cidade de Campo Novo, Rio Grande do Sul, inscrito no CNPJ Nº. , abaixo assinado, nos termos do artigo 40 da Lei Federal nº. 14.133/21 e alterações e das demais normas legais aplicáveis, em face da classificação das propostas apresentadas no do SISTEMA DE REGISTRO DE PREÇOS Nº. null/null, RESOLVE registrar os valores oferecidos para , pelo período de 12 meses, conforme consta no Anexo I do Edital do(a) null null/null, que passa a fazer parte desta Ata, tendo sido, os referidos valores, oferecidos pelas empresas cujas propostas foram classificadas no certame. Presentes às empresas e seus representantes:</w:t>
            </w:r>
          </w:p>
        </w:tc>
      </w:tr>
    </w:tbl>
    <w:p/>
    <w:tbl>
      <w:tblPr>
        <w:tblStyle w:val="TableNormal"/>
        <w:tblOverlap w:val="never"/>
        <w:tblW w:w="10320" w:type="dxa"/>
        <w:tblInd w:w="20" w:type="dxa"/>
        <w:tblLayout w:type="fixed"/>
        <w:tblLook w:val="01E0"/>
      </w:tblPr>
      <w:tblGrid>
        <w:gridCol w:w="7779"/>
        <w:gridCol w:w="2541"/>
      </w:tblGrid>
      <w:tr>
        <w:tblPrEx>
          <w:tblW w:w="10320" w:type="dxa"/>
          <w:tblInd w:w="20" w:type="dxa"/>
          <w:tblLayout w:type="fixed"/>
          <w:tblLook w:val="01E0"/>
        </w:tblPrEx>
        <w:trPr>
          <w:trHeight w:hRule="exact" w:val="283"/>
        </w:trPr>
        <w:tc>
          <w:tcPr>
            <w:tcW w:w="7809" w:type="dxa"/>
            <w:noWrap w:val="0"/>
            <w:tcMar>
              <w:top w:w="0" w:type="dxa"/>
              <w:left w:w="0" w:type="dxa"/>
              <w:bottom w:w="0" w:type="dxa"/>
              <w:right w:w="0" w:type="dxa"/>
            </w:tcMar>
            <w:vAlign w:val="top"/>
          </w:tcPr>
          <w:p>
            <w:pPr>
              <w:spacing w:line="1" w:lineRule="auto"/>
            </w:pPr>
          </w:p>
        </w:tc>
        <w:tc>
          <w:tcPr>
            <w:tcW w:w="2551" w:type="dxa"/>
            <w:noWrap w:val="0"/>
            <w:tcMar>
              <w:top w:w="0" w:type="dxa"/>
              <w:left w:w="0" w:type="dxa"/>
              <w:bottom w:w="0" w:type="dxa"/>
              <w:right w:w="0" w:type="dxa"/>
            </w:tcMar>
            <w:vAlign w:val="top"/>
          </w:tcPr>
          <w:p>
            <w:pPr>
              <w:spacing w:line="1" w:lineRule="auto"/>
            </w:pPr>
          </w:p>
        </w:tc>
      </w:tr>
      <w:tr>
        <w:tblPrEx>
          <w:tblW w:w="10320" w:type="dxa"/>
          <w:tblInd w:w="20" w:type="dxa"/>
          <w:tblLayout w:type="fixed"/>
          <w:tblLook w:val="01E0"/>
        </w:tblPrEx>
        <w:tc>
          <w:tcPr>
            <w:tcW w:w="7809"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Participantes Presentes</w:t>
            </w:r>
          </w:p>
        </w:tc>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CPF/CNPJ</w:t>
            </w:r>
          </w:p>
        </w:tc>
      </w:tr>
      <w:tr>
        <w:tblPrEx>
          <w:tblW w:w="10320" w:type="dxa"/>
          <w:tblInd w:w="20" w:type="dxa"/>
          <w:tblLayout w:type="fixed"/>
          <w:tblLook w:val="01E0"/>
        </w:tblPrEx>
        <w:trPr>
          <w:trHeight w:hRule="exact" w:val="283"/>
        </w:trPr>
        <w:tc>
          <w:tcPr>
            <w:tcW w:w="780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10320" w:type="dxa"/>
          <w:tblInd w:w="20" w:type="dxa"/>
          <w:tblLayout w:type="fixed"/>
          <w:tblLook w:val="01E0"/>
        </w:tblPrEx>
        <w:trPr>
          <w:trHeight w:hRule="exact" w:val="283"/>
        </w:trPr>
        <w:tc>
          <w:tcPr>
            <w:tcW w:w="7809" w:type="dxa"/>
            <w:noWrap w:val="0"/>
            <w:tcMar>
              <w:top w:w="0" w:type="dxa"/>
              <w:left w:w="0" w:type="dxa"/>
              <w:bottom w:w="0" w:type="dxa"/>
              <w:right w:w="0" w:type="dxa"/>
            </w:tcMar>
            <w:vAlign w:val="top"/>
          </w:tcPr>
          <w:p>
            <w:pPr>
              <w:spacing w:line="1" w:lineRule="auto"/>
            </w:pPr>
          </w:p>
        </w:tc>
        <w:tc>
          <w:tcPr>
            <w:tcW w:w="2551" w:type="dxa"/>
            <w:noWrap w:val="0"/>
            <w:tcMar>
              <w:top w:w="0" w:type="dxa"/>
              <w:left w:w="0" w:type="dxa"/>
              <w:bottom w:w="0" w:type="dxa"/>
              <w:right w:w="0" w:type="dxa"/>
            </w:tcMar>
            <w:vAlign w:val="top"/>
          </w:tcPr>
          <w:p>
            <w:pPr>
              <w:spacing w:line="1" w:lineRule="auto"/>
            </w:pPr>
          </w:p>
        </w:tc>
      </w:tr>
    </w:tbl>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10" w:name="__bookmark_14"/>
          <w:bookmarkEnd w:id="10"/>
          <w:p>
            <w:pPr>
              <w:bidi w:val="0"/>
              <w:spacing w:before="0" w:after="141"/>
              <w:jc w:val="both"/>
            </w:pPr>
            <w:r>
              <w:rPr>
                <w:rFonts w:ascii="Verdana" w:eastAsia="Verdana" w:hAnsi="Verdana" w:cs="Verdana"/>
                <w:b/>
                <w:bCs/>
                <w:color w:val="000000"/>
                <w:spacing w:val="0"/>
                <w:sz w:val="16"/>
                <w:szCs w:val="16"/>
              </w:rPr>
              <w:t>CLÁUSULA I – DO OBJETO</w:t>
            </w:r>
          </w:p>
          <w:p>
            <w:pPr>
              <w:bidi w:val="0"/>
              <w:spacing w:before="0" w:after="0"/>
              <w:ind w:firstLine="560"/>
              <w:jc w:val="both"/>
            </w:pPr>
            <w:r>
              <w:rPr>
                <w:rFonts w:ascii="Verdana" w:eastAsia="Verdana" w:hAnsi="Verdana" w:cs="Verdana"/>
                <w:color w:val="000000"/>
                <w:spacing w:val="0"/>
                <w:sz w:val="16"/>
                <w:szCs w:val="16"/>
              </w:rPr>
              <w:t>1. .</w:t>
            </w:r>
          </w:p>
        </w:tc>
      </w:tr>
    </w:tbl>
    <w:p/>
    <w:tbl>
      <w:tblPr>
        <w:tblStyle w:val="TableNormal"/>
        <w:tblOverlap w:val="never"/>
        <w:tblW w:w="10320" w:type="dxa"/>
        <w:tblInd w:w="20" w:type="dxa"/>
        <w:tblLayout w:type="fixed"/>
        <w:tblLook w:val="01E0"/>
      </w:tblPr>
      <w:tblGrid>
        <w:gridCol w:w="677"/>
        <w:gridCol w:w="2925"/>
        <w:gridCol w:w="1693"/>
        <w:gridCol w:w="959"/>
        <w:gridCol w:w="1242"/>
        <w:gridCol w:w="1412"/>
        <w:gridCol w:w="1412"/>
      </w:tblGrid>
      <w:tr>
        <w:tblPrEx>
          <w:tblW w:w="10320" w:type="dxa"/>
          <w:tblInd w:w="20" w:type="dxa"/>
          <w:tblLayout w:type="fixed"/>
          <w:tblLook w:val="01E0"/>
        </w:tblPrEx>
        <w:trPr>
          <w:trHeight w:hRule="exact" w:val="283"/>
        </w:trPr>
        <w:tc>
          <w:tcPr>
            <w:tcW w:w="680" w:type="dxa"/>
            <w:noWrap w:val="0"/>
            <w:tcMar>
              <w:top w:w="0" w:type="dxa"/>
              <w:left w:w="0" w:type="dxa"/>
              <w:bottom w:w="0" w:type="dxa"/>
              <w:right w:w="0" w:type="dxa"/>
            </w:tcMar>
            <w:vAlign w:val="top"/>
          </w:tcPr>
          <w:p>
            <w:pPr>
              <w:spacing w:line="1" w:lineRule="auto"/>
            </w:pPr>
          </w:p>
        </w:tc>
        <w:tc>
          <w:tcPr>
            <w:tcW w:w="2936" w:type="dxa"/>
            <w:noWrap w:val="0"/>
            <w:tcMar>
              <w:top w:w="0" w:type="dxa"/>
              <w:left w:w="0" w:type="dxa"/>
              <w:bottom w:w="0" w:type="dxa"/>
              <w:right w:w="0" w:type="dxa"/>
            </w:tcMar>
            <w:vAlign w:val="top"/>
          </w:tcPr>
          <w:p>
            <w:pPr>
              <w:spacing w:line="1" w:lineRule="auto"/>
            </w:pPr>
          </w:p>
        </w:tc>
        <w:tc>
          <w:tcPr>
            <w:tcW w:w="1700" w:type="dxa"/>
            <w:noWrap w:val="0"/>
            <w:tcMar>
              <w:top w:w="0" w:type="dxa"/>
              <w:left w:w="0" w:type="dxa"/>
              <w:bottom w:w="0" w:type="dxa"/>
              <w:right w:w="0" w:type="dxa"/>
            </w:tcMar>
            <w:vAlign w:val="top"/>
          </w:tcPr>
          <w:p>
            <w:pPr>
              <w:spacing w:line="1" w:lineRule="auto"/>
            </w:pPr>
          </w:p>
        </w:tc>
        <w:tc>
          <w:tcPr>
            <w:tcW w:w="963" w:type="dxa"/>
            <w:noWrap w:val="0"/>
            <w:tcMar>
              <w:top w:w="0" w:type="dxa"/>
              <w:left w:w="0" w:type="dxa"/>
              <w:bottom w:w="0" w:type="dxa"/>
              <w:right w:w="0" w:type="dxa"/>
            </w:tcMar>
            <w:vAlign w:val="top"/>
          </w:tcPr>
          <w:p>
            <w:pPr>
              <w:spacing w:line="1" w:lineRule="auto"/>
            </w:pPr>
          </w:p>
        </w:tc>
        <w:tc>
          <w:tcPr>
            <w:tcW w:w="1247"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r>
      <w:tr>
        <w:tblPrEx>
          <w:tblW w:w="10320" w:type="dxa"/>
          <w:tblInd w:w="20" w:type="dxa"/>
          <w:tblLayout w:type="fixed"/>
          <w:tblLook w:val="01E0"/>
        </w:tblPrEx>
        <w:trPr>
          <w:trHeight w:val="184"/>
        </w:trPr>
        <w:tc>
          <w:tcPr>
            <w:tcW w:w="10360" w:type="dxa"/>
            <w:gridSpan w:val="7"/>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Fornecedor:</w:t>
            </w:r>
          </w:p>
        </w:tc>
      </w:tr>
      <w:tr>
        <w:tblPrEx>
          <w:tblW w:w="10320" w:type="dxa"/>
          <w:tblInd w:w="20" w:type="dxa"/>
          <w:tblLayout w:type="fixed"/>
          <w:tblLook w:val="01E0"/>
        </w:tblPrEx>
        <w:tc>
          <w:tcPr>
            <w:tcW w:w="68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Item</w:t>
            </w:r>
          </w:p>
        </w:tc>
        <w:tc>
          <w:tcPr>
            <w:tcW w:w="2936"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Lote/Produto</w:t>
            </w:r>
          </w:p>
        </w:tc>
        <w:tc>
          <w:tcPr>
            <w:tcW w:w="170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Marca</w:t>
            </w:r>
          </w:p>
        </w:tc>
        <w:tc>
          <w:tcPr>
            <w:tcW w:w="96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Unidade</w:t>
            </w:r>
          </w:p>
        </w:tc>
        <w:tc>
          <w:tcPr>
            <w:tcW w:w="124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Quantidade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Valor Unitário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Valor Total</w:t>
            </w:r>
          </w:p>
        </w:tc>
      </w:tr>
      <w:tr>
        <w:tblPrEx>
          <w:tblW w:w="10320" w:type="dxa"/>
          <w:tblInd w:w="20" w:type="dxa"/>
          <w:tblLayout w:type="fixed"/>
          <w:tblLook w:val="01E0"/>
        </w:tblPrEx>
        <w:trPr>
          <w:trHeight w:hRule="exact" w:val="283"/>
        </w:trPr>
        <w:tc>
          <w:tcPr>
            <w:tcW w:w="68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93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24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4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41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10320" w:type="dxa"/>
          <w:tblInd w:w="20" w:type="dxa"/>
          <w:tblLayout w:type="fixed"/>
          <w:tblLook w:val="01E0"/>
        </w:tblPrEx>
        <w:tc>
          <w:tcPr>
            <w:tcW w:w="8943" w:type="dxa"/>
            <w:gridSpan w:val="6"/>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Total do Fornecedor:</w:t>
            </w:r>
          </w:p>
        </w:tc>
        <w:tc>
          <w:tcPr>
            <w:tcW w:w="141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spacing w:line="1" w:lineRule="auto"/>
            </w:pPr>
          </w:p>
        </w:tc>
      </w:tr>
      <w:tr>
        <w:tblPrEx>
          <w:tblW w:w="10320" w:type="dxa"/>
          <w:tblInd w:w="20" w:type="dxa"/>
          <w:tblLayout w:type="fixed"/>
          <w:tblLook w:val="01E0"/>
        </w:tblPrEx>
        <w:trPr>
          <w:trHeight w:hRule="exact" w:val="283"/>
        </w:trPr>
        <w:tc>
          <w:tcPr>
            <w:tcW w:w="680" w:type="dxa"/>
            <w:noWrap w:val="0"/>
            <w:tcMar>
              <w:top w:w="0" w:type="dxa"/>
              <w:left w:w="0" w:type="dxa"/>
              <w:bottom w:w="0" w:type="dxa"/>
              <w:right w:w="0" w:type="dxa"/>
            </w:tcMar>
            <w:vAlign w:val="top"/>
          </w:tcPr>
          <w:p>
            <w:pPr>
              <w:spacing w:line="1" w:lineRule="auto"/>
            </w:pPr>
          </w:p>
        </w:tc>
        <w:tc>
          <w:tcPr>
            <w:tcW w:w="2936" w:type="dxa"/>
            <w:noWrap w:val="0"/>
            <w:tcMar>
              <w:top w:w="0" w:type="dxa"/>
              <w:left w:w="0" w:type="dxa"/>
              <w:bottom w:w="0" w:type="dxa"/>
              <w:right w:w="0" w:type="dxa"/>
            </w:tcMar>
            <w:vAlign w:val="top"/>
          </w:tcPr>
          <w:p>
            <w:pPr>
              <w:spacing w:line="1" w:lineRule="auto"/>
            </w:pPr>
          </w:p>
        </w:tc>
        <w:tc>
          <w:tcPr>
            <w:tcW w:w="1700" w:type="dxa"/>
            <w:noWrap w:val="0"/>
            <w:tcMar>
              <w:top w:w="0" w:type="dxa"/>
              <w:left w:w="0" w:type="dxa"/>
              <w:bottom w:w="0" w:type="dxa"/>
              <w:right w:w="0" w:type="dxa"/>
            </w:tcMar>
            <w:vAlign w:val="top"/>
          </w:tcPr>
          <w:p>
            <w:pPr>
              <w:spacing w:line="1" w:lineRule="auto"/>
            </w:pPr>
          </w:p>
        </w:tc>
        <w:tc>
          <w:tcPr>
            <w:tcW w:w="963" w:type="dxa"/>
            <w:noWrap w:val="0"/>
            <w:tcMar>
              <w:top w:w="0" w:type="dxa"/>
              <w:left w:w="0" w:type="dxa"/>
              <w:bottom w:w="0" w:type="dxa"/>
              <w:right w:w="0" w:type="dxa"/>
            </w:tcMar>
            <w:vAlign w:val="top"/>
          </w:tcPr>
          <w:p>
            <w:pPr>
              <w:spacing w:line="1" w:lineRule="auto"/>
            </w:pPr>
          </w:p>
        </w:tc>
        <w:tc>
          <w:tcPr>
            <w:tcW w:w="1247"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r>
    </w:tbl>
    <w:p/>
    <w:tbl>
      <w:tblPr>
        <w:tblStyle w:val="TableNormal"/>
        <w:tblOverlap w:val="never"/>
        <w:tblW w:w="10465" w:type="dxa"/>
        <w:jc w:val="left"/>
        <w:tblInd w:w="0" w:type="dxa"/>
        <w:tblLayout w:type="fixed"/>
        <w:tblCellMar>
          <w:top w:w="0" w:type="dxa"/>
          <w:left w:w="0" w:type="dxa"/>
          <w:bottom w:w="0" w:type="dxa"/>
          <w:right w:w="0" w:type="dxa"/>
        </w:tblCellMar>
        <w:tblLook w:val="01E0"/>
      </w:tblPr>
      <w:tblGrid>
        <w:gridCol w:w="10465"/>
      </w:tblGrid>
      <w:tr>
        <w:tblPrEx>
          <w:tblW w:w="10465" w:type="dxa"/>
          <w:jc w:val="left"/>
          <w:tblInd w:w="0" w:type="dxa"/>
          <w:tblLayout w:type="fixed"/>
          <w:tblCellMar>
            <w:top w:w="0" w:type="dxa"/>
            <w:left w:w="0" w:type="dxa"/>
            <w:bottom w:w="0" w:type="dxa"/>
            <w:right w:w="0" w:type="dxa"/>
          </w:tblCellMar>
          <w:tblLook w:val="01E0"/>
        </w:tblPrEx>
        <w:trPr>
          <w:jc w:val="left"/>
        </w:trPr>
        <w:tc>
          <w:tcPr>
            <w:tcW w:w="10465" w:type="dxa"/>
            <w:noWrap w:val="0"/>
            <w:tcMar>
              <w:top w:w="20" w:type="dxa"/>
              <w:left w:w="20" w:type="dxa"/>
              <w:bottom w:w="20" w:type="dxa"/>
              <w:right w:w="20" w:type="dxa"/>
            </w:tcMar>
            <w:vAlign w:val="top"/>
          </w:tcPr>
          <w:bookmarkStart w:id="11" w:name="__bookmark_15"/>
          <w:bookmarkEnd w:id="11"/>
          <w:p>
            <w:pPr>
              <w:bidi w:val="0"/>
              <w:spacing w:before="0" w:after="141"/>
              <w:ind w:firstLine="560"/>
              <w:jc w:val="both"/>
            </w:pPr>
            <w:r>
              <w:rPr>
                <w:rFonts w:ascii="Verdana" w:eastAsia="Verdana" w:hAnsi="Verdana" w:cs="Verdana"/>
                <w:color w:val="000000"/>
                <w:spacing w:val="0"/>
                <w:sz w:val="16"/>
                <w:szCs w:val="16"/>
              </w:rPr>
              <w:t xml:space="preserve">1.1. </w:t>
            </w:r>
            <w:r>
              <w:rPr>
                <w:rFonts w:ascii="Verdana" w:eastAsia="Verdana" w:hAnsi="Verdana" w:cs="Verdana"/>
                <w:b/>
                <w:bCs/>
                <w:color w:val="000000"/>
                <w:spacing w:val="0"/>
                <w:sz w:val="16"/>
                <w:szCs w:val="16"/>
              </w:rPr>
              <w:t>CONSUMO MÉDIO:</w:t>
            </w:r>
            <w:r>
              <w:rPr>
                <w:rFonts w:ascii="Verdana" w:eastAsia="Verdana" w:hAnsi="Verdana" w:cs="Verdana"/>
                <w:color w:val="000000"/>
                <w:spacing w:val="0"/>
                <w:sz w:val="16"/>
                <w:szCs w:val="16"/>
              </w:rPr>
              <w:t xml:space="preserve"> O valor estimado para a citada aquisição pelo período de 12 meses é de R$ .</w:t>
            </w:r>
          </w:p>
          <w:p>
            <w:pPr>
              <w:bidi w:val="0"/>
              <w:spacing w:before="0" w:after="141"/>
              <w:jc w:val="both"/>
            </w:pPr>
            <w:r>
              <w:rPr>
                <w:rFonts w:ascii="Verdana" w:eastAsia="Verdana" w:hAnsi="Verdana" w:cs="Verdana"/>
                <w:b/>
                <w:bCs/>
                <w:color w:val="000000"/>
                <w:spacing w:val="0"/>
                <w:sz w:val="16"/>
                <w:szCs w:val="16"/>
              </w:rPr>
              <w:t>CLÁUSULA II – DA VALIDADE DOS PREÇOS</w:t>
            </w:r>
          </w:p>
          <w:p>
            <w:pPr>
              <w:bidi w:val="0"/>
              <w:spacing w:before="0" w:after="141"/>
              <w:jc w:val="both"/>
            </w:pPr>
            <w:r>
              <w:rPr>
                <w:rFonts w:ascii="Verdana" w:eastAsia="Verdana" w:hAnsi="Verdana" w:cs="Verdana"/>
                <w:color w:val="000000"/>
                <w:spacing w:val="0"/>
                <w:sz w:val="16"/>
                <w:szCs w:val="16"/>
              </w:rPr>
              <w:t>2. A presente Ata de Registro de Preços terá validade até 12 meses, a partir da sua assinatura, não sendo permitido prorrogação.</w:t>
            </w:r>
          </w:p>
          <w:p>
            <w:pPr>
              <w:bidi w:val="0"/>
              <w:spacing w:before="0" w:after="141"/>
              <w:ind w:firstLine="560"/>
              <w:jc w:val="both"/>
            </w:pPr>
            <w:r>
              <w:rPr>
                <w:rFonts w:ascii="Verdana" w:eastAsia="Verdana" w:hAnsi="Verdana" w:cs="Verdana"/>
                <w:color w:val="000000"/>
                <w:spacing w:val="0"/>
                <w:sz w:val="16"/>
                <w:szCs w:val="16"/>
              </w:rPr>
              <w:t>2.1.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pPr>
              <w:bidi w:val="0"/>
              <w:spacing w:before="0" w:after="141"/>
              <w:jc w:val="both"/>
            </w:pPr>
            <w:r>
              <w:rPr>
                <w:rFonts w:ascii="Verdana" w:eastAsia="Verdana" w:hAnsi="Verdana" w:cs="Verdana"/>
                <w:b/>
                <w:bCs/>
                <w:color w:val="000000"/>
                <w:spacing w:val="0"/>
                <w:sz w:val="16"/>
                <w:szCs w:val="16"/>
              </w:rPr>
              <w:t>CLÁUSULA III – DA UTILIZAÇÃO DA ATA DE REGISTRO DE PREÇOS</w:t>
            </w:r>
          </w:p>
          <w:p>
            <w:pPr>
              <w:bidi w:val="0"/>
              <w:spacing w:before="0" w:after="141"/>
              <w:jc w:val="both"/>
            </w:pPr>
            <w:r>
              <w:rPr>
                <w:rFonts w:ascii="Verdana" w:eastAsia="Verdana" w:hAnsi="Verdana" w:cs="Verdana"/>
                <w:color w:val="000000"/>
                <w:spacing w:val="0"/>
                <w:sz w:val="16"/>
                <w:szCs w:val="16"/>
              </w:rPr>
              <w:t>3. A presente Ata de Registro de Preços será usado pelos Órgãos do Munícipio de Campo Novo/RS.</w:t>
            </w:r>
          </w:p>
          <w:p>
            <w:pPr>
              <w:bidi w:val="0"/>
              <w:spacing w:before="0" w:after="141"/>
              <w:ind w:firstLine="560"/>
              <w:jc w:val="both"/>
            </w:pPr>
            <w:r>
              <w:rPr>
                <w:rFonts w:ascii="Verdana" w:eastAsia="Verdana" w:hAnsi="Verdana" w:cs="Verdana"/>
                <w:color w:val="000000"/>
                <w:spacing w:val="0"/>
                <w:sz w:val="16"/>
                <w:szCs w:val="16"/>
              </w:rPr>
              <w:t xml:space="preserve">3.1. O valor ofertado pelas empresas signatárias da presente Ata de Registro de Preços é o relacionado na Cláusula Primeira, de acordo com a respectiva classificação no </w:t>
            </w:r>
            <w:r>
              <w:rPr>
                <w:rFonts w:ascii="Verdana" w:eastAsia="Verdana" w:hAnsi="Verdana" w:cs="Verdana"/>
                <w:b/>
                <w:bCs/>
                <w:color w:val="000000"/>
                <w:spacing w:val="0"/>
                <w:sz w:val="16"/>
                <w:szCs w:val="16"/>
              </w:rPr>
              <w:t>Nº. null/null</w:t>
            </w:r>
            <w:r>
              <w:rPr>
                <w:rFonts w:ascii="Verdana" w:eastAsia="Verdana" w:hAnsi="Verdana" w:cs="Verdana"/>
                <w:color w:val="000000"/>
                <w:spacing w:val="0"/>
                <w:sz w:val="16"/>
                <w:szCs w:val="16"/>
              </w:rPr>
              <w:t>.</w:t>
            </w:r>
          </w:p>
          <w:p>
            <w:pPr>
              <w:bidi w:val="0"/>
              <w:spacing w:before="0" w:after="141"/>
              <w:ind w:firstLine="560"/>
              <w:jc w:val="both"/>
            </w:pPr>
            <w:r>
              <w:rPr>
                <w:rFonts w:ascii="Verdana" w:eastAsia="Verdana" w:hAnsi="Verdana" w:cs="Verdana"/>
                <w:color w:val="000000"/>
                <w:spacing w:val="0"/>
                <w:sz w:val="16"/>
                <w:szCs w:val="16"/>
              </w:rPr>
              <w:t xml:space="preserve">3.2. Em cada fornecimento de serviço(s) decorrente desta Ata, serão observadas as cláusulas e condições constantes do Edital de </w:t>
            </w:r>
            <w:r>
              <w:rPr>
                <w:rFonts w:ascii="Verdana" w:eastAsia="Verdana" w:hAnsi="Verdana" w:cs="Verdana"/>
                <w:b/>
                <w:bCs/>
                <w:color w:val="000000"/>
                <w:spacing w:val="0"/>
                <w:sz w:val="16"/>
                <w:szCs w:val="16"/>
              </w:rPr>
              <w:t>Nº. null/null</w:t>
            </w:r>
            <w:r>
              <w:rPr>
                <w:rFonts w:ascii="Verdana" w:eastAsia="Verdana" w:hAnsi="Verdana" w:cs="Verdana"/>
                <w:color w:val="000000"/>
                <w:spacing w:val="0"/>
                <w:sz w:val="16"/>
                <w:szCs w:val="16"/>
              </w:rPr>
              <w:t xml:space="preserve"> e seus Anexos, que a precederam e integram o presente instrumento de compromisso.</w:t>
            </w:r>
          </w:p>
          <w:p>
            <w:pPr>
              <w:bidi w:val="0"/>
              <w:spacing w:before="0" w:after="141"/>
              <w:jc w:val="both"/>
            </w:pPr>
            <w:r>
              <w:rPr>
                <w:rFonts w:ascii="Verdana" w:eastAsia="Verdana" w:hAnsi="Verdana" w:cs="Verdana"/>
                <w:b/>
                <w:bCs/>
                <w:color w:val="000000"/>
                <w:spacing w:val="0"/>
                <w:sz w:val="16"/>
                <w:szCs w:val="16"/>
              </w:rPr>
              <w:t>CLÁUSULA IV – DO PAGAMENTO</w:t>
            </w:r>
          </w:p>
          <w:p>
            <w:pPr>
              <w:bidi w:val="0"/>
              <w:spacing w:before="0" w:after="141"/>
              <w:jc w:val="both"/>
            </w:pPr>
            <w:r>
              <w:rPr>
                <w:rFonts w:ascii="Verdana" w:eastAsia="Verdana" w:hAnsi="Verdana" w:cs="Verdana"/>
                <w:color w:val="000000"/>
                <w:spacing w:val="0"/>
                <w:sz w:val="16"/>
                <w:szCs w:val="16"/>
              </w:rPr>
              <w:t>4. CONFORME EDITAL</w:t>
            </w:r>
          </w:p>
          <w:p>
            <w:pPr>
              <w:bidi w:val="0"/>
              <w:spacing w:before="0" w:after="141"/>
              <w:jc w:val="both"/>
            </w:pPr>
            <w:r>
              <w:rPr>
                <w:rFonts w:ascii="Verdana" w:eastAsia="Verdana" w:hAnsi="Verdana" w:cs="Verdana"/>
                <w:b/>
                <w:bCs/>
                <w:color w:val="000000"/>
                <w:spacing w:val="0"/>
                <w:sz w:val="16"/>
                <w:szCs w:val="16"/>
              </w:rPr>
              <w:t>CLÁUSULA V – DAS CONDIÇÕES DE FORNECIMENTO, LOCAL E PRAZO DE ENTREGA.</w:t>
            </w:r>
          </w:p>
          <w:p>
            <w:pPr>
              <w:bidi w:val="0"/>
              <w:spacing w:before="0" w:after="141"/>
              <w:jc w:val="both"/>
            </w:pPr>
            <w:r>
              <w:rPr>
                <w:rFonts w:ascii="Verdana" w:eastAsia="Verdana" w:hAnsi="Verdana" w:cs="Verdana"/>
                <w:color w:val="000000"/>
                <w:spacing w:val="0"/>
                <w:sz w:val="16"/>
                <w:szCs w:val="16"/>
              </w:rPr>
              <w:t xml:space="preserve">5. Os itens licitados deverão ser entregues CONFORME EDITAL e dentro do mesmo período deverá estar apta a entregar o material assim que for assinado a ata de registro de preço, </w:t>
            </w:r>
            <w:r>
              <w:rPr>
                <w:rFonts w:ascii="Verdana" w:eastAsia="Verdana" w:hAnsi="Verdana" w:cs="Verdana"/>
                <w:b/>
                <w:bCs/>
                <w:color w:val="000000"/>
                <w:spacing w:val="0"/>
                <w:sz w:val="16"/>
                <w:szCs w:val="16"/>
                <w:u w:val="single"/>
              </w:rPr>
              <w:t>independente das quantidade solicitada</w:t>
            </w:r>
            <w:r>
              <w:rPr>
                <w:rFonts w:ascii="Verdana" w:eastAsia="Verdana" w:hAnsi="Verdana" w:cs="Verdana"/>
                <w:color w:val="000000"/>
                <w:spacing w:val="0"/>
                <w:sz w:val="16"/>
                <w:szCs w:val="16"/>
              </w:rPr>
              <w:t>.</w:t>
            </w:r>
          </w:p>
          <w:p>
            <w:pPr>
              <w:bidi w:val="0"/>
              <w:spacing w:before="0" w:after="141"/>
              <w:ind w:firstLine="560"/>
              <w:jc w:val="both"/>
            </w:pPr>
            <w:r>
              <w:rPr>
                <w:rFonts w:ascii="Verdana" w:eastAsia="Verdana" w:hAnsi="Verdana" w:cs="Verdana"/>
                <w:color w:val="000000"/>
                <w:spacing w:val="0"/>
                <w:sz w:val="16"/>
                <w:szCs w:val="16"/>
              </w:rPr>
              <w:t>5.1. Local de entrega: CONFORME EDITAL.</w:t>
            </w:r>
          </w:p>
          <w:p>
            <w:pPr>
              <w:bidi w:val="0"/>
              <w:spacing w:before="0" w:after="141"/>
              <w:jc w:val="both"/>
            </w:pPr>
            <w:r>
              <w:rPr>
                <w:rFonts w:ascii="Verdana" w:eastAsia="Verdana" w:hAnsi="Verdana" w:cs="Verdana"/>
                <w:b/>
                <w:bCs/>
                <w:color w:val="000000"/>
                <w:spacing w:val="0"/>
                <w:sz w:val="16"/>
                <w:szCs w:val="16"/>
              </w:rPr>
              <w:t>CLÁUSULA VI – DAS PENALIDADES</w:t>
            </w:r>
          </w:p>
          <w:p>
            <w:pPr>
              <w:bidi w:val="0"/>
              <w:spacing w:before="0" w:after="0"/>
              <w:jc w:val="both"/>
            </w:pPr>
            <w:r>
              <w:rPr>
                <w:rFonts w:ascii="Verdana" w:eastAsia="Verdana" w:hAnsi="Verdana" w:cs="Verdana"/>
                <w:color w:val="000000"/>
                <w:spacing w:val="0"/>
                <w:sz w:val="16"/>
                <w:szCs w:val="16"/>
              </w:rPr>
              <w:t>6. A recusa injustificada da empresa com proposta classificada na licitação e indicada para registro dos respectivos preços ensejará a aplicação das penalidades enunciadas no artigo 115 da Lei Federal nº. 14.133/21 e alterações.</w:t>
            </w:r>
          </w:p>
          <w:p>
            <w:pPr>
              <w:bidi w:val="0"/>
              <w:spacing w:before="0" w:after="0"/>
              <w:ind w:firstLine="560"/>
              <w:jc w:val="both"/>
            </w:pPr>
            <w:r>
              <w:rPr>
                <w:rFonts w:ascii="Verdana" w:eastAsia="Verdana" w:hAnsi="Verdana" w:cs="Verdana"/>
                <w:color w:val="000000"/>
                <w:spacing w:val="0"/>
                <w:sz w:val="16"/>
                <w:szCs w:val="16"/>
              </w:rPr>
              <w:t>6.1 Aos proponentes que ensejarem o retardamento da execução do certame, não mantiverem a proposta e não assinarem a Ata de Registro de Preços, comportarem-se de modo inidôneo, fizerem declaração falsa ou cometerem fraude fiscal, poderão ser aplicadas, conforme o caso, resguardados os procedimentos legais, sofrer as seguintes sanções, a critério da Administração, isolada ou cumulativamente, sem prejuízo da reparação dos danos causados à Administração Municipal pelo infrator:</w:t>
            </w:r>
          </w:p>
          <w:p>
            <w:pPr>
              <w:bidi w:val="0"/>
              <w:spacing w:before="0" w:after="0"/>
              <w:ind w:firstLine="840"/>
              <w:jc w:val="both"/>
            </w:pPr>
            <w:r>
              <w:rPr>
                <w:rFonts w:ascii="Verdana" w:eastAsia="Verdana" w:hAnsi="Verdana" w:cs="Verdana"/>
                <w:color w:val="000000"/>
                <w:spacing w:val="0"/>
                <w:sz w:val="16"/>
                <w:szCs w:val="16"/>
              </w:rPr>
              <w:t>6.1.1 Impedimento para registro na Ata, se concluída a fase licitatória;</w:t>
            </w:r>
          </w:p>
          <w:p>
            <w:pPr>
              <w:bidi w:val="0"/>
              <w:spacing w:before="0" w:after="0"/>
              <w:ind w:firstLine="840"/>
              <w:jc w:val="both"/>
            </w:pPr>
            <w:r>
              <w:rPr>
                <w:rFonts w:ascii="Verdana" w:eastAsia="Verdana" w:hAnsi="Verdana" w:cs="Verdana"/>
                <w:color w:val="000000"/>
                <w:spacing w:val="0"/>
                <w:sz w:val="16"/>
                <w:szCs w:val="16"/>
              </w:rPr>
              <w:t>6.1.2 Cancelamento do registro na Ata;</w:t>
            </w:r>
          </w:p>
          <w:p>
            <w:pPr>
              <w:bidi w:val="0"/>
              <w:spacing w:before="0" w:after="0"/>
              <w:ind w:firstLine="840"/>
              <w:jc w:val="both"/>
            </w:pPr>
            <w:r>
              <w:rPr>
                <w:rFonts w:ascii="Verdana" w:eastAsia="Verdana" w:hAnsi="Verdana" w:cs="Verdana"/>
                <w:color w:val="000000"/>
                <w:spacing w:val="0"/>
                <w:sz w:val="16"/>
                <w:szCs w:val="16"/>
              </w:rPr>
              <w:t>6.1.3 Advertência e anotação restritiva no Cadastro de Fornecedores; Multa de 10% (dez por cento) do valor estimado da contratação.</w:t>
            </w:r>
          </w:p>
          <w:p>
            <w:pPr>
              <w:bidi w:val="0"/>
              <w:spacing w:before="0" w:after="0"/>
              <w:ind w:firstLine="840"/>
              <w:jc w:val="both"/>
            </w:pPr>
            <w:r>
              <w:rPr>
                <w:rFonts w:ascii="Verdana" w:eastAsia="Verdana" w:hAnsi="Verdana" w:cs="Verdana"/>
                <w:color w:val="000000"/>
                <w:spacing w:val="0"/>
                <w:sz w:val="16"/>
                <w:szCs w:val="16"/>
              </w:rPr>
              <w:t>6.1.4 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p>
          <w:p>
            <w:pPr>
              <w:bidi w:val="0"/>
              <w:spacing w:before="0" w:after="0"/>
              <w:ind w:firstLine="840"/>
              <w:jc w:val="both"/>
            </w:pPr>
            <w:r>
              <w:rPr>
                <w:rFonts w:ascii="Verdana" w:eastAsia="Verdana" w:hAnsi="Verdana" w:cs="Verdana"/>
                <w:color w:val="000000"/>
                <w:spacing w:val="0"/>
                <w:sz w:val="16"/>
                <w:szCs w:val="16"/>
              </w:rPr>
              <w:t>6.1.5 Declaração de inidoneidade para licitar ou contratar com a Administração Pública.</w:t>
            </w:r>
          </w:p>
          <w:p>
            <w:pPr>
              <w:bidi w:val="0"/>
              <w:spacing w:before="0" w:after="0"/>
              <w:ind w:firstLine="560"/>
              <w:jc w:val="both"/>
            </w:pPr>
            <w:r>
              <w:rPr>
                <w:rFonts w:ascii="Verdana" w:eastAsia="Verdana" w:hAnsi="Verdana" w:cs="Verdana"/>
                <w:color w:val="000000"/>
                <w:spacing w:val="0"/>
                <w:sz w:val="16"/>
                <w:szCs w:val="16"/>
              </w:rPr>
              <w:t>6.2 A aplicação das penalidades ocorrerá depois de defesa prévia do interessado, no prazo estabelecido na Lei de Licitações, a contar da intimação do ato.</w:t>
            </w:r>
          </w:p>
          <w:p>
            <w:pPr>
              <w:bidi w:val="0"/>
              <w:spacing w:before="0" w:after="0"/>
              <w:ind w:firstLine="560"/>
              <w:jc w:val="both"/>
            </w:pPr>
            <w:r>
              <w:rPr>
                <w:rFonts w:ascii="Verdana" w:eastAsia="Verdana" w:hAnsi="Verdana" w:cs="Verdana"/>
                <w:color w:val="000000"/>
                <w:spacing w:val="0"/>
                <w:sz w:val="16"/>
                <w:szCs w:val="16"/>
              </w:rPr>
              <w:t>6.3 Não será aplicada multa se, comprovadamente, o atraso do atendimento, advir de caso fortuito ou motivo de força maior.</w:t>
            </w:r>
          </w:p>
          <w:p>
            <w:pPr>
              <w:bidi w:val="0"/>
              <w:spacing w:before="0" w:after="0"/>
              <w:ind w:firstLine="560"/>
              <w:jc w:val="both"/>
            </w:pPr>
            <w:r>
              <w:rPr>
                <w:rFonts w:ascii="Verdana" w:eastAsia="Verdana" w:hAnsi="Verdana" w:cs="Verdana"/>
                <w:color w:val="000000"/>
                <w:spacing w:val="0"/>
                <w:sz w:val="16"/>
                <w:szCs w:val="16"/>
              </w:rPr>
              <w:t>6.4 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p>
          <w:p>
            <w:pPr>
              <w:bidi w:val="0"/>
              <w:spacing w:before="0" w:after="0"/>
              <w:ind w:firstLine="840"/>
              <w:jc w:val="both"/>
            </w:pPr>
            <w:r>
              <w:rPr>
                <w:rFonts w:ascii="Verdana" w:eastAsia="Verdana" w:hAnsi="Verdana" w:cs="Verdana"/>
                <w:color w:val="000000"/>
                <w:spacing w:val="0"/>
                <w:sz w:val="16"/>
                <w:szCs w:val="16"/>
              </w:rPr>
              <w:t>6.4.1 Advertência;</w:t>
            </w:r>
          </w:p>
          <w:p>
            <w:pPr>
              <w:bidi w:val="0"/>
              <w:spacing w:before="0" w:after="0"/>
              <w:ind w:firstLine="840"/>
              <w:jc w:val="both"/>
            </w:pPr>
            <w:r>
              <w:rPr>
                <w:rFonts w:ascii="Verdana" w:eastAsia="Verdana" w:hAnsi="Verdana" w:cs="Verdana"/>
                <w:color w:val="000000"/>
                <w:spacing w:val="0"/>
                <w:sz w:val="16"/>
                <w:szCs w:val="16"/>
              </w:rPr>
              <w:t>6.4.2 Multa de 10% (dez por cento) sobre o valor estimado total do contrato, em caso de recusa do 1.º colocada de cada item em assinar a Ata de Registro de Preços.</w:t>
            </w:r>
          </w:p>
          <w:p>
            <w:pPr>
              <w:bidi w:val="0"/>
              <w:spacing w:before="0" w:after="0"/>
              <w:ind w:firstLine="840"/>
              <w:jc w:val="both"/>
            </w:pPr>
            <w:r>
              <w:rPr>
                <w:rFonts w:ascii="Verdana" w:eastAsia="Verdana" w:hAnsi="Verdana" w:cs="Verdana"/>
                <w:color w:val="000000"/>
                <w:spacing w:val="0"/>
                <w:sz w:val="16"/>
                <w:szCs w:val="16"/>
              </w:rPr>
              <w:t>6.4.3 Multa de 10% (dez por cento) por dia de inadimplência, até o trigésimo dia de fornecimento incompleto ou em atraso, incidentes sobre o valor estimado mensal da contratação, além do desconto do valor correspondente ao serviço não realizado pela detentora da Ata.</w:t>
            </w:r>
          </w:p>
          <w:p>
            <w:pPr>
              <w:bidi w:val="0"/>
              <w:spacing w:before="0" w:after="0"/>
              <w:ind w:firstLine="840"/>
              <w:jc w:val="both"/>
            </w:pPr>
            <w:r>
              <w:rPr>
                <w:rFonts w:ascii="Verdana" w:eastAsia="Verdana" w:hAnsi="Verdana" w:cs="Verdana"/>
                <w:color w:val="000000"/>
                <w:spacing w:val="0"/>
                <w:sz w:val="16"/>
                <w:szCs w:val="16"/>
              </w:rPr>
              <w:t>6.4.4 Suspensão temporária do direito de participar de licitação e de fornecer à Administração Pública, por prazo de até 05 (cinco) anos;</w:t>
            </w:r>
          </w:p>
          <w:p>
            <w:pPr>
              <w:bidi w:val="0"/>
              <w:spacing w:before="0" w:after="0"/>
              <w:ind w:firstLine="560"/>
              <w:jc w:val="both"/>
            </w:pPr>
            <w:r>
              <w:rPr>
                <w:rFonts w:ascii="Verdana" w:eastAsia="Verdana" w:hAnsi="Verdana" w:cs="Verdana"/>
                <w:color w:val="000000"/>
                <w:spacing w:val="0"/>
                <w:sz w:val="16"/>
                <w:szCs w:val="16"/>
              </w:rPr>
              <w:t>6.5 Em qualquer hipótese de aplicação de penalidades será assegurado ao fornecedor o contraditório e ampla defesa.</w:t>
            </w:r>
          </w:p>
          <w:p>
            <w:pPr>
              <w:bidi w:val="0"/>
              <w:spacing w:before="0" w:after="0"/>
              <w:ind w:firstLine="560"/>
              <w:jc w:val="both"/>
            </w:pPr>
            <w:r>
              <w:rPr>
                <w:rFonts w:ascii="Verdana" w:eastAsia="Verdana" w:hAnsi="Verdana" w:cs="Verdana"/>
                <w:color w:val="000000"/>
                <w:spacing w:val="0"/>
                <w:sz w:val="16"/>
                <w:szCs w:val="16"/>
              </w:rPr>
              <w:t>6.6 A aplicação das sanções previstas nesta Ata não exclui a possibilidade de aplicação de outras, previstas em Lei, inclusive responsabilização do fornecedor por eventuais perdas e danos causados à Administração.</w:t>
            </w:r>
          </w:p>
          <w:p>
            <w:pPr>
              <w:bidi w:val="0"/>
              <w:spacing w:before="0" w:after="0"/>
              <w:ind w:firstLine="560"/>
              <w:jc w:val="both"/>
            </w:pPr>
            <w:r>
              <w:rPr>
                <w:rFonts w:ascii="Verdana" w:eastAsia="Verdana" w:hAnsi="Verdana" w:cs="Verdana"/>
                <w:color w:val="000000"/>
                <w:spacing w:val="0"/>
                <w:sz w:val="16"/>
                <w:szCs w:val="16"/>
              </w:rPr>
              <w:t>6.7 As importâncias relativas a multas serão descontadas dos pagamentos a serem efetuados à detentora da Ata, podendo, entretanto, conforme ocaso, processar-se a cobrança judicialmente.</w:t>
            </w:r>
          </w:p>
          <w:p>
            <w:pPr>
              <w:bidi w:val="0"/>
              <w:spacing w:before="0" w:after="141"/>
              <w:ind w:firstLine="560"/>
              <w:jc w:val="both"/>
            </w:pPr>
            <w:r>
              <w:rPr>
                <w:rFonts w:ascii="Verdana" w:eastAsia="Verdana" w:hAnsi="Verdana" w:cs="Verdana"/>
                <w:color w:val="000000"/>
                <w:spacing w:val="0"/>
                <w:sz w:val="16"/>
                <w:szCs w:val="16"/>
              </w:rPr>
              <w:t>6.8 As penalidades serão aplicadas sem prejuízo das demais sanções cabíveis, sejam estas administrativas ou penais, previstas na Lei nº. 14.133/21 e alterações.</w:t>
            </w:r>
          </w:p>
          <w:p>
            <w:pPr>
              <w:bidi w:val="0"/>
              <w:spacing w:before="0" w:after="141"/>
              <w:jc w:val="both"/>
            </w:pPr>
            <w:r>
              <w:rPr>
                <w:rFonts w:ascii="Verdana" w:eastAsia="Verdana" w:hAnsi="Verdana" w:cs="Verdana"/>
                <w:b/>
                <w:bCs/>
                <w:color w:val="000000"/>
                <w:spacing w:val="0"/>
                <w:sz w:val="16"/>
                <w:szCs w:val="16"/>
              </w:rPr>
              <w:t>CLÁUSULA VII – DO REAJUSTAMENTO DE PREÇOS</w:t>
            </w:r>
          </w:p>
          <w:p>
            <w:pPr>
              <w:bidi w:val="0"/>
              <w:spacing w:before="0" w:after="0"/>
              <w:jc w:val="both"/>
            </w:pPr>
            <w:r>
              <w:rPr>
                <w:rFonts w:ascii="Verdana" w:eastAsia="Verdana" w:hAnsi="Verdana" w:cs="Verdana"/>
                <w:color w:val="000000"/>
                <w:spacing w:val="0"/>
                <w:sz w:val="16"/>
                <w:szCs w:val="16"/>
              </w:rPr>
              <w:t>7. Considerando o prazo de validade estabelecido no item 2 da Cláusula II, da presente Ata, e, em atendimento ao §1º, artigo 28, da Lei Federal nº.9.069, de 29 de junho de 1.995 e demais legislações aplicáveis, é vedado qualquer reajustamento de preços.</w:t>
            </w:r>
          </w:p>
          <w:p>
            <w:pPr>
              <w:bidi w:val="0"/>
              <w:spacing w:before="0" w:after="0"/>
              <w:ind w:firstLine="560"/>
              <w:jc w:val="both"/>
            </w:pPr>
            <w:r>
              <w:rPr>
                <w:rFonts w:ascii="Verdana" w:eastAsia="Verdana" w:hAnsi="Verdana" w:cs="Verdana"/>
                <w:color w:val="000000"/>
                <w:spacing w:val="0"/>
                <w:sz w:val="16"/>
                <w:szCs w:val="16"/>
              </w:rPr>
              <w:t>7.1 Fica ressalvada a possibilidade de alteração das condições para a concessão de reajustes em face da superveniência de normas federais aplicáveis à espécie.</w:t>
            </w:r>
          </w:p>
          <w:p>
            <w:pPr>
              <w:bidi w:val="0"/>
              <w:spacing w:before="0" w:after="141"/>
              <w:ind w:firstLine="560"/>
              <w:jc w:val="both"/>
            </w:pPr>
            <w:r>
              <w:rPr>
                <w:rFonts w:ascii="Verdana" w:eastAsia="Verdana" w:hAnsi="Verdana" w:cs="Verdana"/>
                <w:color w:val="000000"/>
                <w:spacing w:val="0"/>
                <w:sz w:val="16"/>
                <w:szCs w:val="16"/>
              </w:rPr>
              <w:t>7.2 Se no decorrer dos fornecimentos oriundos da Ata de Registro de Preços, ficar comprovado que os preços registrados são incompatíveis com os fixados por órgãos oficiais ou com os praticados no mercado, a Administração reserva-se o direito de aplicar o disposto no artigo 75 da Lei nº. 14.133/21 e alterações, efetuando a compra direta, por valor não superior ao constante da Ata de Registro de Preços. Tal comprovação será feita através de tabelas oficiais e/ou cotações de mercado.</w:t>
            </w:r>
          </w:p>
          <w:p>
            <w:pPr>
              <w:bidi w:val="0"/>
              <w:spacing w:before="0" w:after="141"/>
              <w:jc w:val="both"/>
            </w:pPr>
            <w:r>
              <w:rPr>
                <w:rFonts w:ascii="Verdana" w:eastAsia="Verdana" w:hAnsi="Verdana" w:cs="Verdana"/>
                <w:b/>
                <w:bCs/>
                <w:color w:val="000000"/>
                <w:spacing w:val="0"/>
                <w:sz w:val="16"/>
                <w:szCs w:val="16"/>
              </w:rPr>
              <w:t>CLÁUSULA VIII – DO CANCELAMENTO DA ATA DE REGISTRO DE PREÇOS</w:t>
            </w:r>
          </w:p>
          <w:p>
            <w:pPr>
              <w:bidi w:val="0"/>
              <w:spacing w:before="0" w:after="0"/>
              <w:jc w:val="both"/>
            </w:pPr>
            <w:r>
              <w:rPr>
                <w:rFonts w:ascii="Verdana" w:eastAsia="Verdana" w:hAnsi="Verdana" w:cs="Verdana"/>
                <w:color w:val="000000"/>
                <w:spacing w:val="0"/>
                <w:sz w:val="16"/>
                <w:szCs w:val="16"/>
              </w:rPr>
              <w:t>8. A Ata de Registro de Preços poderá ser cancelada, de pleno direito:</w:t>
            </w:r>
          </w:p>
          <w:p>
            <w:pPr>
              <w:bidi w:val="0"/>
              <w:spacing w:before="0" w:after="0"/>
              <w:ind w:firstLine="560"/>
              <w:jc w:val="both"/>
            </w:pPr>
            <w:r>
              <w:rPr>
                <w:rFonts w:ascii="Verdana" w:eastAsia="Verdana" w:hAnsi="Verdana" w:cs="Verdana"/>
                <w:color w:val="000000"/>
                <w:spacing w:val="0"/>
                <w:sz w:val="16"/>
                <w:szCs w:val="16"/>
              </w:rPr>
              <w:t>8.1 Pela Administração Municipal, quando:</w:t>
            </w:r>
          </w:p>
          <w:p>
            <w:pPr>
              <w:bidi w:val="0"/>
              <w:spacing w:before="0" w:after="0"/>
              <w:ind w:firstLine="560"/>
              <w:jc w:val="both"/>
            </w:pPr>
            <w:r>
              <w:rPr>
                <w:rFonts w:ascii="Verdana" w:eastAsia="Verdana" w:hAnsi="Verdana" w:cs="Verdana"/>
                <w:color w:val="000000"/>
                <w:spacing w:val="0"/>
                <w:sz w:val="16"/>
                <w:szCs w:val="16"/>
              </w:rPr>
              <w:t>8.2 A detentora não cumprir as obrigações constantes desta Ata de Registro de Preços;</w:t>
            </w:r>
          </w:p>
          <w:p>
            <w:pPr>
              <w:bidi w:val="0"/>
              <w:spacing w:before="0" w:after="0"/>
              <w:ind w:firstLine="560"/>
              <w:jc w:val="both"/>
            </w:pPr>
            <w:r>
              <w:rPr>
                <w:rFonts w:ascii="Verdana" w:eastAsia="Verdana" w:hAnsi="Verdana" w:cs="Verdana"/>
                <w:color w:val="000000"/>
                <w:spacing w:val="0"/>
                <w:sz w:val="16"/>
                <w:szCs w:val="16"/>
              </w:rPr>
              <w:t>8.3 A detentora não retirar a Nota de Empenho no prazo estabelecido e a Administração não aceitar sua justificativa;</w:t>
            </w:r>
          </w:p>
          <w:p>
            <w:pPr>
              <w:bidi w:val="0"/>
              <w:spacing w:before="0" w:after="0"/>
              <w:ind w:firstLine="560"/>
              <w:jc w:val="both"/>
            </w:pPr>
            <w:r>
              <w:rPr>
                <w:rFonts w:ascii="Verdana" w:eastAsia="Verdana" w:hAnsi="Verdana" w:cs="Verdana"/>
                <w:color w:val="000000"/>
                <w:spacing w:val="0"/>
                <w:sz w:val="16"/>
                <w:szCs w:val="16"/>
              </w:rPr>
              <w:t>8.4 A detentora der causa a rescisão administrativa de contrato decorrente de registro de preços;</w:t>
            </w:r>
          </w:p>
          <w:p>
            <w:pPr>
              <w:bidi w:val="0"/>
              <w:spacing w:before="0" w:after="0"/>
              <w:ind w:firstLine="560"/>
              <w:jc w:val="both"/>
            </w:pPr>
            <w:r>
              <w:rPr>
                <w:rFonts w:ascii="Verdana" w:eastAsia="Verdana" w:hAnsi="Verdana" w:cs="Verdana"/>
                <w:color w:val="000000"/>
                <w:spacing w:val="0"/>
                <w:sz w:val="16"/>
                <w:szCs w:val="16"/>
              </w:rPr>
              <w:t>8.5 Em qualquer das hipóteses de recusa na entrega total ou parcial de contrato decorrente de registro de preços;</w:t>
            </w:r>
          </w:p>
          <w:p>
            <w:pPr>
              <w:bidi w:val="0"/>
              <w:spacing w:before="0" w:after="0"/>
              <w:ind w:firstLine="560"/>
              <w:jc w:val="both"/>
            </w:pPr>
            <w:r>
              <w:rPr>
                <w:rFonts w:ascii="Verdana" w:eastAsia="Verdana" w:hAnsi="Verdana" w:cs="Verdana"/>
                <w:color w:val="000000"/>
                <w:spacing w:val="0"/>
                <w:sz w:val="16"/>
                <w:szCs w:val="16"/>
              </w:rPr>
              <w:t>8.6 Os preços registrados se apresentarem superiores aos praticados no mercado;</w:t>
            </w:r>
          </w:p>
          <w:p>
            <w:pPr>
              <w:bidi w:val="0"/>
              <w:spacing w:before="0" w:after="0"/>
              <w:ind w:firstLine="560"/>
              <w:jc w:val="both"/>
            </w:pPr>
            <w:r>
              <w:rPr>
                <w:rFonts w:ascii="Verdana" w:eastAsia="Verdana" w:hAnsi="Verdana" w:cs="Verdana"/>
                <w:color w:val="000000"/>
                <w:spacing w:val="0"/>
                <w:sz w:val="16"/>
                <w:szCs w:val="16"/>
              </w:rPr>
              <w:t>8.7 Por razões de interesse público devidamente demonstradas e justificadas pela Administração;</w:t>
            </w:r>
          </w:p>
          <w:p>
            <w:pPr>
              <w:bidi w:val="0"/>
              <w:spacing w:before="0" w:after="0"/>
              <w:ind w:firstLine="560"/>
              <w:jc w:val="both"/>
            </w:pPr>
            <w:r>
              <w:rPr>
                <w:rFonts w:ascii="Verdana" w:eastAsia="Verdana" w:hAnsi="Verdana" w:cs="Verdana"/>
                <w:color w:val="000000"/>
                <w:spacing w:val="0"/>
                <w:sz w:val="16"/>
                <w:szCs w:val="16"/>
              </w:rPr>
              <w:t>8.8 No caso de ser ignorado, incerto ou inacessível o endereço da detentora, a comunicação será feita por publicação na Imprensa Oficial, considerando-se cancelado o preço registrado após 01(um) dia da publicação.</w:t>
            </w:r>
          </w:p>
          <w:p>
            <w:pPr>
              <w:bidi w:val="0"/>
              <w:spacing w:before="0" w:after="0"/>
              <w:ind w:firstLine="560"/>
              <w:jc w:val="both"/>
            </w:pPr>
            <w:r>
              <w:rPr>
                <w:rFonts w:ascii="Verdana" w:eastAsia="Verdana" w:hAnsi="Verdana" w:cs="Verdana"/>
                <w:color w:val="000000"/>
                <w:spacing w:val="0"/>
                <w:sz w:val="16"/>
                <w:szCs w:val="16"/>
              </w:rPr>
              <w:t>8.9 Pelas detentoras, quando, mediante solicitação por escrito, comprovarem estar impossibilitadas de cumprir as exigências desta Ata de Registro de Preços.</w:t>
            </w:r>
          </w:p>
          <w:p>
            <w:pPr>
              <w:bidi w:val="0"/>
              <w:spacing w:before="0" w:after="141"/>
              <w:ind w:firstLine="560"/>
              <w:jc w:val="both"/>
            </w:pPr>
            <w:r>
              <w:rPr>
                <w:rFonts w:ascii="Verdana" w:eastAsia="Verdana" w:hAnsi="Verdana" w:cs="Verdana"/>
                <w:color w:val="000000"/>
                <w:spacing w:val="0"/>
                <w:sz w:val="16"/>
                <w:szCs w:val="16"/>
              </w:rPr>
              <w:t>8.10 A solicitação das detentoras para cancelamento dos preços registrados deverá ser formulada com a antecedência de 30 (trinta) dias, cabendo a Administração a aplicação das penalidades previstas em lei.</w:t>
            </w:r>
          </w:p>
          <w:p>
            <w:pPr>
              <w:bidi w:val="0"/>
              <w:spacing w:before="0" w:after="141"/>
              <w:jc w:val="both"/>
            </w:pPr>
            <w:r>
              <w:rPr>
                <w:rFonts w:ascii="Verdana" w:eastAsia="Verdana" w:hAnsi="Verdana" w:cs="Verdana"/>
                <w:b/>
                <w:bCs/>
                <w:color w:val="000000"/>
                <w:spacing w:val="0"/>
                <w:sz w:val="16"/>
                <w:szCs w:val="16"/>
              </w:rPr>
              <w:t>CLÁUSULA IX – DA AUTORIZAÇÃO PARA CONTRATAÇÃO E EMISSÃO DAS NOTAS DE EMPENHO</w:t>
            </w:r>
          </w:p>
          <w:p>
            <w:pPr>
              <w:bidi w:val="0"/>
              <w:spacing w:before="0" w:after="0"/>
              <w:jc w:val="both"/>
            </w:pPr>
            <w:r>
              <w:rPr>
                <w:rFonts w:ascii="Verdana" w:eastAsia="Verdana" w:hAnsi="Verdana" w:cs="Verdana"/>
                <w:color w:val="000000"/>
                <w:spacing w:val="0"/>
                <w:sz w:val="16"/>
                <w:szCs w:val="16"/>
              </w:rPr>
              <w:t>9. O fornecimento do objeto da presente Ata de Registro de Preços será autorizado, caso a caso, pelo(a) , que é o órgão gerenciador da mesma e também pela unidade financeira competente para os pagamentos.</w:t>
            </w:r>
          </w:p>
          <w:p>
            <w:pPr>
              <w:bidi w:val="0"/>
              <w:spacing w:before="0" w:after="141"/>
              <w:ind w:firstLine="560"/>
              <w:jc w:val="both"/>
            </w:pPr>
            <w:r>
              <w:rPr>
                <w:rFonts w:ascii="Verdana" w:eastAsia="Verdana" w:hAnsi="Verdana" w:cs="Verdana"/>
                <w:color w:val="000000"/>
                <w:spacing w:val="0"/>
                <w:sz w:val="16"/>
                <w:szCs w:val="16"/>
              </w:rPr>
              <w:t>9.1 A emissão dos pedidos, sua retificação ou cancelamento, autorizados pelo órgão requisitante total ou parcial, serão igualmente, quando da solicitação.</w:t>
            </w:r>
          </w:p>
          <w:p>
            <w:pPr>
              <w:bidi w:val="0"/>
              <w:spacing w:before="0" w:after="141"/>
              <w:jc w:val="both"/>
            </w:pPr>
            <w:r>
              <w:rPr>
                <w:rFonts w:ascii="Verdana" w:eastAsia="Verdana" w:hAnsi="Verdana" w:cs="Verdana"/>
                <w:b/>
                <w:bCs/>
                <w:color w:val="000000"/>
                <w:spacing w:val="0"/>
                <w:sz w:val="16"/>
                <w:szCs w:val="16"/>
              </w:rPr>
              <w:t>CLÁUSULA X – DAS OBRIGAÇÕES DA CONTRATANTE</w:t>
            </w:r>
          </w:p>
          <w:p>
            <w:pPr>
              <w:bidi w:val="0"/>
              <w:spacing w:before="0" w:after="0"/>
              <w:jc w:val="both"/>
            </w:pPr>
            <w:r>
              <w:rPr>
                <w:rFonts w:ascii="Verdana" w:eastAsia="Verdana" w:hAnsi="Verdana" w:cs="Verdana"/>
                <w:color w:val="000000"/>
                <w:spacing w:val="0"/>
                <w:sz w:val="16"/>
                <w:szCs w:val="16"/>
              </w:rPr>
              <w:t>10. Compete à Contratante:</w:t>
            </w:r>
          </w:p>
          <w:p>
            <w:pPr>
              <w:bidi w:val="0"/>
              <w:spacing w:before="0" w:after="0"/>
              <w:ind w:firstLine="560"/>
              <w:jc w:val="both"/>
            </w:pPr>
            <w:r>
              <w:rPr>
                <w:rFonts w:ascii="Verdana" w:eastAsia="Verdana" w:hAnsi="Verdana" w:cs="Verdana"/>
                <w:color w:val="000000"/>
                <w:spacing w:val="0"/>
                <w:sz w:val="16"/>
                <w:szCs w:val="16"/>
              </w:rPr>
              <w:t>10.1 Fazer o pedido no prazo de 05 (cinco) dias antecedente a sua necessidade.</w:t>
            </w:r>
          </w:p>
          <w:p>
            <w:pPr>
              <w:bidi w:val="0"/>
              <w:spacing w:before="0" w:after="0"/>
              <w:ind w:firstLine="560"/>
              <w:jc w:val="both"/>
            </w:pPr>
            <w:r>
              <w:rPr>
                <w:rFonts w:ascii="Verdana" w:eastAsia="Verdana" w:hAnsi="Verdana" w:cs="Verdana"/>
                <w:color w:val="000000"/>
                <w:spacing w:val="0"/>
                <w:sz w:val="16"/>
                <w:szCs w:val="16"/>
              </w:rPr>
              <w:t>10.2 Efetuar o pagamento nas condições pactuadas.</w:t>
            </w:r>
          </w:p>
          <w:p>
            <w:pPr>
              <w:bidi w:val="0"/>
              <w:spacing w:before="0" w:after="0"/>
              <w:ind w:firstLine="560"/>
              <w:jc w:val="both"/>
            </w:pPr>
            <w:r>
              <w:rPr>
                <w:rFonts w:ascii="Verdana" w:eastAsia="Verdana" w:hAnsi="Verdana" w:cs="Verdana"/>
                <w:color w:val="000000"/>
                <w:spacing w:val="0"/>
                <w:sz w:val="16"/>
                <w:szCs w:val="16"/>
              </w:rPr>
              <w:t>10.3 Notificar a Contratada relativamente a qualquer irregularidade encontrada no fornecimento dos medicamentos.</w:t>
            </w:r>
          </w:p>
          <w:p>
            <w:pPr>
              <w:bidi w:val="0"/>
              <w:spacing w:before="0" w:after="141"/>
              <w:ind w:firstLine="560"/>
              <w:jc w:val="both"/>
            </w:pPr>
            <w:r>
              <w:rPr>
                <w:rFonts w:ascii="Verdana" w:eastAsia="Verdana" w:hAnsi="Verdana" w:cs="Verdana"/>
                <w:color w:val="000000"/>
                <w:spacing w:val="0"/>
                <w:sz w:val="16"/>
                <w:szCs w:val="16"/>
              </w:rPr>
              <w:t>10.4 O Município não será responsável por quaisquer ônus, direitos ou obrigações vinculadas à legislação trabalhista, tributárias ou securitárias decorrentes da execução do presente contrato, cujo cumprimento e responsabilidade caberão, exclusivamente, à Contratada.</w:t>
            </w:r>
          </w:p>
          <w:p>
            <w:pPr>
              <w:bidi w:val="0"/>
              <w:spacing w:before="0" w:after="141"/>
              <w:jc w:val="both"/>
            </w:pPr>
            <w:r>
              <w:rPr>
                <w:rFonts w:ascii="Verdana" w:eastAsia="Verdana" w:hAnsi="Verdana" w:cs="Verdana"/>
                <w:b/>
                <w:bCs/>
                <w:color w:val="000000"/>
                <w:spacing w:val="0"/>
                <w:sz w:val="16"/>
                <w:szCs w:val="16"/>
              </w:rPr>
              <w:t>CLÁUSULA XI – DAS OBRIGAÇÕES DA CONTRATADA</w:t>
            </w:r>
          </w:p>
          <w:p>
            <w:pPr>
              <w:bidi w:val="0"/>
              <w:spacing w:before="0" w:after="0"/>
              <w:jc w:val="both"/>
            </w:pPr>
            <w:r>
              <w:rPr>
                <w:rFonts w:ascii="Verdana" w:eastAsia="Verdana" w:hAnsi="Verdana" w:cs="Verdana"/>
                <w:color w:val="000000"/>
                <w:spacing w:val="0"/>
                <w:sz w:val="16"/>
                <w:szCs w:val="16"/>
              </w:rPr>
              <w:t>11. Fornecer a pronta entrega e material de qualidade conforme discriminado, juntamente com a nota Fiscal, sem custo de frete.</w:t>
            </w:r>
          </w:p>
          <w:p>
            <w:pPr>
              <w:bidi w:val="0"/>
              <w:spacing w:before="0" w:after="141"/>
              <w:ind w:firstLine="560"/>
              <w:jc w:val="both"/>
            </w:pPr>
            <w:r>
              <w:rPr>
                <w:rFonts w:ascii="Verdana" w:eastAsia="Verdana" w:hAnsi="Verdana" w:cs="Verdana"/>
                <w:color w:val="000000"/>
                <w:spacing w:val="0"/>
                <w:sz w:val="16"/>
                <w:szCs w:val="16"/>
              </w:rPr>
              <w:t>11.2 Garantia mínima de 12 meses sobre os equipamentos contra defeito de fabricação.</w:t>
            </w:r>
          </w:p>
          <w:p>
            <w:pPr>
              <w:bidi w:val="0"/>
              <w:spacing w:before="0" w:after="141"/>
              <w:jc w:val="both"/>
            </w:pPr>
            <w:r>
              <w:rPr>
                <w:rFonts w:ascii="Verdana" w:eastAsia="Verdana" w:hAnsi="Verdana" w:cs="Verdana"/>
                <w:b/>
                <w:bCs/>
                <w:color w:val="000000"/>
                <w:spacing w:val="0"/>
                <w:sz w:val="16"/>
                <w:szCs w:val="16"/>
              </w:rPr>
              <w:t>CLÁUSULA XII – DAS DISPOSIÇÕES FINAIS</w:t>
            </w:r>
          </w:p>
          <w:p>
            <w:pPr>
              <w:bidi w:val="0"/>
              <w:spacing w:before="0" w:after="0"/>
              <w:jc w:val="both"/>
            </w:pPr>
            <w:r>
              <w:rPr>
                <w:rFonts w:ascii="Verdana" w:eastAsia="Verdana" w:hAnsi="Verdana" w:cs="Verdana"/>
                <w:color w:val="000000"/>
                <w:spacing w:val="0"/>
                <w:sz w:val="16"/>
                <w:szCs w:val="16"/>
              </w:rPr>
              <w:t>12. Integram esta Ata, o Edital de Nº. null/null, e as propostas das empresas classificadas no certame supra numerado.</w:t>
            </w:r>
          </w:p>
          <w:p>
            <w:pPr>
              <w:bidi w:val="0"/>
              <w:spacing w:before="0" w:after="0"/>
              <w:ind w:firstLine="560"/>
              <w:jc w:val="both"/>
            </w:pPr>
            <w:r>
              <w:rPr>
                <w:rFonts w:ascii="Verdana" w:eastAsia="Verdana" w:hAnsi="Verdana" w:cs="Verdana"/>
                <w:color w:val="000000"/>
                <w:spacing w:val="0"/>
                <w:sz w:val="16"/>
                <w:szCs w:val="16"/>
              </w:rPr>
              <w:t>12.1 Fica eleito o foro de Campo Novo (RS), para dirimir quaisquer questões decorrentes da utilização da presente Ata.</w:t>
            </w:r>
          </w:p>
          <w:p>
            <w:pPr>
              <w:bidi w:val="0"/>
              <w:spacing w:before="0" w:after="141"/>
              <w:ind w:firstLine="560"/>
              <w:jc w:val="both"/>
            </w:pPr>
            <w:r>
              <w:rPr>
                <w:rFonts w:ascii="Verdana" w:eastAsia="Verdana" w:hAnsi="Verdana" w:cs="Verdana"/>
                <w:color w:val="000000"/>
                <w:spacing w:val="0"/>
                <w:sz w:val="16"/>
                <w:szCs w:val="16"/>
              </w:rPr>
              <w:t>12.2 Os casos omissos serão resolvidos de acordo com a Lei nº. 14.133/21 e alterações, e demais normas aplicáveis.</w:t>
            </w:r>
          </w:p>
          <w:p>
            <w:pPr>
              <w:bidi w:val="0"/>
              <w:spacing w:before="0" w:after="0"/>
              <w:jc w:val="right"/>
            </w:pPr>
            <w:r>
              <w:rPr>
                <w:rFonts w:ascii="Verdana" w:eastAsia="Verdana" w:hAnsi="Verdana" w:cs="Verdana"/>
                <w:color w:val="000000"/>
                <w:spacing w:val="0"/>
                <w:sz w:val="16"/>
                <w:szCs w:val="16"/>
              </w:rPr>
              <w:t>Campo Novo (RS), xxx de xxx de</w:t>
            </w:r>
          </w:p>
        </w:tc>
      </w:tr>
    </w:tbl>
    <w:p/>
    <w:tbl>
      <w:tblPr>
        <w:tblStyle w:val="TableNormal"/>
        <w:tblOverlap w:val="never"/>
        <w:tblW w:w="10425" w:type="dxa"/>
        <w:tblInd w:w="20" w:type="dxa"/>
        <w:tblLayout w:type="fixed"/>
        <w:tblLook w:val="01E0"/>
      </w:tblPr>
      <w:tblGrid>
        <w:gridCol w:w="4648"/>
        <w:gridCol w:w="1129"/>
        <w:gridCol w:w="4648"/>
      </w:tblGrid>
      <w:tr>
        <w:tblPrEx>
          <w:tblW w:w="10425" w:type="dxa"/>
          <w:tblInd w:w="20" w:type="dxa"/>
          <w:tblLayout w:type="fixed"/>
          <w:tblLook w:val="01E0"/>
        </w:tblPrEx>
        <w:trPr>
          <w:trHeight w:hRule="exact" w:val="850"/>
        </w:trPr>
        <w:tc>
          <w:tcPr>
            <w:tcW w:w="4666"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4666"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4666" w:type="dxa"/>
            <w:tcBorders>
              <w:top w:val="single" w:sz="6" w:space="0" w:color="000000"/>
            </w:tcBorders>
            <w:noWrap w:val="0"/>
            <w:tcMar>
              <w:top w:w="0" w:type="dxa"/>
              <w:left w:w="0" w:type="dxa"/>
              <w:bottom w:w="0" w:type="dxa"/>
              <w:right w:w="0" w:type="dxa"/>
            </w:tcMar>
            <w:vAlign w:val="top"/>
          </w:tcPr>
          <w:tbl>
            <w:tblPr>
              <w:tblStyle w:val="TableNormal"/>
              <w:tblOverlap w:val="never"/>
              <w:tblW w:w="4666" w:type="dxa"/>
              <w:jc w:val="center"/>
              <w:tblInd w:w="0" w:type="dxa"/>
              <w:tblLayout w:type="fixed"/>
              <w:tblCellMar>
                <w:top w:w="0" w:type="dxa"/>
                <w:left w:w="0" w:type="dxa"/>
                <w:bottom w:w="0" w:type="dxa"/>
                <w:right w:w="0" w:type="dxa"/>
              </w:tblCellMar>
              <w:tblLook w:val="01E0"/>
            </w:tblPr>
            <w:tblGrid>
              <w:gridCol w:w="4666"/>
            </w:tblGrid>
            <w:tr>
              <w:tblPrEx>
                <w:tblW w:w="4666" w:type="dxa"/>
                <w:jc w:val="center"/>
                <w:tblInd w:w="0" w:type="dxa"/>
                <w:tblLayout w:type="fixed"/>
                <w:tblCellMar>
                  <w:top w:w="0" w:type="dxa"/>
                  <w:left w:w="0" w:type="dxa"/>
                  <w:bottom w:w="0" w:type="dxa"/>
                  <w:right w:w="0" w:type="dxa"/>
                </w:tblCellMar>
                <w:tblLook w:val="01E0"/>
              </w:tblPrEx>
              <w:trPr>
                <w:jc w:val="center"/>
              </w:trPr>
              <w:tc>
                <w:tcPr>
                  <w:tcW w:w="466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Verdana" w:eastAsia="Verdana" w:hAnsi="Verdana" w:cs="Verdana"/>
                      <w:color w:val="000000"/>
                      <w:spacing w:val="0"/>
                      <w:sz w:val="16"/>
                      <w:szCs w:val="16"/>
                    </w:rPr>
                    <w:t>Prefeito(a) Municipal</w:t>
                  </w:r>
                </w:p>
                <w:p>
                  <w:pPr>
                    <w:bidi w:val="0"/>
                    <w:spacing w:before="0" w:after="0"/>
                    <w:jc w:val="center"/>
                  </w:pPr>
                  <w:r>
                    <w:rPr>
                      <w:rFonts w:ascii="Verdana" w:eastAsia="Verdana" w:hAnsi="Verdana" w:cs="Verdana"/>
                      <w:b/>
                      <w:bCs/>
                      <w:color w:val="000000"/>
                      <w:spacing w:val="0"/>
                      <w:sz w:val="16"/>
                      <w:szCs w:val="16"/>
                    </w:rPr>
                    <w:t>CONTRATANTE</w:t>
                  </w:r>
                </w:p>
              </w:tc>
            </w:tr>
          </w:tbl>
          <w:p>
            <w:pPr>
              <w:spacing w:line="1" w:lineRule="auto"/>
            </w:pPr>
          </w:p>
        </w:tc>
        <w:tc>
          <w:tcPr>
            <w:tcW w:w="1133" w:type="dxa"/>
            <w:noWrap w:val="0"/>
            <w:tcMar>
              <w:top w:w="0" w:type="dxa"/>
              <w:left w:w="0" w:type="dxa"/>
              <w:bottom w:w="0" w:type="dxa"/>
              <w:right w:w="0" w:type="dxa"/>
            </w:tcMar>
            <w:vAlign w:val="top"/>
          </w:tcPr>
          <w:p>
            <w:pPr>
              <w:spacing w:line="1" w:lineRule="auto"/>
            </w:pPr>
          </w:p>
        </w:tc>
        <w:tc>
          <w:tcPr>
            <w:tcW w:w="4666" w:type="dxa"/>
            <w:tcBorders>
              <w:top w:val="single" w:sz="6" w:space="0" w:color="000000"/>
            </w:tcBorders>
            <w:noWrap w:val="0"/>
            <w:tcMar>
              <w:top w:w="0" w:type="dxa"/>
              <w:left w:w="0" w:type="dxa"/>
              <w:bottom w:w="0" w:type="dxa"/>
              <w:right w:w="0" w:type="dxa"/>
            </w:tcMar>
            <w:vAlign w:val="top"/>
          </w:tcPr>
          <w:p/>
          <w:tbl>
            <w:tblPr>
              <w:tblStyle w:val="TableNormal"/>
              <w:tblOverlap w:val="never"/>
              <w:tblW w:w="4666" w:type="dxa"/>
              <w:jc w:val="center"/>
              <w:tblInd w:w="0" w:type="dxa"/>
              <w:tblLayout w:type="fixed"/>
              <w:tblCellMar>
                <w:top w:w="0" w:type="dxa"/>
                <w:left w:w="0" w:type="dxa"/>
                <w:bottom w:w="0" w:type="dxa"/>
                <w:right w:w="0" w:type="dxa"/>
              </w:tblCellMar>
              <w:tblLook w:val="01E0"/>
            </w:tblPr>
            <w:tblGrid>
              <w:gridCol w:w="4666"/>
            </w:tblGrid>
            <w:tr>
              <w:tblPrEx>
                <w:tblW w:w="4666" w:type="dxa"/>
                <w:jc w:val="center"/>
                <w:tblInd w:w="0" w:type="dxa"/>
                <w:tblLayout w:type="fixed"/>
                <w:tblCellMar>
                  <w:top w:w="0" w:type="dxa"/>
                  <w:left w:w="0" w:type="dxa"/>
                  <w:bottom w:w="0" w:type="dxa"/>
                  <w:right w:w="0" w:type="dxa"/>
                </w:tblCellMar>
                <w:tblLook w:val="01E0"/>
              </w:tblPrEx>
              <w:trPr>
                <w:jc w:val="center"/>
              </w:trPr>
              <w:tc>
                <w:tcPr>
                  <w:tcW w:w="466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Verdana" w:eastAsia="Verdana" w:hAnsi="Verdana" w:cs="Verdana"/>
                      <w:color w:val="000000"/>
                      <w:spacing w:val="0"/>
                      <w:sz w:val="16"/>
                      <w:szCs w:val="16"/>
                    </w:rPr>
                    <w:t>Proprietário</w:t>
                  </w:r>
                </w:p>
                <w:p>
                  <w:pPr>
                    <w:bidi w:val="0"/>
                    <w:spacing w:before="0" w:after="0"/>
                    <w:jc w:val="center"/>
                  </w:pPr>
                  <w:r>
                    <w:rPr>
                      <w:rFonts w:ascii="Verdana" w:eastAsia="Verdana" w:hAnsi="Verdana" w:cs="Verdana"/>
                      <w:b/>
                      <w:bCs/>
                      <w:color w:val="000000"/>
                      <w:spacing w:val="0"/>
                      <w:sz w:val="16"/>
                      <w:szCs w:val="16"/>
                    </w:rPr>
                    <w:t>CONTRATADA</w:t>
                  </w:r>
                </w:p>
              </w:tc>
            </w:tr>
          </w:tbl>
          <w:p>
            <w:pPr>
              <w:spacing w:line="1" w:lineRule="auto"/>
            </w:pPr>
          </w:p>
        </w:tc>
      </w:tr>
    </w:tbl>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85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center"/>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Assessor Jurídico</w:t>
            </w:r>
          </w:p>
        </w:tc>
      </w:tr>
      <w:tr>
        <w:tblPrEx>
          <w:tblW w:w="10425" w:type="dxa"/>
          <w:tblInd w:w="20" w:type="dxa"/>
          <w:tblLayout w:type="fixed"/>
          <w:tblLook w:val="01E0"/>
        </w:tblPrEx>
        <w:trPr>
          <w:trHeight w:hRule="exact" w:val="453"/>
        </w:trPr>
        <w:tc>
          <w:tcPr>
            <w:tcW w:w="10465" w:type="dxa"/>
            <w:noWrap w:val="0"/>
            <w:tcMar>
              <w:top w:w="0" w:type="dxa"/>
              <w:left w:w="0" w:type="dxa"/>
              <w:bottom w:w="0" w:type="dxa"/>
              <w:right w:w="0" w:type="dxa"/>
            </w:tcMar>
            <w:vAlign w:val="top"/>
          </w:tcPr>
          <w:p>
            <w:pPr>
              <w:spacing w:line="1" w:lineRule="auto"/>
            </w:pPr>
          </w:p>
        </w:tc>
      </w:tr>
    </w:tbl>
    <w:p/>
    <w:tbl>
      <w:tblPr>
        <w:tblStyle w:val="TableNormal"/>
        <w:tblOverlap w:val="never"/>
        <w:tblW w:w="10425" w:type="dxa"/>
        <w:tblInd w:w="20" w:type="dxa"/>
        <w:tblLayout w:type="fixed"/>
        <w:tblLook w:val="01E0"/>
      </w:tblPr>
      <w:tblGrid>
        <w:gridCol w:w="1693"/>
        <w:gridCol w:w="3236"/>
        <w:gridCol w:w="564"/>
        <w:gridCol w:w="1694"/>
        <w:gridCol w:w="3238"/>
      </w:tblGrid>
      <w:tr>
        <w:tblPrEx>
          <w:tblW w:w="10425" w:type="dxa"/>
          <w:tblInd w:w="20" w:type="dxa"/>
          <w:tblLayout w:type="fixed"/>
          <w:tblLook w:val="01E0"/>
        </w:tblPrEx>
        <w:tc>
          <w:tcPr>
            <w:tcW w:w="1700" w:type="dxa"/>
            <w:noWrap w:val="0"/>
            <w:tcMar>
              <w:top w:w="0" w:type="dxa"/>
              <w:left w:w="0" w:type="dxa"/>
              <w:bottom w:w="0" w:type="dxa"/>
              <w:right w:w="0" w:type="dxa"/>
            </w:tcMar>
            <w:vAlign w:val="top"/>
          </w:tcPr>
          <w:p>
            <w:pPr>
              <w:bidi w:val="0"/>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Testemunhas 1:</w:t>
            </w:r>
          </w:p>
        </w:tc>
        <w:tc>
          <w:tcPr>
            <w:tcW w:w="3249" w:type="dxa"/>
            <w:tcBorders>
              <w:bottom w:val="single" w:sz="6" w:space="0" w:color="000000"/>
            </w:tcBorders>
            <w:noWrap w:val="0"/>
            <w:tcMar>
              <w:top w:w="0" w:type="dxa"/>
              <w:left w:w="0" w:type="dxa"/>
              <w:bottom w:w="0" w:type="dxa"/>
              <w:right w:w="0" w:type="dxa"/>
            </w:tcMar>
            <w:vAlign w:val="top"/>
          </w:tcPr>
          <w:p>
            <w:pPr>
              <w:spacing w:line="1" w:lineRule="auto"/>
            </w:pPr>
          </w:p>
        </w:tc>
        <w:tc>
          <w:tcPr>
            <w:tcW w:w="566" w:type="dxa"/>
            <w:noWrap w:val="0"/>
            <w:tcMar>
              <w:top w:w="0" w:type="dxa"/>
              <w:left w:w="0" w:type="dxa"/>
              <w:bottom w:w="0" w:type="dxa"/>
              <w:right w:w="0" w:type="dxa"/>
            </w:tcMar>
            <w:vAlign w:val="top"/>
          </w:tcPr>
          <w:p>
            <w:pPr>
              <w:spacing w:line="1" w:lineRule="auto"/>
            </w:pPr>
          </w:p>
        </w:tc>
        <w:tc>
          <w:tcPr>
            <w:tcW w:w="1700" w:type="dxa"/>
            <w:noWrap w:val="0"/>
            <w:tcMar>
              <w:top w:w="0" w:type="dxa"/>
              <w:left w:w="0" w:type="dxa"/>
              <w:bottom w:w="0" w:type="dxa"/>
              <w:right w:w="0" w:type="dxa"/>
            </w:tcMar>
            <w:vAlign w:val="top"/>
          </w:tcPr>
          <w:p>
            <w:pPr>
              <w:bidi w:val="0"/>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Testemunhas 2:</w:t>
            </w:r>
          </w:p>
        </w:tc>
        <w:tc>
          <w:tcPr>
            <w:tcW w:w="3250" w:type="dxa"/>
            <w:tcBorders>
              <w:bottom w:val="single" w:sz="6" w:space="0" w:color="000000"/>
            </w:tcBorders>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700" w:type="dxa"/>
            <w:noWrap w:val="0"/>
            <w:tcMar>
              <w:top w:w="0" w:type="dxa"/>
              <w:left w:w="0" w:type="dxa"/>
              <w:bottom w:w="0" w:type="dxa"/>
              <w:right w:w="0" w:type="dxa"/>
            </w:tcMar>
            <w:vAlign w:val="top"/>
          </w:tcPr>
          <w:p>
            <w:pPr>
              <w:spacing w:line="1" w:lineRule="auto"/>
            </w:pPr>
          </w:p>
        </w:tc>
        <w:tc>
          <w:tcPr>
            <w:tcW w:w="3249" w:type="dxa"/>
            <w:noWrap w:val="0"/>
            <w:tcMar>
              <w:top w:w="0" w:type="dxa"/>
              <w:left w:w="0" w:type="dxa"/>
              <w:bottom w:w="0" w:type="dxa"/>
              <w:right w:w="0" w:type="dxa"/>
            </w:tcMar>
            <w:vAlign w:val="top"/>
          </w:tcPr>
          <w:p>
            <w:pPr>
              <w:bidi w:val="0"/>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CPF:</w:t>
            </w:r>
          </w:p>
        </w:tc>
        <w:tc>
          <w:tcPr>
            <w:tcW w:w="566" w:type="dxa"/>
            <w:noWrap w:val="0"/>
            <w:tcMar>
              <w:top w:w="0" w:type="dxa"/>
              <w:left w:w="0" w:type="dxa"/>
              <w:bottom w:w="0" w:type="dxa"/>
              <w:right w:w="0" w:type="dxa"/>
            </w:tcMar>
            <w:vAlign w:val="top"/>
          </w:tcPr>
          <w:p>
            <w:pPr>
              <w:spacing w:line="1" w:lineRule="auto"/>
            </w:pPr>
          </w:p>
        </w:tc>
        <w:tc>
          <w:tcPr>
            <w:tcW w:w="1700" w:type="dxa"/>
            <w:noWrap w:val="0"/>
            <w:tcMar>
              <w:top w:w="0" w:type="dxa"/>
              <w:left w:w="0" w:type="dxa"/>
              <w:bottom w:w="0" w:type="dxa"/>
              <w:right w:w="0" w:type="dxa"/>
            </w:tcMar>
            <w:vAlign w:val="top"/>
          </w:tcPr>
          <w:p>
            <w:pPr>
              <w:spacing w:line="1" w:lineRule="auto"/>
            </w:pPr>
          </w:p>
        </w:tc>
        <w:tc>
          <w:tcPr>
            <w:tcW w:w="3250" w:type="dxa"/>
            <w:noWrap w:val="0"/>
            <w:tcMar>
              <w:top w:w="0" w:type="dxa"/>
              <w:left w:w="0" w:type="dxa"/>
              <w:bottom w:w="0" w:type="dxa"/>
              <w:right w:w="0" w:type="dxa"/>
            </w:tcMar>
            <w:vAlign w:val="top"/>
          </w:tcPr>
          <w:p>
            <w:pPr>
              <w:bidi w:val="0"/>
              <w:rPr>
                <w:rFonts w:ascii="Verdana" w:eastAsia="Verdana" w:hAnsi="Verdana" w:cs="Verdana"/>
                <w:b/>
                <w:bCs/>
                <w:color w:val="000000"/>
                <w:spacing w:val="0"/>
                <w:sz w:val="16"/>
                <w:szCs w:val="16"/>
              </w:rPr>
            </w:pPr>
            <w:r>
              <w:rPr>
                <w:rFonts w:ascii="Verdana" w:eastAsia="Verdana" w:hAnsi="Verdana" w:cs="Verdana"/>
                <w:b/>
                <w:bCs/>
                <w:color w:val="000000"/>
                <w:spacing w:val="0"/>
                <w:sz w:val="16"/>
                <w:szCs w:val="16"/>
              </w:rPr>
              <w:t>CPF:</w:t>
            </w:r>
          </w:p>
        </w:tc>
      </w:tr>
    </w:tbl>
    <w:p/>
    <w:sectPr>
      <w:headerReference w:type="default" r:id="rId17"/>
      <w:footerReference w:type="default" r:id="rId18"/>
      <w:pgSz w:w="11905" w:h="16837" w:orient="portrait"/>
      <w:pgMar w:top="360" w:right="720" w:bottom="360" w:left="720" w:header="360" w:footer="360"/>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503"/>
      </w:trPr>
      <w:tc>
        <w:tcPr>
          <w:tcW w:w="10680" w:type="dxa"/>
        </w:tcPr>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17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4"/>
                    <w:szCs w:val="24"/>
                  </w:rPr>
                </w:pPr>
                <w:r>
                  <w:rPr>
                    <w:rFonts w:ascii="Times New Roman" w:eastAsia="Times New Roman" w:hAnsi="Times New Roman" w:cs="Times New Roman"/>
                  </w:rPr>
                  <w:fldChar w:fldCharType="begin"/>
                </w:r>
                <w:r>
                  <w:rPr>
                    <w:rFonts w:ascii="Times New Roman" w:eastAsia="Times New Roman" w:hAnsi="Times New Roman" w:cs="Times New Roman"/>
                    <w:color w:val="000000"/>
                    <w:spacing w:val="0"/>
                    <w:sz w:val="24"/>
                    <w:szCs w:val="24"/>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tc>
          </w:tr>
        </w:tbl>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503"/>
      </w:trPr>
      <w:tc>
        <w:tcPr>
          <w:tcW w:w="10680" w:type="dxa"/>
        </w:tcPr>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17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4"/>
                    <w:szCs w:val="24"/>
                  </w:rPr>
                </w:pPr>
                <w:r>
                  <w:rPr>
                    <w:rFonts w:ascii="Times New Roman" w:eastAsia="Times New Roman" w:hAnsi="Times New Roman" w:cs="Times New Roman"/>
                  </w:rPr>
                  <w:fldChar w:fldCharType="begin"/>
                </w:r>
                <w:r>
                  <w:rPr>
                    <w:rFonts w:ascii="Times New Roman" w:eastAsia="Times New Roman" w:hAnsi="Times New Roman" w:cs="Times New Roman"/>
                    <w:color w:val="000000"/>
                    <w:spacing w:val="0"/>
                    <w:sz w:val="24"/>
                    <w:szCs w:val="24"/>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tc>
          </w:tr>
        </w:tbl>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503"/>
      </w:trPr>
      <w:tc>
        <w:tcPr>
          <w:tcW w:w="10680" w:type="dxa"/>
        </w:tcPr>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17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4"/>
                    <w:szCs w:val="24"/>
                  </w:rPr>
                </w:pPr>
                <w:r>
                  <w:rPr>
                    <w:rFonts w:ascii="Times New Roman" w:eastAsia="Times New Roman" w:hAnsi="Times New Roman" w:cs="Times New Roman"/>
                  </w:rPr>
                  <w:fldChar w:fldCharType="begin"/>
                </w:r>
                <w:r>
                  <w:rPr>
                    <w:rFonts w:ascii="Times New Roman" w:eastAsia="Times New Roman" w:hAnsi="Times New Roman" w:cs="Times New Roman"/>
                    <w:color w:val="000000"/>
                    <w:spacing w:val="0"/>
                    <w:sz w:val="24"/>
                    <w:szCs w:val="24"/>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tc>
          </w:tr>
        </w:tbl>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503"/>
      </w:trPr>
      <w:tc>
        <w:tcPr>
          <w:tcW w:w="10680" w:type="dxa"/>
        </w:tcPr>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17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4"/>
                    <w:szCs w:val="24"/>
                  </w:rPr>
                </w:pPr>
                <w:r>
                  <w:rPr>
                    <w:rFonts w:ascii="Times New Roman" w:eastAsia="Times New Roman" w:hAnsi="Times New Roman" w:cs="Times New Roman"/>
                  </w:rPr>
                  <w:fldChar w:fldCharType="begin"/>
                </w:r>
                <w:r>
                  <w:rPr>
                    <w:rFonts w:ascii="Times New Roman" w:eastAsia="Times New Roman" w:hAnsi="Times New Roman" w:cs="Times New Roman"/>
                    <w:color w:val="000000"/>
                    <w:spacing w:val="0"/>
                    <w:sz w:val="24"/>
                    <w:szCs w:val="24"/>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tc>
          </w:tr>
        </w:tbl>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503"/>
      </w:trPr>
      <w:tc>
        <w:tcPr>
          <w:tcW w:w="10680" w:type="dxa"/>
        </w:tcPr>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17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4"/>
                    <w:szCs w:val="24"/>
                  </w:rPr>
                </w:pPr>
                <w:r>
                  <w:rPr>
                    <w:rFonts w:ascii="Times New Roman" w:eastAsia="Times New Roman" w:hAnsi="Times New Roman" w:cs="Times New Roman"/>
                  </w:rPr>
                  <w:fldChar w:fldCharType="begin"/>
                </w:r>
                <w:r>
                  <w:rPr>
                    <w:rFonts w:ascii="Times New Roman" w:eastAsia="Times New Roman" w:hAnsi="Times New Roman" w:cs="Times New Roman"/>
                    <w:color w:val="000000"/>
                    <w:spacing w:val="0"/>
                    <w:sz w:val="24"/>
                    <w:szCs w:val="24"/>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tc>
          </w:tr>
        </w:tbl>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503"/>
      </w:trPr>
      <w:tc>
        <w:tcPr>
          <w:tcW w:w="10680" w:type="dxa"/>
        </w:tcPr>
        <w:p/>
        <w:tbl>
          <w:tblPr>
            <w:tblStyle w:val="TableNormal"/>
            <w:tblOverlap w:val="never"/>
            <w:tblW w:w="10425" w:type="dxa"/>
            <w:tblInd w:w="20" w:type="dxa"/>
            <w:tblLayout w:type="fixed"/>
            <w:tblLook w:val="01E0"/>
          </w:tblPr>
          <w:tblGrid>
            <w:gridCol w:w="10425"/>
          </w:tblGrid>
          <w:tr>
            <w:tblPrEx>
              <w:tblW w:w="10425" w:type="dxa"/>
              <w:tblInd w:w="20" w:type="dxa"/>
              <w:tblLayout w:type="fixed"/>
              <w:tblLook w:val="01E0"/>
            </w:tblPrEx>
            <w:trPr>
              <w:trHeight w:hRule="exact" w:val="170"/>
            </w:trPr>
            <w:tc>
              <w:tcPr>
                <w:tcW w:w="10465" w:type="dxa"/>
                <w:noWrap w:val="0"/>
                <w:tcMar>
                  <w:top w:w="0" w:type="dxa"/>
                  <w:left w:w="0" w:type="dxa"/>
                  <w:bottom w:w="0" w:type="dxa"/>
                  <w:right w:w="0" w:type="dxa"/>
                </w:tcMar>
                <w:vAlign w:val="top"/>
              </w:tcPr>
              <w:p>
                <w:pPr>
                  <w:spacing w:line="1" w:lineRule="auto"/>
                </w:pPr>
              </w:p>
            </w:tc>
          </w:tr>
          <w:tr>
            <w:tblPrEx>
              <w:tblW w:w="10425" w:type="dxa"/>
              <w:tblInd w:w="20" w:type="dxa"/>
              <w:tblLayout w:type="fixed"/>
              <w:tblLook w:val="01E0"/>
            </w:tblPrEx>
            <w:tc>
              <w:tcPr>
                <w:tcW w:w="10465" w:type="dxa"/>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4"/>
                    <w:szCs w:val="24"/>
                  </w:rPr>
                </w:pPr>
                <w:r>
                  <w:rPr>
                    <w:rFonts w:ascii="Times New Roman" w:eastAsia="Times New Roman" w:hAnsi="Times New Roman" w:cs="Times New Roman"/>
                  </w:rPr>
                  <w:fldChar w:fldCharType="begin"/>
                </w:r>
                <w:r>
                  <w:rPr>
                    <w:rFonts w:ascii="Times New Roman" w:eastAsia="Times New Roman" w:hAnsi="Times New Roman" w:cs="Times New Roman"/>
                    <w:color w:val="000000"/>
                    <w:spacing w:val="0"/>
                    <w:sz w:val="24"/>
                    <w:szCs w:val="24"/>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2160"/>
      </w:trPr>
      <w:tc>
        <w:tcPr>
          <w:tcW w:w="10680"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510.24pt;height:97.07pt">
                <v:imagedata r:id="rId1" o:title=""/>
              </v:shape>
            </w:pict>
          </w:r>
        </w:p>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2160"/>
      </w:trPr>
      <w:tc>
        <w:tcPr>
          <w:tcW w:w="10680"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10.24pt;height:97.07pt">
                <v:imagedata r:id="rId1" o:title=""/>
              </v:shape>
            </w:pict>
          </w:r>
        </w:p>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2160"/>
      </w:trPr>
      <w:tc>
        <w:tcPr>
          <w:tcW w:w="10680"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510.24pt;height:97.07pt">
                <v:imagedata r:id="rId1" o:title=""/>
              </v:shape>
            </w:pict>
          </w:r>
        </w:p>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2160"/>
      </w:trPr>
      <w:tc>
        <w:tcPr>
          <w:tcW w:w="10680"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2" type="#_x0000_t75" style="width:510.24pt;height:97.07pt">
                <v:imagedata r:id="rId1" o:title=""/>
              </v:shape>
            </w:pict>
          </w:r>
        </w:p>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2160"/>
      </w:trPr>
      <w:tc>
        <w:tcPr>
          <w:tcW w:w="10680"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510.24pt;height:97.07pt">
                <v:imagedata r:id="rId1" o:title=""/>
              </v:shape>
            </w:pict>
          </w:r>
        </w:p>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80" w:type="dxa"/>
      <w:tblLayout w:type="fixed"/>
      <w:tblCellMar>
        <w:top w:w="0" w:type="dxa"/>
        <w:left w:w="0" w:type="dxa"/>
        <w:bottom w:w="0" w:type="dxa"/>
        <w:right w:w="0" w:type="dxa"/>
      </w:tblCellMar>
      <w:tblLook w:val="01E0"/>
    </w:tblPr>
    <w:tblGrid>
      <w:gridCol w:w="10680"/>
    </w:tblGrid>
    <w:tr>
      <w:tblPrEx>
        <w:tblW w:w="10680" w:type="dxa"/>
        <w:tblLayout w:type="fixed"/>
        <w:tblCellMar>
          <w:top w:w="0" w:type="dxa"/>
          <w:left w:w="0" w:type="dxa"/>
          <w:bottom w:w="0" w:type="dxa"/>
          <w:right w:w="0" w:type="dxa"/>
        </w:tblCellMar>
        <w:tblLook w:val="01E0"/>
      </w:tblPrEx>
      <w:trPr>
        <w:trHeight w:val="2160"/>
      </w:trPr>
      <w:tc>
        <w:tcPr>
          <w:tcW w:w="10680" w:type="dxa"/>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510.24pt;height:97.07pt">
                <v:imagedata r:id="rId1" o:title=""/>
              </v:shape>
            </w:pict>
          </w:r>
        </w:p>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yperlink" Target="http://www.planalto.gov.br/ccivil_03/LEIS/L8666cons.htm#art27v" TargetMode="Externa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s://camponovo.atende.net/?pg=autoatendimento#!/tipo/servico/valor/9/padrao/1/load/1" TargetMode="External" /><Relationship Id="rId5" Type="http://schemas.openxmlformats.org/officeDocument/2006/relationships/hyperlink" Target="https://camponovo.atende.net/"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