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0A3E" w:rsidRDefault="000A5B95">
      <w:pPr>
        <w:spacing w:line="360" w:lineRule="auto"/>
        <w:jc w:val="both"/>
        <w:rPr>
          <w:rFonts w:ascii="Times New Roman" w:hAnsi="Times New Roman" w:cs="Times New Roman"/>
          <w:b/>
          <w:sz w:val="24"/>
          <w:szCs w:val="24"/>
        </w:rPr>
      </w:pPr>
      <w:r>
        <w:rPr>
          <w:rFonts w:ascii="Times New Roman" w:hAnsi="Times New Roman" w:cs="Times New Roman"/>
          <w:b/>
          <w:sz w:val="24"/>
          <w:szCs w:val="24"/>
        </w:rPr>
        <w:t>ESTUDO TÉCNICO PRELIMINAR</w:t>
      </w:r>
    </w:p>
    <w:p w:rsidR="00FE0A3E" w:rsidRDefault="000A5B95">
      <w:pPr>
        <w:spacing w:line="360" w:lineRule="auto"/>
        <w:jc w:val="both"/>
        <w:rPr>
          <w:rFonts w:ascii="Times New Roman" w:hAnsi="Times New Roman" w:cs="Times New Roman"/>
          <w:b/>
          <w:sz w:val="24"/>
          <w:szCs w:val="24"/>
        </w:rPr>
      </w:pPr>
      <w:r>
        <w:rPr>
          <w:rFonts w:ascii="Times New Roman" w:hAnsi="Times New Roman" w:cs="Times New Roman"/>
          <w:b/>
          <w:sz w:val="24"/>
          <w:szCs w:val="24"/>
        </w:rPr>
        <w:t>SECRETARIA MUNICIPAL DE EDUCAÇÃO, DESPORTO E CULTURA</w:t>
      </w:r>
    </w:p>
    <w:p w:rsidR="00FE0A3E" w:rsidRDefault="000A5B95">
      <w:pPr>
        <w:spacing w:line="360" w:lineRule="auto"/>
        <w:jc w:val="both"/>
      </w:pPr>
      <w:r>
        <w:rPr>
          <w:rFonts w:ascii="Times New Roman" w:hAnsi="Times New Roman" w:cs="Times New Roman"/>
          <w:b/>
          <w:sz w:val="24"/>
          <w:szCs w:val="24"/>
        </w:rPr>
        <w:t xml:space="preserve">NECESSIDADE DA ADMINISTRAÇÃO: </w:t>
      </w:r>
      <w:r>
        <w:rPr>
          <w:rFonts w:ascii="Times New Roman" w:hAnsi="Times New Roman" w:cs="Times New Roman"/>
          <w:sz w:val="24"/>
          <w:szCs w:val="24"/>
          <w:u w:val="single"/>
        </w:rPr>
        <w:t>AQUISIÇÃO DE MOBILIÁRIO</w:t>
      </w:r>
    </w:p>
    <w:p w:rsidR="00FE0A3E" w:rsidRDefault="000A5B95">
      <w:pPr>
        <w:pStyle w:val="PargrafodaLista"/>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 DESCRIÇÃO DA NECESSIDADE</w:t>
      </w:r>
    </w:p>
    <w:p w:rsidR="00FE0A3E" w:rsidRDefault="000A5B95">
      <w:pPr>
        <w:spacing w:line="360" w:lineRule="auto"/>
        <w:ind w:left="360"/>
        <w:jc w:val="both"/>
      </w:pPr>
      <w:r>
        <w:rPr>
          <w:rFonts w:ascii="Times New Roman" w:hAnsi="Times New Roman" w:cs="Times New Roman"/>
        </w:rPr>
        <w:t>1.1. A elaboração desse Estudo Técnico Preliminar busca avaliar a viabilidade técnica, socioeconômica e ambiental de se realizar a aquisição de eletrodomésticos, para a Secretaria Municipal de Educação, Desporto e Cultura.</w:t>
      </w:r>
    </w:p>
    <w:p w:rsidR="00FE0A3E" w:rsidRDefault="000A5B95">
      <w:pPr>
        <w:spacing w:line="360" w:lineRule="auto"/>
        <w:ind w:left="360"/>
        <w:jc w:val="both"/>
      </w:pPr>
      <w:r>
        <w:rPr>
          <w:rFonts w:ascii="Times New Roman" w:hAnsi="Times New Roman" w:cs="Times New Roman"/>
        </w:rPr>
        <w:t xml:space="preserve">1.2. A Secretaria Municipal de Educação, Desporto e Cultura é responsável por 20 (vinte) escolas municipais, dentre elas, 10 (dez) são de Ensino Fundamental: CMEFI. Prof. José </w:t>
      </w:r>
      <w:proofErr w:type="spellStart"/>
      <w:r>
        <w:rPr>
          <w:rFonts w:ascii="Times New Roman" w:hAnsi="Times New Roman" w:cs="Times New Roman"/>
        </w:rPr>
        <w:t>Luis</w:t>
      </w:r>
      <w:proofErr w:type="spellEnd"/>
      <w:r>
        <w:rPr>
          <w:rFonts w:ascii="Times New Roman" w:hAnsi="Times New Roman" w:cs="Times New Roman"/>
        </w:rPr>
        <w:t xml:space="preserve"> </w:t>
      </w:r>
      <w:proofErr w:type="spellStart"/>
      <w:r>
        <w:rPr>
          <w:rFonts w:ascii="Times New Roman" w:hAnsi="Times New Roman" w:cs="Times New Roman"/>
        </w:rPr>
        <w:t>Rhoden</w:t>
      </w:r>
      <w:proofErr w:type="spellEnd"/>
      <w:r>
        <w:rPr>
          <w:rFonts w:ascii="Times New Roman" w:hAnsi="Times New Roman" w:cs="Times New Roman"/>
        </w:rPr>
        <w:t xml:space="preserve">, EMCMEF João Padilha do Nascimento, EMEF 25 de Julho, EMEF Coroinha </w:t>
      </w:r>
      <w:proofErr w:type="spellStart"/>
      <w:r>
        <w:rPr>
          <w:rFonts w:ascii="Times New Roman" w:hAnsi="Times New Roman" w:cs="Times New Roman"/>
        </w:rPr>
        <w:t>Daronchi</w:t>
      </w:r>
      <w:proofErr w:type="spellEnd"/>
      <w:r>
        <w:rPr>
          <w:rFonts w:ascii="Times New Roman" w:hAnsi="Times New Roman" w:cs="Times New Roman"/>
        </w:rPr>
        <w:t xml:space="preserve">, EMEF Dom João Becker, EMEF Gonçalves Dias, EMEF Guia Lopes, EMEF Ildo </w:t>
      </w:r>
      <w:proofErr w:type="spellStart"/>
      <w:r>
        <w:rPr>
          <w:rFonts w:ascii="Times New Roman" w:hAnsi="Times New Roman" w:cs="Times New Roman"/>
        </w:rPr>
        <w:t>Meneghetti</w:t>
      </w:r>
      <w:proofErr w:type="spellEnd"/>
      <w:r>
        <w:rPr>
          <w:rFonts w:ascii="Times New Roman" w:hAnsi="Times New Roman" w:cs="Times New Roman"/>
        </w:rPr>
        <w:t xml:space="preserve">, EMEF José de Anchieta, EMEF Wally Elisa </w:t>
      </w:r>
      <w:proofErr w:type="spellStart"/>
      <w:r>
        <w:rPr>
          <w:rFonts w:ascii="Times New Roman" w:hAnsi="Times New Roman" w:cs="Times New Roman"/>
        </w:rPr>
        <w:t>Hartmann</w:t>
      </w:r>
      <w:proofErr w:type="spellEnd"/>
      <w:r>
        <w:rPr>
          <w:rFonts w:ascii="Times New Roman" w:hAnsi="Times New Roman" w:cs="Times New Roman"/>
        </w:rPr>
        <w:t xml:space="preserve"> e 10 (dez) de Educação Infantil: EMEI Cidadão Junior, EMEI Dona Vanda, EMEI </w:t>
      </w:r>
      <w:proofErr w:type="spellStart"/>
      <w:r>
        <w:rPr>
          <w:rFonts w:ascii="Times New Roman" w:hAnsi="Times New Roman" w:cs="Times New Roman"/>
        </w:rPr>
        <w:t>Elso</w:t>
      </w:r>
      <w:proofErr w:type="spellEnd"/>
      <w:r>
        <w:rPr>
          <w:rFonts w:ascii="Times New Roman" w:hAnsi="Times New Roman" w:cs="Times New Roman"/>
        </w:rPr>
        <w:t xml:space="preserve"> Paulo </w:t>
      </w:r>
      <w:proofErr w:type="spellStart"/>
      <w:r>
        <w:rPr>
          <w:rFonts w:ascii="Times New Roman" w:hAnsi="Times New Roman" w:cs="Times New Roman"/>
        </w:rPr>
        <w:t>Severnini</w:t>
      </w:r>
      <w:proofErr w:type="spellEnd"/>
      <w:r>
        <w:rPr>
          <w:rFonts w:ascii="Times New Roman" w:hAnsi="Times New Roman" w:cs="Times New Roman"/>
        </w:rPr>
        <w:t xml:space="preserve">, EMEI Lápis de Cor, EMEI </w:t>
      </w:r>
      <w:proofErr w:type="spellStart"/>
      <w:r>
        <w:rPr>
          <w:rFonts w:ascii="Times New Roman" w:hAnsi="Times New Roman" w:cs="Times New Roman"/>
        </w:rPr>
        <w:t>Ledi</w:t>
      </w:r>
      <w:proofErr w:type="spellEnd"/>
      <w:r>
        <w:rPr>
          <w:rFonts w:ascii="Times New Roman" w:hAnsi="Times New Roman" w:cs="Times New Roman"/>
        </w:rPr>
        <w:t xml:space="preserve"> </w:t>
      </w:r>
      <w:proofErr w:type="spellStart"/>
      <w:r>
        <w:rPr>
          <w:rFonts w:ascii="Times New Roman" w:hAnsi="Times New Roman" w:cs="Times New Roman"/>
        </w:rPr>
        <w:t>Libardoni</w:t>
      </w:r>
      <w:proofErr w:type="spellEnd"/>
      <w:r>
        <w:rPr>
          <w:rFonts w:ascii="Times New Roman" w:hAnsi="Times New Roman" w:cs="Times New Roman"/>
        </w:rPr>
        <w:t xml:space="preserve">, EMEI Marlene </w:t>
      </w:r>
      <w:proofErr w:type="spellStart"/>
      <w:r>
        <w:rPr>
          <w:rFonts w:ascii="Times New Roman" w:hAnsi="Times New Roman" w:cs="Times New Roman"/>
        </w:rPr>
        <w:t>Leonhardt</w:t>
      </w:r>
      <w:proofErr w:type="spellEnd"/>
      <w:r>
        <w:rPr>
          <w:rFonts w:ascii="Times New Roman" w:hAnsi="Times New Roman" w:cs="Times New Roman"/>
        </w:rPr>
        <w:t xml:space="preserve">, EMEI Primeiros Passos, EMEI Tia Mercedes, EMEI Vovó Paulina, e também pelo POLO UAB, o qual oferece cursos de Licenciaturas e Especializações pela UFSM, UFPEL, IFSUL e UNIPAMPA, dessa forma, é importante no processo de desenvolvimento da cidade, tendo comprometimento com o ensino. Além dos estabelecimentos de ensino, a Secretaria também é responsável pela Casa de Cultura, Projeto Cante e Encante, Ginásio Municipal de Esportes, Central da Merenda e Central de Transportes. </w:t>
      </w:r>
    </w:p>
    <w:p w:rsidR="00FE0A3E" w:rsidRDefault="000A5B95">
      <w:pPr>
        <w:spacing w:line="360" w:lineRule="auto"/>
        <w:ind w:left="360"/>
        <w:jc w:val="both"/>
      </w:pPr>
      <w:r>
        <w:rPr>
          <w:rFonts w:ascii="Times New Roman" w:hAnsi="Times New Roman" w:cs="Times New Roman"/>
        </w:rPr>
        <w:t xml:space="preserve">1.3. Para o cumprimento qualificado do papel institucional de garantir condições adequadas para o processo de ensino dos alunos, as aquisições de mobiliários são imprescindíveis para o desenvolvimento e manutenção do pleno funcionamento das atividades nas escolas e demais setores. </w:t>
      </w:r>
    </w:p>
    <w:p w:rsidR="00FE0A3E" w:rsidRDefault="000A5B95">
      <w:pPr>
        <w:spacing w:line="360" w:lineRule="auto"/>
        <w:ind w:left="360"/>
        <w:jc w:val="both"/>
      </w:pPr>
      <w:r>
        <w:rPr>
          <w:rFonts w:ascii="Times New Roman" w:hAnsi="Times New Roman" w:cs="Times New Roman"/>
        </w:rPr>
        <w:t xml:space="preserve">1.4. Esta contratação visa proporcionar o atendimento das demandas planejadas pelas Escolas Municipais e </w:t>
      </w:r>
      <w:proofErr w:type="gramStart"/>
      <w:r>
        <w:rPr>
          <w:rFonts w:ascii="Times New Roman" w:hAnsi="Times New Roman" w:cs="Times New Roman"/>
        </w:rPr>
        <w:t>setores</w:t>
      </w:r>
      <w:proofErr w:type="gramEnd"/>
      <w:r>
        <w:rPr>
          <w:rFonts w:ascii="Times New Roman" w:hAnsi="Times New Roman" w:cs="Times New Roman"/>
        </w:rPr>
        <w:t xml:space="preserve"> dos quais </w:t>
      </w:r>
      <w:proofErr w:type="spellStart"/>
      <w:r>
        <w:rPr>
          <w:rFonts w:ascii="Times New Roman" w:hAnsi="Times New Roman" w:cs="Times New Roman"/>
        </w:rPr>
        <w:t>esta</w:t>
      </w:r>
      <w:proofErr w:type="spellEnd"/>
      <w:r>
        <w:rPr>
          <w:rFonts w:ascii="Times New Roman" w:hAnsi="Times New Roman" w:cs="Times New Roman"/>
        </w:rPr>
        <w:t xml:space="preserve"> secretaria é responsável.</w:t>
      </w:r>
    </w:p>
    <w:p w:rsidR="00FE0A3E" w:rsidRDefault="000A5B95">
      <w:pPr>
        <w:spacing w:line="360" w:lineRule="auto"/>
        <w:ind w:left="360"/>
        <w:jc w:val="both"/>
      </w:pPr>
      <w:r>
        <w:rPr>
          <w:rFonts w:ascii="Times New Roman" w:hAnsi="Times New Roman" w:cs="Times New Roman"/>
        </w:rPr>
        <w:t>1.5. As aquisições se justificam pela necessidade de equipar, repor ou melhorar os ambientes na realização de suas atividades laborais, quer sejam administrativas, pedagógicas ou de pesquisa, garantindo a qualidade nos serviços prestados e entrega de produtos e resultados efetivos aos cidadãos.</w:t>
      </w:r>
    </w:p>
    <w:p w:rsidR="00FE0A3E" w:rsidRDefault="000A5B95">
      <w:pPr>
        <w:spacing w:line="360" w:lineRule="auto"/>
        <w:ind w:left="360"/>
        <w:jc w:val="both"/>
      </w:pPr>
      <w:r>
        <w:rPr>
          <w:rFonts w:ascii="Times New Roman" w:hAnsi="Times New Roman" w:cs="Times New Roman"/>
        </w:rPr>
        <w:lastRenderedPageBreak/>
        <w:t>1.6. Importante ressaltar que alguns mobiliários mais antigos utilizados pelas escolas municipais já se encontram com um considerável desgaste natural, provocado por um período estendido de utilização. Em razão disto, alguns com extenso tempo de utilização necessitam ser objetos de substituição.</w:t>
      </w:r>
    </w:p>
    <w:p w:rsidR="00FE0A3E" w:rsidRDefault="000A5B95">
      <w:pPr>
        <w:spacing w:line="360" w:lineRule="auto"/>
        <w:ind w:left="360"/>
        <w:jc w:val="both"/>
      </w:pPr>
      <w:r>
        <w:rPr>
          <w:rFonts w:ascii="Times New Roman" w:hAnsi="Times New Roman" w:cs="Times New Roman"/>
        </w:rPr>
        <w:t>1.7. Assim, objetivamos solucionar, ou amenizar, as necessidades supramencionadas, equipando a Rede Municipal de Ensino, melhorando dessa forma, sua estrutura, possibilitando a execução das atividades com excelência, o que por consequente ampliará o interesse de participação da sociedade e de promoção das atividades.</w:t>
      </w:r>
    </w:p>
    <w:p w:rsidR="00FE0A3E" w:rsidRDefault="000A5B95">
      <w:pPr>
        <w:pStyle w:val="PargrafodaLista"/>
        <w:numPr>
          <w:ilvl w:val="0"/>
          <w:numId w:val="1"/>
        </w:numPr>
        <w:spacing w:line="360" w:lineRule="auto"/>
        <w:jc w:val="both"/>
      </w:pPr>
      <w:r>
        <w:rPr>
          <w:rFonts w:ascii="Times New Roman" w:hAnsi="Times New Roman" w:cs="Times New Roman"/>
          <w:b/>
          <w:color w:val="000000"/>
        </w:rPr>
        <w:t>ALINHAMENTO ENTRE A CONTRATAÇÃO E O PLANEJAMENTO</w:t>
      </w:r>
    </w:p>
    <w:p w:rsidR="00FE0A3E" w:rsidRDefault="000A5B95">
      <w:pPr>
        <w:spacing w:line="360" w:lineRule="auto"/>
        <w:jc w:val="both"/>
      </w:pPr>
      <w:r>
        <w:rPr>
          <w:rFonts w:ascii="Times New Roman" w:hAnsi="Times New Roman" w:cs="Times New Roman"/>
          <w:color w:val="000000"/>
        </w:rPr>
        <w:t>A contratação de mobiliário está alinhada ao planejamento estratégico da secretaria, que visa proporcionar melhores condições de trabalho aos seus servidores e alunos. A contratação pretendida está descrita no Plano Anual de compras, o qual justifica sua aquisição, com alinhamento do melhor equipamento pelo menor preço.</w:t>
      </w:r>
    </w:p>
    <w:p w:rsidR="00FE0A3E" w:rsidRDefault="000A5B95">
      <w:pPr>
        <w:pStyle w:val="PargrafodaLista"/>
        <w:numPr>
          <w:ilvl w:val="0"/>
          <w:numId w:val="1"/>
        </w:numPr>
        <w:spacing w:line="360" w:lineRule="auto"/>
        <w:jc w:val="both"/>
      </w:pPr>
      <w:r>
        <w:rPr>
          <w:rFonts w:ascii="Times New Roman" w:hAnsi="Times New Roman" w:cs="Times New Roman"/>
          <w:b/>
        </w:rPr>
        <w:t>DESCRIÇÃO DOS REQUISITOS DA CONTRATAÇÃO</w:t>
      </w:r>
    </w:p>
    <w:p w:rsidR="00FE0A3E" w:rsidRDefault="000A5B95">
      <w:pPr>
        <w:spacing w:line="360" w:lineRule="auto"/>
        <w:jc w:val="both"/>
      </w:pPr>
      <w:r>
        <w:rPr>
          <w:rFonts w:ascii="Times New Roman" w:hAnsi="Times New Roman" w:cs="Times New Roman"/>
          <w:color w:val="000000"/>
        </w:rPr>
        <w:t>O objeto da contratação é a aquisição de mobiliário conforme descrição abaixo.</w:t>
      </w:r>
    </w:p>
    <w:p w:rsidR="00FE0A3E" w:rsidRDefault="000A5B95">
      <w:pPr>
        <w:spacing w:line="360" w:lineRule="auto"/>
        <w:jc w:val="both"/>
      </w:pPr>
      <w:r>
        <w:rPr>
          <w:rFonts w:ascii="Times New Roman" w:hAnsi="Times New Roman" w:cs="Times New Roman"/>
          <w:color w:val="000000"/>
        </w:rPr>
        <w:t xml:space="preserve">Os objetos deverão ter garantia mínima de 12 meses contados do momento da entrega do produto. </w:t>
      </w:r>
    </w:p>
    <w:p w:rsidR="00FE0A3E" w:rsidRDefault="000A5B95">
      <w:pPr>
        <w:tabs>
          <w:tab w:val="left" w:pos="9285"/>
        </w:tabs>
        <w:spacing w:line="360" w:lineRule="auto"/>
        <w:jc w:val="both"/>
      </w:pPr>
      <w:r>
        <w:rPr>
          <w:rFonts w:ascii="Times New Roman" w:hAnsi="Times New Roman" w:cs="Times New Roman"/>
          <w:color w:val="000000"/>
        </w:rPr>
        <w:t>Deverá ser adotado o Sistema de Registro de Preço, pois há necessidades de contratações frequentes e é conveniente a aquisição de bens com previsão de entregas parceladas.</w:t>
      </w:r>
    </w:p>
    <w:tbl>
      <w:tblPr>
        <w:tblW w:w="10230" w:type="dxa"/>
        <w:tblInd w:w="-5" w:type="dxa"/>
        <w:tblLayout w:type="fixed"/>
        <w:tblLook w:val="0000" w:firstRow="0" w:lastRow="0" w:firstColumn="0" w:lastColumn="0" w:noHBand="0" w:noVBand="0"/>
      </w:tblPr>
      <w:tblGrid>
        <w:gridCol w:w="736"/>
        <w:gridCol w:w="4994"/>
        <w:gridCol w:w="511"/>
        <w:gridCol w:w="796"/>
        <w:gridCol w:w="1303"/>
        <w:gridCol w:w="1890"/>
      </w:tblGrid>
      <w:tr w:rsidR="00FE0A3E">
        <w:tc>
          <w:tcPr>
            <w:tcW w:w="735" w:type="dxa"/>
            <w:tcBorders>
              <w:top w:val="single" w:sz="4" w:space="0" w:color="000000"/>
              <w:left w:val="single" w:sz="4" w:space="0" w:color="000000"/>
              <w:bottom w:val="single" w:sz="4" w:space="0" w:color="000000"/>
            </w:tcBorders>
          </w:tcPr>
          <w:p w:rsidR="00FE0A3E" w:rsidRDefault="000A5B95">
            <w:pPr>
              <w:widowControl w:val="0"/>
              <w:spacing w:after="0" w:line="240" w:lineRule="auto"/>
              <w:jc w:val="center"/>
            </w:pPr>
            <w:r>
              <w:t>Item</w:t>
            </w:r>
          </w:p>
        </w:tc>
        <w:tc>
          <w:tcPr>
            <w:tcW w:w="4994" w:type="dxa"/>
            <w:tcBorders>
              <w:top w:val="single" w:sz="4" w:space="0" w:color="000000"/>
              <w:left w:val="single" w:sz="4" w:space="0" w:color="000000"/>
              <w:bottom w:val="single" w:sz="4" w:space="0" w:color="000000"/>
              <w:right w:val="single" w:sz="4" w:space="0" w:color="000000"/>
            </w:tcBorders>
          </w:tcPr>
          <w:p w:rsidR="00FE0A3E" w:rsidRDefault="000A5B95">
            <w:pPr>
              <w:widowControl w:val="0"/>
              <w:spacing w:after="0" w:line="240" w:lineRule="auto"/>
              <w:jc w:val="center"/>
            </w:pPr>
            <w:r>
              <w:t>Descrição</w:t>
            </w:r>
          </w:p>
        </w:tc>
        <w:tc>
          <w:tcPr>
            <w:tcW w:w="511" w:type="dxa"/>
            <w:tcBorders>
              <w:top w:val="single" w:sz="4" w:space="0" w:color="000000"/>
              <w:left w:val="single" w:sz="4" w:space="0" w:color="000000"/>
              <w:bottom w:val="single" w:sz="4" w:space="0" w:color="000000"/>
              <w:right w:val="single" w:sz="4" w:space="0" w:color="000000"/>
            </w:tcBorders>
          </w:tcPr>
          <w:p w:rsidR="00FE0A3E" w:rsidRDefault="000A5B95">
            <w:pPr>
              <w:widowControl w:val="0"/>
              <w:spacing w:after="0" w:line="240" w:lineRule="auto"/>
              <w:jc w:val="center"/>
            </w:pPr>
            <w:proofErr w:type="spellStart"/>
            <w:r>
              <w:t>Un</w:t>
            </w:r>
            <w:proofErr w:type="spellEnd"/>
          </w:p>
        </w:tc>
        <w:tc>
          <w:tcPr>
            <w:tcW w:w="796" w:type="dxa"/>
            <w:tcBorders>
              <w:top w:val="single" w:sz="4" w:space="0" w:color="000000"/>
              <w:left w:val="single" w:sz="4" w:space="0" w:color="000000"/>
              <w:bottom w:val="single" w:sz="4" w:space="0" w:color="000000"/>
              <w:right w:val="single" w:sz="4" w:space="0" w:color="000000"/>
            </w:tcBorders>
          </w:tcPr>
          <w:p w:rsidR="00FE0A3E" w:rsidRDefault="000A5B95">
            <w:pPr>
              <w:widowControl w:val="0"/>
              <w:spacing w:after="0" w:line="240" w:lineRule="auto"/>
              <w:jc w:val="center"/>
            </w:pPr>
            <w:r>
              <w:t>Quant</w:t>
            </w:r>
          </w:p>
        </w:tc>
        <w:tc>
          <w:tcPr>
            <w:tcW w:w="1303" w:type="dxa"/>
            <w:tcBorders>
              <w:top w:val="single" w:sz="4" w:space="0" w:color="000000"/>
              <w:left w:val="single" w:sz="4" w:space="0" w:color="000000"/>
              <w:bottom w:val="single" w:sz="4" w:space="0" w:color="000000"/>
              <w:right w:val="single" w:sz="4" w:space="0" w:color="000000"/>
            </w:tcBorders>
          </w:tcPr>
          <w:p w:rsidR="00FE0A3E" w:rsidRDefault="000A5B95">
            <w:pPr>
              <w:widowControl w:val="0"/>
              <w:spacing w:after="0" w:line="240" w:lineRule="auto"/>
              <w:jc w:val="center"/>
            </w:pPr>
            <w:r>
              <w:t>Valor</w:t>
            </w:r>
          </w:p>
        </w:tc>
        <w:tc>
          <w:tcPr>
            <w:tcW w:w="1890" w:type="dxa"/>
            <w:tcBorders>
              <w:top w:val="single" w:sz="4" w:space="0" w:color="000000"/>
              <w:left w:val="single" w:sz="4" w:space="0" w:color="000000"/>
              <w:bottom w:val="single" w:sz="4" w:space="0" w:color="000000"/>
              <w:right w:val="single" w:sz="4" w:space="0" w:color="000000"/>
            </w:tcBorders>
          </w:tcPr>
          <w:p w:rsidR="00FE0A3E" w:rsidRDefault="000A5B95">
            <w:pPr>
              <w:widowControl w:val="0"/>
              <w:spacing w:after="0" w:line="240" w:lineRule="auto"/>
              <w:jc w:val="center"/>
            </w:pPr>
            <w:r>
              <w:t>Valor Total</w:t>
            </w:r>
          </w:p>
        </w:tc>
      </w:tr>
      <w:tr w:rsidR="00FE0A3E">
        <w:tc>
          <w:tcPr>
            <w:tcW w:w="735" w:type="dxa"/>
            <w:tcBorders>
              <w:left w:val="single" w:sz="4" w:space="0" w:color="000000"/>
              <w:bottom w:val="single" w:sz="4" w:space="0" w:color="000000"/>
            </w:tcBorders>
          </w:tcPr>
          <w:p w:rsidR="00FE0A3E" w:rsidRDefault="000A5B95">
            <w:pPr>
              <w:pStyle w:val="Corpodetexto"/>
              <w:widowControl w:val="0"/>
              <w:spacing w:after="0" w:line="240" w:lineRule="auto"/>
              <w:jc w:val="center"/>
              <w:rPr>
                <w:color w:val="333333"/>
                <w:sz w:val="18"/>
                <w:szCs w:val="18"/>
              </w:rPr>
            </w:pPr>
            <w:r>
              <w:rPr>
                <w:color w:val="333333"/>
                <w:sz w:val="18"/>
                <w:szCs w:val="18"/>
              </w:rPr>
              <w:t>01</w:t>
            </w:r>
          </w:p>
        </w:tc>
        <w:tc>
          <w:tcPr>
            <w:tcW w:w="4994" w:type="dxa"/>
            <w:tcBorders>
              <w:left w:val="single" w:sz="4" w:space="0" w:color="000000"/>
              <w:bottom w:val="single" w:sz="4" w:space="0" w:color="000000"/>
              <w:right w:val="single" w:sz="4" w:space="0" w:color="000000"/>
            </w:tcBorders>
          </w:tcPr>
          <w:p w:rsidR="00FE0A3E" w:rsidRDefault="000A5B95">
            <w:pPr>
              <w:pStyle w:val="Corpodetexto"/>
              <w:widowControl w:val="0"/>
              <w:spacing w:before="57" w:after="57" w:line="240" w:lineRule="auto"/>
              <w:jc w:val="both"/>
            </w:pPr>
            <w:r>
              <w:rPr>
                <w:rFonts w:ascii="Arial" w:hAnsi="Arial" w:cs="Arial"/>
                <w:b/>
                <w:bCs/>
                <w:color w:val="000000"/>
                <w:sz w:val="18"/>
                <w:szCs w:val="18"/>
              </w:rPr>
              <w:t>Armário Alto</w:t>
            </w:r>
            <w:r>
              <w:rPr>
                <w:rFonts w:ascii="Arial" w:hAnsi="Arial" w:cs="Arial"/>
                <w:color w:val="000000"/>
                <w:sz w:val="18"/>
                <w:szCs w:val="18"/>
              </w:rPr>
              <w:t xml:space="preserve"> 02 portas em MDP</w:t>
            </w:r>
            <w:r w:rsidR="00E77C6A">
              <w:rPr>
                <w:rFonts w:ascii="Arial" w:hAnsi="Arial" w:cs="Arial"/>
                <w:color w:val="000000"/>
                <w:sz w:val="18"/>
                <w:szCs w:val="18"/>
              </w:rPr>
              <w:t xml:space="preserve"> de no mínimo 15 mm</w:t>
            </w:r>
            <w:bookmarkStart w:id="0" w:name="_GoBack"/>
            <w:bookmarkEnd w:id="0"/>
            <w:r>
              <w:rPr>
                <w:rFonts w:ascii="Arial" w:hAnsi="Arial" w:cs="Arial"/>
                <w:color w:val="000000"/>
                <w:sz w:val="18"/>
                <w:szCs w:val="18"/>
              </w:rPr>
              <w:t xml:space="preserve">, uma divisória central, 03 prateleiras horizontais, revestido de laminado </w:t>
            </w:r>
            <w:proofErr w:type="spellStart"/>
            <w:r>
              <w:rPr>
                <w:rFonts w:ascii="Arial" w:hAnsi="Arial" w:cs="Arial"/>
                <w:color w:val="000000"/>
                <w:sz w:val="18"/>
                <w:szCs w:val="18"/>
              </w:rPr>
              <w:t>melamínico</w:t>
            </w:r>
            <w:proofErr w:type="spellEnd"/>
            <w:r>
              <w:rPr>
                <w:rFonts w:ascii="Arial" w:hAnsi="Arial" w:cs="Arial"/>
                <w:color w:val="000000"/>
                <w:sz w:val="18"/>
                <w:szCs w:val="18"/>
              </w:rPr>
              <w:t>, dois puxadores e fechadura com chave, cor branca.</w:t>
            </w:r>
          </w:p>
          <w:p w:rsidR="00FE0A3E" w:rsidRDefault="000A5B95">
            <w:pPr>
              <w:pStyle w:val="Corpodetexto"/>
              <w:widowControl w:val="0"/>
              <w:spacing w:before="57" w:after="57" w:line="240" w:lineRule="auto"/>
              <w:rPr>
                <w:rFonts w:ascii="Arial" w:hAnsi="Arial" w:cs="Arial"/>
                <w:color w:val="000000"/>
                <w:sz w:val="18"/>
                <w:szCs w:val="18"/>
              </w:rPr>
            </w:pPr>
            <w:r>
              <w:rPr>
                <w:rFonts w:ascii="Arial" w:hAnsi="Arial" w:cs="Arial"/>
                <w:color w:val="000000"/>
                <w:sz w:val="18"/>
                <w:szCs w:val="18"/>
              </w:rPr>
              <w:t>1.60 de altura - 1 metro de largura - 42 cm de profundidade.</w:t>
            </w:r>
          </w:p>
        </w:tc>
        <w:tc>
          <w:tcPr>
            <w:tcW w:w="511" w:type="dxa"/>
            <w:tcBorders>
              <w:left w:val="single" w:sz="4" w:space="0" w:color="000000"/>
              <w:bottom w:val="single" w:sz="4" w:space="0" w:color="000000"/>
              <w:right w:val="single" w:sz="4" w:space="0" w:color="000000"/>
            </w:tcBorders>
          </w:tcPr>
          <w:p w:rsidR="00FE0A3E" w:rsidRDefault="000A5B95">
            <w:pPr>
              <w:widowControl w:val="0"/>
              <w:spacing w:after="0" w:line="240" w:lineRule="auto"/>
              <w:jc w:val="center"/>
              <w:rPr>
                <w:sz w:val="18"/>
                <w:szCs w:val="18"/>
              </w:rPr>
            </w:pPr>
            <w:proofErr w:type="spellStart"/>
            <w:proofErr w:type="gramStart"/>
            <w:r>
              <w:rPr>
                <w:sz w:val="18"/>
                <w:szCs w:val="18"/>
              </w:rPr>
              <w:t>un</w:t>
            </w:r>
            <w:proofErr w:type="spellEnd"/>
            <w:proofErr w:type="gramEnd"/>
          </w:p>
        </w:tc>
        <w:tc>
          <w:tcPr>
            <w:tcW w:w="796" w:type="dxa"/>
            <w:tcBorders>
              <w:left w:val="single" w:sz="4" w:space="0" w:color="000000"/>
              <w:bottom w:val="single" w:sz="4" w:space="0" w:color="000000"/>
              <w:right w:val="single" w:sz="4" w:space="0" w:color="000000"/>
            </w:tcBorders>
          </w:tcPr>
          <w:p w:rsidR="00FE0A3E" w:rsidRDefault="000A5B95">
            <w:pPr>
              <w:widowControl w:val="0"/>
              <w:spacing w:after="0" w:line="240" w:lineRule="auto"/>
              <w:jc w:val="center"/>
              <w:rPr>
                <w:sz w:val="18"/>
                <w:szCs w:val="18"/>
              </w:rPr>
            </w:pPr>
            <w:r>
              <w:rPr>
                <w:sz w:val="18"/>
                <w:szCs w:val="18"/>
              </w:rPr>
              <w:t>05</w:t>
            </w:r>
          </w:p>
        </w:tc>
        <w:tc>
          <w:tcPr>
            <w:tcW w:w="1303" w:type="dxa"/>
            <w:tcBorders>
              <w:left w:val="single" w:sz="4" w:space="0" w:color="000000"/>
              <w:bottom w:val="single" w:sz="4" w:space="0" w:color="000000"/>
              <w:right w:val="single" w:sz="4" w:space="0" w:color="000000"/>
            </w:tcBorders>
          </w:tcPr>
          <w:p w:rsidR="00FE0A3E" w:rsidRDefault="000A5B95">
            <w:pPr>
              <w:widowControl w:val="0"/>
              <w:spacing w:after="0" w:line="240" w:lineRule="auto"/>
              <w:rPr>
                <w:sz w:val="18"/>
                <w:szCs w:val="18"/>
              </w:rPr>
            </w:pPr>
            <w:r>
              <w:rPr>
                <w:sz w:val="18"/>
                <w:szCs w:val="18"/>
              </w:rPr>
              <w:t>R$ 1.136,33</w:t>
            </w:r>
          </w:p>
        </w:tc>
        <w:tc>
          <w:tcPr>
            <w:tcW w:w="1890" w:type="dxa"/>
            <w:tcBorders>
              <w:left w:val="single" w:sz="4" w:space="0" w:color="000000"/>
              <w:bottom w:val="single" w:sz="4" w:space="0" w:color="000000"/>
              <w:right w:val="single" w:sz="4" w:space="0" w:color="000000"/>
            </w:tcBorders>
          </w:tcPr>
          <w:p w:rsidR="00FE0A3E" w:rsidRDefault="000A5B95">
            <w:pPr>
              <w:widowControl w:val="0"/>
              <w:spacing w:after="0" w:line="240" w:lineRule="auto"/>
              <w:rPr>
                <w:sz w:val="18"/>
                <w:szCs w:val="18"/>
              </w:rPr>
            </w:pPr>
            <w:r>
              <w:rPr>
                <w:sz w:val="18"/>
                <w:szCs w:val="18"/>
              </w:rPr>
              <w:t>R$ 5.681,65</w:t>
            </w:r>
          </w:p>
        </w:tc>
      </w:tr>
      <w:tr w:rsidR="00FE0A3E">
        <w:tc>
          <w:tcPr>
            <w:tcW w:w="735" w:type="dxa"/>
            <w:tcBorders>
              <w:left w:val="single" w:sz="4" w:space="0" w:color="000000"/>
              <w:bottom w:val="single" w:sz="4" w:space="0" w:color="000000"/>
            </w:tcBorders>
          </w:tcPr>
          <w:p w:rsidR="00FE0A3E" w:rsidRDefault="000A5B95">
            <w:pPr>
              <w:pStyle w:val="Corpodetexto"/>
              <w:widowControl w:val="0"/>
              <w:spacing w:after="0" w:line="240" w:lineRule="auto"/>
              <w:jc w:val="center"/>
              <w:rPr>
                <w:color w:val="333333"/>
                <w:sz w:val="18"/>
                <w:szCs w:val="18"/>
              </w:rPr>
            </w:pPr>
            <w:r>
              <w:rPr>
                <w:color w:val="333333"/>
                <w:sz w:val="18"/>
                <w:szCs w:val="18"/>
              </w:rPr>
              <w:t>02</w:t>
            </w:r>
          </w:p>
        </w:tc>
        <w:tc>
          <w:tcPr>
            <w:tcW w:w="4994" w:type="dxa"/>
            <w:tcBorders>
              <w:left w:val="single" w:sz="4" w:space="0" w:color="000000"/>
              <w:bottom w:val="single" w:sz="4" w:space="0" w:color="000000"/>
              <w:right w:val="single" w:sz="4" w:space="0" w:color="000000"/>
            </w:tcBorders>
          </w:tcPr>
          <w:p w:rsidR="00FE0A3E" w:rsidRDefault="000A5B95">
            <w:pPr>
              <w:widowControl w:val="0"/>
              <w:spacing w:after="200" w:line="276" w:lineRule="auto"/>
              <w:jc w:val="both"/>
            </w:pPr>
            <w:r>
              <w:rPr>
                <w:rFonts w:ascii="Arial" w:hAnsi="Arial" w:cs="Arial"/>
                <w:b/>
                <w:bCs/>
                <w:color w:val="000000"/>
                <w:sz w:val="18"/>
                <w:szCs w:val="18"/>
                <w:lang w:eastAsia="pt-BR"/>
              </w:rPr>
              <w:t xml:space="preserve">Conjunto FNDE – </w:t>
            </w:r>
            <w:r>
              <w:rPr>
                <w:rFonts w:ascii="Arial" w:hAnsi="Arial" w:cs="Arial"/>
                <w:color w:val="000000"/>
                <w:sz w:val="18"/>
                <w:szCs w:val="18"/>
                <w:lang w:eastAsia="pt-BR"/>
              </w:rPr>
              <w:t xml:space="preserve">conjunto escolar composto de carteira e cadeira n°6: carteira: laterais e travessa de sustentação </w:t>
            </w:r>
            <w:proofErr w:type="gramStart"/>
            <w:r>
              <w:rPr>
                <w:rFonts w:ascii="Arial" w:hAnsi="Arial" w:cs="Arial"/>
                <w:color w:val="000000"/>
                <w:sz w:val="18"/>
                <w:szCs w:val="18"/>
                <w:lang w:eastAsia="pt-BR"/>
              </w:rPr>
              <w:t>do porta</w:t>
            </w:r>
            <w:proofErr w:type="gramEnd"/>
            <w:r>
              <w:rPr>
                <w:rFonts w:ascii="Arial" w:hAnsi="Arial" w:cs="Arial"/>
                <w:color w:val="000000"/>
                <w:sz w:val="18"/>
                <w:szCs w:val="18"/>
                <w:lang w:eastAsia="pt-BR"/>
              </w:rPr>
              <w:t xml:space="preserve"> livros em tubo de aço 29x58mm em chapa 16(1,5mm). Pés em tubo de aço 38mm (1 ½) em chapa 16(1,5mm). Fixação do tampo em tubo 20x20(parede 1,50mm) para reforço de sua parte superior dando assim maior resistência à superfície do tampo. Fechamento com ponteiras e sapatas em polipropileno injetadas na cor azul, fixadas à estrutura através de rebites de repuxo diâmetro de 4,80mm, comprimento 12mm. Proteção da superfície com tratamento especial anticorrosivo e </w:t>
            </w:r>
            <w:proofErr w:type="spellStart"/>
            <w:r>
              <w:rPr>
                <w:rFonts w:ascii="Arial" w:hAnsi="Arial" w:cs="Arial"/>
                <w:color w:val="000000"/>
                <w:sz w:val="18"/>
                <w:szCs w:val="18"/>
                <w:lang w:eastAsia="pt-BR"/>
              </w:rPr>
              <w:t>desengraxante</w:t>
            </w:r>
            <w:proofErr w:type="spellEnd"/>
            <w:r>
              <w:rPr>
                <w:rFonts w:ascii="Arial" w:hAnsi="Arial" w:cs="Arial"/>
                <w:color w:val="000000"/>
                <w:sz w:val="18"/>
                <w:szCs w:val="18"/>
                <w:lang w:eastAsia="pt-BR"/>
              </w:rPr>
              <w:t xml:space="preserve">. Pintura em epóxi-pó, híbrida e eletrostática cor cinza. Porta </w:t>
            </w:r>
            <w:proofErr w:type="gramStart"/>
            <w:r>
              <w:rPr>
                <w:rFonts w:ascii="Arial" w:hAnsi="Arial" w:cs="Arial"/>
                <w:color w:val="000000"/>
                <w:sz w:val="18"/>
                <w:szCs w:val="18"/>
                <w:lang w:eastAsia="pt-BR"/>
              </w:rPr>
              <w:t>livros(</w:t>
            </w:r>
            <w:proofErr w:type="gramEnd"/>
            <w:r>
              <w:rPr>
                <w:rFonts w:ascii="Arial" w:hAnsi="Arial" w:cs="Arial"/>
                <w:color w:val="000000"/>
                <w:sz w:val="18"/>
                <w:szCs w:val="18"/>
                <w:lang w:eastAsia="pt-BR"/>
              </w:rPr>
              <w:t xml:space="preserve">503x304mm) em polipropileno injetado na cor cinza, fixado à estrutura longitudinal através de rebites de repuxo. </w:t>
            </w:r>
            <w:r>
              <w:rPr>
                <w:rFonts w:ascii="Arial" w:hAnsi="Arial" w:cs="Arial"/>
                <w:color w:val="000000"/>
                <w:sz w:val="18"/>
                <w:szCs w:val="18"/>
                <w:lang w:eastAsia="pt-BR"/>
              </w:rPr>
              <w:lastRenderedPageBreak/>
              <w:t xml:space="preserve">Tampo em formato retangular em </w:t>
            </w:r>
            <w:proofErr w:type="spellStart"/>
            <w:r>
              <w:rPr>
                <w:rFonts w:ascii="Arial" w:hAnsi="Arial" w:cs="Arial"/>
                <w:color w:val="000000"/>
                <w:sz w:val="18"/>
                <w:szCs w:val="18"/>
                <w:lang w:eastAsia="pt-BR"/>
              </w:rPr>
              <w:t>abs</w:t>
            </w:r>
            <w:proofErr w:type="spellEnd"/>
            <w:r>
              <w:rPr>
                <w:rFonts w:ascii="Arial" w:hAnsi="Arial" w:cs="Arial"/>
                <w:color w:val="000000"/>
                <w:sz w:val="18"/>
                <w:szCs w:val="18"/>
                <w:lang w:eastAsia="pt-BR"/>
              </w:rPr>
              <w:t xml:space="preserve"> (600x450mm) </w:t>
            </w:r>
            <w:proofErr w:type="spellStart"/>
            <w:r>
              <w:rPr>
                <w:rFonts w:ascii="Arial" w:hAnsi="Arial" w:cs="Arial"/>
                <w:color w:val="000000"/>
                <w:sz w:val="18"/>
                <w:szCs w:val="18"/>
                <w:lang w:eastAsia="pt-BR"/>
              </w:rPr>
              <w:t>texturizado</w:t>
            </w:r>
            <w:proofErr w:type="spellEnd"/>
            <w:r>
              <w:rPr>
                <w:rFonts w:ascii="Arial" w:hAnsi="Arial" w:cs="Arial"/>
                <w:color w:val="000000"/>
                <w:sz w:val="18"/>
                <w:szCs w:val="18"/>
                <w:lang w:eastAsia="pt-BR"/>
              </w:rPr>
              <w:t xml:space="preserve"> 4mm de espessura, superfície plana, bordas laterais em alto brilho (abas que envolvem a estrutura nas dimensões de 45mm de altura no lado posterior do tampo com redução para 21mm na parte do contato com o usuário) com </w:t>
            </w:r>
            <w:proofErr w:type="spellStart"/>
            <w:r>
              <w:rPr>
                <w:rFonts w:ascii="Arial" w:hAnsi="Arial" w:cs="Arial"/>
                <w:color w:val="000000"/>
                <w:sz w:val="18"/>
                <w:szCs w:val="18"/>
                <w:lang w:eastAsia="pt-BR"/>
              </w:rPr>
              <w:t>frizo</w:t>
            </w:r>
            <w:proofErr w:type="spellEnd"/>
            <w:r>
              <w:rPr>
                <w:rFonts w:ascii="Arial" w:hAnsi="Arial" w:cs="Arial"/>
                <w:color w:val="000000"/>
                <w:sz w:val="18"/>
                <w:szCs w:val="18"/>
                <w:lang w:eastAsia="pt-BR"/>
              </w:rPr>
              <w:t xml:space="preserve"> para maior resistência, nervuras transversais e longitudinais para reforço à tração na parte inferior do tampo. Altura da mesa: 760mm. Cadeira: estrutura em tubo de aço 20,7mm, em chapa 14 (1,90mm). Ponteiras, sapatas e espaçadores do assento, em polipropileno copolímero virgem, injetados na cor azul, fixadas à estrutura através de encaixe e pino </w:t>
            </w:r>
            <w:proofErr w:type="spellStart"/>
            <w:r>
              <w:rPr>
                <w:rFonts w:ascii="Arial" w:hAnsi="Arial" w:cs="Arial"/>
                <w:color w:val="000000"/>
                <w:sz w:val="18"/>
                <w:szCs w:val="18"/>
                <w:lang w:eastAsia="pt-BR"/>
              </w:rPr>
              <w:t>expansor</w:t>
            </w:r>
            <w:proofErr w:type="spellEnd"/>
            <w:r>
              <w:rPr>
                <w:rFonts w:ascii="Arial" w:hAnsi="Arial" w:cs="Arial"/>
                <w:color w:val="000000"/>
                <w:sz w:val="18"/>
                <w:szCs w:val="18"/>
                <w:lang w:eastAsia="pt-BR"/>
              </w:rPr>
              <w:t xml:space="preserve">. Proteção da superfície com tratamento especial anticorrosivo e </w:t>
            </w:r>
            <w:proofErr w:type="spellStart"/>
            <w:r>
              <w:rPr>
                <w:rFonts w:ascii="Arial" w:hAnsi="Arial" w:cs="Arial"/>
                <w:color w:val="000000"/>
                <w:sz w:val="18"/>
                <w:szCs w:val="18"/>
                <w:lang w:eastAsia="pt-BR"/>
              </w:rPr>
              <w:t>desengraxante</w:t>
            </w:r>
            <w:proofErr w:type="spellEnd"/>
            <w:r>
              <w:rPr>
                <w:rFonts w:ascii="Arial" w:hAnsi="Arial" w:cs="Arial"/>
                <w:color w:val="000000"/>
                <w:sz w:val="18"/>
                <w:szCs w:val="18"/>
                <w:lang w:eastAsia="pt-BR"/>
              </w:rPr>
              <w:t xml:space="preserve">. Pintura em epóxi-pó, híbrida e eletrostática cor cinza. </w:t>
            </w:r>
            <w:proofErr w:type="gramStart"/>
            <w:r>
              <w:rPr>
                <w:rFonts w:ascii="Arial" w:hAnsi="Arial" w:cs="Arial"/>
                <w:color w:val="000000"/>
                <w:sz w:val="18"/>
                <w:szCs w:val="18"/>
                <w:lang w:eastAsia="pt-BR"/>
              </w:rPr>
              <w:t>Assento(</w:t>
            </w:r>
            <w:proofErr w:type="gramEnd"/>
            <w:r>
              <w:rPr>
                <w:rFonts w:ascii="Arial" w:hAnsi="Arial" w:cs="Arial"/>
                <w:color w:val="000000"/>
                <w:sz w:val="18"/>
                <w:szCs w:val="18"/>
                <w:lang w:eastAsia="pt-BR"/>
              </w:rPr>
              <w:t>400x400mm) e encosto(396x198mm) em polipropileno injetados, anatômicos, cor azul. Altura do assento ao chão 460mm.</w:t>
            </w:r>
            <w:r>
              <w:rPr>
                <w:rFonts w:ascii="Arial" w:hAnsi="Arial" w:cs="Arial"/>
                <w:b/>
                <w:color w:val="000000"/>
                <w:sz w:val="18"/>
                <w:szCs w:val="18"/>
                <w:u w:val="single"/>
                <w:lang w:eastAsia="pt-BR"/>
              </w:rPr>
              <w:t xml:space="preserve"> Apresentar ao fiscal do contrato, junto com a entrega do produto</w:t>
            </w:r>
            <w:r>
              <w:rPr>
                <w:rFonts w:ascii="Arial" w:hAnsi="Arial" w:cs="Arial"/>
                <w:color w:val="000000"/>
                <w:sz w:val="18"/>
                <w:szCs w:val="18"/>
                <w:lang w:eastAsia="pt-BR"/>
              </w:rPr>
              <w:t xml:space="preserve">, em nome do licitante: o certificado de conformidade do </w:t>
            </w:r>
            <w:proofErr w:type="spellStart"/>
            <w:r>
              <w:rPr>
                <w:rFonts w:ascii="Arial" w:hAnsi="Arial" w:cs="Arial"/>
                <w:color w:val="000000"/>
                <w:sz w:val="18"/>
                <w:szCs w:val="18"/>
                <w:lang w:eastAsia="pt-BR"/>
              </w:rPr>
              <w:t>inmetro</w:t>
            </w:r>
            <w:proofErr w:type="spellEnd"/>
            <w:r>
              <w:rPr>
                <w:rFonts w:ascii="Arial" w:hAnsi="Arial" w:cs="Arial"/>
                <w:color w:val="000000"/>
                <w:sz w:val="18"/>
                <w:szCs w:val="18"/>
                <w:lang w:eastAsia="pt-BR"/>
              </w:rPr>
              <w:t xml:space="preserve"> para o modelo especificado no edital de acordo com a portaria 105/2012 do </w:t>
            </w:r>
            <w:proofErr w:type="spellStart"/>
            <w:r>
              <w:rPr>
                <w:rFonts w:ascii="Arial" w:hAnsi="Arial" w:cs="Arial"/>
                <w:color w:val="000000"/>
                <w:sz w:val="18"/>
                <w:szCs w:val="18"/>
                <w:lang w:eastAsia="pt-BR"/>
              </w:rPr>
              <w:t>inmetro</w:t>
            </w:r>
            <w:proofErr w:type="spellEnd"/>
            <w:r>
              <w:rPr>
                <w:rFonts w:ascii="Arial" w:hAnsi="Arial" w:cs="Arial"/>
                <w:color w:val="000000"/>
                <w:sz w:val="18"/>
                <w:szCs w:val="18"/>
                <w:lang w:eastAsia="pt-BR"/>
              </w:rPr>
              <w:t>, acompanhado por laudo/relatório com a imagem do produto emitido por organismo certificador de produto(</w:t>
            </w:r>
            <w:proofErr w:type="spellStart"/>
            <w:r>
              <w:rPr>
                <w:rFonts w:ascii="Arial" w:hAnsi="Arial" w:cs="Arial"/>
                <w:color w:val="000000"/>
                <w:sz w:val="18"/>
                <w:szCs w:val="18"/>
                <w:lang w:eastAsia="pt-BR"/>
              </w:rPr>
              <w:t>ocp</w:t>
            </w:r>
            <w:proofErr w:type="spellEnd"/>
            <w:r>
              <w:rPr>
                <w:rFonts w:ascii="Arial" w:hAnsi="Arial" w:cs="Arial"/>
                <w:color w:val="000000"/>
                <w:sz w:val="18"/>
                <w:szCs w:val="18"/>
                <w:lang w:eastAsia="pt-BR"/>
              </w:rPr>
              <w:t xml:space="preserve">) que comprove que o móvel é correspondente ao certificado e atende as especificações do edital; o certificado de conformidade do sistema da gestão da qualidade da </w:t>
            </w:r>
            <w:proofErr w:type="spellStart"/>
            <w:r>
              <w:rPr>
                <w:rFonts w:ascii="Arial" w:hAnsi="Arial" w:cs="Arial"/>
                <w:color w:val="000000"/>
                <w:sz w:val="18"/>
                <w:szCs w:val="18"/>
                <w:lang w:eastAsia="pt-BR"/>
              </w:rPr>
              <w:t>abnt</w:t>
            </w:r>
            <w:proofErr w:type="spellEnd"/>
            <w:r>
              <w:rPr>
                <w:rFonts w:ascii="Arial" w:hAnsi="Arial" w:cs="Arial"/>
                <w:color w:val="000000"/>
                <w:sz w:val="18"/>
                <w:szCs w:val="18"/>
                <w:lang w:eastAsia="pt-BR"/>
              </w:rPr>
              <w:t xml:space="preserve"> </w:t>
            </w:r>
            <w:proofErr w:type="spellStart"/>
            <w:r>
              <w:rPr>
                <w:rFonts w:ascii="Arial" w:hAnsi="Arial" w:cs="Arial"/>
                <w:color w:val="000000"/>
                <w:sz w:val="18"/>
                <w:szCs w:val="18"/>
                <w:lang w:eastAsia="pt-BR"/>
              </w:rPr>
              <w:t>inmetro</w:t>
            </w:r>
            <w:proofErr w:type="spellEnd"/>
            <w:r>
              <w:rPr>
                <w:rFonts w:ascii="Arial" w:hAnsi="Arial" w:cs="Arial"/>
                <w:color w:val="000000"/>
                <w:sz w:val="18"/>
                <w:szCs w:val="18"/>
                <w:lang w:eastAsia="pt-BR"/>
              </w:rPr>
              <w:t xml:space="preserve">; relatório de ensaio sobre corrosão e envelhecimento por exposição à névoa salina, emitido por laboratório acreditado pelo </w:t>
            </w:r>
            <w:proofErr w:type="spellStart"/>
            <w:r>
              <w:rPr>
                <w:rFonts w:ascii="Arial" w:hAnsi="Arial" w:cs="Arial"/>
                <w:color w:val="000000"/>
                <w:sz w:val="18"/>
                <w:szCs w:val="18"/>
                <w:lang w:eastAsia="pt-BR"/>
              </w:rPr>
              <w:t>inmetro</w:t>
            </w:r>
            <w:proofErr w:type="spellEnd"/>
            <w:r>
              <w:rPr>
                <w:rFonts w:ascii="Arial" w:hAnsi="Arial" w:cs="Arial"/>
                <w:color w:val="000000"/>
                <w:sz w:val="18"/>
                <w:szCs w:val="18"/>
                <w:lang w:eastAsia="pt-BR"/>
              </w:rPr>
              <w:t xml:space="preserve"> de acordo com a </w:t>
            </w:r>
            <w:proofErr w:type="spellStart"/>
            <w:r>
              <w:rPr>
                <w:rFonts w:ascii="Arial" w:hAnsi="Arial" w:cs="Arial"/>
                <w:color w:val="000000"/>
                <w:sz w:val="18"/>
                <w:szCs w:val="18"/>
                <w:lang w:eastAsia="pt-BR"/>
              </w:rPr>
              <w:t>abnt</w:t>
            </w:r>
            <w:proofErr w:type="spellEnd"/>
            <w:r>
              <w:rPr>
                <w:rFonts w:ascii="Arial" w:hAnsi="Arial" w:cs="Arial"/>
                <w:color w:val="000000"/>
                <w:sz w:val="18"/>
                <w:szCs w:val="18"/>
                <w:lang w:eastAsia="pt-BR"/>
              </w:rPr>
              <w:t xml:space="preserve"> </w:t>
            </w:r>
            <w:proofErr w:type="spellStart"/>
            <w:r>
              <w:rPr>
                <w:rFonts w:ascii="Arial" w:hAnsi="Arial" w:cs="Arial"/>
                <w:color w:val="000000"/>
                <w:sz w:val="18"/>
                <w:szCs w:val="18"/>
                <w:lang w:eastAsia="pt-BR"/>
              </w:rPr>
              <w:t>nbr</w:t>
            </w:r>
            <w:proofErr w:type="spellEnd"/>
            <w:r>
              <w:rPr>
                <w:rFonts w:ascii="Arial" w:hAnsi="Arial" w:cs="Arial"/>
                <w:color w:val="000000"/>
                <w:sz w:val="18"/>
                <w:szCs w:val="18"/>
                <w:lang w:eastAsia="pt-BR"/>
              </w:rPr>
              <w:t xml:space="preserve"> 8094/1983, avaliada conforme </w:t>
            </w:r>
            <w:proofErr w:type="spellStart"/>
            <w:r>
              <w:rPr>
                <w:rFonts w:ascii="Arial" w:hAnsi="Arial" w:cs="Arial"/>
                <w:color w:val="000000"/>
                <w:sz w:val="18"/>
                <w:szCs w:val="18"/>
                <w:lang w:eastAsia="pt-BR"/>
              </w:rPr>
              <w:t>nbr</w:t>
            </w:r>
            <w:proofErr w:type="spellEnd"/>
            <w:r>
              <w:rPr>
                <w:rFonts w:ascii="Arial" w:hAnsi="Arial" w:cs="Arial"/>
                <w:color w:val="000000"/>
                <w:sz w:val="18"/>
                <w:szCs w:val="18"/>
                <w:lang w:eastAsia="pt-BR"/>
              </w:rPr>
              <w:t xml:space="preserve"> 5841/2015 e </w:t>
            </w:r>
            <w:proofErr w:type="spellStart"/>
            <w:r>
              <w:rPr>
                <w:rFonts w:ascii="Arial" w:hAnsi="Arial" w:cs="Arial"/>
                <w:color w:val="000000"/>
                <w:sz w:val="18"/>
                <w:szCs w:val="18"/>
                <w:lang w:eastAsia="pt-BR"/>
              </w:rPr>
              <w:t>nbr</w:t>
            </w:r>
            <w:proofErr w:type="spellEnd"/>
            <w:r>
              <w:rPr>
                <w:rFonts w:ascii="Arial" w:hAnsi="Arial" w:cs="Arial"/>
                <w:color w:val="000000"/>
                <w:sz w:val="18"/>
                <w:szCs w:val="18"/>
                <w:lang w:eastAsia="pt-BR"/>
              </w:rPr>
              <w:t xml:space="preserve"> </w:t>
            </w:r>
            <w:proofErr w:type="spellStart"/>
            <w:r>
              <w:rPr>
                <w:rFonts w:ascii="Arial" w:hAnsi="Arial" w:cs="Arial"/>
                <w:color w:val="000000"/>
                <w:sz w:val="18"/>
                <w:szCs w:val="18"/>
                <w:lang w:eastAsia="pt-BR"/>
              </w:rPr>
              <w:t>iso</w:t>
            </w:r>
            <w:proofErr w:type="spellEnd"/>
            <w:r>
              <w:rPr>
                <w:rFonts w:ascii="Arial" w:hAnsi="Arial" w:cs="Arial"/>
                <w:color w:val="000000"/>
                <w:sz w:val="18"/>
                <w:szCs w:val="18"/>
                <w:lang w:eastAsia="pt-BR"/>
              </w:rPr>
              <w:t xml:space="preserve"> 4628/2015, grau de </w:t>
            </w:r>
            <w:proofErr w:type="spellStart"/>
            <w:r>
              <w:rPr>
                <w:rFonts w:ascii="Arial" w:hAnsi="Arial" w:cs="Arial"/>
                <w:color w:val="000000"/>
                <w:sz w:val="18"/>
                <w:szCs w:val="18"/>
                <w:lang w:eastAsia="pt-BR"/>
              </w:rPr>
              <w:t>empolamento</w:t>
            </w:r>
            <w:proofErr w:type="spellEnd"/>
            <w:r>
              <w:rPr>
                <w:rFonts w:ascii="Arial" w:hAnsi="Arial" w:cs="Arial"/>
                <w:color w:val="000000"/>
                <w:sz w:val="18"/>
                <w:szCs w:val="18"/>
                <w:lang w:eastAsia="pt-BR"/>
              </w:rPr>
              <w:t xml:space="preserve"> d0 / t0 e grau de enferrujamento ri 0 juntamente com a comprovação de que o laboratório é credenciado neste escopo; o relatório de ensaio da determinação do teor de chumbo na pintura epóxi-pó da estrutura metálica do mobiliário escolar, com resultado menor que 0,06 % (seis centésimos por cento) da presença de chumbo, em atendimento a lei federal nº 11.762/08, emitido por laboratório acreditado pelo </w:t>
            </w:r>
            <w:proofErr w:type="spellStart"/>
            <w:r>
              <w:rPr>
                <w:rFonts w:ascii="Arial" w:hAnsi="Arial" w:cs="Arial"/>
                <w:color w:val="000000"/>
                <w:sz w:val="18"/>
                <w:szCs w:val="18"/>
                <w:lang w:eastAsia="pt-BR"/>
              </w:rPr>
              <w:t>inmetro</w:t>
            </w:r>
            <w:proofErr w:type="spellEnd"/>
            <w:r>
              <w:rPr>
                <w:rFonts w:ascii="Arial" w:hAnsi="Arial" w:cs="Arial"/>
                <w:color w:val="000000"/>
                <w:sz w:val="18"/>
                <w:szCs w:val="18"/>
                <w:lang w:eastAsia="pt-BR"/>
              </w:rPr>
              <w:t>.</w:t>
            </w:r>
          </w:p>
        </w:tc>
        <w:tc>
          <w:tcPr>
            <w:tcW w:w="511" w:type="dxa"/>
            <w:tcBorders>
              <w:left w:val="single" w:sz="4" w:space="0" w:color="000000"/>
              <w:bottom w:val="single" w:sz="4" w:space="0" w:color="000000"/>
              <w:right w:val="single" w:sz="4" w:space="0" w:color="000000"/>
            </w:tcBorders>
          </w:tcPr>
          <w:p w:rsidR="00FE0A3E" w:rsidRDefault="000A5B95">
            <w:pPr>
              <w:widowControl w:val="0"/>
              <w:spacing w:after="0" w:line="240" w:lineRule="auto"/>
              <w:jc w:val="center"/>
              <w:rPr>
                <w:sz w:val="18"/>
                <w:szCs w:val="18"/>
              </w:rPr>
            </w:pPr>
            <w:proofErr w:type="spellStart"/>
            <w:proofErr w:type="gramStart"/>
            <w:r>
              <w:rPr>
                <w:sz w:val="18"/>
                <w:szCs w:val="18"/>
              </w:rPr>
              <w:lastRenderedPageBreak/>
              <w:t>un</w:t>
            </w:r>
            <w:proofErr w:type="spellEnd"/>
            <w:proofErr w:type="gramEnd"/>
          </w:p>
        </w:tc>
        <w:tc>
          <w:tcPr>
            <w:tcW w:w="796" w:type="dxa"/>
            <w:tcBorders>
              <w:left w:val="single" w:sz="4" w:space="0" w:color="000000"/>
              <w:bottom w:val="single" w:sz="4" w:space="0" w:color="000000"/>
              <w:right w:val="single" w:sz="4" w:space="0" w:color="000000"/>
            </w:tcBorders>
          </w:tcPr>
          <w:p w:rsidR="00FE0A3E" w:rsidRDefault="000A5B95">
            <w:pPr>
              <w:widowControl w:val="0"/>
              <w:spacing w:after="0" w:line="240" w:lineRule="auto"/>
              <w:jc w:val="center"/>
              <w:rPr>
                <w:sz w:val="18"/>
                <w:szCs w:val="18"/>
              </w:rPr>
            </w:pPr>
            <w:r>
              <w:rPr>
                <w:sz w:val="18"/>
                <w:szCs w:val="18"/>
              </w:rPr>
              <w:t>120</w:t>
            </w:r>
          </w:p>
        </w:tc>
        <w:tc>
          <w:tcPr>
            <w:tcW w:w="1303" w:type="dxa"/>
            <w:tcBorders>
              <w:left w:val="single" w:sz="4" w:space="0" w:color="000000"/>
              <w:bottom w:val="single" w:sz="4" w:space="0" w:color="000000"/>
              <w:right w:val="single" w:sz="4" w:space="0" w:color="000000"/>
            </w:tcBorders>
          </w:tcPr>
          <w:p w:rsidR="00FE0A3E" w:rsidRDefault="000A5B95">
            <w:pPr>
              <w:widowControl w:val="0"/>
              <w:spacing w:after="0" w:line="240" w:lineRule="auto"/>
              <w:rPr>
                <w:sz w:val="18"/>
                <w:szCs w:val="18"/>
              </w:rPr>
            </w:pPr>
            <w:r>
              <w:rPr>
                <w:sz w:val="18"/>
                <w:szCs w:val="18"/>
              </w:rPr>
              <w:t>R$ 590,33</w:t>
            </w:r>
          </w:p>
        </w:tc>
        <w:tc>
          <w:tcPr>
            <w:tcW w:w="1890" w:type="dxa"/>
            <w:tcBorders>
              <w:left w:val="single" w:sz="4" w:space="0" w:color="000000"/>
              <w:bottom w:val="single" w:sz="4" w:space="0" w:color="000000"/>
              <w:right w:val="single" w:sz="4" w:space="0" w:color="000000"/>
            </w:tcBorders>
          </w:tcPr>
          <w:p w:rsidR="00FE0A3E" w:rsidRDefault="000A5B95">
            <w:pPr>
              <w:widowControl w:val="0"/>
              <w:spacing w:after="0" w:line="240" w:lineRule="auto"/>
              <w:rPr>
                <w:sz w:val="18"/>
                <w:szCs w:val="18"/>
              </w:rPr>
            </w:pPr>
            <w:r>
              <w:rPr>
                <w:sz w:val="18"/>
                <w:szCs w:val="18"/>
              </w:rPr>
              <w:t>R$ 70.839,60</w:t>
            </w:r>
          </w:p>
        </w:tc>
      </w:tr>
      <w:tr w:rsidR="00FE0A3E">
        <w:tc>
          <w:tcPr>
            <w:tcW w:w="735" w:type="dxa"/>
            <w:tcBorders>
              <w:left w:val="single" w:sz="4" w:space="0" w:color="000000"/>
              <w:bottom w:val="single" w:sz="4" w:space="0" w:color="000000"/>
            </w:tcBorders>
          </w:tcPr>
          <w:p w:rsidR="00FE0A3E" w:rsidRDefault="000A5B95">
            <w:pPr>
              <w:pStyle w:val="Corpodetexto"/>
              <w:widowControl w:val="0"/>
              <w:spacing w:after="0" w:line="240" w:lineRule="auto"/>
              <w:jc w:val="center"/>
              <w:rPr>
                <w:color w:val="333333"/>
                <w:sz w:val="18"/>
                <w:szCs w:val="18"/>
              </w:rPr>
            </w:pPr>
            <w:r>
              <w:rPr>
                <w:color w:val="333333"/>
                <w:sz w:val="18"/>
                <w:szCs w:val="18"/>
              </w:rPr>
              <w:t>3</w:t>
            </w:r>
          </w:p>
        </w:tc>
        <w:tc>
          <w:tcPr>
            <w:tcW w:w="4994" w:type="dxa"/>
            <w:tcBorders>
              <w:left w:val="single" w:sz="4" w:space="0" w:color="000000"/>
              <w:bottom w:val="single" w:sz="4" w:space="0" w:color="000000"/>
              <w:right w:val="single" w:sz="4" w:space="0" w:color="000000"/>
            </w:tcBorders>
          </w:tcPr>
          <w:p w:rsidR="00FE0A3E" w:rsidRDefault="000A5B95" w:rsidP="000A5B95">
            <w:pPr>
              <w:widowControl w:val="0"/>
              <w:spacing w:after="200" w:line="276" w:lineRule="auto"/>
              <w:jc w:val="both"/>
            </w:pPr>
            <w:r>
              <w:t xml:space="preserve">Arquivo de aço composto por quatro gavetas para pasta suspensa, fechadura com chave, 1330x470x710mm. Chapa mínima de 24. Porta etiqueta estampado na frente das gavetas. Corrediças de nylon para deslizamento das gavetas. Puxador embutido, tratamento </w:t>
            </w:r>
            <w:proofErr w:type="spellStart"/>
            <w:r>
              <w:t>antiferruginoso</w:t>
            </w:r>
            <w:proofErr w:type="spellEnd"/>
            <w:r>
              <w:t xml:space="preserve"> e pintura eletrostática cor cinza. </w:t>
            </w:r>
          </w:p>
        </w:tc>
        <w:tc>
          <w:tcPr>
            <w:tcW w:w="511" w:type="dxa"/>
            <w:tcBorders>
              <w:left w:val="single" w:sz="4" w:space="0" w:color="000000"/>
              <w:bottom w:val="single" w:sz="4" w:space="0" w:color="000000"/>
              <w:right w:val="single" w:sz="4" w:space="0" w:color="000000"/>
            </w:tcBorders>
          </w:tcPr>
          <w:p w:rsidR="00FE0A3E" w:rsidRDefault="000A5B95">
            <w:pPr>
              <w:widowControl w:val="0"/>
              <w:spacing w:after="0" w:line="240" w:lineRule="auto"/>
              <w:jc w:val="center"/>
              <w:rPr>
                <w:sz w:val="18"/>
                <w:szCs w:val="18"/>
              </w:rPr>
            </w:pPr>
            <w:proofErr w:type="spellStart"/>
            <w:proofErr w:type="gramStart"/>
            <w:r>
              <w:rPr>
                <w:sz w:val="18"/>
                <w:szCs w:val="18"/>
              </w:rPr>
              <w:t>un</w:t>
            </w:r>
            <w:proofErr w:type="spellEnd"/>
            <w:proofErr w:type="gramEnd"/>
          </w:p>
        </w:tc>
        <w:tc>
          <w:tcPr>
            <w:tcW w:w="796" w:type="dxa"/>
            <w:tcBorders>
              <w:left w:val="single" w:sz="4" w:space="0" w:color="000000"/>
              <w:bottom w:val="single" w:sz="4" w:space="0" w:color="000000"/>
              <w:right w:val="single" w:sz="4" w:space="0" w:color="000000"/>
            </w:tcBorders>
          </w:tcPr>
          <w:p w:rsidR="00FE0A3E" w:rsidRDefault="000A5B95">
            <w:pPr>
              <w:widowControl w:val="0"/>
              <w:spacing w:after="0" w:line="240" w:lineRule="auto"/>
              <w:jc w:val="center"/>
              <w:rPr>
                <w:sz w:val="18"/>
                <w:szCs w:val="18"/>
              </w:rPr>
            </w:pPr>
            <w:r>
              <w:rPr>
                <w:sz w:val="18"/>
                <w:szCs w:val="18"/>
              </w:rPr>
              <w:t>03</w:t>
            </w:r>
          </w:p>
        </w:tc>
        <w:tc>
          <w:tcPr>
            <w:tcW w:w="1303" w:type="dxa"/>
            <w:tcBorders>
              <w:left w:val="single" w:sz="4" w:space="0" w:color="000000"/>
              <w:bottom w:val="single" w:sz="4" w:space="0" w:color="000000"/>
              <w:right w:val="single" w:sz="4" w:space="0" w:color="000000"/>
            </w:tcBorders>
          </w:tcPr>
          <w:p w:rsidR="00FE0A3E" w:rsidRDefault="000A5B95">
            <w:pPr>
              <w:widowControl w:val="0"/>
              <w:spacing w:after="0" w:line="240" w:lineRule="auto"/>
              <w:rPr>
                <w:sz w:val="18"/>
                <w:szCs w:val="18"/>
              </w:rPr>
            </w:pPr>
            <w:r>
              <w:rPr>
                <w:sz w:val="18"/>
                <w:szCs w:val="18"/>
              </w:rPr>
              <w:t>R$ 1345,33</w:t>
            </w:r>
          </w:p>
        </w:tc>
        <w:tc>
          <w:tcPr>
            <w:tcW w:w="1890" w:type="dxa"/>
            <w:tcBorders>
              <w:left w:val="single" w:sz="4" w:space="0" w:color="000000"/>
              <w:bottom w:val="single" w:sz="4" w:space="0" w:color="000000"/>
              <w:right w:val="single" w:sz="4" w:space="0" w:color="000000"/>
            </w:tcBorders>
          </w:tcPr>
          <w:p w:rsidR="00FE0A3E" w:rsidRDefault="000A5B95">
            <w:pPr>
              <w:widowControl w:val="0"/>
              <w:spacing w:after="0" w:line="240" w:lineRule="auto"/>
              <w:rPr>
                <w:sz w:val="18"/>
                <w:szCs w:val="18"/>
              </w:rPr>
            </w:pPr>
            <w:r>
              <w:rPr>
                <w:sz w:val="18"/>
                <w:szCs w:val="18"/>
              </w:rPr>
              <w:t>R$ 4.035,99</w:t>
            </w:r>
          </w:p>
        </w:tc>
      </w:tr>
      <w:tr w:rsidR="00FE0A3E">
        <w:tc>
          <w:tcPr>
            <w:tcW w:w="735" w:type="dxa"/>
            <w:tcBorders>
              <w:left w:val="single" w:sz="4" w:space="0" w:color="000000"/>
              <w:bottom w:val="single" w:sz="4" w:space="0" w:color="000000"/>
            </w:tcBorders>
          </w:tcPr>
          <w:p w:rsidR="00FE0A3E" w:rsidRDefault="00FE0A3E">
            <w:pPr>
              <w:pStyle w:val="Corpodetexto"/>
              <w:widowControl w:val="0"/>
              <w:snapToGrid w:val="0"/>
              <w:spacing w:after="0" w:line="240" w:lineRule="auto"/>
              <w:jc w:val="center"/>
              <w:rPr>
                <w:color w:val="333333"/>
                <w:sz w:val="18"/>
                <w:szCs w:val="18"/>
              </w:rPr>
            </w:pPr>
          </w:p>
        </w:tc>
        <w:tc>
          <w:tcPr>
            <w:tcW w:w="4994" w:type="dxa"/>
            <w:tcBorders>
              <w:left w:val="single" w:sz="4" w:space="0" w:color="000000"/>
              <w:bottom w:val="single" w:sz="4" w:space="0" w:color="000000"/>
              <w:right w:val="single" w:sz="4" w:space="0" w:color="000000"/>
            </w:tcBorders>
          </w:tcPr>
          <w:p w:rsidR="00FE0A3E" w:rsidRDefault="00FE0A3E">
            <w:pPr>
              <w:widowControl w:val="0"/>
              <w:snapToGrid w:val="0"/>
              <w:spacing w:after="29" w:line="276" w:lineRule="auto"/>
              <w:jc w:val="both"/>
              <w:rPr>
                <w:rFonts w:ascii="Arial" w:hAnsi="Arial" w:cs="Arial"/>
                <w:color w:val="333333"/>
                <w:sz w:val="18"/>
                <w:szCs w:val="18"/>
              </w:rPr>
            </w:pPr>
          </w:p>
        </w:tc>
        <w:tc>
          <w:tcPr>
            <w:tcW w:w="511" w:type="dxa"/>
            <w:tcBorders>
              <w:left w:val="single" w:sz="4" w:space="0" w:color="000000"/>
              <w:bottom w:val="single" w:sz="4" w:space="0" w:color="000000"/>
              <w:right w:val="single" w:sz="4" w:space="0" w:color="000000"/>
            </w:tcBorders>
          </w:tcPr>
          <w:p w:rsidR="00FE0A3E" w:rsidRDefault="00FE0A3E">
            <w:pPr>
              <w:widowControl w:val="0"/>
              <w:snapToGrid w:val="0"/>
              <w:spacing w:after="0" w:line="240" w:lineRule="auto"/>
              <w:jc w:val="center"/>
              <w:rPr>
                <w:rFonts w:ascii="Arial" w:hAnsi="Arial" w:cs="Arial"/>
                <w:color w:val="333333"/>
                <w:sz w:val="18"/>
                <w:szCs w:val="18"/>
              </w:rPr>
            </w:pPr>
          </w:p>
        </w:tc>
        <w:tc>
          <w:tcPr>
            <w:tcW w:w="796" w:type="dxa"/>
            <w:tcBorders>
              <w:left w:val="single" w:sz="4" w:space="0" w:color="000000"/>
              <w:bottom w:val="single" w:sz="4" w:space="0" w:color="000000"/>
              <w:right w:val="single" w:sz="4" w:space="0" w:color="000000"/>
            </w:tcBorders>
          </w:tcPr>
          <w:p w:rsidR="00FE0A3E" w:rsidRDefault="00FE0A3E">
            <w:pPr>
              <w:widowControl w:val="0"/>
              <w:snapToGrid w:val="0"/>
              <w:spacing w:after="0" w:line="240" w:lineRule="auto"/>
              <w:jc w:val="center"/>
              <w:rPr>
                <w:sz w:val="18"/>
                <w:szCs w:val="18"/>
              </w:rPr>
            </w:pPr>
          </w:p>
        </w:tc>
        <w:tc>
          <w:tcPr>
            <w:tcW w:w="1303" w:type="dxa"/>
            <w:tcBorders>
              <w:left w:val="single" w:sz="4" w:space="0" w:color="000000"/>
              <w:bottom w:val="single" w:sz="4" w:space="0" w:color="000000"/>
              <w:right w:val="single" w:sz="4" w:space="0" w:color="000000"/>
            </w:tcBorders>
          </w:tcPr>
          <w:p w:rsidR="00FE0A3E" w:rsidRDefault="000A5B95">
            <w:pPr>
              <w:widowControl w:val="0"/>
              <w:spacing w:after="0" w:line="240" w:lineRule="auto"/>
              <w:rPr>
                <w:sz w:val="18"/>
                <w:szCs w:val="18"/>
              </w:rPr>
            </w:pPr>
            <w:r>
              <w:rPr>
                <w:sz w:val="18"/>
                <w:szCs w:val="18"/>
              </w:rPr>
              <w:t>TOTAL</w:t>
            </w:r>
          </w:p>
        </w:tc>
        <w:tc>
          <w:tcPr>
            <w:tcW w:w="1890" w:type="dxa"/>
            <w:tcBorders>
              <w:left w:val="single" w:sz="4" w:space="0" w:color="000000"/>
              <w:bottom w:val="single" w:sz="4" w:space="0" w:color="000000"/>
              <w:right w:val="single" w:sz="4" w:space="0" w:color="000000"/>
            </w:tcBorders>
          </w:tcPr>
          <w:p w:rsidR="00FE0A3E" w:rsidRDefault="000A5B95">
            <w:pPr>
              <w:widowControl w:val="0"/>
              <w:spacing w:after="0" w:line="240" w:lineRule="auto"/>
              <w:rPr>
                <w:b/>
                <w:bCs/>
                <w:sz w:val="18"/>
                <w:szCs w:val="18"/>
              </w:rPr>
            </w:pPr>
            <w:r>
              <w:rPr>
                <w:b/>
                <w:bCs/>
                <w:sz w:val="18"/>
                <w:szCs w:val="18"/>
              </w:rPr>
              <w:t>R$ 80.557,24</w:t>
            </w:r>
          </w:p>
        </w:tc>
      </w:tr>
    </w:tbl>
    <w:p w:rsidR="00FE0A3E" w:rsidRDefault="00FE0A3E">
      <w:pPr>
        <w:spacing w:line="360" w:lineRule="auto"/>
        <w:jc w:val="both"/>
        <w:rPr>
          <w:rFonts w:ascii="Times New Roman" w:hAnsi="Times New Roman" w:cs="Times New Roman"/>
          <w:color w:val="000000"/>
        </w:rPr>
      </w:pPr>
    </w:p>
    <w:p w:rsidR="00FE0A3E" w:rsidRDefault="000A5B95">
      <w:pPr>
        <w:pStyle w:val="PargrafodaLista"/>
        <w:numPr>
          <w:ilvl w:val="0"/>
          <w:numId w:val="1"/>
        </w:numPr>
        <w:spacing w:line="360" w:lineRule="auto"/>
        <w:jc w:val="both"/>
      </w:pPr>
      <w:r>
        <w:rPr>
          <w:rFonts w:ascii="Times New Roman" w:hAnsi="Times New Roman" w:cs="Times New Roman"/>
          <w:b/>
        </w:rPr>
        <w:t>ESTIMATIVA DAS QUANTIDADES</w:t>
      </w:r>
    </w:p>
    <w:p w:rsidR="00FE0A3E" w:rsidRDefault="000A5B95">
      <w:pPr>
        <w:pStyle w:val="PargrafodaLista"/>
        <w:spacing w:line="360" w:lineRule="auto"/>
        <w:jc w:val="both"/>
      </w:pPr>
      <w:r>
        <w:rPr>
          <w:rFonts w:ascii="Times New Roman" w:hAnsi="Times New Roman" w:cs="Times New Roman"/>
          <w:color w:val="000000"/>
        </w:rPr>
        <w:t xml:space="preserve">Com o aumento de matrículas na Rede Municipal de Educação, foi municipalizada duas escolas que pertenciam a rede estadual e também </w:t>
      </w:r>
      <w:proofErr w:type="gramStart"/>
      <w:r>
        <w:rPr>
          <w:rFonts w:ascii="Times New Roman" w:hAnsi="Times New Roman" w:cs="Times New Roman"/>
          <w:color w:val="000000"/>
        </w:rPr>
        <w:t>concluiu-se</w:t>
      </w:r>
      <w:proofErr w:type="gramEnd"/>
      <w:r>
        <w:rPr>
          <w:rFonts w:ascii="Times New Roman" w:hAnsi="Times New Roman" w:cs="Times New Roman"/>
          <w:color w:val="000000"/>
        </w:rPr>
        <w:t xml:space="preserve"> construção de duas escolas de educação infantil no ano de 2023. Portanto, para atender essas necessidades, a municipalidade pretende realizar</w:t>
      </w:r>
      <w:r>
        <w:rPr>
          <w:rFonts w:ascii="Times New Roman" w:hAnsi="Times New Roman" w:cs="Times New Roman"/>
          <w:i/>
          <w:iCs/>
          <w:color w:val="000000"/>
        </w:rPr>
        <w:t xml:space="preserve"> Registro de Preço</w:t>
      </w:r>
      <w:r>
        <w:rPr>
          <w:rFonts w:ascii="Times New Roman" w:hAnsi="Times New Roman" w:cs="Times New Roman"/>
          <w:color w:val="000000"/>
        </w:rPr>
        <w:t xml:space="preserve"> de mobiliário para equipar as escolas e demais setores da educação, bem como, substituir os equipamentos que estão defasados.</w:t>
      </w:r>
    </w:p>
    <w:p w:rsidR="00FE0A3E" w:rsidRDefault="00FE0A3E">
      <w:pPr>
        <w:pStyle w:val="PargrafodaLista"/>
        <w:spacing w:line="360" w:lineRule="auto"/>
        <w:jc w:val="both"/>
        <w:rPr>
          <w:rFonts w:ascii="Times New Roman" w:hAnsi="Times New Roman" w:cs="Times New Roman"/>
          <w:color w:val="000000"/>
        </w:rPr>
      </w:pPr>
    </w:p>
    <w:p w:rsidR="00FE0A3E" w:rsidRDefault="000A5B95">
      <w:pPr>
        <w:pStyle w:val="PargrafodaLista"/>
        <w:numPr>
          <w:ilvl w:val="0"/>
          <w:numId w:val="1"/>
        </w:numPr>
        <w:spacing w:line="360" w:lineRule="auto"/>
        <w:jc w:val="both"/>
      </w:pPr>
      <w:r>
        <w:rPr>
          <w:rFonts w:ascii="Times New Roman" w:hAnsi="Times New Roman" w:cs="Times New Roman"/>
          <w:b/>
        </w:rPr>
        <w:t>ALTERNATIVAS DISPONÍVEL DO MERCADO</w:t>
      </w:r>
    </w:p>
    <w:p w:rsidR="00FE0A3E" w:rsidRDefault="000A5B95">
      <w:pPr>
        <w:spacing w:line="360" w:lineRule="auto"/>
        <w:jc w:val="both"/>
      </w:pPr>
      <w:r>
        <w:rPr>
          <w:rFonts w:ascii="Times New Roman" w:hAnsi="Times New Roman" w:cs="Times New Roman"/>
          <w:color w:val="000000"/>
        </w:rPr>
        <w:t>Foram realizadas pesquisas de preços de mercado, junto a 02 (duas) empresas prestadoras de serviço do mesmo ramo da contratação deste objeto, a fim de identificar nestas contratações do melhor preço, bem como a existência de novas metodologias, tecnologias ou inovações que melhor atendam às necessidades da Administração.</w:t>
      </w:r>
    </w:p>
    <w:p w:rsidR="00FE0A3E" w:rsidRDefault="000A5B95">
      <w:pPr>
        <w:spacing w:line="360" w:lineRule="auto"/>
        <w:jc w:val="both"/>
      </w:pPr>
      <w:r>
        <w:rPr>
          <w:rFonts w:ascii="Times New Roman" w:hAnsi="Times New Roman" w:cs="Times New Roman"/>
          <w:color w:val="000000"/>
        </w:rPr>
        <w:t>As empresas que apresentaram as propostas foram:</w:t>
      </w:r>
    </w:p>
    <w:p w:rsidR="00FE0A3E" w:rsidRDefault="000A5B95">
      <w:pPr>
        <w:spacing w:line="360" w:lineRule="auto"/>
        <w:jc w:val="both"/>
      </w:pPr>
      <w:r>
        <w:rPr>
          <w:rFonts w:ascii="Times New Roman" w:hAnsi="Times New Roman" w:cs="Times New Roman"/>
          <w:color w:val="000000"/>
        </w:rPr>
        <w:t>A empresa MOVESCO INDÚSTRIA DE MÓVEIS ESCOLARES - CNPJ nº 93.234.789/0001-26;</w:t>
      </w:r>
    </w:p>
    <w:p w:rsidR="00FE0A3E" w:rsidRDefault="000A5B95">
      <w:pPr>
        <w:spacing w:line="360" w:lineRule="auto"/>
        <w:jc w:val="both"/>
      </w:pPr>
      <w:r>
        <w:rPr>
          <w:rFonts w:ascii="Times New Roman" w:hAnsi="Times New Roman" w:cs="Times New Roman"/>
          <w:color w:val="000000"/>
        </w:rPr>
        <w:t>A empresa SCHOOL CENTER INDUSTRIA DE MÓVEIS ESCOLARES LATDA - CNPJ nº 09.074.533/0001-92</w:t>
      </w:r>
    </w:p>
    <w:p w:rsidR="00FE0A3E" w:rsidRDefault="000A5B95">
      <w:pPr>
        <w:spacing w:line="360" w:lineRule="auto"/>
        <w:jc w:val="both"/>
      </w:pPr>
      <w:r>
        <w:rPr>
          <w:rFonts w:ascii="Times New Roman" w:hAnsi="Times New Roman" w:cs="Times New Roman"/>
          <w:color w:val="000000"/>
        </w:rPr>
        <w:t>Também foi realizado pesquisa no Licita-</w:t>
      </w:r>
      <w:proofErr w:type="spellStart"/>
      <w:r>
        <w:rPr>
          <w:rFonts w:ascii="Times New Roman" w:hAnsi="Times New Roman" w:cs="Times New Roman"/>
          <w:color w:val="000000"/>
        </w:rPr>
        <w:t>con</w:t>
      </w:r>
      <w:proofErr w:type="spellEnd"/>
      <w:r>
        <w:rPr>
          <w:rFonts w:ascii="Times New Roman" w:hAnsi="Times New Roman" w:cs="Times New Roman"/>
          <w:color w:val="000000"/>
        </w:rPr>
        <w:t xml:space="preserve"> disponível no endereço eletrônico </w:t>
      </w:r>
      <w:r>
        <w:rPr>
          <w:rStyle w:val="LinkdaInternet"/>
          <w:rFonts w:ascii="Times New Roman" w:hAnsi="Times New Roman" w:cs="Times New Roman"/>
          <w:color w:val="000000"/>
        </w:rPr>
        <w:t>https://portal.tce.rs.gov.br/aplicprod/f?p=50500:19:::NO:RP,19,RIR::&amp;cs=3jozjmnNTsnqV-HwoVAs3_TlUKv6cZGMeLdbjlL3GJalS_AWknFb1FW6R5ymUhJTyipAJZV4i9wlcHlD0GFbxdw</w:t>
      </w:r>
    </w:p>
    <w:p w:rsidR="00FE0A3E" w:rsidRDefault="000A5B95">
      <w:pPr>
        <w:pStyle w:val="PargrafodaLista"/>
        <w:numPr>
          <w:ilvl w:val="0"/>
          <w:numId w:val="1"/>
        </w:numPr>
        <w:spacing w:line="360" w:lineRule="auto"/>
        <w:jc w:val="both"/>
      </w:pPr>
      <w:r>
        <w:rPr>
          <w:rFonts w:ascii="Times New Roman" w:hAnsi="Times New Roman" w:cs="Times New Roman"/>
          <w:b/>
        </w:rPr>
        <w:t>ESTIMATIVA DO VALOR DA CONTRATAÇÃO</w:t>
      </w:r>
    </w:p>
    <w:p w:rsidR="00FE0A3E" w:rsidRDefault="000A5B95">
      <w:pPr>
        <w:spacing w:line="360" w:lineRule="auto"/>
        <w:jc w:val="both"/>
      </w:pPr>
      <w:r>
        <w:rPr>
          <w:rFonts w:ascii="Times New Roman" w:hAnsi="Times New Roman" w:cs="Times New Roman"/>
          <w:color w:val="000000"/>
        </w:rPr>
        <w:t>A estimativa de preço levou-se em consideração orçamentos apresentados por empresas e pesquisas no site Licita-con. Sendo os preços dos orçamentos somados e divididos pelo número de orç</w:t>
      </w:r>
      <w:r>
        <w:rPr>
          <w:rFonts w:ascii="Times New Roman" w:hAnsi="Times New Roman" w:cs="Times New Roman"/>
        </w:rPr>
        <w:t xml:space="preserve">amentos apresentados. Desta maneira o preço médio ficou em </w:t>
      </w:r>
      <w:r>
        <w:rPr>
          <w:rFonts w:ascii="Times New Roman" w:hAnsi="Times New Roman"/>
          <w:b/>
          <w:bCs/>
          <w:sz w:val="20"/>
          <w:szCs w:val="20"/>
        </w:rPr>
        <w:t>R$ 80.557,24.</w:t>
      </w:r>
    </w:p>
    <w:p w:rsidR="00FE0A3E" w:rsidRDefault="000A5B95">
      <w:pPr>
        <w:pStyle w:val="PargrafodaLista"/>
        <w:numPr>
          <w:ilvl w:val="0"/>
          <w:numId w:val="1"/>
        </w:numPr>
        <w:spacing w:line="360" w:lineRule="auto"/>
        <w:jc w:val="both"/>
      </w:pPr>
      <w:r>
        <w:rPr>
          <w:rFonts w:ascii="Times New Roman" w:hAnsi="Times New Roman" w:cs="Times New Roman"/>
          <w:b/>
          <w:color w:val="000000"/>
        </w:rPr>
        <w:t>DESCRIÇÃO DA SOLUÇÃO COMO UM TODO</w:t>
      </w:r>
    </w:p>
    <w:p w:rsidR="00FE0A3E" w:rsidRDefault="000A5B95">
      <w:pPr>
        <w:spacing w:line="360" w:lineRule="auto"/>
        <w:jc w:val="both"/>
      </w:pPr>
      <w:r>
        <w:rPr>
          <w:rFonts w:ascii="Times New Roman" w:hAnsi="Times New Roman" w:cs="Times New Roman"/>
          <w:color w:val="000000"/>
        </w:rPr>
        <w:t xml:space="preserve">7.1 A solução proposta é a contratação de empresa especializada em fornecer mobiliários escolares para as Escolas Municipais do município de Três Passos e demais setores que esta secretaria é responsável. A aquisição irá solucionar o problema, bem como, a substituição dos mesmos que não estão em bom estado de conservação. </w:t>
      </w:r>
    </w:p>
    <w:p w:rsidR="00FE0A3E" w:rsidRDefault="000A5B95">
      <w:pPr>
        <w:spacing w:line="360" w:lineRule="auto"/>
        <w:jc w:val="both"/>
      </w:pPr>
      <w:r>
        <w:rPr>
          <w:rFonts w:ascii="Times New Roman" w:hAnsi="Times New Roman" w:cs="Times New Roman"/>
          <w:color w:val="000000"/>
        </w:rPr>
        <w:t>7.2 A escolha da modalidade Pregão Eletrônico pelo Sistema de Registro de Preços (SRP) encontra amparo nos incisos IV do art. 78° da Lei 14.133/2021, se faz necessário em virtude da necessidade de reposição do estoque na instituição, para uso da rede municipal de educação;</w:t>
      </w:r>
    </w:p>
    <w:p w:rsidR="00FE0A3E" w:rsidRDefault="000A5B95">
      <w:pPr>
        <w:spacing w:line="360" w:lineRule="auto"/>
        <w:jc w:val="both"/>
      </w:pPr>
      <w:r>
        <w:rPr>
          <w:rFonts w:ascii="Times New Roman" w:hAnsi="Times New Roman" w:cs="Times New Roman"/>
          <w:color w:val="000000"/>
        </w:rPr>
        <w:t>7.3. Dentre as vantagens do SRP, destaca-se:</w:t>
      </w:r>
    </w:p>
    <w:p w:rsidR="00FE0A3E" w:rsidRDefault="000A5B95">
      <w:pPr>
        <w:spacing w:line="360" w:lineRule="auto"/>
        <w:jc w:val="both"/>
      </w:pPr>
      <w:r>
        <w:rPr>
          <w:rFonts w:ascii="Times New Roman" w:hAnsi="Times New Roman" w:cs="Times New Roman"/>
          <w:color w:val="000000"/>
        </w:rPr>
        <w:t>7.3.1. A vigência da Ata de Registro de Preços é de 12 (doze) meses;</w:t>
      </w:r>
    </w:p>
    <w:p w:rsidR="00FE0A3E" w:rsidRDefault="000A5B95">
      <w:pPr>
        <w:spacing w:line="360" w:lineRule="auto"/>
        <w:jc w:val="both"/>
      </w:pPr>
      <w:r>
        <w:rPr>
          <w:rFonts w:ascii="Times New Roman" w:hAnsi="Times New Roman" w:cs="Times New Roman"/>
          <w:color w:val="000000"/>
        </w:rPr>
        <w:t>7.3.2. Redução de volume de estoque;</w:t>
      </w:r>
    </w:p>
    <w:p w:rsidR="00FE0A3E" w:rsidRDefault="000A5B95">
      <w:pPr>
        <w:spacing w:line="360" w:lineRule="auto"/>
        <w:jc w:val="both"/>
      </w:pPr>
      <w:r>
        <w:rPr>
          <w:rFonts w:ascii="Times New Roman" w:hAnsi="Times New Roman" w:cs="Times New Roman"/>
          <w:color w:val="000000"/>
        </w:rPr>
        <w:t>7.3.3. Redução do número de licitações;</w:t>
      </w:r>
    </w:p>
    <w:p w:rsidR="00FE0A3E" w:rsidRDefault="000A5B95">
      <w:pPr>
        <w:spacing w:line="360" w:lineRule="auto"/>
        <w:jc w:val="both"/>
      </w:pPr>
      <w:r>
        <w:rPr>
          <w:rFonts w:ascii="Times New Roman" w:hAnsi="Times New Roman" w:cs="Times New Roman"/>
          <w:color w:val="000000"/>
        </w:rPr>
        <w:t>7.3.4. Redução dos custos de processamento de licitação;</w:t>
      </w:r>
    </w:p>
    <w:p w:rsidR="00FE0A3E" w:rsidRDefault="000A5B95">
      <w:pPr>
        <w:pStyle w:val="PargrafodaLista"/>
        <w:numPr>
          <w:ilvl w:val="0"/>
          <w:numId w:val="1"/>
        </w:numPr>
        <w:spacing w:line="360" w:lineRule="auto"/>
        <w:jc w:val="both"/>
      </w:pPr>
      <w:r>
        <w:rPr>
          <w:rFonts w:ascii="Times New Roman" w:hAnsi="Times New Roman" w:cs="Times New Roman"/>
          <w:b/>
          <w:color w:val="000000"/>
        </w:rPr>
        <w:t xml:space="preserve">JUSTIFICATIVA PARA O PARCELAMENTO OU NÃO </w:t>
      </w:r>
      <w:r>
        <w:rPr>
          <w:rFonts w:ascii="Times New Roman" w:hAnsi="Times New Roman" w:cs="Times New Roman"/>
          <w:b/>
        </w:rPr>
        <w:t>DA CONTRATAÇÃO</w:t>
      </w:r>
    </w:p>
    <w:p w:rsidR="00FE0A3E" w:rsidRDefault="000A5B95">
      <w:pPr>
        <w:spacing w:line="360" w:lineRule="auto"/>
        <w:jc w:val="both"/>
      </w:pPr>
      <w:r>
        <w:rPr>
          <w:rFonts w:ascii="Times New Roman" w:hAnsi="Times New Roman" w:cs="Times New Roman"/>
          <w:color w:val="000000"/>
        </w:rPr>
        <w:t>O pedido dos materiais será feito conforme necessidade das escolas municipais de educação, sendo o pagamento feito em parcela única referente cada empenho solicitado.</w:t>
      </w:r>
    </w:p>
    <w:p w:rsidR="00FE0A3E" w:rsidRDefault="000A5B95">
      <w:pPr>
        <w:pStyle w:val="PargrafodaLista"/>
        <w:numPr>
          <w:ilvl w:val="0"/>
          <w:numId w:val="1"/>
        </w:numPr>
        <w:spacing w:line="360" w:lineRule="auto"/>
        <w:jc w:val="both"/>
      </w:pPr>
      <w:r>
        <w:rPr>
          <w:rFonts w:ascii="Times New Roman" w:hAnsi="Times New Roman" w:cs="Times New Roman"/>
          <w:b/>
        </w:rPr>
        <w:t>RESULTADOS PRETENDIDOS</w:t>
      </w:r>
    </w:p>
    <w:p w:rsidR="00FE0A3E" w:rsidRDefault="000A5B95">
      <w:pPr>
        <w:spacing w:line="360" w:lineRule="auto"/>
        <w:jc w:val="both"/>
      </w:pPr>
      <w:r>
        <w:rPr>
          <w:rFonts w:ascii="Times New Roman" w:hAnsi="Times New Roman" w:cs="Times New Roman"/>
          <w:color w:val="000000"/>
        </w:rPr>
        <w:t xml:space="preserve">Com esta contratação, espera-se atender a demanda, de forma a garantir melhores condições para os servidores e alunos. Entre os benefícios estão a melhoria da qualidade de móveis adequados às suas funções, melhoria da condição de trabalho e bem-estar dos servidores públicos que contarão com equipamentos modernos e eficientes para desempenhar suas atividades. </w:t>
      </w:r>
    </w:p>
    <w:p w:rsidR="00FE0A3E" w:rsidRDefault="000A5B95">
      <w:pPr>
        <w:spacing w:line="360" w:lineRule="auto"/>
        <w:jc w:val="both"/>
      </w:pPr>
      <w:r>
        <w:rPr>
          <w:rFonts w:ascii="Times New Roman" w:hAnsi="Times New Roman" w:cs="Times New Roman"/>
          <w:color w:val="000000"/>
        </w:rPr>
        <w:t xml:space="preserve">Pretende-se com o presente processo licitatório, assegurar a seleção da proposta apta a gerar contratação mais vantajosa para o município. Objetiva-se a entrega de equipamento de qualidade que atenda as expectativas do poder público bem como dos munícipes. Almeja-se, igualmente, assegurar tratamento isonômico entre os licitantes, bem como a justa competição, bem como evitar contratação com </w:t>
      </w:r>
      <w:proofErr w:type="spellStart"/>
      <w:r>
        <w:rPr>
          <w:rFonts w:ascii="Times New Roman" w:hAnsi="Times New Roman" w:cs="Times New Roman"/>
          <w:color w:val="000000"/>
        </w:rPr>
        <w:t>sobrepreço</w:t>
      </w:r>
      <w:proofErr w:type="spellEnd"/>
      <w:r>
        <w:rPr>
          <w:rFonts w:ascii="Times New Roman" w:hAnsi="Times New Roman" w:cs="Times New Roman"/>
          <w:color w:val="000000"/>
        </w:rPr>
        <w:t xml:space="preserve"> ou com preço manifestamente inexequível e superfaturamento na execução do contrato.</w:t>
      </w:r>
    </w:p>
    <w:p w:rsidR="00FE0A3E" w:rsidRDefault="000A5B95">
      <w:pPr>
        <w:spacing w:line="360" w:lineRule="auto"/>
        <w:jc w:val="both"/>
      </w:pPr>
      <w:r>
        <w:rPr>
          <w:rFonts w:ascii="Times New Roman" w:hAnsi="Times New Roman" w:cs="Times New Roman"/>
          <w:color w:val="000000"/>
        </w:rPr>
        <w:t xml:space="preserve">A contratação decorrente do presente processo licitatório exigirá da contratada o cumprimento das boas práticas de sustentabilidade, contribuindo para a racionalização e otimização do uso dos recursos, bem como para a redução dos impactos ambientais e de baixa manutenção. </w:t>
      </w:r>
    </w:p>
    <w:p w:rsidR="00FE0A3E" w:rsidRDefault="00FE0A3E">
      <w:pPr>
        <w:spacing w:line="360" w:lineRule="auto"/>
        <w:jc w:val="both"/>
      </w:pPr>
    </w:p>
    <w:p w:rsidR="00FE0A3E" w:rsidRDefault="00FE0A3E">
      <w:pPr>
        <w:spacing w:line="360" w:lineRule="auto"/>
        <w:jc w:val="both"/>
      </w:pPr>
    </w:p>
    <w:p w:rsidR="00FE0A3E" w:rsidRDefault="000A5B95">
      <w:pPr>
        <w:pStyle w:val="PargrafodaLista"/>
        <w:numPr>
          <w:ilvl w:val="0"/>
          <w:numId w:val="1"/>
        </w:numPr>
        <w:spacing w:line="360" w:lineRule="auto"/>
        <w:jc w:val="both"/>
      </w:pPr>
      <w:r>
        <w:rPr>
          <w:rFonts w:ascii="Times New Roman" w:hAnsi="Times New Roman" w:cs="Times New Roman"/>
          <w:b/>
          <w:color w:val="000000"/>
        </w:rPr>
        <w:t>PROVIDÊNCIAS PRÉVIAS AO CONTRATO</w:t>
      </w:r>
    </w:p>
    <w:p w:rsidR="00FE0A3E" w:rsidRDefault="000A5B95">
      <w:pPr>
        <w:spacing w:line="360" w:lineRule="auto"/>
        <w:jc w:val="both"/>
      </w:pPr>
      <w:r>
        <w:rPr>
          <w:rFonts w:ascii="Times New Roman" w:hAnsi="Times New Roman" w:cs="Times New Roman"/>
          <w:color w:val="000000"/>
          <w:lang w:eastAsia="pt-BR"/>
        </w:rPr>
        <w:t xml:space="preserve">O contrato é o acordo e ou vontade entres as partes com propósito de adquirir e resguardar as manifestações expressas da contratante e contratada, afim de aderir equipamentos de qualidade esperada que se torne efetivo pela sua utilização. </w:t>
      </w:r>
    </w:p>
    <w:p w:rsidR="00FE0A3E" w:rsidRDefault="000A5B95">
      <w:pPr>
        <w:spacing w:line="360" w:lineRule="auto"/>
        <w:jc w:val="both"/>
      </w:pPr>
      <w:r>
        <w:rPr>
          <w:rFonts w:ascii="Times New Roman" w:hAnsi="Times New Roman" w:cs="Times New Roman"/>
          <w:color w:val="000000"/>
          <w:lang w:eastAsia="pt-BR"/>
        </w:rPr>
        <w:t xml:space="preserve">O prazo para entrega do objeto licitado será de 30 (trinta) dias corridos após o recebimento da Nota de Empenho pela Contratada e, será realizada de forma única e imediata. Não haverá prorrogação ante a necessidade dos objetos. </w:t>
      </w:r>
    </w:p>
    <w:p w:rsidR="00FE0A3E" w:rsidRDefault="000A5B95">
      <w:pPr>
        <w:spacing w:line="360" w:lineRule="auto"/>
        <w:jc w:val="both"/>
      </w:pPr>
      <w:r>
        <w:rPr>
          <w:rFonts w:ascii="Times New Roman" w:hAnsi="Times New Roman" w:cs="Times New Roman"/>
          <w:color w:val="000000"/>
          <w:lang w:eastAsia="pt-BR"/>
        </w:rPr>
        <w:t xml:space="preserve">A entrega deverá ocorrer diretamente no depósito da Secretaria Municipal de Educação, localizada na Rua </w:t>
      </w:r>
      <w:proofErr w:type="spellStart"/>
      <w:r>
        <w:rPr>
          <w:rFonts w:ascii="Times New Roman" w:hAnsi="Times New Roman" w:cs="Times New Roman"/>
          <w:color w:val="000000"/>
          <w:lang w:eastAsia="pt-BR"/>
        </w:rPr>
        <w:t>Getulio</w:t>
      </w:r>
      <w:proofErr w:type="spellEnd"/>
      <w:r>
        <w:rPr>
          <w:rFonts w:ascii="Times New Roman" w:hAnsi="Times New Roman" w:cs="Times New Roman"/>
          <w:color w:val="000000"/>
          <w:lang w:eastAsia="pt-BR"/>
        </w:rPr>
        <w:t xml:space="preserve"> Vargas, 348, Centro de Três Passos, das 8h às 11h30min e das 13h30min às 17h30min, sendo responsabilidade da Contratada, o transporte do objeto para o local designado.</w:t>
      </w:r>
    </w:p>
    <w:p w:rsidR="00FE0A3E" w:rsidRDefault="000A5B95">
      <w:pPr>
        <w:spacing w:line="360" w:lineRule="auto"/>
        <w:jc w:val="both"/>
      </w:pPr>
      <w:r>
        <w:rPr>
          <w:rFonts w:ascii="Times New Roman" w:hAnsi="Times New Roman" w:cs="Times New Roman"/>
          <w:color w:val="000000"/>
          <w:lang w:eastAsia="pt-BR"/>
        </w:rPr>
        <w:t xml:space="preserve">A nota fiscal será emitida pela CONTRATADA em inteira conformidade com as exigências legais e contratuais, especialmente as de natureza fiscal, dela constando, ainda: o tipo e nº da Licitação (Pregão Eletrônico nº __/___) e número de empenho, e deverá obrigatoriamente, ser entregue junto com o seu objeto licitado. </w:t>
      </w:r>
    </w:p>
    <w:p w:rsidR="00FE0A3E" w:rsidRDefault="000A5B95">
      <w:pPr>
        <w:spacing w:line="360" w:lineRule="auto"/>
        <w:jc w:val="both"/>
      </w:pPr>
      <w:r>
        <w:rPr>
          <w:rFonts w:ascii="Times New Roman" w:hAnsi="Times New Roman" w:cs="Times New Roman"/>
          <w:color w:val="000000"/>
          <w:lang w:eastAsia="pt-BR"/>
        </w:rPr>
        <w:t xml:space="preserve">Quando da entrega, o contratado deverá entrar em contato com a Secretaria Municipal de Educação, Cultura e Desporto pelo telefone (55) 3522 0447, para solicitar autorização e combinar o horário de entrega. </w:t>
      </w:r>
    </w:p>
    <w:p w:rsidR="00FE0A3E" w:rsidRDefault="000A5B95">
      <w:pPr>
        <w:spacing w:line="360" w:lineRule="auto"/>
        <w:jc w:val="both"/>
      </w:pPr>
      <w:r>
        <w:rPr>
          <w:rFonts w:ascii="Times New Roman" w:hAnsi="Times New Roman" w:cs="Times New Roman"/>
          <w:color w:val="000000"/>
          <w:lang w:eastAsia="pt-BR"/>
        </w:rPr>
        <w:t xml:space="preserve">Não será permitida na entrega, a substituição do(s) item(s) ofertado(s), quer em função de outra especificação, outras marcas, etc. Fornecer fielmente os objetos, respondendo pelas consequências de sua inexecução total ou parcial; Pagar todos os tributos que incidam ou venham a incidir, direta ou indiretamente, sobre o material e a mão de obra; Manter atualizados, junto ao Município, os dados cadastrais, com endereço completo, telefone e endereço de correio eletrônico (e-mail), dentre outras informações indispensáveis à comunicação entre o licitante vencedor e o Município, de modo a viabilizar as convocações, intimações e notificações quando se fizerem necessárias; Aceitar os acréscimos ou supressões que se fizerem necessários no quantitativo do objeto, até o limite legal; Fornecer os objetos com boa qualidade, no preço, prazo e forma estipulados na proposta, no edital e seus anexos; Não ceder ou transferir a terceiros a execução do objeto, ainda que parcial, sendo nulo de pleno direito qualquer ato nesse sentido, além de constituir infração passível de penalidade, salvo em caso de autorização expressa do Município; Ser responsável pelos danos causados diretamente ao Município ou a terceiros decorrentes de sua culpa ou dolo na execução do objeto; Disponibilizar, sempre que necessário, equipamentos, ferramentas, materiais e pessoal devidamente habilitado para a execução do objeto; Responder pelo pagamento dos salários devidos pela mão de obra empregada na execução do objeto, pelos encargos trabalhistas, fiscais e previdenciários respectivos, e, por tudo mais que, como empregadora, deve satisfazer; Respeitar e exigir que o seu pessoal observe e respeite as normas sobre segurança, higiene e medicina do trabalho e sua regulamentação devendo fornecer aos seus empregados, quando necessário, os </w:t>
      </w:r>
      <w:proofErr w:type="spellStart"/>
      <w:r>
        <w:rPr>
          <w:rFonts w:ascii="Times New Roman" w:hAnsi="Times New Roman" w:cs="Times New Roman"/>
          <w:color w:val="000000"/>
          <w:lang w:eastAsia="pt-BR"/>
        </w:rPr>
        <w:t>EPI´s</w:t>
      </w:r>
      <w:proofErr w:type="spellEnd"/>
      <w:r>
        <w:rPr>
          <w:rFonts w:ascii="Times New Roman" w:hAnsi="Times New Roman" w:cs="Times New Roman"/>
          <w:color w:val="000000"/>
          <w:lang w:eastAsia="pt-BR"/>
        </w:rPr>
        <w:t xml:space="preserve"> de segurança; Arcar com os custos de combustível e manutenção dos equipamentos que porventura necessite utilizar; Prestar ao Município toda e qualquer informação, por este solicitado, necessária à perfeita execução do objeto; </w:t>
      </w:r>
    </w:p>
    <w:p w:rsidR="00FE0A3E" w:rsidRDefault="000A5B95">
      <w:pPr>
        <w:spacing w:line="360" w:lineRule="auto"/>
        <w:jc w:val="both"/>
      </w:pPr>
      <w:r>
        <w:rPr>
          <w:rFonts w:ascii="Times New Roman" w:hAnsi="Times New Roman" w:cs="Times New Roman"/>
          <w:color w:val="000000"/>
          <w:lang w:eastAsia="pt-BR"/>
        </w:rPr>
        <w:tab/>
        <w:t>O Contrato a ser firmado entre o Município de Três Passos e a empresa vencedora do certame, terá vigência pelo período de 12 meses.</w:t>
      </w:r>
    </w:p>
    <w:p w:rsidR="00FE0A3E" w:rsidRDefault="000A5B95">
      <w:pPr>
        <w:spacing w:line="360" w:lineRule="auto"/>
        <w:jc w:val="both"/>
      </w:pPr>
      <w:r>
        <w:rPr>
          <w:rFonts w:ascii="Times New Roman" w:hAnsi="Times New Roman" w:cs="Times New Roman"/>
          <w:color w:val="000000"/>
          <w:lang w:eastAsia="pt-BR"/>
        </w:rPr>
        <w:tab/>
        <w:t xml:space="preserve">A Fiscalização da Compra ficará a cargo da Secretária Municipal de Educação, Cultura e Desporto. A entrega deverá ocorrer na Secretaria Municipal de Educação, Cultura e Desporto, situada na Avenida Santos </w:t>
      </w:r>
      <w:proofErr w:type="spellStart"/>
      <w:r>
        <w:rPr>
          <w:rFonts w:ascii="Times New Roman" w:hAnsi="Times New Roman" w:cs="Times New Roman"/>
          <w:color w:val="000000"/>
          <w:lang w:eastAsia="pt-BR"/>
        </w:rPr>
        <w:t>Dumondt</w:t>
      </w:r>
      <w:proofErr w:type="spellEnd"/>
      <w:r>
        <w:rPr>
          <w:rFonts w:ascii="Times New Roman" w:hAnsi="Times New Roman" w:cs="Times New Roman"/>
          <w:color w:val="000000"/>
          <w:lang w:eastAsia="pt-BR"/>
        </w:rPr>
        <w:t>, 75. A Contratada responsabilizar-se pelo fornecimento do objeto deste Estudo Preliminar Técnico e Termo de Referência, respondendo civil e criminalmente por todos os danos, perdas e prejuízos que, por dolo ou culpa sua, de seus empregados, prepostos, ou terceiros no exercício de suas atividades, vier a, direta ou indiretamente, causar ou provocar à Contratante; A Contratada é obrigada a reparar, corrigir, remover, reconstruir ou substituir, às suas expensas, no total ou em parte, o objeto do contrato em que se verificarem vícios, defeitos ou incorreções resultantes da execução ou de materiais empregados.</w:t>
      </w:r>
    </w:p>
    <w:p w:rsidR="00FE0A3E" w:rsidRDefault="000A5B95">
      <w:pPr>
        <w:pStyle w:val="PargrafodaLista"/>
        <w:numPr>
          <w:ilvl w:val="0"/>
          <w:numId w:val="1"/>
        </w:numPr>
        <w:spacing w:line="360" w:lineRule="auto"/>
        <w:jc w:val="both"/>
      </w:pPr>
      <w:r>
        <w:rPr>
          <w:rFonts w:ascii="Times New Roman" w:hAnsi="Times New Roman" w:cs="Times New Roman"/>
          <w:b/>
        </w:rPr>
        <w:t>CONTRATAÇÕES CORRELATADAS E/OU INTERDEPENDENTES</w:t>
      </w:r>
    </w:p>
    <w:p w:rsidR="00FE0A3E" w:rsidRDefault="000A5B95">
      <w:pPr>
        <w:pStyle w:val="NormalWeb"/>
        <w:spacing w:before="0" w:after="0" w:line="360" w:lineRule="auto"/>
        <w:jc w:val="both"/>
        <w:rPr>
          <w:sz w:val="22"/>
          <w:szCs w:val="22"/>
        </w:rPr>
      </w:pPr>
      <w:r>
        <w:rPr>
          <w:sz w:val="22"/>
          <w:szCs w:val="22"/>
        </w:rPr>
        <w:t xml:space="preserve">Este estudo não identificou a necessidade de realizar contratações acessórias para a perfeita execução do objeto, uma vez que todos os meios necessários para a aquisição/operacionalização dos serviços podem ser supridos apenas com a contratação ora proposta. O bem que se pretende </w:t>
      </w:r>
      <w:proofErr w:type="gramStart"/>
      <w:r>
        <w:rPr>
          <w:sz w:val="22"/>
          <w:szCs w:val="22"/>
        </w:rPr>
        <w:t>adquirir</w:t>
      </w:r>
      <w:proofErr w:type="gramEnd"/>
      <w:r>
        <w:rPr>
          <w:sz w:val="22"/>
          <w:szCs w:val="22"/>
        </w:rPr>
        <w:t xml:space="preserve"> portanto e autônomo e não prescindem de contratações correlatas ou interdependentes.</w:t>
      </w:r>
    </w:p>
    <w:p w:rsidR="00FE0A3E" w:rsidRDefault="00FE0A3E">
      <w:pPr>
        <w:pStyle w:val="NormalWeb"/>
        <w:spacing w:before="0" w:after="0" w:line="360" w:lineRule="auto"/>
        <w:jc w:val="both"/>
        <w:rPr>
          <w:sz w:val="22"/>
          <w:szCs w:val="22"/>
        </w:rPr>
      </w:pPr>
    </w:p>
    <w:p w:rsidR="00FE0A3E" w:rsidRDefault="000A5B95">
      <w:pPr>
        <w:pStyle w:val="PargrafodaLista"/>
        <w:numPr>
          <w:ilvl w:val="0"/>
          <w:numId w:val="1"/>
        </w:numPr>
        <w:spacing w:line="360" w:lineRule="auto"/>
        <w:jc w:val="both"/>
      </w:pPr>
      <w:r>
        <w:rPr>
          <w:rFonts w:ascii="Times New Roman" w:hAnsi="Times New Roman" w:cs="Times New Roman"/>
          <w:b/>
        </w:rPr>
        <w:t>POSSÍVEIS IMPACTOS AMBIENTAIS</w:t>
      </w:r>
    </w:p>
    <w:p w:rsidR="00FE0A3E" w:rsidRDefault="000A5B95">
      <w:pPr>
        <w:pStyle w:val="NormalWeb"/>
        <w:spacing w:before="0" w:after="0" w:line="360" w:lineRule="auto"/>
        <w:jc w:val="both"/>
        <w:rPr>
          <w:sz w:val="22"/>
          <w:szCs w:val="22"/>
        </w:rPr>
      </w:pPr>
      <w:r>
        <w:rPr>
          <w:sz w:val="22"/>
          <w:szCs w:val="22"/>
        </w:rPr>
        <w:t>Vislumbram-se impactos ambientais provenientes desta contratação, mencionados na tabela abaixo, juntamente com as medidas de tratamento a serem adotadas pela contratada:</w:t>
      </w:r>
    </w:p>
    <w:tbl>
      <w:tblPr>
        <w:tblW w:w="8494" w:type="dxa"/>
        <w:tblLayout w:type="fixed"/>
        <w:tblLook w:val="0000" w:firstRow="0" w:lastRow="0" w:firstColumn="0" w:lastColumn="0" w:noHBand="0" w:noVBand="0"/>
      </w:tblPr>
      <w:tblGrid>
        <w:gridCol w:w="4196"/>
        <w:gridCol w:w="4298"/>
      </w:tblGrid>
      <w:tr w:rsidR="00FE0A3E">
        <w:tc>
          <w:tcPr>
            <w:tcW w:w="4196" w:type="dxa"/>
            <w:tcBorders>
              <w:top w:val="single" w:sz="4" w:space="0" w:color="000000"/>
              <w:left w:val="single" w:sz="4" w:space="0" w:color="000000"/>
              <w:bottom w:val="single" w:sz="4" w:space="0" w:color="000000"/>
              <w:right w:val="single" w:sz="4" w:space="0" w:color="000000"/>
            </w:tcBorders>
          </w:tcPr>
          <w:p w:rsidR="00FE0A3E" w:rsidRDefault="000A5B95">
            <w:pPr>
              <w:widowControl w:val="0"/>
              <w:spacing w:after="0" w:line="276" w:lineRule="auto"/>
              <w:jc w:val="both"/>
              <w:rPr>
                <w:rFonts w:ascii="Times New Roman" w:eastAsia="Times New Roman" w:hAnsi="Times New Roman" w:cs="Times New Roman"/>
                <w:b/>
                <w:bCs/>
                <w:color w:val="000000"/>
                <w:lang w:eastAsia="pt-BR"/>
              </w:rPr>
            </w:pPr>
            <w:r>
              <w:rPr>
                <w:rFonts w:ascii="Times New Roman" w:eastAsia="Times New Roman" w:hAnsi="Times New Roman" w:cs="Times New Roman"/>
                <w:b/>
                <w:bCs/>
                <w:color w:val="000000"/>
                <w:lang w:eastAsia="pt-BR"/>
              </w:rPr>
              <w:t>IMPACTO AMBIENTAL</w:t>
            </w:r>
          </w:p>
        </w:tc>
        <w:tc>
          <w:tcPr>
            <w:tcW w:w="4297" w:type="dxa"/>
            <w:tcBorders>
              <w:top w:val="single" w:sz="4" w:space="0" w:color="000000"/>
              <w:left w:val="single" w:sz="4" w:space="0" w:color="000000"/>
              <w:bottom w:val="single" w:sz="4" w:space="0" w:color="000000"/>
              <w:right w:val="single" w:sz="4" w:space="0" w:color="000000"/>
            </w:tcBorders>
          </w:tcPr>
          <w:p w:rsidR="00FE0A3E" w:rsidRDefault="000A5B95">
            <w:pPr>
              <w:widowControl w:val="0"/>
              <w:spacing w:after="0" w:line="276" w:lineRule="auto"/>
              <w:jc w:val="both"/>
              <w:rPr>
                <w:rFonts w:ascii="Times New Roman" w:eastAsia="Times New Roman" w:hAnsi="Times New Roman" w:cs="Times New Roman"/>
                <w:b/>
                <w:bCs/>
                <w:color w:val="000000"/>
                <w:lang w:eastAsia="pt-BR"/>
              </w:rPr>
            </w:pPr>
            <w:r>
              <w:rPr>
                <w:rFonts w:ascii="Times New Roman" w:eastAsia="Times New Roman" w:hAnsi="Times New Roman" w:cs="Times New Roman"/>
                <w:b/>
                <w:bCs/>
                <w:color w:val="000000"/>
                <w:lang w:eastAsia="pt-BR"/>
              </w:rPr>
              <w:t>MEDIDA DE TRATAMENTO</w:t>
            </w:r>
          </w:p>
        </w:tc>
      </w:tr>
      <w:tr w:rsidR="00FE0A3E">
        <w:tc>
          <w:tcPr>
            <w:tcW w:w="4196" w:type="dxa"/>
            <w:tcBorders>
              <w:top w:val="single" w:sz="4" w:space="0" w:color="000000"/>
              <w:left w:val="single" w:sz="4" w:space="0" w:color="000000"/>
              <w:bottom w:val="single" w:sz="4" w:space="0" w:color="000000"/>
              <w:right w:val="single" w:sz="4" w:space="0" w:color="000000"/>
            </w:tcBorders>
          </w:tcPr>
          <w:p w:rsidR="00FE0A3E" w:rsidRDefault="000A5B95">
            <w:pPr>
              <w:widowControl w:val="0"/>
              <w:spacing w:after="0" w:line="276" w:lineRule="auto"/>
              <w:jc w:val="both"/>
              <w:rPr>
                <w:rFonts w:ascii="Times New Roman" w:hAnsi="Times New Roman"/>
              </w:rPr>
            </w:pPr>
            <w:r>
              <w:rPr>
                <w:rFonts w:ascii="Times New Roman" w:eastAsia="Times New Roman" w:hAnsi="Times New Roman" w:cs="Times New Roman"/>
                <w:color w:val="000000"/>
                <w:lang w:eastAsia="pt-BR"/>
              </w:rPr>
              <w:t>Geração de resíduos sólidos.</w:t>
            </w:r>
          </w:p>
        </w:tc>
        <w:tc>
          <w:tcPr>
            <w:tcW w:w="4297" w:type="dxa"/>
            <w:tcBorders>
              <w:top w:val="single" w:sz="4" w:space="0" w:color="000000"/>
              <w:left w:val="single" w:sz="4" w:space="0" w:color="000000"/>
              <w:bottom w:val="single" w:sz="4" w:space="0" w:color="000000"/>
              <w:right w:val="single" w:sz="4" w:space="0" w:color="000000"/>
            </w:tcBorders>
          </w:tcPr>
          <w:p w:rsidR="00FE0A3E" w:rsidRDefault="000A5B95">
            <w:pPr>
              <w:widowControl w:val="0"/>
              <w:spacing w:after="0" w:line="276" w:lineRule="auto"/>
              <w:jc w:val="both"/>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A contratante deverá orientar seus empregados quanto à forma ambientalmente adequada do descarte.</w:t>
            </w:r>
          </w:p>
        </w:tc>
      </w:tr>
    </w:tbl>
    <w:p w:rsidR="00FE0A3E" w:rsidRDefault="000A5B95">
      <w:pPr>
        <w:spacing w:before="114" w:after="274" w:line="360" w:lineRule="auto"/>
        <w:jc w:val="both"/>
      </w:pPr>
      <w:r>
        <w:rPr>
          <w:rFonts w:ascii="Times New Roman" w:hAnsi="Times New Roman" w:cs="Times New Roman"/>
          <w:color w:val="000000"/>
        </w:rPr>
        <w:t>Orientações complementares acerca da sustentabilidade da prestação almejada poderão ser repassadas pela fiscalização competente.</w:t>
      </w:r>
    </w:p>
    <w:p w:rsidR="00FE0A3E" w:rsidRDefault="000A5B95">
      <w:pPr>
        <w:pStyle w:val="PargrafodaLista"/>
        <w:numPr>
          <w:ilvl w:val="0"/>
          <w:numId w:val="1"/>
        </w:numPr>
        <w:spacing w:line="360" w:lineRule="auto"/>
        <w:jc w:val="both"/>
      </w:pPr>
      <w:r>
        <w:rPr>
          <w:rFonts w:ascii="Times New Roman" w:hAnsi="Times New Roman" w:cs="Times New Roman"/>
          <w:b/>
        </w:rPr>
        <w:t>DECLARAÇÃO DE VIABILIDADE</w:t>
      </w:r>
    </w:p>
    <w:p w:rsidR="00FE0A3E" w:rsidRDefault="000A5B95">
      <w:pPr>
        <w:pStyle w:val="NormalWeb"/>
        <w:spacing w:before="0" w:after="0" w:line="360" w:lineRule="auto"/>
        <w:jc w:val="both"/>
        <w:rPr>
          <w:sz w:val="22"/>
          <w:szCs w:val="22"/>
        </w:rPr>
      </w:pPr>
      <w:r>
        <w:rPr>
          <w:sz w:val="22"/>
          <w:szCs w:val="22"/>
        </w:rPr>
        <w:t>Com base na justificativa e nas especificações técnicas constantes neste Estudo Técnico Preliminar (ETP) e seus anexos, e na existência de planejamento orçamentário para subsidiar esta contratação, declaramos que a contratação é viável, atendendo aos padrões e preços de mercado.</w:t>
      </w:r>
    </w:p>
    <w:p w:rsidR="00FE0A3E" w:rsidRDefault="000A5B95">
      <w:pPr>
        <w:spacing w:line="360" w:lineRule="auto"/>
        <w:jc w:val="right"/>
      </w:pPr>
      <w:r>
        <w:rPr>
          <w:rFonts w:ascii="Times New Roman" w:hAnsi="Times New Roman" w:cs="Times New Roman"/>
        </w:rPr>
        <w:t>Três Passos, 22 de abril de 2024.</w:t>
      </w:r>
    </w:p>
    <w:p w:rsidR="00FE0A3E" w:rsidRDefault="00FE0A3E">
      <w:pPr>
        <w:spacing w:line="360" w:lineRule="auto"/>
        <w:jc w:val="both"/>
        <w:rPr>
          <w:rFonts w:ascii="Times New Roman" w:hAnsi="Times New Roman" w:cs="Times New Roman"/>
        </w:rPr>
      </w:pPr>
    </w:p>
    <w:p w:rsidR="00FE0A3E" w:rsidRDefault="00FE0A3E">
      <w:pPr>
        <w:spacing w:line="360" w:lineRule="auto"/>
        <w:jc w:val="both"/>
        <w:rPr>
          <w:rFonts w:ascii="Times New Roman" w:hAnsi="Times New Roman" w:cs="Times New Roman"/>
        </w:rPr>
      </w:pPr>
    </w:p>
    <w:p w:rsidR="00FE0A3E" w:rsidRDefault="000A5B95">
      <w:pPr>
        <w:spacing w:after="0" w:line="360" w:lineRule="auto"/>
        <w:jc w:val="center"/>
      </w:pPr>
      <w:proofErr w:type="spellStart"/>
      <w:r>
        <w:rPr>
          <w:rFonts w:ascii="Times New Roman" w:hAnsi="Times New Roman" w:cs="Times New Roman"/>
        </w:rPr>
        <w:t>Noici</w:t>
      </w:r>
      <w:proofErr w:type="spellEnd"/>
      <w:r>
        <w:rPr>
          <w:rFonts w:ascii="Times New Roman" w:hAnsi="Times New Roman" w:cs="Times New Roman"/>
        </w:rPr>
        <w:t xml:space="preserve"> </w:t>
      </w:r>
      <w:proofErr w:type="spellStart"/>
      <w:r>
        <w:rPr>
          <w:rFonts w:ascii="Times New Roman" w:hAnsi="Times New Roman" w:cs="Times New Roman"/>
        </w:rPr>
        <w:t>Pastorio</w:t>
      </w:r>
      <w:proofErr w:type="spellEnd"/>
    </w:p>
    <w:p w:rsidR="00FE0A3E" w:rsidRDefault="000A5B95">
      <w:pPr>
        <w:spacing w:after="0" w:line="360" w:lineRule="auto"/>
        <w:jc w:val="center"/>
      </w:pPr>
      <w:r>
        <w:rPr>
          <w:rFonts w:ascii="Times New Roman" w:hAnsi="Times New Roman" w:cs="Times New Roman"/>
        </w:rPr>
        <w:t>Secretária Municipal de Educação, Desporto e Cultura</w:t>
      </w:r>
    </w:p>
    <w:sectPr w:rsidR="00FE0A3E">
      <w:headerReference w:type="default" r:id="rId7"/>
      <w:pgSz w:w="11906" w:h="16838"/>
      <w:pgMar w:top="1417" w:right="1121" w:bottom="1417" w:left="915" w:header="708" w:footer="0"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3D5D" w:rsidRDefault="000A5B95">
      <w:pPr>
        <w:spacing w:after="0" w:line="240" w:lineRule="auto"/>
      </w:pPr>
      <w:r>
        <w:separator/>
      </w:r>
    </w:p>
  </w:endnote>
  <w:endnote w:type="continuationSeparator" w:id="0">
    <w:p w:rsidR="00903D5D" w:rsidRDefault="000A5B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3D5D" w:rsidRDefault="000A5B95">
      <w:pPr>
        <w:spacing w:after="0" w:line="240" w:lineRule="auto"/>
      </w:pPr>
      <w:r>
        <w:separator/>
      </w:r>
    </w:p>
  </w:footnote>
  <w:footnote w:type="continuationSeparator" w:id="0">
    <w:p w:rsidR="00903D5D" w:rsidRDefault="000A5B9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0A3E" w:rsidRDefault="000A5B95">
    <w:pPr>
      <w:jc w:val="center"/>
    </w:pPr>
    <w:r>
      <w:rPr>
        <w:noProof/>
        <w:lang w:eastAsia="pt-BR"/>
      </w:rPr>
      <w:drawing>
        <wp:inline distT="0" distB="0" distL="0" distR="0">
          <wp:extent cx="676275" cy="666750"/>
          <wp:effectExtent l="0" t="0" r="0" b="0"/>
          <wp:docPr id="1"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9"/>
                  <pic:cNvPicPr>
                    <a:picLocks noChangeAspect="1" noChangeArrowheads="1"/>
                  </pic:cNvPicPr>
                </pic:nvPicPr>
                <pic:blipFill>
                  <a:blip r:embed="rId1"/>
                  <a:srcRect l="-96" t="-97" r="-96" b="-97"/>
                  <a:stretch>
                    <a:fillRect/>
                  </a:stretch>
                </pic:blipFill>
                <pic:spPr bwMode="auto">
                  <a:xfrm>
                    <a:off x="0" y="0"/>
                    <a:ext cx="676275" cy="666750"/>
                  </a:xfrm>
                  <a:prstGeom prst="rect">
                    <a:avLst/>
                  </a:prstGeom>
                </pic:spPr>
              </pic:pic>
            </a:graphicData>
          </a:graphic>
        </wp:inline>
      </w:drawing>
    </w:r>
  </w:p>
  <w:p w:rsidR="00FE0A3E" w:rsidRDefault="000A5B95">
    <w:pPr>
      <w:pStyle w:val="Cabealho1"/>
      <w:jc w:val="center"/>
      <w:rPr>
        <w:b/>
        <w:bCs/>
      </w:rPr>
    </w:pPr>
    <w:r>
      <w:rPr>
        <w:b/>
        <w:bCs/>
      </w:rPr>
      <w:t>ESTADO DO RIO GRANDE DO SUL</w:t>
    </w:r>
  </w:p>
  <w:p w:rsidR="00FE0A3E" w:rsidRDefault="000A5B95">
    <w:pPr>
      <w:pStyle w:val="Cabealho1"/>
      <w:jc w:val="center"/>
      <w:rPr>
        <w:b/>
        <w:bCs/>
      </w:rPr>
    </w:pPr>
    <w:r>
      <w:rPr>
        <w:b/>
        <w:bCs/>
      </w:rPr>
      <w:t>MUNICÍPIO DE TRÊS PASSOS</w:t>
    </w:r>
  </w:p>
  <w:p w:rsidR="00FE0A3E" w:rsidRDefault="000A5B95">
    <w:pPr>
      <w:pStyle w:val="Cabealho1"/>
      <w:jc w:val="center"/>
      <w:rPr>
        <w:b/>
        <w:bCs/>
        <w:lang w:eastAsia="pt-BR"/>
      </w:rPr>
    </w:pPr>
    <w:r>
      <w:rPr>
        <w:b/>
        <w:bCs/>
        <w:lang w:eastAsia="pt-BR"/>
      </w:rPr>
      <w:t>PODER EXECUTIVO</w:t>
    </w:r>
  </w:p>
  <w:p w:rsidR="00FE0A3E" w:rsidRDefault="00FE0A3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35635D8"/>
    <w:multiLevelType w:val="multilevel"/>
    <w:tmpl w:val="B908D85C"/>
    <w:lvl w:ilvl="0">
      <w:start w:val="1"/>
      <w:numFmt w:val="decimal"/>
      <w:lvlText w:val="%1.0"/>
      <w:lvlJc w:val="left"/>
      <w:pPr>
        <w:tabs>
          <w:tab w:val="num" w:pos="0"/>
        </w:tabs>
        <w:ind w:left="360" w:hanging="360"/>
      </w:pPr>
    </w:lvl>
    <w:lvl w:ilvl="1">
      <w:start w:val="1"/>
      <w:numFmt w:val="decimal"/>
      <w:lvlText w:val="%1.%2"/>
      <w:lvlJc w:val="left"/>
      <w:pPr>
        <w:tabs>
          <w:tab w:val="num" w:pos="0"/>
        </w:tabs>
        <w:ind w:left="1068" w:hanging="360"/>
      </w:pPr>
    </w:lvl>
    <w:lvl w:ilvl="2">
      <w:start w:val="1"/>
      <w:numFmt w:val="decimal"/>
      <w:lvlText w:val="%1.%2.%3"/>
      <w:lvlJc w:val="left"/>
      <w:pPr>
        <w:tabs>
          <w:tab w:val="num" w:pos="0"/>
        </w:tabs>
        <w:ind w:left="2136" w:hanging="720"/>
      </w:pPr>
    </w:lvl>
    <w:lvl w:ilvl="3">
      <w:start w:val="1"/>
      <w:numFmt w:val="decimal"/>
      <w:lvlText w:val="%1.%2.%3.%4"/>
      <w:lvlJc w:val="left"/>
      <w:pPr>
        <w:tabs>
          <w:tab w:val="num" w:pos="0"/>
        </w:tabs>
        <w:ind w:left="2844" w:hanging="720"/>
      </w:pPr>
    </w:lvl>
    <w:lvl w:ilvl="4">
      <w:start w:val="1"/>
      <w:numFmt w:val="decimal"/>
      <w:lvlText w:val="%1.%2.%3.%4.%5"/>
      <w:lvlJc w:val="left"/>
      <w:pPr>
        <w:tabs>
          <w:tab w:val="num" w:pos="0"/>
        </w:tabs>
        <w:ind w:left="3912" w:hanging="1080"/>
      </w:pPr>
    </w:lvl>
    <w:lvl w:ilvl="5">
      <w:start w:val="1"/>
      <w:numFmt w:val="decimal"/>
      <w:lvlText w:val="%1.%2.%3.%4.%5.%6"/>
      <w:lvlJc w:val="left"/>
      <w:pPr>
        <w:tabs>
          <w:tab w:val="num" w:pos="0"/>
        </w:tabs>
        <w:ind w:left="4620" w:hanging="1080"/>
      </w:pPr>
    </w:lvl>
    <w:lvl w:ilvl="6">
      <w:start w:val="1"/>
      <w:numFmt w:val="decimal"/>
      <w:lvlText w:val="%1.%2.%3.%4.%5.%6.%7"/>
      <w:lvlJc w:val="left"/>
      <w:pPr>
        <w:tabs>
          <w:tab w:val="num" w:pos="0"/>
        </w:tabs>
        <w:ind w:left="5688" w:hanging="1440"/>
      </w:pPr>
    </w:lvl>
    <w:lvl w:ilvl="7">
      <w:start w:val="1"/>
      <w:numFmt w:val="decimal"/>
      <w:lvlText w:val="%1.%2.%3.%4.%5.%6.%7.%8"/>
      <w:lvlJc w:val="left"/>
      <w:pPr>
        <w:tabs>
          <w:tab w:val="num" w:pos="0"/>
        </w:tabs>
        <w:ind w:left="6396" w:hanging="1440"/>
      </w:pPr>
    </w:lvl>
    <w:lvl w:ilvl="8">
      <w:start w:val="1"/>
      <w:numFmt w:val="decimal"/>
      <w:lvlText w:val="%1.%2.%3.%4.%5.%6.%7.%8.%9"/>
      <w:lvlJc w:val="left"/>
      <w:pPr>
        <w:tabs>
          <w:tab w:val="num" w:pos="0"/>
        </w:tabs>
        <w:ind w:left="7104" w:hanging="1440"/>
      </w:pPr>
    </w:lvl>
  </w:abstractNum>
  <w:abstractNum w:abstractNumId="1" w15:restartNumberingAfterBreak="0">
    <w:nsid w:val="6F1420E8"/>
    <w:multiLevelType w:val="multilevel"/>
    <w:tmpl w:val="4CACC98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0A3E"/>
    <w:rsid w:val="000A5B95"/>
    <w:rsid w:val="00903D5D"/>
    <w:rsid w:val="00E77C6A"/>
    <w:rsid w:val="00FE0A3E"/>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A7D31A6-4612-4AEB-AC61-D8C5D254E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ahoma"/>
        <w:sz w:val="22"/>
        <w:szCs w:val="22"/>
        <w:lang w:val="pt-B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qFormat/>
    <w:rPr>
      <w:rFonts w:ascii="Segoe UI" w:hAnsi="Segoe UI" w:cs="Segoe UI"/>
      <w:sz w:val="18"/>
      <w:szCs w:val="18"/>
    </w:rPr>
  </w:style>
  <w:style w:type="character" w:customStyle="1" w:styleId="CabealhoChar">
    <w:name w:val="Cabeçalho Char"/>
    <w:basedOn w:val="Fontepargpadro"/>
    <w:qFormat/>
  </w:style>
  <w:style w:type="character" w:customStyle="1" w:styleId="RodapChar">
    <w:name w:val="Rodapé Char"/>
    <w:basedOn w:val="Fontepargpadro"/>
    <w:qFormat/>
  </w:style>
  <w:style w:type="character" w:customStyle="1" w:styleId="nfaseforte">
    <w:name w:val="Ênfase forte"/>
    <w:qFormat/>
    <w:rPr>
      <w:b/>
      <w:bCs/>
    </w:rPr>
  </w:style>
  <w:style w:type="character" w:customStyle="1" w:styleId="LinkdaInternet">
    <w:name w:val="Link da Internet"/>
    <w:rPr>
      <w:color w:val="000080"/>
      <w:u w:val="single"/>
    </w:rPr>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PargrafodaLista">
    <w:name w:val="List Paragraph"/>
    <w:basedOn w:val="Normal"/>
    <w:qFormat/>
    <w:pPr>
      <w:ind w:left="720"/>
      <w:contextualSpacing/>
    </w:pPr>
  </w:style>
  <w:style w:type="paragraph" w:styleId="SemEspaamento">
    <w:name w:val="No Spacing"/>
    <w:qFormat/>
    <w:rPr>
      <w:rFonts w:ascii="Times New Roman" w:eastAsia="Times New Roman" w:hAnsi="Times New Roman" w:cs="Times New Roman"/>
      <w:sz w:val="20"/>
      <w:szCs w:val="20"/>
      <w:lang w:eastAsia="zh-CN"/>
    </w:rPr>
  </w:style>
  <w:style w:type="paragraph" w:styleId="NormalWeb">
    <w:name w:val="Normal (Web)"/>
    <w:basedOn w:val="Normal"/>
    <w:qFormat/>
    <w:pPr>
      <w:spacing w:before="280" w:after="280" w:line="240" w:lineRule="auto"/>
    </w:pPr>
    <w:rPr>
      <w:rFonts w:ascii="Times New Roman" w:eastAsia="Times New Roman" w:hAnsi="Times New Roman" w:cs="Times New Roman"/>
      <w:sz w:val="24"/>
      <w:szCs w:val="24"/>
      <w:lang w:eastAsia="pt-BR"/>
    </w:rPr>
  </w:style>
  <w:style w:type="paragraph" w:styleId="Textodebalo">
    <w:name w:val="Balloon Text"/>
    <w:basedOn w:val="Normal"/>
    <w:qFormat/>
    <w:pPr>
      <w:spacing w:after="0" w:line="240" w:lineRule="auto"/>
    </w:pPr>
    <w:rPr>
      <w:rFonts w:ascii="Segoe UI" w:hAnsi="Segoe UI" w:cs="Segoe UI"/>
      <w:sz w:val="18"/>
      <w:szCs w:val="18"/>
    </w:rPr>
  </w:style>
  <w:style w:type="paragraph" w:customStyle="1" w:styleId="CabealhoeRodap">
    <w:name w:val="Cabeçalho e Rodapé"/>
    <w:basedOn w:val="Normal"/>
    <w:qFormat/>
  </w:style>
  <w:style w:type="paragraph" w:styleId="Cabealho">
    <w:name w:val="header"/>
    <w:basedOn w:val="Normal"/>
    <w:pPr>
      <w:tabs>
        <w:tab w:val="center" w:pos="4252"/>
        <w:tab w:val="right" w:pos="8504"/>
      </w:tabs>
      <w:spacing w:after="0" w:line="240" w:lineRule="auto"/>
    </w:pPr>
  </w:style>
  <w:style w:type="paragraph" w:styleId="Rodap">
    <w:name w:val="footer"/>
    <w:basedOn w:val="Normal"/>
    <w:pPr>
      <w:tabs>
        <w:tab w:val="center" w:pos="4252"/>
        <w:tab w:val="right" w:pos="8504"/>
      </w:tabs>
      <w:spacing w:after="0" w:line="240" w:lineRule="auto"/>
    </w:pPr>
  </w:style>
  <w:style w:type="paragraph" w:customStyle="1" w:styleId="Cabealho1">
    <w:name w:val="Cabeçalho1"/>
    <w:basedOn w:val="Normal"/>
    <w:qFormat/>
    <w:pPr>
      <w:tabs>
        <w:tab w:val="center" w:pos="4252"/>
        <w:tab w:val="right" w:pos="8504"/>
      </w:tabs>
      <w:spacing w:after="0" w:line="240" w:lineRule="auto"/>
      <w:textAlignment w:val="baseline"/>
    </w:pPr>
    <w:rPr>
      <w:rFonts w:ascii="Liberation Serif" w:eastAsia="NSimSun" w:hAnsi="Liberation Serif" w:cs="Mangal"/>
      <w:kern w:val="2"/>
      <w:sz w:val="24"/>
      <w:szCs w:val="21"/>
      <w:lang w:eastAsia="zh-CN" w:bidi="hi-IN"/>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378</TotalTime>
  <Pages>8</Pages>
  <Words>2582</Words>
  <Characters>13945</Characters>
  <Application>Microsoft Office Word</Application>
  <DocSecurity>0</DocSecurity>
  <Lines>116</Lines>
  <Paragraphs>32</Paragraphs>
  <ScaleCrop>false</ScaleCrop>
  <Company/>
  <LinksUpToDate>false</LinksUpToDate>
  <CharactersWithSpaces>16495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User</cp:lastModifiedBy>
  <cp:revision>28</cp:revision>
  <cp:lastPrinted>2024-04-22T16:02:00Z</cp:lastPrinted>
  <dcterms:created xsi:type="dcterms:W3CDTF">2023-12-28T12:15:00Z</dcterms:created>
  <dcterms:modified xsi:type="dcterms:W3CDTF">2024-08-06T18:50:00Z</dcterms:modified>
  <dc:language>pt-BR</dc:language>
</cp:coreProperties>
</file>