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56988" w:rsidRDefault="00B42C6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bookmarkStart w:id="0" w:name="_GoBack"/>
      <w:bookmarkEnd w:id="0"/>
      <w:r>
        <w:rPr>
          <w:b/>
          <w:sz w:val="24"/>
          <w:szCs w:val="24"/>
        </w:rPr>
        <w:t>ESTUDO TÉCNICO PRELIMINAR</w:t>
      </w:r>
    </w:p>
    <w:p w:rsidR="00756988" w:rsidRDefault="00B42C6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pPr>
      <w:r>
        <w:rPr>
          <w:b/>
          <w:bCs/>
          <w:sz w:val="24"/>
          <w:szCs w:val="24"/>
        </w:rPr>
        <w:t>PROCESSO ADMINISTRATIVO</w:t>
      </w:r>
    </w:p>
    <w:p w:rsidR="00756988" w:rsidRDefault="00B42C68">
      <w:pPr>
        <w:spacing w:line="360" w:lineRule="auto"/>
        <w:jc w:val="both"/>
        <w:rPr>
          <w:sz w:val="24"/>
          <w:szCs w:val="24"/>
        </w:rPr>
      </w:pPr>
      <w:r>
        <w:rPr>
          <w:sz w:val="24"/>
          <w:szCs w:val="24"/>
        </w:rPr>
        <w:t>Município de Três Passos</w:t>
      </w:r>
    </w:p>
    <w:p w:rsidR="00756988" w:rsidRDefault="00B42C68">
      <w:pPr>
        <w:spacing w:line="360" w:lineRule="auto"/>
        <w:jc w:val="both"/>
        <w:rPr>
          <w:sz w:val="24"/>
          <w:szCs w:val="24"/>
        </w:rPr>
      </w:pPr>
      <w:r>
        <w:rPr>
          <w:sz w:val="24"/>
          <w:szCs w:val="24"/>
        </w:rPr>
        <w:t>Secretaria Municipal de Meio Ambiente</w:t>
      </w:r>
    </w:p>
    <w:p w:rsidR="00756988" w:rsidRDefault="00B42C68">
      <w:pPr>
        <w:spacing w:line="360" w:lineRule="auto"/>
        <w:jc w:val="both"/>
        <w:rPr>
          <w:sz w:val="24"/>
          <w:szCs w:val="24"/>
        </w:rPr>
      </w:pPr>
      <w:r>
        <w:rPr>
          <w:sz w:val="24"/>
          <w:szCs w:val="24"/>
        </w:rPr>
        <w:t xml:space="preserve">Necessidade da Administração: Aquisição de </w:t>
      </w:r>
      <w:r>
        <w:rPr>
          <w:sz w:val="24"/>
          <w:szCs w:val="24"/>
        </w:rPr>
        <w:t xml:space="preserve">bomba 4”, submersa, com no mínimo 38 estágios, 4,0 HP, 380V, 60 HZ, trifásica, 3450 RPM. Bomba </w:t>
      </w:r>
      <w:r>
        <w:rPr>
          <w:sz w:val="24"/>
          <w:szCs w:val="24"/>
        </w:rPr>
        <w:t xml:space="preserve">submersa para aplicação em poço tubular a partir de 4”, com diâmetro de 95mm, de fabricação nacional, com motor rebobinável projetado para trabalhar submerso (tipo molhado), refrigerado a água, com </w:t>
      </w:r>
      <w:proofErr w:type="spellStart"/>
      <w:r>
        <w:rPr>
          <w:sz w:val="24"/>
          <w:szCs w:val="24"/>
        </w:rPr>
        <w:t>estator</w:t>
      </w:r>
      <w:proofErr w:type="spellEnd"/>
      <w:r>
        <w:rPr>
          <w:sz w:val="24"/>
          <w:szCs w:val="24"/>
        </w:rPr>
        <w:t xml:space="preserve"> induzido, fabricado em aço silício e mancais do mo</w:t>
      </w:r>
      <w:r>
        <w:rPr>
          <w:sz w:val="24"/>
          <w:szCs w:val="24"/>
        </w:rPr>
        <w:t xml:space="preserve">tor do tipo radial deslizante, com buchas de grafite. Bombeador do tipo </w:t>
      </w:r>
      <w:proofErr w:type="spellStart"/>
      <w:r>
        <w:rPr>
          <w:sz w:val="24"/>
          <w:szCs w:val="24"/>
        </w:rPr>
        <w:t>multiestágios</w:t>
      </w:r>
      <w:proofErr w:type="spellEnd"/>
      <w:r>
        <w:rPr>
          <w:sz w:val="24"/>
          <w:szCs w:val="24"/>
        </w:rPr>
        <w:t xml:space="preserve">, de fluxo único, com rotor em aço silício. Com quadro de comando específico para este tipo de bomba. Com desempenho de referência das marcas </w:t>
      </w:r>
      <w:proofErr w:type="spellStart"/>
      <w:r>
        <w:rPr>
          <w:sz w:val="24"/>
          <w:szCs w:val="24"/>
        </w:rPr>
        <w:t>Vanbro</w:t>
      </w:r>
      <w:proofErr w:type="spellEnd"/>
      <w:r>
        <w:rPr>
          <w:sz w:val="24"/>
          <w:szCs w:val="24"/>
        </w:rPr>
        <w:t>, Leão ou de melhor qua</w:t>
      </w:r>
      <w:r>
        <w:rPr>
          <w:sz w:val="24"/>
          <w:szCs w:val="24"/>
        </w:rPr>
        <w:t>lidade, para instalação do sistema no novo viveiro municipal</w:t>
      </w:r>
      <w:r>
        <w:rPr>
          <w:sz w:val="24"/>
          <w:szCs w:val="24"/>
        </w:rPr>
        <w:t>.</w:t>
      </w:r>
    </w:p>
    <w:p w:rsidR="00756988" w:rsidRDefault="00756988">
      <w:pPr>
        <w:spacing w:line="360" w:lineRule="auto"/>
        <w:jc w:val="both"/>
        <w:rPr>
          <w:sz w:val="24"/>
          <w:szCs w:val="24"/>
        </w:rPr>
      </w:pPr>
    </w:p>
    <w:p w:rsidR="00756988" w:rsidRDefault="00B42C68">
      <w:pPr>
        <w:spacing w:line="360" w:lineRule="auto"/>
        <w:jc w:val="center"/>
        <w:rPr>
          <w:b/>
          <w:bCs/>
          <w:sz w:val="24"/>
          <w:szCs w:val="24"/>
        </w:rPr>
      </w:pPr>
      <w:r>
        <w:rPr>
          <w:b/>
          <w:bCs/>
          <w:sz w:val="24"/>
          <w:szCs w:val="24"/>
        </w:rPr>
        <w:t>1. DESCRIÇÃO DA NECESSIDADE</w:t>
      </w:r>
    </w:p>
    <w:p w:rsidR="00756988" w:rsidRDefault="00B42C68">
      <w:pPr>
        <w:spacing w:line="360" w:lineRule="auto"/>
        <w:jc w:val="both"/>
        <w:rPr>
          <w:sz w:val="24"/>
          <w:szCs w:val="24"/>
        </w:rPr>
      </w:pPr>
      <w:r>
        <w:rPr>
          <w:sz w:val="24"/>
          <w:szCs w:val="24"/>
        </w:rPr>
        <w:tab/>
        <w:t>O objeto da presente licitação é a aquisição de bomba 4”, submersa, com no mínimo 38 estágios, 4,0 HP, 380V, 60 HZ, trifásica, 3450 RPM, com seu respectivo quadro d</w:t>
      </w:r>
      <w:r>
        <w:rPr>
          <w:sz w:val="24"/>
          <w:szCs w:val="24"/>
        </w:rPr>
        <w:t>e comando</w:t>
      </w:r>
      <w:r>
        <w:rPr>
          <w:sz w:val="24"/>
          <w:szCs w:val="24"/>
        </w:rPr>
        <w:t xml:space="preserve">. A instalação de uma bomba submersa desempenha um relevante papel em um viveiro municipal, oferecendo uma série de benefícios consideráveis para a operação e manutenção do espaço. Ela assegura um fornecimento constante e confiável de água, o que </w:t>
      </w:r>
      <w:r>
        <w:rPr>
          <w:sz w:val="24"/>
          <w:szCs w:val="24"/>
        </w:rPr>
        <w:t>é essencial para a irrigação eficiente das plantas e árvores. Com a capacidade de fornecer água em grandes volumes e com alta pressão, a bomba ajuda a garantir que toda a área do viveiro receba a quantidade adequada de água, promovendo o crescimento saudáv</w:t>
      </w:r>
      <w:r>
        <w:rPr>
          <w:sz w:val="24"/>
          <w:szCs w:val="24"/>
        </w:rPr>
        <w:t>el das plantas.</w:t>
      </w:r>
    </w:p>
    <w:p w:rsidR="00756988" w:rsidRDefault="00B42C68">
      <w:pPr>
        <w:pStyle w:val="Corpodetexto"/>
        <w:spacing w:line="360" w:lineRule="auto"/>
        <w:rPr>
          <w:rFonts w:ascii="Arial" w:hAnsi="Arial"/>
          <w:sz w:val="24"/>
          <w:szCs w:val="24"/>
        </w:rPr>
      </w:pPr>
      <w:r>
        <w:rPr>
          <w:rFonts w:ascii="Arial" w:hAnsi="Arial"/>
          <w:sz w:val="24"/>
          <w:szCs w:val="24"/>
        </w:rPr>
        <w:tab/>
        <w:t>Além disso, a bomba submersa facilita o gerenciamento eficiente dos recursos hídricos. Em um viveiro, onde a demanda por água pode ser alta, uma bomba eficaz permite o uso mais racional da água, reduzindo desperdícios e economizando custos</w:t>
      </w:r>
      <w:r>
        <w:rPr>
          <w:rFonts w:ascii="Arial" w:hAnsi="Arial"/>
          <w:sz w:val="24"/>
          <w:szCs w:val="24"/>
        </w:rPr>
        <w:t xml:space="preserve">. Ela também é capaz de extrair água de poços profundos ou fontes subterrâneas, assegurando o abastecimento contínuo, especialmente em áreas onde a água </w:t>
      </w:r>
      <w:r>
        <w:rPr>
          <w:rFonts w:ascii="Arial" w:hAnsi="Arial"/>
          <w:sz w:val="24"/>
          <w:szCs w:val="24"/>
        </w:rPr>
        <w:lastRenderedPageBreak/>
        <w:t>superficial é limitada.</w:t>
      </w:r>
    </w:p>
    <w:p w:rsidR="00756988" w:rsidRDefault="00B42C68">
      <w:pPr>
        <w:pStyle w:val="Corpodetexto"/>
        <w:spacing w:line="360" w:lineRule="auto"/>
        <w:rPr>
          <w:rFonts w:ascii="Arial" w:hAnsi="Arial"/>
          <w:sz w:val="24"/>
          <w:szCs w:val="24"/>
        </w:rPr>
      </w:pPr>
      <w:r>
        <w:rPr>
          <w:rFonts w:ascii="Arial" w:hAnsi="Arial"/>
          <w:sz w:val="24"/>
          <w:szCs w:val="24"/>
        </w:rPr>
        <w:tab/>
        <w:t>A instalação e manutenção da bomba submersa são mais simples em comparação com</w:t>
      </w:r>
      <w:r>
        <w:rPr>
          <w:rFonts w:ascii="Arial" w:hAnsi="Arial"/>
          <w:sz w:val="24"/>
          <w:szCs w:val="24"/>
        </w:rPr>
        <w:t xml:space="preserve"> outros tipos de bombas, pois ela opera submersa na água, o que reduz a necessidade de estruturas de suporte complexas e diminui o risco de danos ao equipamento devido às condições ambientais adversas. A menor exposição ao ambiente externo contribui para u</w:t>
      </w:r>
      <w:r>
        <w:rPr>
          <w:rFonts w:ascii="Arial" w:hAnsi="Arial"/>
          <w:sz w:val="24"/>
          <w:szCs w:val="24"/>
        </w:rPr>
        <w:t>ma maior durabilidade e menor necessidade de manutenção.</w:t>
      </w:r>
    </w:p>
    <w:p w:rsidR="00756988" w:rsidRDefault="00B42C68">
      <w:pPr>
        <w:pStyle w:val="Corpodetexto"/>
        <w:spacing w:line="360" w:lineRule="auto"/>
        <w:rPr>
          <w:rFonts w:ascii="Arial" w:hAnsi="Arial"/>
          <w:sz w:val="24"/>
          <w:szCs w:val="24"/>
        </w:rPr>
      </w:pPr>
      <w:r>
        <w:rPr>
          <w:rFonts w:ascii="Arial" w:hAnsi="Arial"/>
          <w:sz w:val="24"/>
          <w:szCs w:val="24"/>
        </w:rPr>
        <w:tab/>
        <w:t>A bomba submersa é também adaptável a diferentes condições e necessidades dentro do viveiro. Ela pode ser utilizada para diversas finalidades, como irrigação de canteiros e fornecimento de água para</w:t>
      </w:r>
      <w:r>
        <w:rPr>
          <w:rFonts w:ascii="Arial" w:hAnsi="Arial"/>
          <w:sz w:val="24"/>
          <w:szCs w:val="24"/>
        </w:rPr>
        <w:t xml:space="preserve"> estufas. Sua capacidade de operar em diferentes profundidades e condições de água oferece flexibilidade na gestão dos recursos hídricos.</w:t>
      </w:r>
    </w:p>
    <w:p w:rsidR="00756988" w:rsidRDefault="00B42C68">
      <w:pPr>
        <w:pStyle w:val="Corpodetexto"/>
        <w:spacing w:line="360" w:lineRule="auto"/>
        <w:rPr>
          <w:rFonts w:ascii="Arial" w:hAnsi="Arial"/>
          <w:sz w:val="24"/>
          <w:szCs w:val="24"/>
        </w:rPr>
      </w:pPr>
      <w:r>
        <w:rPr>
          <w:rFonts w:ascii="Arial" w:hAnsi="Arial"/>
          <w:sz w:val="24"/>
          <w:szCs w:val="24"/>
        </w:rPr>
        <w:tab/>
        <w:t>Em termos de eficiência energética e custo, a bomba submersa, especialmente os modelos trifásicos, são geralmente mai</w:t>
      </w:r>
      <w:r>
        <w:rPr>
          <w:rFonts w:ascii="Arial" w:hAnsi="Arial"/>
          <w:sz w:val="24"/>
          <w:szCs w:val="24"/>
        </w:rPr>
        <w:t xml:space="preserve">s econômicas para aplicações de alta potência, resultando em menores custos operacionais ao longo do tempo. A eficiência energética e a durabilidade do equipamento ajudam a reduzir os custos relacionados </w:t>
      </w:r>
      <w:proofErr w:type="spellStart"/>
      <w:r>
        <w:rPr>
          <w:rFonts w:ascii="Arial" w:hAnsi="Arial"/>
          <w:sz w:val="24"/>
          <w:szCs w:val="24"/>
        </w:rPr>
        <w:t>a</w:t>
      </w:r>
      <w:proofErr w:type="spellEnd"/>
      <w:r>
        <w:rPr>
          <w:rFonts w:ascii="Arial" w:hAnsi="Arial"/>
          <w:sz w:val="24"/>
          <w:szCs w:val="24"/>
        </w:rPr>
        <w:t xml:space="preserve"> energia e manutenção, beneficiando o orçamento do </w:t>
      </w:r>
      <w:r>
        <w:rPr>
          <w:rFonts w:ascii="Arial" w:hAnsi="Arial"/>
          <w:sz w:val="24"/>
          <w:szCs w:val="24"/>
        </w:rPr>
        <w:t>viveiro.</w:t>
      </w:r>
    </w:p>
    <w:p w:rsidR="00756988" w:rsidRDefault="00B42C68">
      <w:pPr>
        <w:spacing w:line="360" w:lineRule="auto"/>
        <w:jc w:val="both"/>
        <w:rPr>
          <w:sz w:val="24"/>
          <w:szCs w:val="24"/>
        </w:rPr>
      </w:pPr>
      <w:r>
        <w:rPr>
          <w:sz w:val="24"/>
          <w:szCs w:val="24"/>
        </w:rPr>
        <w:tab/>
        <w:t>Por fim, a bomba submersa contribui para a preservação ambiental, permitindo um uso mais controlado e sustentável dos recursos hídricos. Além disso, um fornecimento adequado de água é fundamental para evitar problemas como estresse hídrico e cres</w:t>
      </w:r>
      <w:r>
        <w:rPr>
          <w:sz w:val="24"/>
          <w:szCs w:val="24"/>
        </w:rPr>
        <w:t>cimento irregular das plantas, assegurando a produção de plantas de alta qualidade e o sucesso das operações do viveiro.</w:t>
      </w:r>
    </w:p>
    <w:p w:rsidR="00756988" w:rsidRDefault="00756988">
      <w:pPr>
        <w:spacing w:line="360" w:lineRule="auto"/>
        <w:jc w:val="both"/>
        <w:rPr>
          <w:sz w:val="24"/>
          <w:szCs w:val="24"/>
        </w:rPr>
      </w:pPr>
    </w:p>
    <w:p w:rsidR="00756988" w:rsidRDefault="00B42C68">
      <w:pPr>
        <w:spacing w:line="360" w:lineRule="auto"/>
        <w:jc w:val="center"/>
        <w:rPr>
          <w:b/>
          <w:bCs/>
          <w:sz w:val="24"/>
          <w:szCs w:val="24"/>
        </w:rPr>
      </w:pPr>
      <w:r>
        <w:rPr>
          <w:b/>
          <w:bCs/>
          <w:sz w:val="24"/>
          <w:szCs w:val="24"/>
        </w:rPr>
        <w:t>2. ALINHAMENTO ENTRE A CONTRATAÇÃO E O PLANEJAMENTO</w:t>
      </w:r>
    </w:p>
    <w:p w:rsidR="00756988" w:rsidRDefault="00B42C68">
      <w:pPr>
        <w:spacing w:line="360" w:lineRule="auto"/>
        <w:jc w:val="both"/>
        <w:rPr>
          <w:sz w:val="24"/>
          <w:szCs w:val="24"/>
        </w:rPr>
      </w:pPr>
      <w:r>
        <w:rPr>
          <w:sz w:val="24"/>
          <w:szCs w:val="24"/>
        </w:rPr>
        <w:tab/>
      </w:r>
      <w:r>
        <w:rPr>
          <w:sz w:val="24"/>
          <w:szCs w:val="24"/>
        </w:rPr>
        <w:t>A contratação pretendida está prevista na Lei de Diretrizes Orçamentárias (LDO) d</w:t>
      </w:r>
      <w:r>
        <w:rPr>
          <w:sz w:val="24"/>
          <w:szCs w:val="24"/>
        </w:rPr>
        <w:t>e 2024, estando assim alinhada com o planejamento desta Administração</w:t>
      </w:r>
      <w:r>
        <w:rPr>
          <w:sz w:val="24"/>
          <w:szCs w:val="24"/>
        </w:rPr>
        <w:t>.</w:t>
      </w:r>
    </w:p>
    <w:p w:rsidR="00756988" w:rsidRDefault="00756988">
      <w:pPr>
        <w:spacing w:line="360" w:lineRule="auto"/>
        <w:jc w:val="both"/>
        <w:rPr>
          <w:sz w:val="24"/>
          <w:szCs w:val="24"/>
        </w:rPr>
      </w:pPr>
    </w:p>
    <w:p w:rsidR="00756988" w:rsidRDefault="00B42C68">
      <w:pPr>
        <w:spacing w:line="360" w:lineRule="auto"/>
        <w:jc w:val="center"/>
        <w:rPr>
          <w:b/>
          <w:bCs/>
          <w:sz w:val="24"/>
          <w:szCs w:val="24"/>
        </w:rPr>
      </w:pPr>
      <w:r>
        <w:rPr>
          <w:b/>
          <w:bCs/>
          <w:sz w:val="24"/>
          <w:szCs w:val="24"/>
        </w:rPr>
        <w:t>3. DESCRIÇÃO DOS REQUISITOS DA CONTRATAÇÃO</w:t>
      </w:r>
    </w:p>
    <w:p w:rsidR="00756988" w:rsidRDefault="00B42C68">
      <w:pPr>
        <w:spacing w:line="360" w:lineRule="auto"/>
        <w:jc w:val="both"/>
        <w:rPr>
          <w:sz w:val="24"/>
          <w:szCs w:val="24"/>
        </w:rPr>
      </w:pPr>
      <w:r>
        <w:rPr>
          <w:sz w:val="24"/>
          <w:szCs w:val="24"/>
        </w:rPr>
        <w:tab/>
        <w:t>O</w:t>
      </w:r>
      <w:r>
        <w:rPr>
          <w:sz w:val="24"/>
          <w:szCs w:val="24"/>
        </w:rPr>
        <w:t xml:space="preserve"> item do objeto licitatório</w:t>
      </w:r>
      <w:r>
        <w:rPr>
          <w:sz w:val="24"/>
          <w:szCs w:val="24"/>
        </w:rPr>
        <w:t xml:space="preserve"> deverá ser entregue no Parque de Máquinas da Prefeitura Municipal de Três Passos, situado na Avenida Ijuí, nº 1</w:t>
      </w:r>
      <w:r>
        <w:rPr>
          <w:sz w:val="24"/>
          <w:szCs w:val="24"/>
        </w:rPr>
        <w:t xml:space="preserve">800, Bairro Pindorama, </w:t>
      </w:r>
      <w:r>
        <w:rPr>
          <w:sz w:val="24"/>
          <w:szCs w:val="24"/>
        </w:rPr>
        <w:lastRenderedPageBreak/>
        <w:t xml:space="preserve">próximo ao trevo de acesso à cidade, no prazo de 10 (dez) dias, de acordo com a descrição dos produtos e com a apresentação do produto e a entrega técnica, tendo em vista que o não atendimento dos </w:t>
      </w:r>
      <w:r>
        <w:rPr>
          <w:color w:val="000000"/>
          <w:sz w:val="24"/>
          <w:szCs w:val="24"/>
        </w:rPr>
        <w:t>padrões técnicos e de desempenho e q</w:t>
      </w:r>
      <w:r>
        <w:rPr>
          <w:color w:val="000000"/>
          <w:sz w:val="24"/>
          <w:szCs w:val="24"/>
        </w:rPr>
        <w:t>ualidade irá resultar na aplicação das penalidades de acordo com a legislação vigente</w:t>
      </w:r>
      <w:r>
        <w:rPr>
          <w:sz w:val="24"/>
          <w:szCs w:val="24"/>
        </w:rPr>
        <w:t xml:space="preserve"> da Lei Federal nº 14.133/2021.</w:t>
      </w:r>
    </w:p>
    <w:p w:rsidR="00756988" w:rsidRDefault="00B42C68">
      <w:pPr>
        <w:spacing w:line="360" w:lineRule="auto"/>
        <w:jc w:val="both"/>
        <w:rPr>
          <w:sz w:val="24"/>
          <w:szCs w:val="24"/>
        </w:rPr>
      </w:pPr>
      <w:r>
        <w:rPr>
          <w:sz w:val="24"/>
          <w:szCs w:val="24"/>
        </w:rPr>
        <w:tab/>
        <w:t>A contratação será realizada por meio de licitação, na modalidade Pregão, na sua forma eletrônica, com critério de julgamento por menor pr</w:t>
      </w:r>
      <w:r>
        <w:rPr>
          <w:sz w:val="24"/>
          <w:szCs w:val="24"/>
        </w:rPr>
        <w:t>eço, nos termos dos artigos 6º, inciso XLI, 17, § 2º, e 34, todos da Lei Federal nº 14.133/2021.</w:t>
      </w:r>
    </w:p>
    <w:p w:rsidR="00756988" w:rsidRDefault="00B42C68">
      <w:pPr>
        <w:spacing w:line="360" w:lineRule="auto"/>
        <w:jc w:val="both"/>
        <w:rPr>
          <w:sz w:val="24"/>
          <w:szCs w:val="24"/>
        </w:rPr>
      </w:pPr>
      <w:r>
        <w:rPr>
          <w:sz w:val="24"/>
          <w:szCs w:val="24"/>
        </w:rPr>
        <w:tab/>
        <w:t>Para fornecimento dos produtos pretendidos os eventuais interessados deverão comprovar que atuam em ramo de atividade compatível com o objeto da licitação, be</w:t>
      </w:r>
      <w:r>
        <w:rPr>
          <w:sz w:val="24"/>
          <w:szCs w:val="24"/>
        </w:rPr>
        <w:t>m como apresentar os documentos a título habilitação, nos termos do art. 62 e 66, da Lei nº 14.133/2021.</w:t>
      </w:r>
    </w:p>
    <w:p w:rsidR="00756988" w:rsidRDefault="00B42C68">
      <w:pPr>
        <w:spacing w:line="360" w:lineRule="auto"/>
        <w:jc w:val="center"/>
        <w:rPr>
          <w:b/>
          <w:bCs/>
          <w:sz w:val="24"/>
          <w:szCs w:val="24"/>
        </w:rPr>
      </w:pPr>
      <w:r>
        <w:rPr>
          <w:b/>
          <w:bCs/>
          <w:sz w:val="24"/>
          <w:szCs w:val="24"/>
        </w:rPr>
        <w:t>4. ESTIMATIVA DAS QUANTIDADES</w:t>
      </w:r>
    </w:p>
    <w:p w:rsidR="00756988" w:rsidRDefault="00B42C68">
      <w:pPr>
        <w:spacing w:line="360" w:lineRule="auto"/>
        <w:jc w:val="both"/>
        <w:rPr>
          <w:sz w:val="24"/>
          <w:szCs w:val="24"/>
        </w:rPr>
      </w:pPr>
      <w:r>
        <w:rPr>
          <w:sz w:val="24"/>
          <w:szCs w:val="24"/>
        </w:rPr>
        <w:tab/>
        <w:t>Os quantitativos estimados para a contratação pretendida têm como parâmetro a necessidade do objeto, ou seja, a aquisiçã</w:t>
      </w:r>
      <w:r>
        <w:rPr>
          <w:sz w:val="24"/>
          <w:szCs w:val="24"/>
        </w:rPr>
        <w:t>o d</w:t>
      </w:r>
      <w:r>
        <w:rPr>
          <w:sz w:val="24"/>
          <w:szCs w:val="24"/>
        </w:rPr>
        <w:t>e uma bomba 4”, submersa, com no mínimo 38 estágios, 4,0 HP, 380V, 60 HZ, trifásica, 3450 RPM, com quadro de comando específico para este tipo de bomba, para instalação do sistema no novo viveiro municipal</w:t>
      </w:r>
      <w:r>
        <w:rPr>
          <w:sz w:val="24"/>
          <w:szCs w:val="24"/>
        </w:rPr>
        <w:t>. Neste sentido, segue memória de cálculo:</w:t>
      </w:r>
    </w:p>
    <w:tbl>
      <w:tblPr>
        <w:tblStyle w:val="Tabelacomgrade"/>
        <w:tblW w:w="11416" w:type="dxa"/>
        <w:jc w:val="center"/>
        <w:tblLayout w:type="fixed"/>
        <w:tblLook w:val="04A0" w:firstRow="1" w:lastRow="0" w:firstColumn="1" w:lastColumn="0" w:noHBand="0" w:noVBand="1"/>
      </w:tblPr>
      <w:tblGrid>
        <w:gridCol w:w="796"/>
        <w:gridCol w:w="2041"/>
        <w:gridCol w:w="735"/>
        <w:gridCol w:w="1650"/>
        <w:gridCol w:w="1589"/>
        <w:gridCol w:w="1428"/>
        <w:gridCol w:w="1710"/>
        <w:gridCol w:w="1467"/>
      </w:tblGrid>
      <w:tr w:rsidR="00756988">
        <w:trPr>
          <w:jc w:val="center"/>
        </w:trPr>
        <w:tc>
          <w:tcPr>
            <w:tcW w:w="795" w:type="dxa"/>
          </w:tcPr>
          <w:p w:rsidR="00756988" w:rsidRDefault="00B42C68">
            <w:pPr>
              <w:widowControl w:val="0"/>
              <w:spacing w:line="360" w:lineRule="auto"/>
              <w:jc w:val="center"/>
              <w:rPr>
                <w:b/>
                <w:bCs/>
                <w:sz w:val="21"/>
                <w:szCs w:val="21"/>
              </w:rPr>
            </w:pPr>
            <w:r>
              <w:rPr>
                <w:b/>
                <w:bCs/>
                <w:sz w:val="21"/>
                <w:szCs w:val="21"/>
              </w:rPr>
              <w:t>ITEM</w:t>
            </w:r>
          </w:p>
        </w:tc>
        <w:tc>
          <w:tcPr>
            <w:tcW w:w="2040" w:type="dxa"/>
          </w:tcPr>
          <w:p w:rsidR="00756988" w:rsidRDefault="00B42C68">
            <w:pPr>
              <w:widowControl w:val="0"/>
              <w:spacing w:line="360" w:lineRule="auto"/>
              <w:jc w:val="center"/>
              <w:rPr>
                <w:b/>
                <w:bCs/>
                <w:sz w:val="21"/>
                <w:szCs w:val="21"/>
              </w:rPr>
            </w:pPr>
            <w:r>
              <w:rPr>
                <w:b/>
                <w:bCs/>
                <w:sz w:val="21"/>
                <w:szCs w:val="21"/>
              </w:rPr>
              <w:t>OBJETO</w:t>
            </w:r>
          </w:p>
        </w:tc>
        <w:tc>
          <w:tcPr>
            <w:tcW w:w="735" w:type="dxa"/>
          </w:tcPr>
          <w:p w:rsidR="00756988" w:rsidRDefault="00B42C68">
            <w:pPr>
              <w:widowControl w:val="0"/>
              <w:spacing w:line="360" w:lineRule="auto"/>
              <w:jc w:val="center"/>
              <w:rPr>
                <w:b/>
                <w:bCs/>
                <w:sz w:val="21"/>
                <w:szCs w:val="21"/>
              </w:rPr>
            </w:pPr>
            <w:r>
              <w:rPr>
                <w:b/>
                <w:bCs/>
                <w:sz w:val="21"/>
                <w:szCs w:val="21"/>
              </w:rPr>
              <w:t>Q</w:t>
            </w:r>
            <w:r>
              <w:rPr>
                <w:b/>
                <w:bCs/>
                <w:sz w:val="21"/>
                <w:szCs w:val="21"/>
              </w:rPr>
              <w:t>TD</w:t>
            </w:r>
          </w:p>
        </w:tc>
        <w:tc>
          <w:tcPr>
            <w:tcW w:w="1650" w:type="dxa"/>
            <w:tcBorders>
              <w:right w:val="nil"/>
            </w:tcBorders>
          </w:tcPr>
          <w:p w:rsidR="00756988" w:rsidRDefault="00B42C68">
            <w:pPr>
              <w:widowControl w:val="0"/>
              <w:spacing w:line="360" w:lineRule="auto"/>
              <w:jc w:val="center"/>
              <w:rPr>
                <w:b/>
                <w:bCs/>
                <w:sz w:val="21"/>
                <w:szCs w:val="21"/>
              </w:rPr>
            </w:pPr>
            <w:r>
              <w:rPr>
                <w:b/>
                <w:bCs/>
                <w:sz w:val="21"/>
                <w:szCs w:val="21"/>
              </w:rPr>
              <w:t>ORÇ.1</w:t>
            </w:r>
          </w:p>
        </w:tc>
        <w:tc>
          <w:tcPr>
            <w:tcW w:w="1589" w:type="dxa"/>
            <w:tcBorders>
              <w:right w:val="nil"/>
            </w:tcBorders>
          </w:tcPr>
          <w:p w:rsidR="00756988" w:rsidRDefault="00B42C68">
            <w:pPr>
              <w:widowControl w:val="0"/>
              <w:spacing w:line="360" w:lineRule="auto"/>
              <w:jc w:val="center"/>
              <w:rPr>
                <w:b/>
                <w:bCs/>
                <w:sz w:val="21"/>
                <w:szCs w:val="21"/>
              </w:rPr>
            </w:pPr>
            <w:r>
              <w:rPr>
                <w:b/>
                <w:bCs/>
                <w:sz w:val="21"/>
                <w:szCs w:val="21"/>
              </w:rPr>
              <w:t>ORÇ.2</w:t>
            </w:r>
          </w:p>
        </w:tc>
        <w:tc>
          <w:tcPr>
            <w:tcW w:w="1428" w:type="dxa"/>
            <w:tcBorders>
              <w:right w:val="nil"/>
            </w:tcBorders>
          </w:tcPr>
          <w:p w:rsidR="00756988" w:rsidRDefault="00B42C68">
            <w:pPr>
              <w:widowControl w:val="0"/>
              <w:spacing w:line="360" w:lineRule="auto"/>
              <w:jc w:val="center"/>
              <w:rPr>
                <w:b/>
                <w:bCs/>
                <w:sz w:val="21"/>
                <w:szCs w:val="21"/>
              </w:rPr>
            </w:pPr>
            <w:r>
              <w:rPr>
                <w:b/>
                <w:bCs/>
                <w:sz w:val="21"/>
                <w:szCs w:val="21"/>
              </w:rPr>
              <w:t>ORÇ.3</w:t>
            </w:r>
          </w:p>
        </w:tc>
        <w:tc>
          <w:tcPr>
            <w:tcW w:w="1710" w:type="dxa"/>
            <w:tcBorders>
              <w:right w:val="nil"/>
            </w:tcBorders>
          </w:tcPr>
          <w:p w:rsidR="00756988" w:rsidRDefault="00B42C68">
            <w:pPr>
              <w:widowControl w:val="0"/>
              <w:spacing w:line="360" w:lineRule="auto"/>
              <w:jc w:val="center"/>
              <w:rPr>
                <w:b/>
                <w:bCs/>
                <w:sz w:val="21"/>
                <w:szCs w:val="21"/>
              </w:rPr>
            </w:pPr>
            <w:r>
              <w:rPr>
                <w:b/>
                <w:bCs/>
                <w:sz w:val="21"/>
                <w:szCs w:val="21"/>
              </w:rPr>
              <w:t xml:space="preserve">VALOR </w:t>
            </w:r>
            <w:r>
              <w:rPr>
                <w:b/>
                <w:bCs/>
                <w:sz w:val="21"/>
                <w:szCs w:val="21"/>
              </w:rPr>
              <w:t>REFERÊNCIA</w:t>
            </w:r>
          </w:p>
        </w:tc>
        <w:tc>
          <w:tcPr>
            <w:tcW w:w="1467" w:type="dxa"/>
          </w:tcPr>
          <w:p w:rsidR="00756988" w:rsidRDefault="00B42C68">
            <w:pPr>
              <w:widowControl w:val="0"/>
              <w:spacing w:line="360" w:lineRule="auto"/>
              <w:jc w:val="center"/>
              <w:rPr>
                <w:b/>
                <w:bCs/>
                <w:sz w:val="21"/>
                <w:szCs w:val="21"/>
              </w:rPr>
            </w:pPr>
            <w:r>
              <w:rPr>
                <w:b/>
                <w:bCs/>
                <w:sz w:val="21"/>
                <w:szCs w:val="21"/>
              </w:rPr>
              <w:t>VALOR TOTAL</w:t>
            </w:r>
          </w:p>
        </w:tc>
      </w:tr>
      <w:tr w:rsidR="00756988">
        <w:trPr>
          <w:trHeight w:val="1557"/>
          <w:jc w:val="center"/>
        </w:trPr>
        <w:tc>
          <w:tcPr>
            <w:tcW w:w="795" w:type="dxa"/>
            <w:vAlign w:val="center"/>
          </w:tcPr>
          <w:p w:rsidR="00756988" w:rsidRDefault="00B42C68">
            <w:pPr>
              <w:pStyle w:val="SemEspaamento"/>
              <w:widowControl w:val="0"/>
              <w:spacing w:line="360" w:lineRule="auto"/>
              <w:jc w:val="center"/>
              <w:rPr>
                <w:rFonts w:ascii="Arial" w:hAnsi="Arial"/>
                <w:color w:val="000000"/>
                <w:sz w:val="21"/>
                <w:szCs w:val="21"/>
              </w:rPr>
            </w:pPr>
            <w:r>
              <w:rPr>
                <w:rFonts w:ascii="Arial" w:hAnsi="Arial"/>
                <w:color w:val="000000"/>
                <w:sz w:val="21"/>
                <w:szCs w:val="21"/>
              </w:rPr>
              <w:t>01</w:t>
            </w:r>
          </w:p>
        </w:tc>
        <w:tc>
          <w:tcPr>
            <w:tcW w:w="2040" w:type="dxa"/>
          </w:tcPr>
          <w:p w:rsidR="00756988" w:rsidRDefault="00B42C68">
            <w:pPr>
              <w:widowControl w:val="0"/>
              <w:tabs>
                <w:tab w:val="left" w:pos="426"/>
              </w:tabs>
              <w:suppressAutoHyphens w:val="0"/>
              <w:spacing w:line="360" w:lineRule="auto"/>
              <w:jc w:val="both"/>
              <w:rPr>
                <w:szCs w:val="22"/>
              </w:rPr>
            </w:pPr>
            <w:r>
              <w:rPr>
                <w:rFonts w:ascii="Times New Roman" w:hAnsi="Times New Roman"/>
                <w:color w:val="000000"/>
                <w:sz w:val="24"/>
                <w:szCs w:val="24"/>
              </w:rPr>
              <w:t xml:space="preserve">Bomba 4”, submersa, com no mínimo 38 estágios, 4,0 HP, 380V, 60 HZ, trifásica, 3.450 RPM. Bomba submersa para aplicação em poço </w:t>
            </w:r>
            <w:r>
              <w:rPr>
                <w:rFonts w:ascii="Times New Roman" w:hAnsi="Times New Roman"/>
                <w:color w:val="000000"/>
                <w:sz w:val="24"/>
                <w:szCs w:val="24"/>
              </w:rPr>
              <w:lastRenderedPageBreak/>
              <w:t>tubular a partir de 4”, com diâmetro de 95mm, de fabricação nacion</w:t>
            </w:r>
            <w:r>
              <w:rPr>
                <w:rFonts w:ascii="Times New Roman" w:hAnsi="Times New Roman"/>
                <w:color w:val="000000"/>
                <w:sz w:val="24"/>
                <w:szCs w:val="24"/>
              </w:rPr>
              <w:t xml:space="preserve">al, com motor rebobinável projetado para trabalhar submerso (tipo molhado), refrigerado a água, com </w:t>
            </w:r>
            <w:proofErr w:type="spellStart"/>
            <w:r>
              <w:rPr>
                <w:rFonts w:ascii="Times New Roman" w:hAnsi="Times New Roman"/>
                <w:color w:val="000000"/>
                <w:sz w:val="24"/>
                <w:szCs w:val="24"/>
              </w:rPr>
              <w:t>estator</w:t>
            </w:r>
            <w:proofErr w:type="spellEnd"/>
            <w:r>
              <w:rPr>
                <w:rFonts w:ascii="Times New Roman" w:hAnsi="Times New Roman"/>
                <w:color w:val="000000"/>
                <w:sz w:val="24"/>
                <w:szCs w:val="24"/>
              </w:rPr>
              <w:t xml:space="preserve"> induzido, fabricado em aço silício e mancais do motor do tipo radial deslizante, com buchas de grafite. Bombeador do tipo </w:t>
            </w:r>
            <w:proofErr w:type="spellStart"/>
            <w:r>
              <w:rPr>
                <w:rFonts w:ascii="Times New Roman" w:hAnsi="Times New Roman"/>
                <w:color w:val="000000"/>
                <w:sz w:val="24"/>
                <w:szCs w:val="24"/>
              </w:rPr>
              <w:t>multiestágios</w:t>
            </w:r>
            <w:proofErr w:type="spellEnd"/>
            <w:r>
              <w:rPr>
                <w:rFonts w:ascii="Times New Roman" w:hAnsi="Times New Roman"/>
                <w:color w:val="000000"/>
                <w:sz w:val="24"/>
                <w:szCs w:val="24"/>
              </w:rPr>
              <w:t>, de fluxo ún</w:t>
            </w:r>
            <w:r>
              <w:rPr>
                <w:rFonts w:ascii="Times New Roman" w:hAnsi="Times New Roman"/>
                <w:color w:val="000000"/>
                <w:sz w:val="24"/>
                <w:szCs w:val="24"/>
              </w:rPr>
              <w:t xml:space="preserve">ico, com rotor em aço silício. Com quadro de comando específico para este tipo de bomba. Com desempenho de referência das marcas </w:t>
            </w:r>
            <w:proofErr w:type="spellStart"/>
            <w:r>
              <w:rPr>
                <w:rFonts w:ascii="Times New Roman" w:hAnsi="Times New Roman"/>
                <w:color w:val="000000"/>
                <w:sz w:val="24"/>
                <w:szCs w:val="24"/>
              </w:rPr>
              <w:t>Vanbro</w:t>
            </w:r>
            <w:proofErr w:type="spellEnd"/>
            <w:r>
              <w:rPr>
                <w:rFonts w:ascii="Times New Roman" w:hAnsi="Times New Roman"/>
                <w:color w:val="000000"/>
                <w:sz w:val="24"/>
                <w:szCs w:val="24"/>
              </w:rPr>
              <w:t xml:space="preserve">, Leão ou de melhor </w:t>
            </w:r>
            <w:r>
              <w:rPr>
                <w:rFonts w:ascii="Times New Roman" w:hAnsi="Times New Roman"/>
                <w:color w:val="000000"/>
                <w:sz w:val="24"/>
                <w:szCs w:val="24"/>
              </w:rPr>
              <w:lastRenderedPageBreak/>
              <w:t>qualidade</w:t>
            </w:r>
            <w:r>
              <w:rPr>
                <w:rFonts w:ascii="Times New Roman" w:hAnsi="Times New Roman"/>
                <w:color w:val="000000"/>
                <w:szCs w:val="22"/>
              </w:rPr>
              <w:t>.</w:t>
            </w:r>
          </w:p>
        </w:tc>
        <w:tc>
          <w:tcPr>
            <w:tcW w:w="735" w:type="dxa"/>
          </w:tcPr>
          <w:p w:rsidR="00756988" w:rsidRDefault="00B42C68">
            <w:pPr>
              <w:widowControl w:val="0"/>
              <w:spacing w:before="1824" w:after="1824" w:line="360" w:lineRule="auto"/>
              <w:jc w:val="center"/>
              <w:rPr>
                <w:color w:val="000000"/>
                <w:sz w:val="21"/>
                <w:szCs w:val="21"/>
              </w:rPr>
            </w:pPr>
            <w:r>
              <w:rPr>
                <w:color w:val="000000"/>
                <w:sz w:val="21"/>
                <w:szCs w:val="21"/>
              </w:rPr>
              <w:lastRenderedPageBreak/>
              <w:t>01</w:t>
            </w:r>
          </w:p>
        </w:tc>
        <w:tc>
          <w:tcPr>
            <w:tcW w:w="1650" w:type="dxa"/>
            <w:tcBorders>
              <w:right w:val="nil"/>
            </w:tcBorders>
            <w:vAlign w:val="center"/>
          </w:tcPr>
          <w:p w:rsidR="00756988" w:rsidRDefault="00B42C68">
            <w:pPr>
              <w:widowControl w:val="0"/>
              <w:spacing w:line="360" w:lineRule="auto"/>
              <w:jc w:val="center"/>
              <w:rPr>
                <w:color w:val="000000"/>
                <w:sz w:val="21"/>
                <w:szCs w:val="21"/>
              </w:rPr>
            </w:pPr>
            <w:r>
              <w:rPr>
                <w:color w:val="000000"/>
                <w:sz w:val="21"/>
                <w:szCs w:val="21"/>
              </w:rPr>
              <w:t>R$ 10.435,60</w:t>
            </w:r>
          </w:p>
        </w:tc>
        <w:tc>
          <w:tcPr>
            <w:tcW w:w="1589" w:type="dxa"/>
            <w:tcBorders>
              <w:right w:val="nil"/>
            </w:tcBorders>
            <w:vAlign w:val="center"/>
          </w:tcPr>
          <w:p w:rsidR="00756988" w:rsidRDefault="00B42C68">
            <w:pPr>
              <w:widowControl w:val="0"/>
              <w:spacing w:line="360" w:lineRule="auto"/>
              <w:jc w:val="center"/>
              <w:rPr>
                <w:color w:val="000000"/>
                <w:sz w:val="21"/>
                <w:szCs w:val="21"/>
              </w:rPr>
            </w:pPr>
            <w:r>
              <w:rPr>
                <w:color w:val="000000"/>
                <w:sz w:val="21"/>
                <w:szCs w:val="21"/>
              </w:rPr>
              <w:t>R$ 10.150,00</w:t>
            </w:r>
          </w:p>
        </w:tc>
        <w:tc>
          <w:tcPr>
            <w:tcW w:w="1428" w:type="dxa"/>
            <w:tcBorders>
              <w:right w:val="nil"/>
            </w:tcBorders>
            <w:vAlign w:val="center"/>
          </w:tcPr>
          <w:p w:rsidR="00756988" w:rsidRDefault="00B42C68">
            <w:pPr>
              <w:widowControl w:val="0"/>
              <w:spacing w:line="360" w:lineRule="auto"/>
              <w:jc w:val="center"/>
              <w:rPr>
                <w:color w:val="000000"/>
                <w:sz w:val="21"/>
                <w:szCs w:val="21"/>
              </w:rPr>
            </w:pPr>
            <w:r>
              <w:rPr>
                <w:color w:val="000000"/>
                <w:sz w:val="21"/>
                <w:szCs w:val="21"/>
              </w:rPr>
              <w:t>R$ 9.350,00</w:t>
            </w:r>
          </w:p>
        </w:tc>
        <w:tc>
          <w:tcPr>
            <w:tcW w:w="1710" w:type="dxa"/>
            <w:tcBorders>
              <w:right w:val="nil"/>
            </w:tcBorders>
            <w:vAlign w:val="center"/>
          </w:tcPr>
          <w:p w:rsidR="00756988" w:rsidRDefault="00B42C68">
            <w:pPr>
              <w:widowControl w:val="0"/>
              <w:spacing w:line="360" w:lineRule="auto"/>
              <w:jc w:val="center"/>
              <w:rPr>
                <w:color w:val="000000"/>
                <w:sz w:val="21"/>
                <w:szCs w:val="21"/>
              </w:rPr>
            </w:pPr>
            <w:r>
              <w:rPr>
                <w:color w:val="000000"/>
                <w:sz w:val="21"/>
                <w:szCs w:val="21"/>
              </w:rPr>
              <w:t>R$ 9.978,53</w:t>
            </w:r>
          </w:p>
        </w:tc>
        <w:tc>
          <w:tcPr>
            <w:tcW w:w="1467" w:type="dxa"/>
            <w:vAlign w:val="center"/>
          </w:tcPr>
          <w:p w:rsidR="00756988" w:rsidRDefault="00B42C68">
            <w:pPr>
              <w:widowControl w:val="0"/>
              <w:spacing w:line="360" w:lineRule="auto"/>
              <w:ind w:right="-170"/>
              <w:jc w:val="center"/>
              <w:rPr>
                <w:color w:val="000000"/>
                <w:sz w:val="21"/>
                <w:szCs w:val="21"/>
              </w:rPr>
            </w:pPr>
            <w:r>
              <w:rPr>
                <w:color w:val="000000"/>
                <w:sz w:val="21"/>
                <w:szCs w:val="21"/>
              </w:rPr>
              <w:t>R$ 9.978,53</w:t>
            </w:r>
          </w:p>
        </w:tc>
      </w:tr>
      <w:tr w:rsidR="00756988">
        <w:trPr>
          <w:jc w:val="center"/>
        </w:trPr>
        <w:tc>
          <w:tcPr>
            <w:tcW w:w="5220" w:type="dxa"/>
            <w:gridSpan w:val="4"/>
            <w:tcBorders>
              <w:top w:val="nil"/>
              <w:right w:val="nil"/>
            </w:tcBorders>
            <w:vAlign w:val="center"/>
          </w:tcPr>
          <w:p w:rsidR="00756988" w:rsidRDefault="00B42C68">
            <w:pPr>
              <w:pStyle w:val="SemEspaamento"/>
              <w:widowControl w:val="0"/>
              <w:spacing w:line="360" w:lineRule="auto"/>
              <w:jc w:val="center"/>
              <w:rPr>
                <w:rFonts w:ascii="Arial" w:hAnsi="Arial"/>
                <w:b/>
                <w:bCs/>
                <w:color w:val="000000"/>
                <w:sz w:val="22"/>
                <w:szCs w:val="22"/>
              </w:rPr>
            </w:pPr>
            <w:r>
              <w:rPr>
                <w:rFonts w:ascii="Arial" w:hAnsi="Arial"/>
                <w:b/>
                <w:bCs/>
                <w:color w:val="000000"/>
                <w:sz w:val="22"/>
                <w:szCs w:val="22"/>
              </w:rPr>
              <w:lastRenderedPageBreak/>
              <w:t>VALOR TOTAL GERAL</w:t>
            </w:r>
          </w:p>
        </w:tc>
        <w:tc>
          <w:tcPr>
            <w:tcW w:w="6194" w:type="dxa"/>
            <w:gridSpan w:val="4"/>
            <w:tcBorders>
              <w:top w:val="nil"/>
            </w:tcBorders>
            <w:vAlign w:val="center"/>
          </w:tcPr>
          <w:p w:rsidR="00756988" w:rsidRDefault="00B42C68">
            <w:pPr>
              <w:pStyle w:val="SemEspaamento"/>
              <w:widowControl w:val="0"/>
              <w:spacing w:line="360" w:lineRule="auto"/>
              <w:jc w:val="right"/>
              <w:rPr>
                <w:rFonts w:ascii="Arial" w:hAnsi="Arial"/>
                <w:b/>
                <w:bCs/>
                <w:color w:val="000000"/>
                <w:sz w:val="22"/>
                <w:szCs w:val="22"/>
              </w:rPr>
            </w:pPr>
            <w:r>
              <w:rPr>
                <w:rFonts w:ascii="Arial" w:hAnsi="Arial"/>
                <w:b/>
                <w:bCs/>
                <w:color w:val="000000"/>
                <w:sz w:val="22"/>
                <w:szCs w:val="22"/>
              </w:rPr>
              <w:t xml:space="preserve">R$ </w:t>
            </w:r>
            <w:r>
              <w:rPr>
                <w:rFonts w:ascii="Arial" w:hAnsi="Arial"/>
                <w:b/>
                <w:bCs/>
                <w:color w:val="000000"/>
                <w:sz w:val="22"/>
                <w:szCs w:val="22"/>
              </w:rPr>
              <w:t>9.978,53</w:t>
            </w:r>
          </w:p>
        </w:tc>
      </w:tr>
    </w:tbl>
    <w:p w:rsidR="00756988" w:rsidRDefault="00756988">
      <w:pPr>
        <w:spacing w:line="360" w:lineRule="auto"/>
        <w:jc w:val="both"/>
        <w:rPr>
          <w:sz w:val="24"/>
          <w:szCs w:val="24"/>
        </w:rPr>
      </w:pPr>
    </w:p>
    <w:p w:rsidR="00756988" w:rsidRDefault="00B42C68">
      <w:pPr>
        <w:spacing w:line="360" w:lineRule="auto"/>
        <w:jc w:val="both"/>
        <w:rPr>
          <w:sz w:val="24"/>
          <w:szCs w:val="24"/>
        </w:rPr>
      </w:pPr>
      <w:r>
        <w:rPr>
          <w:b/>
          <w:bCs/>
          <w:sz w:val="24"/>
          <w:szCs w:val="24"/>
        </w:rPr>
        <w:t>Valor total de R$</w:t>
      </w:r>
      <w:r>
        <w:rPr>
          <w:b/>
          <w:bCs/>
          <w:color w:val="000000"/>
          <w:sz w:val="24"/>
          <w:szCs w:val="24"/>
        </w:rPr>
        <w:t xml:space="preserve"> </w:t>
      </w:r>
      <w:r>
        <w:rPr>
          <w:b/>
          <w:bCs/>
          <w:color w:val="000000"/>
          <w:szCs w:val="22"/>
        </w:rPr>
        <w:t>9.978,53</w:t>
      </w:r>
      <w:r>
        <w:rPr>
          <w:b/>
          <w:bCs/>
          <w:color w:val="000000"/>
          <w:sz w:val="24"/>
          <w:szCs w:val="24"/>
        </w:rPr>
        <w:t xml:space="preserve"> (nove mil novecentos e setenta e oito reais e cinquenta e três centavos).</w:t>
      </w:r>
    </w:p>
    <w:p w:rsidR="00756988" w:rsidRDefault="00756988">
      <w:pPr>
        <w:spacing w:line="360" w:lineRule="auto"/>
        <w:jc w:val="both"/>
        <w:rPr>
          <w:sz w:val="24"/>
          <w:szCs w:val="24"/>
        </w:rPr>
      </w:pPr>
    </w:p>
    <w:p w:rsidR="00756988" w:rsidRDefault="00B42C68">
      <w:pPr>
        <w:spacing w:line="360" w:lineRule="auto"/>
        <w:jc w:val="center"/>
        <w:rPr>
          <w:b/>
          <w:bCs/>
          <w:sz w:val="24"/>
          <w:szCs w:val="24"/>
        </w:rPr>
      </w:pPr>
      <w:r>
        <w:rPr>
          <w:b/>
          <w:bCs/>
          <w:sz w:val="24"/>
          <w:szCs w:val="24"/>
        </w:rPr>
        <w:t>5. ALTERNATIVAS DISPONÍVEIS NO MERCADO</w:t>
      </w:r>
    </w:p>
    <w:p w:rsidR="00756988" w:rsidRDefault="00B42C68">
      <w:pPr>
        <w:spacing w:line="360" w:lineRule="auto"/>
        <w:jc w:val="both"/>
        <w:rPr>
          <w:sz w:val="24"/>
          <w:szCs w:val="24"/>
        </w:rPr>
      </w:pPr>
      <w:r>
        <w:rPr>
          <w:sz w:val="24"/>
          <w:szCs w:val="24"/>
        </w:rPr>
        <w:tab/>
        <w:t xml:space="preserve">Conforme pesquisa de mercado realizada, para solução da necessidade administrativa, objeto do presente </w:t>
      </w:r>
      <w:r>
        <w:rPr>
          <w:sz w:val="24"/>
          <w:szCs w:val="24"/>
        </w:rPr>
        <w:t xml:space="preserve">Estudo Técnico Preliminar, vislumbra-se possível, sob o aspecto técnico e econômico, a contratação de empresa especializada em </w:t>
      </w:r>
      <w:r>
        <w:rPr>
          <w:sz w:val="24"/>
          <w:szCs w:val="24"/>
        </w:rPr>
        <w:t xml:space="preserve">fornecimento de </w:t>
      </w:r>
      <w:r>
        <w:rPr>
          <w:sz w:val="24"/>
          <w:szCs w:val="24"/>
        </w:rPr>
        <w:t>bomba 4”, submersa, com no mínimo 38 estágios, 4,0 HP, 380V, 60 HZ, trifásica, 3450 RPM, com quadro de comando es</w:t>
      </w:r>
      <w:r>
        <w:rPr>
          <w:sz w:val="24"/>
          <w:szCs w:val="24"/>
        </w:rPr>
        <w:t>pecífico para este tipo de bomba.</w:t>
      </w:r>
    </w:p>
    <w:p w:rsidR="00756988" w:rsidRDefault="00B42C68">
      <w:pPr>
        <w:spacing w:line="360" w:lineRule="auto"/>
        <w:jc w:val="both"/>
        <w:rPr>
          <w:sz w:val="24"/>
          <w:szCs w:val="24"/>
        </w:rPr>
      </w:pPr>
      <w:r>
        <w:rPr>
          <w:sz w:val="24"/>
          <w:szCs w:val="24"/>
        </w:rPr>
        <w:tab/>
        <w:t>Neste sentido, segue em anexo a indicação de potenciais fornecedores através do levantamento de preços.</w:t>
      </w:r>
    </w:p>
    <w:p w:rsidR="00756988" w:rsidRDefault="00B42C68">
      <w:pPr>
        <w:spacing w:line="360" w:lineRule="auto"/>
        <w:jc w:val="both"/>
        <w:rPr>
          <w:sz w:val="24"/>
          <w:szCs w:val="24"/>
        </w:rPr>
      </w:pPr>
      <w:r>
        <w:rPr>
          <w:sz w:val="24"/>
          <w:szCs w:val="24"/>
        </w:rPr>
        <w:tab/>
        <w:t>Tais referências foram obtidas por meio de pesquisa direta com fornecedor através do levantamento de preços que segu</w:t>
      </w:r>
      <w:r>
        <w:rPr>
          <w:sz w:val="24"/>
          <w:szCs w:val="24"/>
        </w:rPr>
        <w:t>e em anexo, efetuadas com base em legislação Municipal, que “Estabelece o procedimento administrativo para a realização de pesquisa de preços para aquisição de bens, contratação de serviços em geral e para contratação de obras e serviços de engenharia no â</w:t>
      </w:r>
      <w:r>
        <w:rPr>
          <w:sz w:val="24"/>
          <w:szCs w:val="24"/>
        </w:rPr>
        <w:t>mbito do Município de Três Passos, nos termos da Lei Federal nº 14.133/2021”.</w:t>
      </w:r>
    </w:p>
    <w:p w:rsidR="00756988" w:rsidRDefault="00756988">
      <w:pPr>
        <w:spacing w:line="360" w:lineRule="auto"/>
        <w:jc w:val="both"/>
        <w:rPr>
          <w:sz w:val="24"/>
          <w:szCs w:val="24"/>
        </w:rPr>
      </w:pPr>
    </w:p>
    <w:p w:rsidR="00756988" w:rsidRDefault="00B42C68">
      <w:pPr>
        <w:spacing w:line="360" w:lineRule="auto"/>
        <w:jc w:val="center"/>
        <w:rPr>
          <w:b/>
          <w:bCs/>
          <w:sz w:val="24"/>
          <w:szCs w:val="24"/>
        </w:rPr>
      </w:pPr>
      <w:r>
        <w:rPr>
          <w:b/>
          <w:bCs/>
          <w:sz w:val="24"/>
          <w:szCs w:val="24"/>
        </w:rPr>
        <w:t>6. ESTIMATIVA DO VALOR DA CONTRATAÇÃO</w:t>
      </w:r>
    </w:p>
    <w:p w:rsidR="00756988" w:rsidRDefault="00B42C68">
      <w:pPr>
        <w:spacing w:line="360" w:lineRule="auto"/>
        <w:jc w:val="both"/>
        <w:rPr>
          <w:sz w:val="24"/>
          <w:szCs w:val="24"/>
        </w:rPr>
      </w:pPr>
      <w:r>
        <w:rPr>
          <w:sz w:val="24"/>
          <w:szCs w:val="24"/>
        </w:rPr>
        <w:tab/>
        <w:t>Estima-se para a contratação almejada o valor total de</w:t>
      </w:r>
      <w:r>
        <w:rPr>
          <w:color w:val="C9211E"/>
          <w:sz w:val="24"/>
          <w:szCs w:val="24"/>
        </w:rPr>
        <w:t xml:space="preserve"> </w:t>
      </w:r>
      <w:r>
        <w:rPr>
          <w:b/>
          <w:bCs/>
          <w:color w:val="000000"/>
          <w:sz w:val="24"/>
          <w:szCs w:val="24"/>
        </w:rPr>
        <w:t xml:space="preserve">R$ </w:t>
      </w:r>
      <w:r>
        <w:rPr>
          <w:b/>
          <w:bCs/>
          <w:color w:val="000000"/>
          <w:szCs w:val="22"/>
        </w:rPr>
        <w:t>9.978,53</w:t>
      </w:r>
      <w:r>
        <w:rPr>
          <w:b/>
          <w:bCs/>
          <w:color w:val="000000"/>
          <w:sz w:val="24"/>
          <w:szCs w:val="24"/>
        </w:rPr>
        <w:t xml:space="preserve"> (nove mil novecentos e setenta e oito reais e cinquenta e três centavos).</w:t>
      </w:r>
    </w:p>
    <w:p w:rsidR="00756988" w:rsidRDefault="00B42C68">
      <w:pPr>
        <w:spacing w:line="360" w:lineRule="auto"/>
        <w:jc w:val="both"/>
        <w:rPr>
          <w:sz w:val="24"/>
          <w:szCs w:val="24"/>
        </w:rPr>
      </w:pPr>
      <w:r>
        <w:rPr>
          <w:sz w:val="24"/>
          <w:szCs w:val="24"/>
        </w:rPr>
        <w:tab/>
        <w:t xml:space="preserve">Vislumbra-se que tal valor é compatível com o praticado pelo mercado correspondente, observando-se a legislação, que “Estabelece o procedimento administrativo para a realização de </w:t>
      </w:r>
      <w:r>
        <w:rPr>
          <w:sz w:val="24"/>
          <w:szCs w:val="24"/>
        </w:rPr>
        <w:t xml:space="preserve">pesquisa de preços para aquisição de bens, </w:t>
      </w:r>
      <w:r>
        <w:rPr>
          <w:sz w:val="24"/>
          <w:szCs w:val="24"/>
        </w:rPr>
        <w:lastRenderedPageBreak/>
        <w:t>contratação de serviços em geral e para contratação de obras e serviços de engenharia no âmbito do Município de Três Passos, nos termos da Lei Federal nº 14.133/2021”.</w:t>
      </w:r>
    </w:p>
    <w:p w:rsidR="00756988" w:rsidRDefault="00756988">
      <w:pPr>
        <w:spacing w:line="360" w:lineRule="auto"/>
        <w:jc w:val="both"/>
        <w:rPr>
          <w:szCs w:val="22"/>
        </w:rPr>
      </w:pPr>
    </w:p>
    <w:p w:rsidR="00756988" w:rsidRDefault="00B42C68">
      <w:pPr>
        <w:spacing w:line="360" w:lineRule="auto"/>
        <w:jc w:val="center"/>
        <w:rPr>
          <w:b/>
          <w:bCs/>
          <w:sz w:val="24"/>
          <w:szCs w:val="24"/>
        </w:rPr>
      </w:pPr>
      <w:r>
        <w:rPr>
          <w:b/>
          <w:bCs/>
          <w:sz w:val="24"/>
          <w:szCs w:val="24"/>
        </w:rPr>
        <w:t>7. DESCRIÇÃO DA SOLUÇÃO COMO UM TODO</w:t>
      </w:r>
    </w:p>
    <w:p w:rsidR="00756988" w:rsidRDefault="00B42C68">
      <w:pPr>
        <w:spacing w:line="360" w:lineRule="auto"/>
        <w:jc w:val="both"/>
        <w:rPr>
          <w:sz w:val="24"/>
          <w:szCs w:val="24"/>
        </w:rPr>
      </w:pPr>
      <w:r>
        <w:rPr>
          <w:sz w:val="24"/>
          <w:szCs w:val="24"/>
        </w:rPr>
        <w:tab/>
        <w:t>A solu</w:t>
      </w:r>
      <w:r>
        <w:rPr>
          <w:sz w:val="24"/>
          <w:szCs w:val="24"/>
        </w:rPr>
        <w:t xml:space="preserve">ção proposta é a contratação de empresa especializada para o fornecimento de </w:t>
      </w:r>
      <w:r>
        <w:rPr>
          <w:sz w:val="24"/>
          <w:szCs w:val="24"/>
        </w:rPr>
        <w:t xml:space="preserve">bomba 4”, submersa, com quadro de comando, com no mínimo 38 estágios, 4,0 HP, 380V, 60 HZ, trifásica, 3450 RPM. A aquisição dessa bomba oferece uma série de soluções e benefícios </w:t>
      </w:r>
      <w:r>
        <w:rPr>
          <w:sz w:val="24"/>
          <w:szCs w:val="24"/>
        </w:rPr>
        <w:t>significativos. Uma bomba submersa é essencial para um viveiro municipal devido à sua capacidade de fornecer água de maneira eficiente e confiável, especialmente em poços profundos, devido à sua capacidade de gerar alta vazão e pressão, também facilita a g</w:t>
      </w:r>
      <w:r>
        <w:rPr>
          <w:sz w:val="24"/>
          <w:szCs w:val="24"/>
        </w:rPr>
        <w:t>estão dos recursos hídricos, oferece flexibilidade operacional e apresenta vantagens em termos de custo e eficiência, promovendo o crescimento saudável das plantas e o sucesso do viveiro.</w:t>
      </w:r>
    </w:p>
    <w:p w:rsidR="00756988" w:rsidRDefault="00756988">
      <w:pPr>
        <w:spacing w:line="360" w:lineRule="auto"/>
        <w:jc w:val="both"/>
        <w:rPr>
          <w:sz w:val="24"/>
          <w:szCs w:val="24"/>
        </w:rPr>
      </w:pPr>
    </w:p>
    <w:p w:rsidR="00756988" w:rsidRDefault="00B42C68">
      <w:pPr>
        <w:spacing w:line="360" w:lineRule="auto"/>
        <w:jc w:val="center"/>
        <w:rPr>
          <w:b/>
          <w:bCs/>
          <w:sz w:val="24"/>
          <w:szCs w:val="24"/>
        </w:rPr>
      </w:pPr>
      <w:r>
        <w:rPr>
          <w:b/>
          <w:bCs/>
          <w:sz w:val="24"/>
          <w:szCs w:val="24"/>
        </w:rPr>
        <w:t>8. JUSTIFICATIVA PARA O PARCELAMENTO OU NÃO DA CONTRATAÇÃO</w:t>
      </w:r>
    </w:p>
    <w:p w:rsidR="00756988" w:rsidRDefault="00B42C68">
      <w:pPr>
        <w:pStyle w:val="NormalWeb"/>
        <w:spacing w:beforeAutospacing="0" w:afterAutospacing="0" w:line="360" w:lineRule="auto"/>
        <w:jc w:val="both"/>
        <w:rPr>
          <w:rFonts w:ascii="Arial" w:hAnsi="Arial" w:cs="Arial"/>
          <w:color w:val="000000"/>
        </w:rPr>
      </w:pPr>
      <w:r>
        <w:rPr>
          <w:rFonts w:ascii="Arial" w:hAnsi="Arial" w:cs="Arial"/>
        </w:rPr>
        <w:tab/>
      </w:r>
      <w:r>
        <w:rPr>
          <w:rFonts w:ascii="Arial" w:hAnsi="Arial" w:cs="Arial"/>
        </w:rPr>
        <w:t>Nos termos do art. 47, inciso II, da Lei Federal nº 14.133/2021, as licitações atenderão ao princípio do parcelamento, quando tecnicamente viável e economicamente vantajoso. Na aplicação deste princípio, o § 1º do mesmo art. 47 estabelece que deverão ser c</w:t>
      </w:r>
      <w:r>
        <w:rPr>
          <w:rFonts w:ascii="Arial" w:hAnsi="Arial" w:cs="Arial"/>
        </w:rPr>
        <w:t xml:space="preserve">onsiderados a responsabilidade técnica, </w:t>
      </w:r>
      <w:r>
        <w:rPr>
          <w:rFonts w:ascii="Arial" w:hAnsi="Arial" w:cs="Arial"/>
          <w:color w:val="000000"/>
        </w:rPr>
        <w:t xml:space="preserve">o custo para a Administração de vários contratos frente às vantagens da redução de custos, com divisão do objeto em itens, </w:t>
      </w:r>
      <w:bookmarkStart w:id="1" w:name="art47§1iii"/>
      <w:bookmarkEnd w:id="1"/>
      <w:r>
        <w:rPr>
          <w:rFonts w:ascii="Arial" w:hAnsi="Arial" w:cs="Arial"/>
          <w:color w:val="000000"/>
        </w:rPr>
        <w:t>e o dever de buscar a ampliação da competição e de evitar a concentração de mercado.</w:t>
      </w:r>
    </w:p>
    <w:p w:rsidR="00756988" w:rsidRDefault="00B42C68">
      <w:pPr>
        <w:pStyle w:val="NormalWeb"/>
        <w:spacing w:beforeAutospacing="0" w:afterAutospacing="0" w:line="360" w:lineRule="auto"/>
        <w:jc w:val="both"/>
        <w:rPr>
          <w:rFonts w:ascii="Arial" w:hAnsi="Arial" w:cs="Arial"/>
        </w:rPr>
      </w:pPr>
      <w:r>
        <w:rPr>
          <w:rFonts w:ascii="Arial" w:hAnsi="Arial" w:cs="Arial"/>
        </w:rPr>
        <w:tab/>
      </w:r>
      <w:r>
        <w:rPr>
          <w:rFonts w:ascii="Arial" w:hAnsi="Arial" w:cs="Arial"/>
          <w:color w:val="000000"/>
        </w:rPr>
        <w:t>Tendo e</w:t>
      </w:r>
      <w:r>
        <w:rPr>
          <w:rFonts w:ascii="Arial" w:hAnsi="Arial" w:cs="Arial"/>
          <w:color w:val="000000"/>
        </w:rPr>
        <w:t>m vista que o objeto desta licitação abrange apenas um item,</w:t>
      </w:r>
      <w:r>
        <w:rPr>
          <w:rFonts w:ascii="Arial" w:hAnsi="Arial" w:cs="Arial"/>
        </w:rPr>
        <w:t xml:space="preserve"> não há razões para aplicar o princípio do parcelamento à presente contratação. </w:t>
      </w:r>
    </w:p>
    <w:p w:rsidR="00756988" w:rsidRDefault="00756988">
      <w:pPr>
        <w:pStyle w:val="NormalWeb"/>
        <w:spacing w:beforeAutospacing="0" w:afterAutospacing="0" w:line="360" w:lineRule="auto"/>
        <w:jc w:val="both"/>
        <w:rPr>
          <w:rFonts w:ascii="Arial" w:hAnsi="Arial" w:cs="Arial"/>
        </w:rPr>
      </w:pPr>
    </w:p>
    <w:p w:rsidR="00756988" w:rsidRDefault="00B42C68">
      <w:pPr>
        <w:pStyle w:val="NormalWeb"/>
        <w:spacing w:beforeAutospacing="0" w:afterAutospacing="0" w:line="360" w:lineRule="auto"/>
        <w:jc w:val="center"/>
        <w:rPr>
          <w:rFonts w:ascii="Arial" w:hAnsi="Arial" w:cs="Arial"/>
          <w:color w:val="000000"/>
        </w:rPr>
      </w:pPr>
      <w:r>
        <w:rPr>
          <w:rFonts w:ascii="Arial" w:hAnsi="Arial" w:cs="Arial"/>
          <w:b/>
          <w:bCs/>
        </w:rPr>
        <w:t xml:space="preserve">9. RESULTADOS PRETENDIDOS </w:t>
      </w:r>
    </w:p>
    <w:p w:rsidR="00756988" w:rsidRDefault="00B42C68">
      <w:pPr>
        <w:spacing w:line="360" w:lineRule="auto"/>
        <w:jc w:val="both"/>
        <w:rPr>
          <w:color w:val="000000"/>
          <w:sz w:val="24"/>
          <w:szCs w:val="24"/>
        </w:rPr>
      </w:pPr>
      <w:r>
        <w:rPr>
          <w:sz w:val="24"/>
          <w:szCs w:val="24"/>
        </w:rPr>
        <w:tab/>
        <w:t xml:space="preserve">Pretende-se, com o presente processo licitatório, assegurar </w:t>
      </w:r>
      <w:r>
        <w:rPr>
          <w:color w:val="000000"/>
          <w:sz w:val="24"/>
          <w:szCs w:val="24"/>
        </w:rPr>
        <w:t>a seleção da proposta apta</w:t>
      </w:r>
      <w:r>
        <w:rPr>
          <w:color w:val="000000"/>
          <w:sz w:val="24"/>
          <w:szCs w:val="24"/>
        </w:rPr>
        <w:t xml:space="preserve"> a gerar a contratação mais vantajosa para o Município.</w:t>
      </w:r>
    </w:p>
    <w:p w:rsidR="00756988" w:rsidRDefault="00B42C68">
      <w:pPr>
        <w:spacing w:line="360" w:lineRule="auto"/>
        <w:jc w:val="both"/>
        <w:rPr>
          <w:sz w:val="24"/>
          <w:szCs w:val="24"/>
        </w:rPr>
      </w:pPr>
      <w:r>
        <w:rPr>
          <w:color w:val="000000"/>
          <w:sz w:val="24"/>
          <w:szCs w:val="24"/>
        </w:rPr>
        <w:tab/>
        <w:t xml:space="preserve">Almeja-se, igualmente, assegurar tratamento isonômico entre os licitantes, bem como a justa competição, bem como evitar contratação com </w:t>
      </w:r>
      <w:proofErr w:type="spellStart"/>
      <w:r>
        <w:rPr>
          <w:color w:val="000000"/>
          <w:sz w:val="24"/>
          <w:szCs w:val="24"/>
        </w:rPr>
        <w:t>sobrepreço</w:t>
      </w:r>
      <w:proofErr w:type="spellEnd"/>
      <w:r>
        <w:rPr>
          <w:color w:val="000000"/>
          <w:sz w:val="24"/>
          <w:szCs w:val="24"/>
        </w:rPr>
        <w:t xml:space="preserve"> ou com preço manifestamente inexequível e superfatur</w:t>
      </w:r>
      <w:r>
        <w:rPr>
          <w:color w:val="000000"/>
          <w:sz w:val="24"/>
          <w:szCs w:val="24"/>
        </w:rPr>
        <w:t>amento na execução do contrato.</w:t>
      </w:r>
    </w:p>
    <w:p w:rsidR="00756988" w:rsidRDefault="00B42C68">
      <w:pPr>
        <w:spacing w:line="360" w:lineRule="auto"/>
        <w:jc w:val="both"/>
        <w:rPr>
          <w:sz w:val="24"/>
          <w:szCs w:val="24"/>
        </w:rPr>
      </w:pPr>
      <w:r>
        <w:rPr>
          <w:sz w:val="24"/>
          <w:szCs w:val="24"/>
        </w:rPr>
        <w:tab/>
        <w:t>A contratação decorrente do presente processo licitatório exigirá da contratada o cumprimento das boas práticas de sustentabilidade, contribuindo para a racionalização e otimização do uso dos recursos, bem como para a reduç</w:t>
      </w:r>
      <w:r>
        <w:rPr>
          <w:sz w:val="24"/>
          <w:szCs w:val="24"/>
        </w:rPr>
        <w:t xml:space="preserve">ão dos impactos ambientais. </w:t>
      </w:r>
    </w:p>
    <w:p w:rsidR="00756988" w:rsidRDefault="00756988">
      <w:pPr>
        <w:spacing w:line="360" w:lineRule="auto"/>
        <w:jc w:val="both"/>
        <w:rPr>
          <w:sz w:val="24"/>
          <w:szCs w:val="24"/>
        </w:rPr>
      </w:pPr>
    </w:p>
    <w:p w:rsidR="00756988" w:rsidRDefault="00756988">
      <w:pPr>
        <w:spacing w:line="360" w:lineRule="auto"/>
        <w:jc w:val="both"/>
        <w:rPr>
          <w:sz w:val="24"/>
          <w:szCs w:val="24"/>
        </w:rPr>
      </w:pPr>
    </w:p>
    <w:p w:rsidR="00756988" w:rsidRDefault="00B42C68">
      <w:pPr>
        <w:pStyle w:val="NormalWeb"/>
        <w:spacing w:beforeAutospacing="0" w:afterAutospacing="0" w:line="360" w:lineRule="auto"/>
        <w:jc w:val="center"/>
        <w:rPr>
          <w:rFonts w:ascii="Arial" w:hAnsi="Arial" w:cs="Arial"/>
          <w:b/>
          <w:bCs/>
          <w:color w:val="000000"/>
        </w:rPr>
      </w:pPr>
      <w:bookmarkStart w:id="2" w:name="art18§1x"/>
      <w:bookmarkStart w:id="3" w:name="art18§1ix"/>
      <w:bookmarkStart w:id="4" w:name="art18§1viii"/>
      <w:bookmarkStart w:id="5" w:name="art18§1vii"/>
      <w:bookmarkStart w:id="6" w:name="art18§1vi"/>
      <w:bookmarkStart w:id="7" w:name="art18§1v"/>
      <w:bookmarkStart w:id="8" w:name="art18§1iii"/>
      <w:bookmarkStart w:id="9" w:name="art18§1ii"/>
      <w:bookmarkEnd w:id="2"/>
      <w:bookmarkEnd w:id="3"/>
      <w:bookmarkEnd w:id="4"/>
      <w:bookmarkEnd w:id="5"/>
      <w:bookmarkEnd w:id="6"/>
      <w:bookmarkEnd w:id="7"/>
      <w:bookmarkEnd w:id="8"/>
      <w:bookmarkEnd w:id="9"/>
      <w:r>
        <w:rPr>
          <w:rFonts w:ascii="Arial" w:hAnsi="Arial" w:cs="Arial"/>
          <w:b/>
          <w:bCs/>
          <w:color w:val="000000"/>
        </w:rPr>
        <w:t>10. PROVIDÊNCIAS PRÉVIAS AO CONTRATO</w:t>
      </w:r>
    </w:p>
    <w:p w:rsidR="00756988" w:rsidRDefault="00B42C68">
      <w:pPr>
        <w:pStyle w:val="NormalWeb"/>
        <w:spacing w:beforeAutospacing="0" w:afterAutospacing="0" w:line="360" w:lineRule="auto"/>
        <w:jc w:val="both"/>
        <w:rPr>
          <w:rFonts w:ascii="Arial" w:hAnsi="Arial" w:cs="Arial"/>
          <w:color w:val="000000"/>
        </w:rPr>
      </w:pPr>
      <w:bookmarkStart w:id="10" w:name="art18§1xi"/>
      <w:bookmarkEnd w:id="10"/>
      <w:r>
        <w:rPr>
          <w:rFonts w:ascii="Arial" w:hAnsi="Arial" w:cs="Arial"/>
          <w:color w:val="000000"/>
        </w:rPr>
        <w:tab/>
        <w:t>Para a contratação pretendida não haverá necessidade de providências prévias no âmbito da Administração.</w:t>
      </w:r>
    </w:p>
    <w:p w:rsidR="00756988" w:rsidRDefault="00B42C68">
      <w:pPr>
        <w:pStyle w:val="NormalWeb"/>
        <w:spacing w:beforeAutospacing="0" w:afterAutospacing="0" w:line="360" w:lineRule="auto"/>
        <w:jc w:val="both"/>
        <w:rPr>
          <w:rFonts w:ascii="Arial" w:hAnsi="Arial" w:cs="Arial"/>
          <w:color w:val="000000"/>
        </w:rPr>
      </w:pPr>
      <w:r>
        <w:rPr>
          <w:rFonts w:ascii="Arial" w:hAnsi="Arial" w:cs="Arial"/>
          <w:color w:val="000000"/>
        </w:rPr>
        <w:tab/>
        <w:t>A Secretaria de Meio Ambiente indicará os servidores para atuarem como gestor e f</w:t>
      </w:r>
      <w:r>
        <w:rPr>
          <w:rFonts w:ascii="Arial" w:hAnsi="Arial" w:cs="Arial"/>
          <w:color w:val="000000"/>
        </w:rPr>
        <w:t xml:space="preserve">iscal do contrato, sendo estes, respectivamente, </w:t>
      </w:r>
      <w:r>
        <w:rPr>
          <w:rFonts w:ascii="Arial" w:hAnsi="Arial" w:cs="Arial"/>
          <w:color w:val="000000"/>
        </w:rPr>
        <w:t xml:space="preserve">o Secretário Municipal do Meio Ambiente, Arthur Diesel </w:t>
      </w:r>
      <w:proofErr w:type="spellStart"/>
      <w:r>
        <w:rPr>
          <w:rFonts w:ascii="Arial" w:hAnsi="Arial" w:cs="Arial"/>
          <w:color w:val="000000"/>
        </w:rPr>
        <w:t>Abegg</w:t>
      </w:r>
      <w:proofErr w:type="spellEnd"/>
      <w:r>
        <w:rPr>
          <w:rFonts w:ascii="Arial" w:hAnsi="Arial" w:cs="Arial"/>
          <w:color w:val="000000"/>
        </w:rPr>
        <w:t xml:space="preserve">, e a Diretora Geral de Ornamentação e Paisagismo, </w:t>
      </w:r>
      <w:proofErr w:type="spellStart"/>
      <w:r>
        <w:rPr>
          <w:rFonts w:ascii="Arial" w:hAnsi="Arial" w:cs="Arial"/>
          <w:color w:val="000000"/>
        </w:rPr>
        <w:t>Roselei</w:t>
      </w:r>
      <w:proofErr w:type="spellEnd"/>
      <w:r>
        <w:rPr>
          <w:rFonts w:ascii="Arial" w:hAnsi="Arial" w:cs="Arial"/>
          <w:color w:val="000000"/>
        </w:rPr>
        <w:t xml:space="preserve"> </w:t>
      </w:r>
      <w:proofErr w:type="spellStart"/>
      <w:r>
        <w:rPr>
          <w:rFonts w:ascii="Arial" w:hAnsi="Arial" w:cs="Arial"/>
          <w:color w:val="000000"/>
        </w:rPr>
        <w:t>Graffunder</w:t>
      </w:r>
      <w:proofErr w:type="spellEnd"/>
      <w:r>
        <w:rPr>
          <w:rFonts w:ascii="Arial" w:hAnsi="Arial" w:cs="Arial"/>
          <w:color w:val="000000"/>
        </w:rPr>
        <w:t>, ou quem vier a substituí-los</w:t>
      </w:r>
      <w:r>
        <w:rPr>
          <w:rFonts w:ascii="Arial" w:hAnsi="Arial" w:cs="Arial"/>
          <w:color w:val="000000"/>
        </w:rPr>
        <w:t>.</w:t>
      </w:r>
    </w:p>
    <w:p w:rsidR="00756988" w:rsidRDefault="00B42C68">
      <w:pPr>
        <w:pStyle w:val="NormalWeb"/>
        <w:spacing w:beforeAutospacing="0" w:afterAutospacing="0" w:line="360" w:lineRule="auto"/>
        <w:jc w:val="both"/>
        <w:rPr>
          <w:rFonts w:ascii="Arial" w:hAnsi="Arial" w:cs="Arial"/>
        </w:rPr>
      </w:pPr>
      <w:r>
        <w:rPr>
          <w:rFonts w:ascii="Arial" w:hAnsi="Arial" w:cs="Arial"/>
        </w:rPr>
        <w:tab/>
        <w:t>Ademais, para que a pretendida contratação te</w:t>
      </w:r>
      <w:r>
        <w:rPr>
          <w:rFonts w:ascii="Arial" w:hAnsi="Arial" w:cs="Arial"/>
        </w:rPr>
        <w:t xml:space="preserve">nha sucesso, é preciso que outras etapas sejam concluídas, quais sejam: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a)</w:t>
      </w:r>
      <w:r>
        <w:rPr>
          <w:rFonts w:ascii="Arial" w:hAnsi="Arial" w:cs="Arial"/>
        </w:rPr>
        <w:t xml:space="preserve"> elaboração de minuta do edital;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 xml:space="preserve">b) </w:t>
      </w:r>
      <w:r>
        <w:rPr>
          <w:rFonts w:ascii="Arial" w:hAnsi="Arial" w:cs="Arial"/>
        </w:rPr>
        <w:t xml:space="preserve">realização de certificação de disponibilidade orçamentária;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c)</w:t>
      </w:r>
      <w:r>
        <w:rPr>
          <w:rFonts w:ascii="Arial" w:hAnsi="Arial" w:cs="Arial"/>
        </w:rPr>
        <w:t xml:space="preserve"> designação em Portaria de pregoeiro, equipe de apoio, agente de contratação (con</w:t>
      </w:r>
      <w:r>
        <w:rPr>
          <w:rFonts w:ascii="Arial" w:hAnsi="Arial" w:cs="Arial"/>
        </w:rPr>
        <w:t xml:space="preserve">forme o caso);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d)</w:t>
      </w:r>
      <w:r>
        <w:rPr>
          <w:rFonts w:ascii="Arial" w:hAnsi="Arial" w:cs="Arial"/>
        </w:rPr>
        <w:t xml:space="preserve"> elaboração de minuta do contrato;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e)</w:t>
      </w:r>
      <w:r>
        <w:rPr>
          <w:rFonts w:ascii="Arial" w:hAnsi="Arial" w:cs="Arial"/>
        </w:rPr>
        <w:t xml:space="preserve"> encaminhamento do processo para análise jurídica;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f)</w:t>
      </w:r>
      <w:r>
        <w:rPr>
          <w:rFonts w:ascii="Arial" w:hAnsi="Arial" w:cs="Arial"/>
        </w:rPr>
        <w:t xml:space="preserve"> análise da manifestação jurídica e atendimento aos apontamentos constantes no parecer, mediante Nota Técnica com os ajustes indicados;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g)</w:t>
      </w:r>
      <w:r>
        <w:rPr>
          <w:rFonts w:ascii="Arial" w:hAnsi="Arial" w:cs="Arial"/>
        </w:rPr>
        <w:t xml:space="preserve"> public</w:t>
      </w:r>
      <w:r>
        <w:rPr>
          <w:rFonts w:ascii="Arial" w:hAnsi="Arial" w:cs="Arial"/>
        </w:rPr>
        <w:t xml:space="preserve">ação e divulgação do edital e anexos;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h)</w:t>
      </w:r>
      <w:r>
        <w:rPr>
          <w:rFonts w:ascii="Arial" w:hAnsi="Arial" w:cs="Arial"/>
        </w:rPr>
        <w:t xml:space="preserve"> resposta a eventuais pedidos de esclarecimentos e/ou impugnação, caso aplicável;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i)</w:t>
      </w:r>
      <w:r>
        <w:rPr>
          <w:rFonts w:ascii="Arial" w:hAnsi="Arial" w:cs="Arial"/>
        </w:rPr>
        <w:t xml:space="preserve"> realização do certame, com suas respectivas etapas; </w:t>
      </w:r>
    </w:p>
    <w:p w:rsidR="00756988" w:rsidRDefault="00B42C68">
      <w:pPr>
        <w:pStyle w:val="NormalWeb"/>
        <w:spacing w:beforeAutospacing="0" w:afterAutospacing="0" w:line="360" w:lineRule="auto"/>
        <w:jc w:val="both"/>
        <w:rPr>
          <w:rFonts w:ascii="Arial" w:hAnsi="Arial" w:cs="Arial"/>
        </w:rPr>
      </w:pPr>
      <w:r>
        <w:rPr>
          <w:rFonts w:ascii="Arial" w:hAnsi="Arial" w:cs="Arial"/>
          <w:b/>
          <w:bCs/>
        </w:rPr>
        <w:t>j)</w:t>
      </w:r>
      <w:r>
        <w:rPr>
          <w:rFonts w:ascii="Arial" w:hAnsi="Arial" w:cs="Arial"/>
        </w:rPr>
        <w:t xml:space="preserve"> realização de empenho; e </w:t>
      </w:r>
    </w:p>
    <w:p w:rsidR="00756988" w:rsidRDefault="00B42C68">
      <w:pPr>
        <w:pStyle w:val="NormalWeb"/>
        <w:spacing w:beforeAutospacing="0" w:afterAutospacing="0" w:line="360" w:lineRule="auto"/>
        <w:jc w:val="both"/>
        <w:rPr>
          <w:rFonts w:ascii="Arial" w:hAnsi="Arial" w:cs="Arial"/>
          <w:color w:val="000000"/>
        </w:rPr>
      </w:pPr>
      <w:r>
        <w:rPr>
          <w:rFonts w:ascii="Arial" w:hAnsi="Arial" w:cs="Arial"/>
          <w:b/>
          <w:bCs/>
        </w:rPr>
        <w:t>l)</w:t>
      </w:r>
      <w:r>
        <w:rPr>
          <w:rFonts w:ascii="Arial" w:hAnsi="Arial" w:cs="Arial"/>
        </w:rPr>
        <w:t xml:space="preserve"> assinatura e publicação do contrato.</w:t>
      </w:r>
    </w:p>
    <w:p w:rsidR="00756988" w:rsidRDefault="00756988">
      <w:pPr>
        <w:pStyle w:val="NormalWeb"/>
        <w:spacing w:beforeAutospacing="0" w:afterAutospacing="0" w:line="360" w:lineRule="auto"/>
        <w:jc w:val="both"/>
        <w:rPr>
          <w:rFonts w:ascii="Arial" w:hAnsi="Arial" w:cs="Arial"/>
          <w:b/>
          <w:bCs/>
          <w:color w:val="000000"/>
        </w:rPr>
      </w:pPr>
    </w:p>
    <w:p w:rsidR="00756988" w:rsidRDefault="00B42C68">
      <w:pPr>
        <w:pStyle w:val="NormalWeb"/>
        <w:spacing w:beforeAutospacing="0" w:afterAutospacing="0" w:line="360" w:lineRule="auto"/>
        <w:jc w:val="center"/>
        <w:rPr>
          <w:rFonts w:ascii="Arial" w:hAnsi="Arial" w:cs="Arial"/>
          <w:b/>
          <w:bCs/>
          <w:color w:val="000000"/>
        </w:rPr>
      </w:pPr>
      <w:r>
        <w:rPr>
          <w:rFonts w:ascii="Arial" w:hAnsi="Arial" w:cs="Arial"/>
          <w:b/>
          <w:bCs/>
          <w:color w:val="000000"/>
        </w:rPr>
        <w:t xml:space="preserve">11. </w:t>
      </w:r>
      <w:r>
        <w:rPr>
          <w:rFonts w:ascii="Arial" w:hAnsi="Arial" w:cs="Arial"/>
          <w:b/>
          <w:bCs/>
          <w:color w:val="000000"/>
        </w:rPr>
        <w:t>CONTRATAÇÕES CORRELATAS E/OU INTERDEPENDENTES</w:t>
      </w:r>
    </w:p>
    <w:p w:rsidR="00756988" w:rsidRDefault="00B42C68">
      <w:pPr>
        <w:pStyle w:val="NormalWeb"/>
        <w:spacing w:beforeAutospacing="0" w:afterAutospacing="0" w:line="360" w:lineRule="auto"/>
        <w:jc w:val="both"/>
        <w:rPr>
          <w:rFonts w:ascii="Arial" w:hAnsi="Arial" w:cs="Arial"/>
        </w:rPr>
      </w:pPr>
      <w:r>
        <w:rPr>
          <w:rFonts w:ascii="Arial" w:hAnsi="Arial" w:cs="Arial"/>
        </w:rPr>
        <w:tab/>
        <w:t xml:space="preserve">Este estudo não identificou a necessidade de realizar contratações acessórias para a perfeita execução do objeto, uma vez que todos os meios necessários para a aquisição/operacionalização dos serviços podem </w:t>
      </w:r>
      <w:r>
        <w:rPr>
          <w:rFonts w:ascii="Arial" w:hAnsi="Arial" w:cs="Arial"/>
        </w:rPr>
        <w:t>ser supridos apenas com a contratação ora proposta.</w:t>
      </w:r>
    </w:p>
    <w:p w:rsidR="00756988" w:rsidRDefault="00B42C68">
      <w:pPr>
        <w:pStyle w:val="NormalWeb"/>
        <w:spacing w:beforeAutospacing="0" w:afterAutospacing="0" w:line="360" w:lineRule="auto"/>
        <w:jc w:val="both"/>
        <w:rPr>
          <w:rFonts w:ascii="Arial" w:hAnsi="Arial" w:cs="Arial"/>
        </w:rPr>
      </w:pPr>
      <w:r>
        <w:rPr>
          <w:rFonts w:ascii="Arial" w:hAnsi="Arial" w:cs="Arial"/>
        </w:rPr>
        <w:tab/>
        <w:t>Os bens/serviços que se pretende, portanto, são autônomos e prescindem de contratações correlatas ou interdependentes.</w:t>
      </w:r>
      <w:bookmarkStart w:id="11" w:name="art18§1xii"/>
      <w:bookmarkEnd w:id="11"/>
    </w:p>
    <w:p w:rsidR="00756988" w:rsidRDefault="00B42C68">
      <w:pPr>
        <w:pStyle w:val="NormalWeb"/>
        <w:spacing w:beforeAutospacing="0" w:afterAutospacing="0" w:line="360" w:lineRule="auto"/>
        <w:jc w:val="center"/>
        <w:rPr>
          <w:rFonts w:ascii="Arial" w:hAnsi="Arial" w:cs="Arial"/>
          <w:b/>
          <w:bCs/>
          <w:color w:val="000000"/>
        </w:rPr>
      </w:pPr>
      <w:r>
        <w:rPr>
          <w:rFonts w:ascii="Arial" w:hAnsi="Arial" w:cs="Arial"/>
          <w:b/>
          <w:bCs/>
          <w:color w:val="000000"/>
        </w:rPr>
        <w:t xml:space="preserve">12. POSSÍVEIS IMPACTOS AMBIENTAIS </w:t>
      </w:r>
    </w:p>
    <w:p w:rsidR="00756988" w:rsidRDefault="00B42C68">
      <w:pPr>
        <w:pStyle w:val="NormalWeb"/>
        <w:spacing w:beforeAutospacing="0" w:afterAutospacing="0" w:line="360" w:lineRule="auto"/>
        <w:jc w:val="both"/>
        <w:rPr>
          <w:rFonts w:ascii="Arial" w:hAnsi="Arial" w:cs="Arial"/>
        </w:rPr>
      </w:pPr>
      <w:r>
        <w:rPr>
          <w:rFonts w:ascii="Arial" w:hAnsi="Arial" w:cs="Arial"/>
        </w:rPr>
        <w:tab/>
        <w:t>A aquisição do objeto que vislumbram impactos am</w:t>
      </w:r>
      <w:r>
        <w:rPr>
          <w:rFonts w:ascii="Arial" w:hAnsi="Arial" w:cs="Arial"/>
        </w:rPr>
        <w:t>bientais provenientes desta contratação, são de responsabilidade da contratante. Pois os resíduos sólidos produzidos no uso e manuseio dos objetos, bem como o destino dos mesmos serão de responsabilidade da contratante do objeto.</w:t>
      </w:r>
    </w:p>
    <w:p w:rsidR="00756988" w:rsidRDefault="00B42C68">
      <w:pPr>
        <w:pStyle w:val="NormalWeb"/>
        <w:spacing w:beforeAutospacing="0" w:afterAutospacing="0" w:line="360" w:lineRule="auto"/>
        <w:jc w:val="both"/>
        <w:rPr>
          <w:rFonts w:ascii="Arial" w:hAnsi="Arial" w:cs="Arial"/>
          <w:color w:val="000000"/>
        </w:rPr>
      </w:pPr>
      <w:r>
        <w:rPr>
          <w:rFonts w:ascii="Arial" w:hAnsi="Arial" w:cs="Arial"/>
          <w:color w:val="000000"/>
        </w:rPr>
        <w:tab/>
        <w:t>Orientações complementare</w:t>
      </w:r>
      <w:r>
        <w:rPr>
          <w:rFonts w:ascii="Arial" w:hAnsi="Arial" w:cs="Arial"/>
          <w:color w:val="000000"/>
        </w:rPr>
        <w:t>s acerca da sustentabilidade da prestação almejada poderão ser repassadas pela fiscalização competente.</w:t>
      </w:r>
    </w:p>
    <w:p w:rsidR="00756988" w:rsidRDefault="00756988">
      <w:pPr>
        <w:pStyle w:val="NormalWeb"/>
        <w:spacing w:beforeAutospacing="0" w:afterAutospacing="0" w:line="360" w:lineRule="auto"/>
        <w:jc w:val="both"/>
        <w:rPr>
          <w:rFonts w:ascii="Arial" w:hAnsi="Arial" w:cs="Arial"/>
          <w:color w:val="000000"/>
        </w:rPr>
      </w:pPr>
    </w:p>
    <w:p w:rsidR="00756988" w:rsidRDefault="00B42C68">
      <w:pPr>
        <w:pStyle w:val="NormalWeb"/>
        <w:spacing w:beforeAutospacing="0" w:afterAutospacing="0" w:line="360" w:lineRule="auto"/>
        <w:jc w:val="center"/>
        <w:rPr>
          <w:rFonts w:ascii="Arial" w:hAnsi="Arial" w:cs="Arial"/>
          <w:b/>
          <w:bCs/>
          <w:color w:val="000000"/>
        </w:rPr>
      </w:pPr>
      <w:bookmarkStart w:id="12" w:name="art18§1xiii"/>
      <w:bookmarkEnd w:id="12"/>
      <w:r>
        <w:rPr>
          <w:rFonts w:ascii="Arial" w:hAnsi="Arial" w:cs="Arial"/>
          <w:b/>
          <w:bCs/>
          <w:color w:val="000000"/>
        </w:rPr>
        <w:t xml:space="preserve">13. DECLARAÇÃO DE VIABILIDADE </w:t>
      </w:r>
    </w:p>
    <w:p w:rsidR="00756988" w:rsidRDefault="00B42C68">
      <w:pPr>
        <w:pStyle w:val="NormalWeb"/>
        <w:spacing w:beforeAutospacing="0" w:afterAutospacing="0" w:line="360" w:lineRule="auto"/>
        <w:jc w:val="both"/>
        <w:rPr>
          <w:rFonts w:ascii="Arial" w:hAnsi="Arial" w:cs="Arial"/>
          <w:b/>
          <w:bCs/>
          <w:color w:val="000000"/>
        </w:rPr>
      </w:pPr>
      <w:r>
        <w:rPr>
          <w:rFonts w:ascii="Arial" w:hAnsi="Arial" w:cs="Arial"/>
        </w:rPr>
        <w:tab/>
        <w:t xml:space="preserve">Com base na justificativa e nas especificações técnicas constantes neste Estudo Técnico Preliminar e seus anexos, e na </w:t>
      </w:r>
      <w:r>
        <w:rPr>
          <w:rFonts w:ascii="Arial" w:hAnsi="Arial" w:cs="Arial"/>
        </w:rPr>
        <w:t>existência de planejamento orçamentário para subsidiar esta contratação, declaramos que a contratação é viável, atendendo aos padrões e preços de mercado.</w:t>
      </w:r>
    </w:p>
    <w:p w:rsidR="00756988" w:rsidRDefault="00B42C68">
      <w:pPr>
        <w:spacing w:line="360" w:lineRule="auto"/>
        <w:jc w:val="right"/>
        <w:rPr>
          <w:sz w:val="24"/>
          <w:szCs w:val="24"/>
        </w:rPr>
      </w:pPr>
      <w:r>
        <w:rPr>
          <w:sz w:val="24"/>
          <w:szCs w:val="24"/>
        </w:rPr>
        <w:t>Três Passos, 28</w:t>
      </w:r>
      <w:r>
        <w:rPr>
          <w:sz w:val="24"/>
          <w:szCs w:val="24"/>
        </w:rPr>
        <w:t xml:space="preserve"> de agosto</w:t>
      </w:r>
      <w:r>
        <w:rPr>
          <w:sz w:val="24"/>
          <w:szCs w:val="24"/>
        </w:rPr>
        <w:t xml:space="preserve"> de 2024.</w:t>
      </w:r>
    </w:p>
    <w:p w:rsidR="00756988" w:rsidRDefault="00756988">
      <w:pPr>
        <w:spacing w:line="360" w:lineRule="auto"/>
        <w:jc w:val="right"/>
        <w:rPr>
          <w:sz w:val="24"/>
          <w:szCs w:val="24"/>
        </w:rPr>
      </w:pPr>
    </w:p>
    <w:p w:rsidR="00756988" w:rsidRDefault="00756988">
      <w:pPr>
        <w:spacing w:line="360" w:lineRule="auto"/>
        <w:jc w:val="right"/>
        <w:rPr>
          <w:sz w:val="24"/>
          <w:szCs w:val="24"/>
        </w:rPr>
      </w:pPr>
    </w:p>
    <w:p w:rsidR="00756988" w:rsidRDefault="00B42C68">
      <w:pPr>
        <w:jc w:val="center"/>
        <w:rPr>
          <w:b/>
          <w:bCs/>
          <w:sz w:val="24"/>
          <w:szCs w:val="24"/>
        </w:rPr>
      </w:pPr>
      <w:r>
        <w:rPr>
          <w:b/>
          <w:bCs/>
          <w:sz w:val="24"/>
          <w:szCs w:val="24"/>
        </w:rPr>
        <w:t>ARTHUR DIESEL ABEGG</w:t>
      </w:r>
    </w:p>
    <w:p w:rsidR="00756988" w:rsidRDefault="00B42C68">
      <w:pPr>
        <w:jc w:val="center"/>
        <w:rPr>
          <w:sz w:val="24"/>
          <w:szCs w:val="24"/>
        </w:rPr>
      </w:pPr>
      <w:r>
        <w:rPr>
          <w:sz w:val="24"/>
          <w:szCs w:val="24"/>
        </w:rPr>
        <w:t>Secretário Municipal de Meio Ambiente</w:t>
      </w:r>
    </w:p>
    <w:sectPr w:rsidR="00756988">
      <w:headerReference w:type="default" r:id="rId8"/>
      <w:pgSz w:w="11906" w:h="16838"/>
      <w:pgMar w:top="3424" w:right="1134" w:bottom="1134" w:left="1276" w:header="1418"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2C68">
      <w:r>
        <w:separator/>
      </w:r>
    </w:p>
  </w:endnote>
  <w:endnote w:type="continuationSeparator" w:id="0">
    <w:p w:rsidR="00000000" w:rsidRDefault="00B42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2C68">
      <w:r>
        <w:separator/>
      </w:r>
    </w:p>
  </w:footnote>
  <w:footnote w:type="continuationSeparator" w:id="0">
    <w:p w:rsidR="00000000" w:rsidRDefault="00B42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88" w:rsidRDefault="00B42C68">
    <w:pPr>
      <w:pStyle w:val="Cabealho"/>
      <w:jc w:val="center"/>
    </w:pPr>
    <w:r>
      <w:rPr>
        <w:noProof/>
        <w:lang w:eastAsia="pt-BR"/>
      </w:rPr>
      <w:drawing>
        <wp:inline distT="0" distB="0" distL="0" distR="0">
          <wp:extent cx="505460" cy="61214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69" t="-52" r="-69" b="-52"/>
                  <a:stretch>
                    <a:fillRect/>
                  </a:stretch>
                </pic:blipFill>
                <pic:spPr bwMode="auto">
                  <a:xfrm>
                    <a:off x="0" y="0"/>
                    <a:ext cx="505460" cy="612140"/>
                  </a:xfrm>
                  <a:prstGeom prst="rect">
                    <a:avLst/>
                  </a:prstGeom>
                </pic:spPr>
              </pic:pic>
            </a:graphicData>
          </a:graphic>
        </wp:inline>
      </w:drawing>
    </w:r>
  </w:p>
  <w:p w:rsidR="00756988" w:rsidRDefault="00B42C68">
    <w:pPr>
      <w:pStyle w:val="Cabealho"/>
      <w:jc w:val="center"/>
    </w:pPr>
    <w:r>
      <w:t>Estado do Rio Grande do Sul</w:t>
    </w:r>
  </w:p>
  <w:p w:rsidR="00756988" w:rsidRDefault="00B42C68">
    <w:pPr>
      <w:pStyle w:val="Cabealho"/>
      <w:jc w:val="center"/>
      <w:rPr>
        <w:b/>
      </w:rPr>
    </w:pPr>
    <w:r>
      <w:rPr>
        <w:b/>
      </w:rPr>
      <w:t>Município de Três Passos</w:t>
    </w:r>
  </w:p>
  <w:p w:rsidR="00756988" w:rsidRDefault="00B42C68">
    <w:pPr>
      <w:pStyle w:val="Cabealho"/>
      <w:jc w:val="center"/>
    </w:pPr>
    <w:r>
      <w:t>Poder Executivo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62ED0"/>
    <w:multiLevelType w:val="multilevel"/>
    <w:tmpl w:val="5C408216"/>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20"/>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988"/>
    <w:rsid w:val="00756988"/>
    <w:rsid w:val="00B42C6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90F4E4-51EF-4C3F-AE13-6538B9780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2"/>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5">
    <w:name w:val="heading 5"/>
    <w:basedOn w:val="Normal"/>
    <w:next w:val="Normal"/>
    <w:qFormat/>
    <w:pPr>
      <w:keepNext/>
      <w:keepLines/>
      <w:spacing w:before="320" w:after="200"/>
      <w:outlineLvl w:val="4"/>
    </w:pPr>
    <w:rPr>
      <w:rFonts w:eastAsia="Arial"/>
      <w:b/>
      <w:bCs/>
      <w:sz w:val="24"/>
      <w:szCs w:val="24"/>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qFormat/>
  </w:style>
  <w:style w:type="character" w:customStyle="1" w:styleId="Fontepargpadro2">
    <w:name w:val="Fonte parág. padrão2"/>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Fontepargpadro1">
    <w:name w:val="Fonte parág. padrão1"/>
    <w:qFormat/>
  </w:style>
  <w:style w:type="character" w:styleId="Nmerodepgina">
    <w:name w:val="page number"/>
    <w:basedOn w:val="Fontepargpadro1"/>
    <w:qFormat/>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Refdenotadefim1">
    <w:name w:val="Ref. de nota de fim1"/>
    <w:qFormat/>
    <w:rPr>
      <w:vertAlign w:val="superscript"/>
    </w:rPr>
  </w:style>
  <w:style w:type="character" w:customStyle="1" w:styleId="Refdenotaderodap2">
    <w:name w:val="Ref. de nota de rodapé2"/>
    <w:qFormat/>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qFormat/>
    <w:rPr>
      <w:vertAlign w:val="superscript"/>
    </w:rPr>
  </w:style>
  <w:style w:type="character" w:customStyle="1" w:styleId="Refdenotadefim3">
    <w:name w:val="Ref. de nota de fim3"/>
    <w:qFormat/>
    <w:rPr>
      <w:vertAlign w:val="superscript"/>
    </w:rPr>
  </w:style>
  <w:style w:type="character" w:customStyle="1" w:styleId="ncoradanotaderodap">
    <w:name w:val="Âncora da nota de rodapé"/>
    <w:rPr>
      <w:vertAlign w:val="superscript"/>
    </w:rPr>
  </w:style>
  <w:style w:type="character" w:customStyle="1" w:styleId="FootnoteCharacters">
    <w:name w:val="Footnote Characters"/>
    <w:qFormat/>
    <w:rPr>
      <w:vertAlign w:val="superscript"/>
    </w:rPr>
  </w:style>
  <w:style w:type="character" w:customStyle="1" w:styleId="ncoradanotadefim">
    <w:name w:val="Âncora da nota de fim"/>
    <w:rPr>
      <w:vertAlign w:val="superscript"/>
    </w:rPr>
  </w:style>
  <w:style w:type="character" w:customStyle="1" w:styleId="EndnoteCharacters">
    <w:name w:val="Endnote Characters"/>
    <w:qFormat/>
    <w:rPr>
      <w:vertAlign w:val="superscript"/>
    </w:rPr>
  </w:style>
  <w:style w:type="character" w:customStyle="1" w:styleId="RodapChar">
    <w:name w:val="Rodapé Char"/>
    <w:link w:val="Rodap"/>
    <w:uiPriority w:val="99"/>
    <w:qFormat/>
    <w:rsid w:val="00502E0D"/>
    <w:rPr>
      <w:rFonts w:ascii="Arial" w:hAnsi="Arial" w:cs="Arial"/>
      <w:sz w:val="22"/>
      <w:lang w:eastAsia="zh-CN"/>
    </w:rPr>
  </w:style>
  <w:style w:type="character" w:customStyle="1" w:styleId="Refdenotaderodap5">
    <w:name w:val="Ref. de nota de rodapé5"/>
    <w:qFormat/>
    <w:rsid w:val="00E80693"/>
    <w:rPr>
      <w:vertAlign w:val="superscript"/>
    </w:rPr>
  </w:style>
  <w:style w:type="character" w:customStyle="1" w:styleId="TextodebaloChar">
    <w:name w:val="Texto de balão Char"/>
    <w:link w:val="Textodebalo"/>
    <w:qFormat/>
    <w:rsid w:val="00C90F73"/>
    <w:rPr>
      <w:rFonts w:ascii="Segoe UI" w:hAnsi="Segoe UI" w:cs="Segoe UI"/>
      <w:sz w:val="18"/>
      <w:szCs w:val="18"/>
      <w:lang w:eastAsia="zh-CN"/>
    </w:rPr>
  </w:style>
  <w:style w:type="character" w:customStyle="1" w:styleId="LinkdaInternet">
    <w:name w:val="Link da Internet"/>
    <w:uiPriority w:val="99"/>
    <w:unhideWhenUsed/>
    <w:rsid w:val="0089786B"/>
    <w:rPr>
      <w:color w:val="0563C1"/>
      <w:u w:val="single"/>
    </w:rPr>
  </w:style>
  <w:style w:type="character" w:customStyle="1" w:styleId="MenoPendente1">
    <w:name w:val="Menção Pendente1"/>
    <w:uiPriority w:val="99"/>
    <w:semiHidden/>
    <w:unhideWhenUsed/>
    <w:qFormat/>
    <w:rsid w:val="0089786B"/>
    <w:rPr>
      <w:color w:val="808080"/>
      <w:shd w:val="clear" w:color="auto" w:fill="E6E6E6"/>
    </w:rPr>
  </w:style>
  <w:style w:type="character" w:customStyle="1" w:styleId="Linkdainternetvisitado">
    <w:name w:val="Link da internet visitado"/>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qFormat/>
    <w:rsid w:val="00B96D5C"/>
    <w:rPr>
      <w:rFonts w:ascii="Calibri Light" w:hAnsi="Calibri Light"/>
      <w:b/>
      <w:bCs/>
      <w:i/>
      <w:iCs/>
      <w:sz w:val="28"/>
      <w:szCs w:val="28"/>
    </w:rPr>
  </w:style>
  <w:style w:type="character" w:customStyle="1" w:styleId="Ttulo3Char">
    <w:name w:val="Título 3 Char"/>
    <w:basedOn w:val="Fontepargpadro"/>
    <w:link w:val="Ttulo3"/>
    <w:semiHidden/>
    <w:qFormat/>
    <w:rsid w:val="00B96D5C"/>
    <w:rPr>
      <w:rFonts w:ascii="Calibri Light" w:hAnsi="Calibri Light"/>
      <w:b/>
      <w:bCs/>
      <w:sz w:val="26"/>
      <w:szCs w:val="26"/>
    </w:rPr>
  </w:style>
  <w:style w:type="character" w:customStyle="1" w:styleId="Ttulo7Char">
    <w:name w:val="Título 7 Char"/>
    <w:basedOn w:val="Fontepargpadro"/>
    <w:link w:val="Ttulo7"/>
    <w:qFormat/>
    <w:rsid w:val="00B96D5C"/>
    <w:rPr>
      <w:b/>
      <w:spacing w:val="14"/>
      <w:sz w:val="24"/>
    </w:rPr>
  </w:style>
  <w:style w:type="character" w:customStyle="1" w:styleId="WW8Num2z0">
    <w:name w:val="WW8Num2z0"/>
    <w:qFormat/>
    <w:rsid w:val="00B96D5C"/>
    <w:rPr>
      <w:rFonts w:ascii="Monotype Sorts" w:hAnsi="Monotype Sorts"/>
    </w:rPr>
  </w:style>
  <w:style w:type="character" w:customStyle="1" w:styleId="WW8Num3z0">
    <w:name w:val="WW8Num3z0"/>
    <w:qFormat/>
    <w:rsid w:val="00B96D5C"/>
    <w:rPr>
      <w:b/>
    </w:rPr>
  </w:style>
  <w:style w:type="character" w:customStyle="1" w:styleId="WW8Num4z0">
    <w:name w:val="WW8Num4z0"/>
    <w:qFormat/>
    <w:rsid w:val="00B96D5C"/>
    <w:rPr>
      <w:rFonts w:ascii="Times New Roman" w:eastAsia="Times New Roman" w:hAnsi="Times New Roman" w:cs="Times New Roman"/>
    </w:rPr>
  </w:style>
  <w:style w:type="character" w:customStyle="1" w:styleId="WW8Num4z1">
    <w:name w:val="WW8Num4z1"/>
    <w:qFormat/>
    <w:rsid w:val="00B96D5C"/>
    <w:rPr>
      <w:rFonts w:ascii="Courier New" w:hAnsi="Courier New"/>
    </w:rPr>
  </w:style>
  <w:style w:type="character" w:customStyle="1" w:styleId="WW8Num4z2">
    <w:name w:val="WW8Num4z2"/>
    <w:qFormat/>
    <w:rsid w:val="00B96D5C"/>
    <w:rPr>
      <w:rFonts w:ascii="Wingdings" w:hAnsi="Wingdings"/>
    </w:rPr>
  </w:style>
  <w:style w:type="character" w:customStyle="1" w:styleId="WW8Num4z3">
    <w:name w:val="WW8Num4z3"/>
    <w:qFormat/>
    <w:rsid w:val="00B96D5C"/>
    <w:rPr>
      <w:rFonts w:ascii="Symbol" w:hAnsi="Symbol"/>
    </w:rPr>
  </w:style>
  <w:style w:type="character" w:customStyle="1" w:styleId="WW8Num5z0">
    <w:name w:val="WW8Num5z0"/>
    <w:qFormat/>
    <w:rsid w:val="00B96D5C"/>
    <w:rPr>
      <w:rFonts w:ascii="Times New Roman" w:hAnsi="Times New Roman"/>
      <w:b/>
    </w:rPr>
  </w:style>
  <w:style w:type="character" w:customStyle="1" w:styleId="WW8Num6z0">
    <w:name w:val="WW8Num6z0"/>
    <w:qFormat/>
    <w:rsid w:val="00B96D5C"/>
    <w:rPr>
      <w:b/>
    </w:rPr>
  </w:style>
  <w:style w:type="character" w:customStyle="1" w:styleId="WW8Num7z0">
    <w:name w:val="WW8Num7z0"/>
    <w:qFormat/>
    <w:rsid w:val="00B96D5C"/>
    <w:rPr>
      <w:b/>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widowControl w:val="0"/>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Tahoma"/>
    </w:rPr>
  </w:style>
  <w:style w:type="paragraph" w:customStyle="1" w:styleId="Ttulo30">
    <w:name w:val="Título3"/>
    <w:basedOn w:val="Normal"/>
    <w:next w:val="Corpodetexto"/>
    <w:qFormat/>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qFormat/>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qFormat/>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Captulo">
    <w:name w:val="Capítulo"/>
    <w:basedOn w:val="Normal"/>
    <w:next w:val="Corpodetexto"/>
    <w:qFormat/>
    <w:pPr>
      <w:keepNext/>
      <w:spacing w:before="240" w:after="120"/>
    </w:pPr>
    <w:rPr>
      <w:rFonts w:eastAsia="Lucida Sans Unicode" w:cs="Tahoma"/>
      <w:sz w:val="28"/>
      <w:szCs w:val="28"/>
    </w:rPr>
  </w:style>
  <w:style w:type="paragraph" w:customStyle="1" w:styleId="Legenda1">
    <w:name w:val="Legenda1"/>
    <w:basedOn w:val="Normal"/>
    <w:qFormat/>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customStyle="1" w:styleId="CabealhoeRodap">
    <w:name w:val="Cabeçalho e Rodapé"/>
    <w:basedOn w:val="Normal"/>
    <w:qFormat/>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qFormat/>
    <w:pPr>
      <w:numPr>
        <w:numId w:val="0"/>
      </w:numPr>
      <w:jc w:val="center"/>
    </w:pPr>
  </w:style>
  <w:style w:type="paragraph" w:styleId="Recuodecorpodetexto">
    <w:name w:val="Body Text Indent"/>
    <w:basedOn w:val="Normal"/>
    <w:pPr>
      <w:ind w:left="2410"/>
      <w:jc w:val="both"/>
    </w:pPr>
    <w:rPr>
      <w:b/>
      <w:sz w:val="24"/>
    </w:rPr>
  </w:style>
  <w:style w:type="paragraph" w:styleId="Textodenotaderodap">
    <w:name w:val="footnote text"/>
    <w:basedOn w:val="Normal"/>
    <w:rPr>
      <w:rFonts w:ascii="Times New Roman" w:hAnsi="Times New Roman" w:cs="Times New Roman"/>
      <w:sz w:val="20"/>
    </w:rPr>
  </w:style>
  <w:style w:type="paragraph" w:customStyle="1" w:styleId="Corpodetexto21">
    <w:name w:val="Corpo de texto 21"/>
    <w:basedOn w:val="Normal"/>
    <w:qFormat/>
    <w:pPr>
      <w:jc w:val="both"/>
    </w:pPr>
  </w:style>
  <w:style w:type="paragraph" w:customStyle="1" w:styleId="Contedodetabela">
    <w:name w:val="Conteúdo de tabela"/>
    <w:basedOn w:val="Normal"/>
    <w:qFormat/>
    <w:pPr>
      <w:suppressLineNumbers/>
    </w:pPr>
  </w:style>
  <w:style w:type="paragraph" w:customStyle="1" w:styleId="Contedodatabela">
    <w:name w:val="Conteúdo da tabela"/>
    <w:basedOn w:val="Normal"/>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qFormat/>
    <w:pPr>
      <w:jc w:val="center"/>
    </w:pPr>
    <w:rPr>
      <w:b/>
      <w:bCs/>
    </w:rPr>
  </w:style>
  <w:style w:type="paragraph" w:customStyle="1" w:styleId="Contedodoquadro">
    <w:name w:val="Conteúdo do quadro"/>
    <w:basedOn w:val="Corpodetexto"/>
    <w:qFormat/>
  </w:style>
  <w:style w:type="paragraph" w:styleId="Textodebalo">
    <w:name w:val="Balloon Text"/>
    <w:basedOn w:val="Normal"/>
    <w:link w:val="TextodebaloChar"/>
    <w:unhideWhenUsed/>
    <w:qFormat/>
    <w:rsid w:val="00C90F73"/>
    <w:rPr>
      <w:rFonts w:ascii="Segoe UI" w:hAnsi="Segoe UI" w:cs="Segoe UI"/>
      <w:sz w:val="18"/>
      <w:szCs w:val="18"/>
    </w:rPr>
  </w:style>
  <w:style w:type="paragraph" w:customStyle="1" w:styleId="Textoembloco1">
    <w:name w:val="Texto em bloco1"/>
    <w:basedOn w:val="Normal"/>
    <w:qFormat/>
    <w:rsid w:val="00B96D5C"/>
    <w:pPr>
      <w:ind w:left="4253" w:right="57" w:firstLine="1134"/>
      <w:jc w:val="both"/>
    </w:pPr>
    <w:rPr>
      <w:rFonts w:cs="Times New Roman"/>
      <w:i/>
      <w:spacing w:val="14"/>
    </w:rPr>
  </w:style>
  <w:style w:type="paragraph" w:customStyle="1" w:styleId="texto2">
    <w:name w:val="texto2"/>
    <w:basedOn w:val="Normal"/>
    <w:qFormat/>
    <w:rsid w:val="00B96D5C"/>
    <w:pPr>
      <w:spacing w:beforeAutospacing="1" w:afterAutospacing="1"/>
    </w:pPr>
    <w:rPr>
      <w:rFonts w:ascii="Times New Roman" w:hAnsi="Times New Roman" w:cs="Times New Roman"/>
      <w:sz w:val="24"/>
      <w:szCs w:val="24"/>
      <w:lang w:eastAsia="pt-BR"/>
    </w:rPr>
  </w:style>
  <w:style w:type="paragraph" w:customStyle="1" w:styleId="04partenormativa">
    <w:name w:val="04partenormativa"/>
    <w:basedOn w:val="Normal"/>
    <w:qFormat/>
    <w:rsid w:val="00B96D5C"/>
    <w:pPr>
      <w:spacing w:beforeAutospacing="1"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qFormat/>
    <w:rsid w:val="005E4757"/>
    <w:pPr>
      <w:spacing w:beforeAutospacing="1" w:afterAutospacing="1"/>
    </w:pPr>
    <w:rPr>
      <w:rFonts w:ascii="Times New Roman" w:hAnsi="Times New Roman" w:cs="Times New Roman"/>
      <w:sz w:val="24"/>
      <w:szCs w:val="24"/>
      <w:lang w:eastAsia="pt-BR"/>
    </w:rPr>
  </w:style>
  <w:style w:type="paragraph" w:styleId="SemEspaamento">
    <w:name w:val="No Spacing"/>
    <w:qFormat/>
  </w:style>
  <w:style w:type="numbering" w:customStyle="1" w:styleId="Numeraoivx">
    <w:name w:val="Numeração ivx"/>
    <w:qFormat/>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52863-94ED-45A7-B168-42F0395E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1904</Words>
  <Characters>10287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dc:description/>
  <cp:lastModifiedBy>User</cp:lastModifiedBy>
  <cp:revision>2</cp:revision>
  <cp:lastPrinted>2024-08-29T10:36:00Z</cp:lastPrinted>
  <dcterms:created xsi:type="dcterms:W3CDTF">2024-09-27T17:58:00Z</dcterms:created>
  <dcterms:modified xsi:type="dcterms:W3CDTF">2024-09-27T17:58:00Z</dcterms:modified>
  <dc:language>pt-BR</dc:language>
</cp:coreProperties>
</file>