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b/>
          <w:sz w:val="24"/>
          <w:szCs w:val="24"/>
        </w:rPr>
      </w:pPr>
      <w:r>
        <w:rPr>
          <w:b/>
          <w:sz w:val="24"/>
          <w:szCs w:val="24"/>
        </w:rPr>
        <w:t>ESTUDO TÉCNICO PRELIMINAR</w:t>
      </w:r>
    </w:p>
    <w:p>
      <w:pPr>
        <w:pStyle w:val="Normal"/>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b/>
          <w:bCs/>
          <w:sz w:val="24"/>
          <w:szCs w:val="24"/>
        </w:rPr>
      </w:pPr>
      <w:r>
        <w:rPr>
          <w:b/>
          <w:bCs/>
          <w:sz w:val="24"/>
          <w:szCs w:val="24"/>
        </w:rPr>
        <w:t>PROCESSO ADMINISTRATIVO</w:t>
      </w:r>
    </w:p>
    <w:p>
      <w:pPr>
        <w:pStyle w:val="Normal"/>
        <w:spacing w:lineRule="auto" w:line="360"/>
        <w:jc w:val="both"/>
        <w:rPr>
          <w:sz w:val="24"/>
          <w:szCs w:val="24"/>
        </w:rPr>
      </w:pPr>
      <w:r>
        <w:rPr>
          <w:sz w:val="24"/>
          <w:szCs w:val="24"/>
        </w:rPr>
        <w:t>Município de Três Passos</w:t>
      </w:r>
    </w:p>
    <w:p>
      <w:pPr>
        <w:pStyle w:val="Normal"/>
        <w:spacing w:lineRule="auto" w:line="360"/>
        <w:jc w:val="both"/>
        <w:rPr>
          <w:sz w:val="24"/>
          <w:szCs w:val="24"/>
        </w:rPr>
      </w:pPr>
      <w:r>
        <w:rPr>
          <w:sz w:val="24"/>
          <w:szCs w:val="24"/>
        </w:rPr>
        <w:t>Secretaria Municipal de Saúde</w:t>
      </w:r>
    </w:p>
    <w:p>
      <w:pPr>
        <w:pStyle w:val="Normal"/>
        <w:spacing w:lineRule="auto" w:line="360"/>
        <w:jc w:val="both"/>
        <w:rPr/>
      </w:pPr>
      <w:r>
        <w:rPr>
          <w:sz w:val="24"/>
          <w:szCs w:val="24"/>
        </w:rPr>
        <w:t xml:space="preserve">Necessidade da Administração: </w:t>
      </w:r>
      <w:r>
        <w:rPr>
          <w:rFonts w:eastAsia="Calibri"/>
          <w:b w:val="false"/>
          <w:i w:val="false"/>
          <w:caps w:val="false"/>
          <w:smallCaps w:val="false"/>
          <w:color w:val="000000"/>
          <w:spacing w:val="0"/>
          <w:sz w:val="24"/>
          <w:szCs w:val="24"/>
        </w:rPr>
        <w:t xml:space="preserve">Contratação de empresa para </w:t>
      </w:r>
      <w:r>
        <w:rPr>
          <w:rFonts w:eastAsia="Times New Roman" w:cs="Arial"/>
          <w:b w:val="false"/>
          <w:i w:val="false"/>
          <w:caps w:val="false"/>
          <w:smallCaps w:val="false"/>
          <w:color w:val="auto"/>
          <w:spacing w:val="0"/>
          <w:kern w:val="0"/>
          <w:sz w:val="24"/>
          <w:szCs w:val="24"/>
          <w:lang w:val="pt-BR" w:eastAsia="zh-CN" w:bidi="ar-SA"/>
        </w:rPr>
        <w:t>Registro de Preço para eventual e futura aquisição de c</w:t>
      </w:r>
      <w:r>
        <w:rPr>
          <w:rFonts w:eastAsia="Calibri" w:cs="Times New Roman"/>
          <w:b w:val="false"/>
          <w:i w:val="false"/>
          <w:caps w:val="false"/>
          <w:smallCaps w:val="false"/>
          <w:color w:val="000000"/>
          <w:spacing w:val="0"/>
          <w:kern w:val="0"/>
          <w:sz w:val="24"/>
          <w:szCs w:val="24"/>
          <w:lang w:val="pt-BR" w:eastAsia="zh-CN" w:bidi="ar-SA"/>
        </w:rPr>
        <w:t xml:space="preserve">ortador de grama, roçadeira, soprador, </w:t>
      </w:r>
      <w:r>
        <w:rPr>
          <w:rFonts w:eastAsia="Times New Roman" w:cs="Arial"/>
          <w:b w:val="false"/>
          <w:i w:val="false"/>
          <w:caps w:val="false"/>
          <w:smallCaps w:val="false"/>
          <w:color w:val="auto"/>
          <w:spacing w:val="0"/>
          <w:kern w:val="0"/>
          <w:sz w:val="24"/>
          <w:szCs w:val="24"/>
          <w:lang w:val="pt-BR" w:eastAsia="zh-CN" w:bidi="ar-SA"/>
        </w:rPr>
        <w:t>motosserras</w:t>
      </w:r>
      <w:r>
        <w:rPr>
          <w:rFonts w:eastAsia="Calibri" w:cs="Times New Roman"/>
          <w:b w:val="false"/>
          <w:i w:val="false"/>
          <w:caps w:val="false"/>
          <w:smallCaps w:val="false"/>
          <w:color w:val="000000"/>
          <w:spacing w:val="0"/>
          <w:kern w:val="0"/>
          <w:sz w:val="24"/>
          <w:szCs w:val="24"/>
          <w:lang w:val="pt-BR" w:eastAsia="zh-CN" w:bidi="ar-SA"/>
        </w:rPr>
        <w:t xml:space="preserve"> e cabos de fio elétrico para utilização nos serviços de manutenção das Secretarias</w:t>
      </w:r>
      <w:r>
        <w:rPr>
          <w:rFonts w:eastAsia="Times New Roman" w:cs="Arial"/>
          <w:color w:val="auto"/>
          <w:kern w:val="0"/>
          <w:sz w:val="24"/>
          <w:szCs w:val="24"/>
          <w:lang w:val="pt-BR" w:eastAsia="zh-CN" w:bidi="ar-SA"/>
        </w:rPr>
        <w:t>, conforme natureza, condições, quantidades e exigências estabelecidas neste instrumento.</w:t>
      </w:r>
    </w:p>
    <w:p>
      <w:pPr>
        <w:pStyle w:val="Normal"/>
        <w:spacing w:lineRule="auto" w:line="360"/>
        <w:jc w:val="center"/>
        <w:rPr>
          <w:b/>
          <w:bCs/>
          <w:sz w:val="24"/>
          <w:szCs w:val="24"/>
        </w:rPr>
      </w:pPr>
      <w:r>
        <w:rPr>
          <w:b/>
          <w:bCs/>
          <w:sz w:val="24"/>
          <w:szCs w:val="24"/>
        </w:rPr>
        <w:t>1. DESCRIÇÃO DA NECESSIDADE</w:t>
      </w:r>
    </w:p>
    <w:p>
      <w:pPr>
        <w:pStyle w:val="Normal"/>
        <w:spacing w:lineRule="auto" w:line="360"/>
        <w:jc w:val="both"/>
        <w:rPr/>
      </w:pPr>
      <w:r>
        <w:rPr>
          <w:sz w:val="24"/>
          <w:szCs w:val="24"/>
        </w:rPr>
        <w:tab/>
      </w:r>
      <w:r>
        <w:rPr>
          <w:rFonts w:eastAsia="Times New Roman" w:cs="Arial"/>
          <w:color w:val="auto"/>
          <w:kern w:val="0"/>
          <w:sz w:val="24"/>
          <w:szCs w:val="24"/>
          <w:lang w:val="pt-BR" w:eastAsia="zh-CN" w:bidi="ar-SA"/>
        </w:rPr>
        <w:t>A presente necessidade de aquisição de cortadores de grama, roçadeiras, sopradores, motosserras e cabos de fio elétrico decorre da demanda contínua por serviços de manutenção e conservação dos espaços públicos sob responsabilidade das Secretarias Municipais. Tais equipamentos são imprescindíveis para a realização de atividades rotineiras como a roçagem de terrenos, a poda de grama e vegetação, a limpeza de folhas e resíduos, bem como o adequado fornecimento de energia elétrica às ferramentas utilizadas nessas ações.</w:t>
      </w:r>
    </w:p>
    <w:p>
      <w:pPr>
        <w:pStyle w:val="BodyText"/>
        <w:spacing w:lineRule="auto" w:line="360" w:before="0" w:after="0"/>
        <w:rPr>
          <w:rFonts w:ascii="Arial" w:hAnsi="Arial"/>
          <w:sz w:val="24"/>
          <w:szCs w:val="24"/>
        </w:rPr>
      </w:pPr>
      <w:r>
        <w:rPr>
          <w:rFonts w:ascii="Arial" w:hAnsi="Arial"/>
          <w:sz w:val="24"/>
          <w:szCs w:val="24"/>
        </w:rPr>
        <w:tab/>
        <w:t>Atualmente, a crescente extensão das áreas públicas a serem atendidas, aliada ao desgaste natural dos equipamentos já existentes, torna insuficiente o quantitativo disponível para suprir a demanda. A falta ou a deficiência desses itens compromete a qualidade e a frequência dos serviços de limpeza urbana, conservação de áreas verdes, manutenção de praças, parques, escolas, unidades de saúde, ginásios e demais equipamentos públicos.</w:t>
      </w:r>
    </w:p>
    <w:p>
      <w:pPr>
        <w:pStyle w:val="BodyText"/>
        <w:spacing w:lineRule="auto" w:line="360" w:before="0" w:after="283"/>
        <w:rPr/>
      </w:pPr>
      <w:r>
        <w:rPr>
          <w:rFonts w:ascii="Arial" w:hAnsi="Arial"/>
          <w:sz w:val="24"/>
          <w:szCs w:val="24"/>
        </w:rPr>
        <w:tab/>
        <w:t>Assim, a aquisição se faz necessária para garantir a continuidade dos serviços essenciais prestados à população, assegurando a conservação dos espaços públicos, a segurança dos cidadãos, a valorização do ambiente urbano e a eficiência da atuação das equipes de manutenção. Ressalta-se, ainda, que a reposição e o reforço do estoque desses equipamentos visam evitar a paralisação das atividades e otimizar os recursos públicos, garantindo melhores condições de trabalho e prestação de serviços</w:t>
      </w:r>
      <w:r>
        <w:rPr/>
        <w:t>.</w:t>
      </w:r>
    </w:p>
    <w:p>
      <w:pPr>
        <w:pStyle w:val="Normal"/>
        <w:spacing w:lineRule="auto" w:line="360"/>
        <w:jc w:val="both"/>
        <w:rPr>
          <w:sz w:val="24"/>
          <w:szCs w:val="24"/>
        </w:rPr>
      </w:pPr>
      <w:r>
        <w:rPr>
          <w:sz w:val="24"/>
          <w:szCs w:val="24"/>
        </w:rPr>
        <w:tab/>
      </w:r>
    </w:p>
    <w:p>
      <w:pPr>
        <w:pStyle w:val="Normal"/>
        <w:spacing w:lineRule="auto" w:line="360"/>
        <w:jc w:val="center"/>
        <w:rPr>
          <w:b/>
          <w:bCs/>
          <w:sz w:val="24"/>
          <w:szCs w:val="24"/>
        </w:rPr>
      </w:pPr>
      <w:r>
        <w:rPr>
          <w:b/>
          <w:bCs/>
          <w:sz w:val="24"/>
          <w:szCs w:val="24"/>
        </w:rPr>
        <w:t>2. ALINHAMENTO ENTRE A CONTRATAÇÃO E O PLANEJAMENTO</w:t>
      </w:r>
    </w:p>
    <w:p>
      <w:pPr>
        <w:pStyle w:val="Normal"/>
        <w:spacing w:lineRule="auto" w:line="360"/>
        <w:jc w:val="both"/>
        <w:rPr>
          <w:sz w:val="24"/>
          <w:szCs w:val="24"/>
        </w:rPr>
      </w:pPr>
      <w:r>
        <w:rPr>
          <w:sz w:val="24"/>
          <w:szCs w:val="24"/>
        </w:rPr>
        <w:tab/>
        <w:t>A contratação pretendida está prevista na Lei de Diretrizes Orçamentárias (LDO) de 2025, estando assim alinhada com o planejamento desta Administração.</w:t>
      </w:r>
    </w:p>
    <w:p>
      <w:pPr>
        <w:pStyle w:val="Normal"/>
        <w:spacing w:lineRule="auto" w:line="360"/>
        <w:jc w:val="both"/>
        <w:rPr>
          <w:sz w:val="24"/>
          <w:szCs w:val="24"/>
        </w:rPr>
      </w:pPr>
      <w:r>
        <w:rPr>
          <w:sz w:val="24"/>
          <w:szCs w:val="24"/>
        </w:rPr>
      </w:r>
    </w:p>
    <w:p>
      <w:pPr>
        <w:pStyle w:val="Normal"/>
        <w:spacing w:lineRule="auto" w:line="360"/>
        <w:jc w:val="center"/>
        <w:rPr>
          <w:b/>
          <w:bCs/>
          <w:sz w:val="24"/>
          <w:szCs w:val="24"/>
        </w:rPr>
      </w:pPr>
      <w:r>
        <w:rPr>
          <w:b/>
          <w:bCs/>
          <w:sz w:val="24"/>
          <w:szCs w:val="24"/>
        </w:rPr>
        <w:t>3. DESCRIÇÃO DOS REQUISITOS DA CONTRATAÇÃO</w:t>
      </w:r>
    </w:p>
    <w:p>
      <w:pPr>
        <w:pStyle w:val="Normal"/>
        <w:spacing w:lineRule="auto" w:line="360"/>
        <w:jc w:val="both"/>
        <w:rPr/>
      </w:pPr>
      <w:r>
        <w:rPr>
          <w:sz w:val="24"/>
          <w:szCs w:val="24"/>
        </w:rPr>
        <w:tab/>
        <w:t xml:space="preserve">Os produtos deverão ser entregues na </w:t>
      </w:r>
      <w:r>
        <w:rPr>
          <w:rFonts w:eastAsia="Calibri" w:cs="Times New Roman"/>
          <w:color w:val="000000"/>
          <w:kern w:val="0"/>
          <w:sz w:val="24"/>
          <w:szCs w:val="24"/>
          <w:shd w:fill="auto" w:val="clear"/>
          <w:lang w:val="pt-BR" w:eastAsia="zh-CN" w:bidi="ar-SA"/>
        </w:rPr>
        <w:t xml:space="preserve">Secretaria Municipal de Saúde, </w:t>
      </w:r>
      <w:r>
        <w:rPr>
          <w:rFonts w:eastAsia="Calibri" w:cs="Arial"/>
          <w:color w:val="000000"/>
          <w:kern w:val="0"/>
          <w:sz w:val="24"/>
          <w:szCs w:val="24"/>
          <w:lang w:val="pt-BR" w:eastAsia="zh-CN" w:bidi="ar-SA"/>
        </w:rPr>
        <w:t xml:space="preserve">Rua Campos Sales, 55, </w:t>
      </w:r>
      <w:r>
        <w:rPr>
          <w:rFonts w:eastAsia="Times New Roman" w:cs="Arial"/>
          <w:color w:val="000000"/>
          <w:kern w:val="0"/>
          <w:sz w:val="24"/>
          <w:szCs w:val="24"/>
          <w:shd w:fill="auto" w:val="clear"/>
          <w:lang w:val="pt-BR" w:eastAsia="zh-CN" w:bidi="ar-SA"/>
        </w:rPr>
        <w:t>Três Passos-RS</w:t>
      </w:r>
      <w:r>
        <w:rPr>
          <w:sz w:val="24"/>
          <w:szCs w:val="24"/>
        </w:rPr>
        <w:t xml:space="preserve">, de acordo com a descrição dos produtos, tendo em vista que o não atendimento dos </w:t>
      </w:r>
      <w:r>
        <w:rPr>
          <w:color w:val="000000"/>
          <w:sz w:val="24"/>
          <w:szCs w:val="24"/>
        </w:rPr>
        <w:t>padrões técnicos e de desempenho e qualidade irá resultar na aplicação das penalidades de acordo com a legislação vigente</w:t>
      </w:r>
      <w:r>
        <w:rPr>
          <w:sz w:val="24"/>
          <w:szCs w:val="24"/>
        </w:rPr>
        <w:t xml:space="preserve"> da Lei Federal nº 14.133/2021.</w:t>
      </w:r>
    </w:p>
    <w:p>
      <w:pPr>
        <w:pStyle w:val="Normal"/>
        <w:spacing w:lineRule="auto" w:line="360"/>
        <w:jc w:val="both"/>
        <w:rPr>
          <w:sz w:val="24"/>
          <w:szCs w:val="24"/>
        </w:rPr>
      </w:pPr>
      <w:r>
        <w:rPr>
          <w:sz w:val="24"/>
          <w:szCs w:val="24"/>
        </w:rPr>
        <w:tab/>
        <w:t>A contratação será realizada por meio de licitação, na modalidade Pregão, na sua forma eletrônica, com critério de julgamento por menor preço por item, nos termos dos artigos 6º, inciso XLI, 17, § 2º, e 34, todos da Lei Federal nº 14.133/2021.</w:t>
      </w:r>
    </w:p>
    <w:p>
      <w:pPr>
        <w:pStyle w:val="Normal"/>
        <w:spacing w:lineRule="auto" w:line="360"/>
        <w:jc w:val="both"/>
        <w:rPr>
          <w:sz w:val="24"/>
          <w:szCs w:val="24"/>
        </w:rPr>
      </w:pPr>
      <w:r>
        <w:rPr>
          <w:sz w:val="24"/>
          <w:szCs w:val="24"/>
        </w:rPr>
        <w:tab/>
        <w:t>Para fornecimento dos produtos pretendidos os eventuais interessados deverão comprovar que atuam em ramo de atividade compatível com o objeto da licitação, bem como apresentar os documentos a título habilitação, nos termos do art. 62 e 66, da Lei nº 14.133/2021.</w:t>
      </w:r>
    </w:p>
    <w:p>
      <w:pPr>
        <w:pStyle w:val="Normal"/>
        <w:spacing w:lineRule="auto" w:line="360"/>
        <w:jc w:val="center"/>
        <w:rPr>
          <w:b/>
          <w:bCs/>
          <w:sz w:val="24"/>
          <w:szCs w:val="24"/>
        </w:rPr>
      </w:pPr>
      <w:r>
        <w:rPr>
          <w:b/>
          <w:bCs/>
          <w:sz w:val="24"/>
          <w:szCs w:val="24"/>
        </w:rPr>
        <w:t>4. ESTIMATIVA DAS QUANTIDADES</w:t>
      </w:r>
    </w:p>
    <w:p>
      <w:pPr>
        <w:pStyle w:val="Normal"/>
        <w:spacing w:lineRule="auto" w:line="360"/>
        <w:jc w:val="both"/>
        <w:rPr/>
      </w:pPr>
      <w:r>
        <w:rPr>
          <w:sz w:val="24"/>
          <w:szCs w:val="24"/>
        </w:rPr>
        <w:tab/>
      </w:r>
      <w:r>
        <w:rPr>
          <w:rFonts w:eastAsia="Times New Roman" w:cs="Arial"/>
          <w:color w:val="auto"/>
          <w:kern w:val="0"/>
          <w:sz w:val="24"/>
          <w:szCs w:val="24"/>
          <w:lang w:val="pt-BR" w:eastAsia="zh-CN" w:bidi="ar-SA"/>
        </w:rPr>
        <w:t>Os quantitativos estimados para a contratação têm como base a necessidade do objeto para a realização de manutenção dos espaços públicos, com o objetivo de promover o embelezamento e funcionalidade desses locais.</w:t>
      </w:r>
      <w:r>
        <w:rPr>
          <w:sz w:val="24"/>
          <w:szCs w:val="24"/>
        </w:rPr>
        <w:t xml:space="preserve"> Neste sentido, segue memória de cálculo:</w:t>
      </w:r>
    </w:p>
    <w:p>
      <w:pPr>
        <w:pStyle w:val="Normal"/>
        <w:spacing w:lineRule="auto" w:line="360"/>
        <w:jc w:val="both"/>
        <w:rPr>
          <w:sz w:val="24"/>
          <w:szCs w:val="24"/>
        </w:rPr>
      </w:pPr>
      <w:r>
        <w:rPr>
          <w:sz w:val="24"/>
          <w:szCs w:val="24"/>
        </w:rPr>
      </w:r>
    </w:p>
    <w:p>
      <w:pPr>
        <w:pStyle w:val="Normal"/>
        <w:spacing w:lineRule="auto" w:line="360"/>
        <w:jc w:val="both"/>
        <w:rPr>
          <w:sz w:val="24"/>
          <w:szCs w:val="24"/>
        </w:rPr>
      </w:pPr>
      <w:r>
        <w:rPr>
          <w:sz w:val="24"/>
          <w:szCs w:val="24"/>
        </w:rPr>
      </w:r>
    </w:p>
    <w:p>
      <w:pPr>
        <w:pStyle w:val="Normal"/>
        <w:spacing w:lineRule="auto" w:line="360"/>
        <w:jc w:val="both"/>
        <w:rPr>
          <w:sz w:val="24"/>
          <w:szCs w:val="24"/>
        </w:rPr>
      </w:pPr>
      <w:r>
        <w:rPr>
          <w:sz w:val="24"/>
          <w:szCs w:val="24"/>
        </w:rPr>
      </w:r>
    </w:p>
    <w:p>
      <w:pPr>
        <w:pStyle w:val="Normal"/>
        <w:spacing w:lineRule="auto" w:line="360"/>
        <w:jc w:val="both"/>
        <w:rPr>
          <w:sz w:val="24"/>
          <w:szCs w:val="24"/>
        </w:rPr>
      </w:pPr>
      <w:r>
        <w:rPr>
          <w:sz w:val="24"/>
          <w:szCs w:val="24"/>
        </w:rPr>
      </w:r>
    </w:p>
    <w:p>
      <w:pPr>
        <w:pStyle w:val="Normal"/>
        <w:spacing w:lineRule="auto" w:line="360"/>
        <w:jc w:val="both"/>
        <w:rPr>
          <w:sz w:val="24"/>
          <w:szCs w:val="24"/>
        </w:rPr>
      </w:pPr>
      <w:r>
        <w:rPr>
          <w:sz w:val="24"/>
          <w:szCs w:val="24"/>
        </w:rPr>
      </w:r>
    </w:p>
    <w:p>
      <w:pPr>
        <w:pStyle w:val="Normal"/>
        <w:spacing w:lineRule="auto" w:line="360"/>
        <w:jc w:val="both"/>
        <w:rPr>
          <w:sz w:val="24"/>
          <w:szCs w:val="24"/>
        </w:rPr>
      </w:pPr>
      <w:r>
        <w:rPr>
          <w:sz w:val="24"/>
          <w:szCs w:val="24"/>
        </w:rPr>
      </w:r>
    </w:p>
    <w:tbl>
      <w:tblPr>
        <w:tblW w:w="11430" w:type="dxa"/>
        <w:jc w:val="left"/>
        <w:tblInd w:w="-1086" w:type="dxa"/>
        <w:tblLayout w:type="fixed"/>
        <w:tblCellMar>
          <w:top w:w="55" w:type="dxa"/>
          <w:left w:w="55" w:type="dxa"/>
          <w:bottom w:w="55" w:type="dxa"/>
          <w:right w:w="55" w:type="dxa"/>
        </w:tblCellMar>
      </w:tblPr>
      <w:tblGrid>
        <w:gridCol w:w="675"/>
        <w:gridCol w:w="5685"/>
        <w:gridCol w:w="555"/>
        <w:gridCol w:w="1080"/>
        <w:gridCol w:w="1530"/>
        <w:gridCol w:w="1904"/>
      </w:tblGrid>
      <w:tr>
        <w:trPr>
          <w:trHeight w:val="447" w:hRule="atLeast"/>
        </w:trPr>
        <w:tc>
          <w:tcPr>
            <w:tcW w:w="675" w:type="dxa"/>
            <w:tcBorders>
              <w:top w:val="single" w:sz="4" w:space="0" w:color="000000"/>
              <w:left w:val="single" w:sz="4" w:space="0" w:color="000000"/>
              <w:bottom w:val="single" w:sz="4" w:space="0" w:color="000000"/>
            </w:tcBorders>
            <w:shd w:fill="DDDDDD" w:val="clear"/>
            <w:vAlign w:val="bottom"/>
          </w:tcPr>
          <w:p>
            <w:pPr>
              <w:pStyle w:val="Normal"/>
              <w:widowControl w:val="false"/>
              <w:tabs>
                <w:tab w:val="clear" w:pos="720"/>
              </w:tabs>
              <w:jc w:val="center"/>
              <w:rPr>
                <w:sz w:val="21"/>
                <w:szCs w:val="21"/>
              </w:rPr>
            </w:pPr>
            <w:r>
              <w:rPr>
                <w:b/>
                <w:sz w:val="21"/>
                <w:szCs w:val="21"/>
              </w:rPr>
              <w:t>Item</w:t>
            </w:r>
          </w:p>
        </w:tc>
        <w:tc>
          <w:tcPr>
            <w:tcW w:w="5685" w:type="dxa"/>
            <w:tcBorders>
              <w:top w:val="single" w:sz="4" w:space="0" w:color="000000"/>
              <w:left w:val="single" w:sz="4" w:space="0" w:color="000000"/>
              <w:bottom w:val="single" w:sz="4" w:space="0" w:color="000000"/>
            </w:tcBorders>
            <w:shd w:fill="DDDDDD" w:val="clear"/>
            <w:vAlign w:val="bottom"/>
          </w:tcPr>
          <w:p>
            <w:pPr>
              <w:pStyle w:val="Normal"/>
              <w:widowControl w:val="false"/>
              <w:tabs>
                <w:tab w:val="clear" w:pos="720"/>
              </w:tabs>
              <w:jc w:val="center"/>
              <w:rPr>
                <w:sz w:val="21"/>
                <w:szCs w:val="21"/>
              </w:rPr>
            </w:pPr>
            <w:r>
              <w:rPr>
                <w:b/>
                <w:sz w:val="21"/>
                <w:szCs w:val="21"/>
              </w:rPr>
              <w:t>Descrição</w:t>
            </w:r>
          </w:p>
        </w:tc>
        <w:tc>
          <w:tcPr>
            <w:tcW w:w="555" w:type="dxa"/>
            <w:tcBorders>
              <w:top w:val="single" w:sz="4" w:space="0" w:color="000000"/>
              <w:left w:val="single" w:sz="4" w:space="0" w:color="000000"/>
              <w:bottom w:val="single" w:sz="4" w:space="0" w:color="000000"/>
            </w:tcBorders>
            <w:shd w:fill="DDDDDD" w:val="clear"/>
            <w:vAlign w:val="bottom"/>
          </w:tcPr>
          <w:p>
            <w:pPr>
              <w:pStyle w:val="Normal"/>
              <w:widowControl w:val="false"/>
              <w:tabs>
                <w:tab w:val="clear" w:pos="720"/>
              </w:tabs>
              <w:jc w:val="center"/>
              <w:rPr>
                <w:sz w:val="21"/>
                <w:szCs w:val="21"/>
              </w:rPr>
            </w:pPr>
            <w:r>
              <w:rPr>
                <w:rFonts w:eastAsia="Times New Roman" w:cs="Arial"/>
                <w:b/>
                <w:color w:val="auto"/>
                <w:kern w:val="0"/>
                <w:sz w:val="21"/>
                <w:szCs w:val="21"/>
                <w:lang w:val="pt-BR" w:eastAsia="zh-CN" w:bidi="ar-SA"/>
              </w:rPr>
              <w:t>Un</w:t>
            </w:r>
          </w:p>
        </w:tc>
        <w:tc>
          <w:tcPr>
            <w:tcW w:w="1080" w:type="dxa"/>
            <w:tcBorders>
              <w:top w:val="single" w:sz="4" w:space="0" w:color="000000"/>
              <w:left w:val="single" w:sz="4" w:space="0" w:color="000000"/>
              <w:bottom w:val="single" w:sz="4" w:space="0" w:color="000000"/>
            </w:tcBorders>
            <w:shd w:fill="DDDDDD" w:val="clear"/>
            <w:vAlign w:val="bottom"/>
          </w:tcPr>
          <w:p>
            <w:pPr>
              <w:pStyle w:val="Normal"/>
              <w:widowControl w:val="false"/>
              <w:tabs>
                <w:tab w:val="clear" w:pos="720"/>
              </w:tabs>
              <w:jc w:val="center"/>
              <w:rPr>
                <w:sz w:val="21"/>
                <w:szCs w:val="21"/>
              </w:rPr>
            </w:pPr>
            <w:r>
              <w:rPr>
                <w:rFonts w:eastAsia="Times New Roman" w:cs="Arial"/>
                <w:b/>
                <w:color w:val="auto"/>
                <w:kern w:val="0"/>
                <w:sz w:val="21"/>
                <w:szCs w:val="21"/>
                <w:lang w:val="pt-BR" w:eastAsia="zh-CN" w:bidi="ar-SA"/>
              </w:rPr>
              <w:t>Qtde</w:t>
            </w:r>
          </w:p>
        </w:tc>
        <w:tc>
          <w:tcPr>
            <w:tcW w:w="1530" w:type="dxa"/>
            <w:tcBorders>
              <w:top w:val="single" w:sz="4" w:space="0" w:color="000000"/>
              <w:left w:val="single" w:sz="4" w:space="0" w:color="000000"/>
              <w:bottom w:val="single" w:sz="4" w:space="0" w:color="000000"/>
            </w:tcBorders>
            <w:shd w:fill="DDDDDD" w:val="clear"/>
            <w:vAlign w:val="bottom"/>
          </w:tcPr>
          <w:p>
            <w:pPr>
              <w:pStyle w:val="Normal"/>
              <w:widowControl w:val="false"/>
              <w:tabs>
                <w:tab w:val="clear" w:pos="720"/>
              </w:tabs>
              <w:jc w:val="center"/>
              <w:rPr>
                <w:sz w:val="21"/>
                <w:szCs w:val="21"/>
              </w:rPr>
            </w:pPr>
            <w:r>
              <w:rPr>
                <w:b/>
                <w:sz w:val="21"/>
                <w:szCs w:val="21"/>
              </w:rPr>
              <w:t>Preço médio un.</w:t>
            </w:r>
          </w:p>
        </w:tc>
        <w:tc>
          <w:tcPr>
            <w:tcW w:w="1904" w:type="dxa"/>
            <w:tcBorders>
              <w:top w:val="single" w:sz="4" w:space="0" w:color="000000"/>
              <w:left w:val="single" w:sz="4" w:space="0" w:color="000000"/>
              <w:bottom w:val="single" w:sz="4" w:space="0" w:color="000000"/>
              <w:right w:val="single" w:sz="4" w:space="0" w:color="000000"/>
            </w:tcBorders>
            <w:shd w:fill="DDDDDD" w:val="clear"/>
            <w:vAlign w:val="bottom"/>
          </w:tcPr>
          <w:p>
            <w:pPr>
              <w:pStyle w:val="Normal"/>
              <w:widowControl w:val="false"/>
              <w:tabs>
                <w:tab w:val="clear" w:pos="720"/>
              </w:tabs>
              <w:jc w:val="center"/>
              <w:rPr>
                <w:sz w:val="21"/>
                <w:szCs w:val="21"/>
              </w:rPr>
            </w:pPr>
            <w:r>
              <w:rPr>
                <w:rFonts w:eastAsia="Times New Roman" w:cs="Arial"/>
                <w:b/>
                <w:color w:val="auto"/>
                <w:kern w:val="0"/>
                <w:sz w:val="21"/>
                <w:szCs w:val="21"/>
                <w:lang w:val="pt-BR" w:eastAsia="zh-CN" w:bidi="ar-SA"/>
              </w:rPr>
              <w:t>Preço Médio</w:t>
            </w:r>
            <w:r>
              <w:rPr>
                <w:b/>
                <w:sz w:val="21"/>
                <w:szCs w:val="21"/>
              </w:rPr>
              <w:t>Total</w:t>
            </w:r>
            <w:r>
              <w:rPr>
                <w:sz w:val="21"/>
                <w:szCs w:val="21"/>
              </w:rPr>
              <w:br/>
            </w:r>
            <w:r>
              <w:rPr>
                <w:b/>
                <w:sz w:val="21"/>
                <w:szCs w:val="21"/>
              </w:rPr>
              <w:t>(R$)</w:t>
            </w:r>
          </w:p>
        </w:tc>
      </w:tr>
      <w:tr>
        <w:trPr>
          <w:trHeight w:val="646" w:hRule="atLeast"/>
        </w:trPr>
        <w:tc>
          <w:tcPr>
            <w:tcW w:w="675" w:type="dxa"/>
            <w:tcBorders>
              <w:left w:val="single" w:sz="4" w:space="0" w:color="000000"/>
              <w:bottom w:val="single" w:sz="4" w:space="0" w:color="000000"/>
            </w:tcBorders>
            <w:vAlign w:val="bottom"/>
          </w:tcPr>
          <w:p>
            <w:pPr>
              <w:pStyle w:val="Normal"/>
              <w:widowControl w:val="false"/>
              <w:tabs>
                <w:tab w:val="clear" w:pos="720"/>
              </w:tabs>
              <w:jc w:val="center"/>
              <w:rPr>
                <w:sz w:val="21"/>
                <w:szCs w:val="21"/>
              </w:rPr>
            </w:pPr>
            <w:r>
              <w:rPr>
                <w:sz w:val="21"/>
                <w:szCs w:val="21"/>
              </w:rPr>
              <w:t>01</w:t>
            </w:r>
          </w:p>
        </w:tc>
        <w:tc>
          <w:tcPr>
            <w:tcW w:w="5685" w:type="dxa"/>
            <w:tcBorders>
              <w:left w:val="single" w:sz="4" w:space="0" w:color="000000"/>
              <w:bottom w:val="single" w:sz="4" w:space="0" w:color="000000"/>
            </w:tcBorders>
            <w:vAlign w:val="bottom"/>
          </w:tcPr>
          <w:p>
            <w:pPr>
              <w:pStyle w:val="Normal"/>
              <w:widowControl w:val="false"/>
              <w:suppressAutoHyphens w:val="true"/>
              <w:spacing w:lineRule="auto" w:line="240" w:before="0" w:after="0"/>
              <w:jc w:val="both"/>
              <w:rPr>
                <w:sz w:val="21"/>
                <w:szCs w:val="21"/>
              </w:rPr>
            </w:pPr>
            <w:r>
              <w:rPr>
                <w:rFonts w:eastAsia="Times New Roman" w:cs="Arial"/>
                <w:b w:val="false"/>
                <w:bCs w:val="false"/>
                <w:color w:val="000000"/>
                <w:kern w:val="0"/>
                <w:sz w:val="21"/>
                <w:szCs w:val="21"/>
                <w:lang w:val="pt-BR" w:eastAsia="zh-CN" w:bidi="ar-SA"/>
              </w:rPr>
              <w:t xml:space="preserve">Cortador de grama á gasolina, </w:t>
            </w:r>
            <w:r>
              <w:rPr>
                <w:rFonts w:eastAsia="Times New Roman" w:cs="Arial"/>
                <w:b w:val="false"/>
                <w:bCs w:val="false"/>
                <w:color w:val="000000"/>
                <w:kern w:val="0"/>
                <w:sz w:val="21"/>
                <w:szCs w:val="21"/>
                <w:lang w:val="pt-BR" w:eastAsia="zh-CN" w:bidi="ar-SA"/>
              </w:rPr>
              <w:t xml:space="preserve">mínimo </w:t>
            </w:r>
            <w:r>
              <w:rPr>
                <w:rFonts w:eastAsia="Times New Roman" w:cs="Arial"/>
                <w:b w:val="false"/>
                <w:bCs w:val="false"/>
                <w:color w:val="000000"/>
                <w:kern w:val="0"/>
                <w:sz w:val="21"/>
                <w:szCs w:val="21"/>
                <w:lang w:val="pt-BR" w:eastAsia="zh-CN" w:bidi="ar-SA"/>
              </w:rPr>
              <w:t>3,5hp, motor 4 tempos, com afogador manual, válvula de combustível, cabo ergonômico dobrável, base em chapa de aço, lâmina em aço especial, regulagem de altura mínimo 2,</w:t>
            </w:r>
            <w:r>
              <w:rPr>
                <w:rFonts w:eastAsia="Times New Roman" w:cs="Arial"/>
                <w:b w:val="false"/>
                <w:bCs w:val="false"/>
                <w:color w:val="000000"/>
                <w:kern w:val="0"/>
                <w:sz w:val="21"/>
                <w:szCs w:val="21"/>
                <w:lang w:val="pt-BR" w:eastAsia="zh-CN" w:bidi="ar-SA"/>
              </w:rPr>
              <w:t>4</w:t>
            </w:r>
            <w:r>
              <w:rPr>
                <w:rFonts w:eastAsia="Times New Roman" w:cs="Arial"/>
                <w:b w:val="false"/>
                <w:bCs w:val="false"/>
                <w:color w:val="000000"/>
                <w:kern w:val="0"/>
                <w:sz w:val="21"/>
                <w:szCs w:val="21"/>
                <w:lang w:val="pt-BR" w:eastAsia="zh-CN" w:bidi="ar-SA"/>
              </w:rPr>
              <w:t xml:space="preserve"> </w:t>
            </w:r>
            <w:r>
              <w:rPr>
                <w:rFonts w:eastAsia="Times New Roman" w:cs="Arial"/>
                <w:b w:val="false"/>
                <w:bCs w:val="false"/>
                <w:color w:val="000000"/>
                <w:kern w:val="0"/>
                <w:sz w:val="21"/>
                <w:szCs w:val="21"/>
                <w:lang w:val="pt-BR" w:eastAsia="zh-CN" w:bidi="ar-SA"/>
              </w:rPr>
              <w:t>e máximo de</w:t>
            </w:r>
            <w:r>
              <w:rPr>
                <w:rFonts w:eastAsia="Times New Roman" w:cs="Arial"/>
                <w:b w:val="false"/>
                <w:bCs w:val="false"/>
                <w:color w:val="000000"/>
                <w:kern w:val="0"/>
                <w:sz w:val="21"/>
                <w:szCs w:val="21"/>
                <w:lang w:val="pt-BR" w:eastAsia="zh-CN" w:bidi="ar-SA"/>
              </w:rPr>
              <w:t xml:space="preserve"> 8,9 cm, capacidade de tanque mínimo 0,8l, faixa de corte mínimo 42cm e recolhedor lateral.</w:t>
            </w:r>
          </w:p>
        </w:tc>
        <w:tc>
          <w:tcPr>
            <w:tcW w:w="555" w:type="dxa"/>
            <w:tcBorders>
              <w:left w:val="single" w:sz="4" w:space="0" w:color="000000"/>
              <w:bottom w:val="single" w:sz="4" w:space="0" w:color="000000"/>
            </w:tcBorders>
            <w:vAlign w:val="bottom"/>
          </w:tcPr>
          <w:p>
            <w:pPr>
              <w:pStyle w:val="Normal"/>
              <w:widowControl w:val="false"/>
              <w:tabs>
                <w:tab w:val="clear" w:pos="720"/>
              </w:tabs>
              <w:jc w:val="right"/>
              <w:rPr>
                <w:sz w:val="21"/>
                <w:szCs w:val="21"/>
              </w:rPr>
            </w:pPr>
            <w:r>
              <w:rPr>
                <w:sz w:val="21"/>
                <w:szCs w:val="21"/>
              </w:rPr>
              <w:t>UN.</w:t>
            </w:r>
          </w:p>
        </w:tc>
        <w:tc>
          <w:tcPr>
            <w:tcW w:w="1080" w:type="dxa"/>
            <w:tcBorders>
              <w:left w:val="single" w:sz="4" w:space="0" w:color="000000"/>
              <w:bottom w:val="single" w:sz="4" w:space="0" w:color="000000"/>
            </w:tcBorders>
            <w:vAlign w:val="bottom"/>
          </w:tcPr>
          <w:p>
            <w:pPr>
              <w:pStyle w:val="Contedodatabela"/>
              <w:widowControl w:val="false"/>
              <w:jc w:val="center"/>
              <w:rPr>
                <w:sz w:val="21"/>
                <w:szCs w:val="21"/>
              </w:rPr>
            </w:pPr>
            <w:r>
              <w:rPr>
                <w:color w:val="000000"/>
                <w:sz w:val="21"/>
                <w:szCs w:val="21"/>
              </w:rPr>
              <w:t>10</w:t>
            </w:r>
          </w:p>
        </w:tc>
        <w:tc>
          <w:tcPr>
            <w:tcW w:w="1530" w:type="dxa"/>
            <w:tcBorders>
              <w:left w:val="single" w:sz="4" w:space="0" w:color="000000"/>
              <w:bottom w:val="single" w:sz="4" w:space="0" w:color="000000"/>
            </w:tcBorders>
            <w:vAlign w:val="bottom"/>
          </w:tcPr>
          <w:p>
            <w:pPr>
              <w:pStyle w:val="Header"/>
              <w:tabs>
                <w:tab w:val="clear" w:pos="4419"/>
                <w:tab w:val="clear" w:pos="8838"/>
              </w:tabs>
              <w:snapToGrid w:val="false"/>
              <w:spacing w:lineRule="auto" w:line="360" w:before="0" w:after="0"/>
              <w:jc w:val="center"/>
              <w:rPr>
                <w:rFonts w:ascii="Arial" w:hAnsi="Arial"/>
                <w:sz w:val="21"/>
                <w:szCs w:val="21"/>
              </w:rPr>
            </w:pPr>
            <w:r>
              <w:rPr>
                <w:sz w:val="21"/>
                <w:szCs w:val="21"/>
              </w:rPr>
            </w:r>
          </w:p>
          <w:p>
            <w:pPr>
              <w:pStyle w:val="Header"/>
              <w:tabs>
                <w:tab w:val="clear" w:pos="4419"/>
                <w:tab w:val="clear" w:pos="8838"/>
              </w:tabs>
              <w:snapToGrid w:val="false"/>
              <w:spacing w:lineRule="auto" w:line="360" w:before="0" w:after="0"/>
              <w:jc w:val="center"/>
              <w:rPr>
                <w:sz w:val="21"/>
                <w:szCs w:val="21"/>
              </w:rPr>
            </w:pPr>
            <w:r>
              <w:rPr>
                <w:sz w:val="21"/>
                <w:szCs w:val="21"/>
              </w:rPr>
              <w:t xml:space="preserve">R$ </w:t>
            </w:r>
            <w:r>
              <w:rPr>
                <w:sz w:val="21"/>
                <w:szCs w:val="21"/>
              </w:rPr>
              <w:t>2.400,00</w:t>
            </w:r>
          </w:p>
        </w:tc>
        <w:tc>
          <w:tcPr>
            <w:tcW w:w="1904" w:type="dxa"/>
            <w:tcBorders>
              <w:left w:val="single" w:sz="4" w:space="0" w:color="000000"/>
              <w:bottom w:val="single" w:sz="4" w:space="0" w:color="000000"/>
              <w:right w:val="single" w:sz="4" w:space="0" w:color="000000"/>
            </w:tcBorders>
            <w:vAlign w:val="bottom"/>
          </w:tcPr>
          <w:p>
            <w:pPr>
              <w:pStyle w:val="Header"/>
              <w:tabs>
                <w:tab w:val="clear" w:pos="4419"/>
                <w:tab w:val="clear" w:pos="8838"/>
              </w:tabs>
              <w:snapToGrid w:val="false"/>
              <w:spacing w:lineRule="auto" w:line="360"/>
              <w:jc w:val="both"/>
              <w:rPr>
                <w:rFonts w:ascii="Arial" w:hAnsi="Arial"/>
                <w:sz w:val="21"/>
                <w:szCs w:val="21"/>
              </w:rPr>
            </w:pPr>
            <w:r>
              <w:rPr>
                <w:sz w:val="21"/>
                <w:szCs w:val="21"/>
              </w:rPr>
            </w:r>
          </w:p>
          <w:p>
            <w:pPr>
              <w:pStyle w:val="Header"/>
              <w:tabs>
                <w:tab w:val="clear" w:pos="4419"/>
                <w:tab w:val="clear" w:pos="8838"/>
              </w:tabs>
              <w:snapToGrid w:val="false"/>
              <w:spacing w:lineRule="auto" w:line="360"/>
              <w:jc w:val="both"/>
              <w:rPr>
                <w:sz w:val="21"/>
                <w:szCs w:val="21"/>
              </w:rPr>
            </w:pPr>
            <w:r>
              <w:rPr>
                <w:sz w:val="21"/>
                <w:szCs w:val="21"/>
              </w:rPr>
              <w:t xml:space="preserve">R$ </w:t>
            </w:r>
            <w:r>
              <w:rPr>
                <w:sz w:val="21"/>
                <w:szCs w:val="21"/>
              </w:rPr>
              <w:t>24.000,00</w:t>
            </w:r>
          </w:p>
        </w:tc>
      </w:tr>
      <w:tr>
        <w:trPr>
          <w:trHeight w:val="1179" w:hRule="atLeast"/>
        </w:trPr>
        <w:tc>
          <w:tcPr>
            <w:tcW w:w="675" w:type="dxa"/>
            <w:tcBorders>
              <w:left w:val="single" w:sz="4" w:space="0" w:color="000000"/>
              <w:bottom w:val="single" w:sz="4" w:space="0" w:color="000000"/>
            </w:tcBorders>
            <w:vAlign w:val="bottom"/>
          </w:tcPr>
          <w:p>
            <w:pPr>
              <w:pStyle w:val="Normal"/>
              <w:widowControl w:val="false"/>
              <w:tabs>
                <w:tab w:val="clear" w:pos="720"/>
              </w:tabs>
              <w:jc w:val="center"/>
              <w:rPr>
                <w:sz w:val="21"/>
                <w:szCs w:val="21"/>
              </w:rPr>
            </w:pPr>
            <w:r>
              <w:rPr>
                <w:sz w:val="21"/>
                <w:szCs w:val="21"/>
              </w:rPr>
              <w:t>02</w:t>
            </w:r>
          </w:p>
        </w:tc>
        <w:tc>
          <w:tcPr>
            <w:tcW w:w="5685" w:type="dxa"/>
            <w:tcBorders>
              <w:left w:val="single" w:sz="4" w:space="0" w:color="000000"/>
              <w:bottom w:val="single" w:sz="4" w:space="0" w:color="000000"/>
            </w:tcBorders>
            <w:vAlign w:val="bottom"/>
          </w:tcPr>
          <w:p>
            <w:pPr>
              <w:pStyle w:val="Normal"/>
              <w:tabs>
                <w:tab w:val="clear" w:pos="720"/>
                <w:tab w:val="left" w:pos="-1800" w:leader="none"/>
              </w:tabs>
              <w:spacing w:lineRule="auto" w:line="360" w:before="120" w:after="0"/>
              <w:ind w:left="170" w:right="113"/>
              <w:jc w:val="both"/>
              <w:rPr>
                <w:sz w:val="21"/>
                <w:szCs w:val="21"/>
              </w:rPr>
            </w:pPr>
            <w:r>
              <w:rPr>
                <w:sz w:val="21"/>
                <w:szCs w:val="21"/>
              </w:rPr>
              <w:t>Roçadeira à gasolina; Potência mínima (kW/CV)1,25 / 1,7; motor de 2 tempos;  capacidade do tanque de no mínimo 0,64L;</w:t>
            </w:r>
          </w:p>
        </w:tc>
        <w:tc>
          <w:tcPr>
            <w:tcW w:w="555" w:type="dxa"/>
            <w:tcBorders>
              <w:left w:val="single" w:sz="4" w:space="0" w:color="000000"/>
              <w:bottom w:val="single" w:sz="4" w:space="0" w:color="000000"/>
            </w:tcBorders>
            <w:vAlign w:val="bottom"/>
          </w:tcPr>
          <w:p>
            <w:pPr>
              <w:pStyle w:val="Normal"/>
              <w:widowControl w:val="false"/>
              <w:tabs>
                <w:tab w:val="clear" w:pos="720"/>
              </w:tabs>
              <w:jc w:val="right"/>
              <w:rPr>
                <w:sz w:val="21"/>
                <w:szCs w:val="21"/>
              </w:rPr>
            </w:pPr>
            <w:r>
              <w:rPr>
                <w:sz w:val="21"/>
                <w:szCs w:val="21"/>
              </w:rPr>
              <w:t>UN.</w:t>
            </w:r>
          </w:p>
        </w:tc>
        <w:tc>
          <w:tcPr>
            <w:tcW w:w="1080" w:type="dxa"/>
            <w:tcBorders>
              <w:left w:val="single" w:sz="4" w:space="0" w:color="000000"/>
              <w:bottom w:val="single" w:sz="4" w:space="0" w:color="000000"/>
            </w:tcBorders>
            <w:vAlign w:val="bottom"/>
          </w:tcPr>
          <w:p>
            <w:pPr>
              <w:pStyle w:val="Contedodatabela"/>
              <w:widowControl w:val="false"/>
              <w:jc w:val="center"/>
              <w:rPr>
                <w:sz w:val="21"/>
                <w:szCs w:val="21"/>
              </w:rPr>
            </w:pPr>
            <w:r>
              <w:rPr>
                <w:color w:val="000000"/>
                <w:sz w:val="21"/>
                <w:szCs w:val="21"/>
              </w:rPr>
              <w:t>10</w:t>
            </w:r>
          </w:p>
        </w:tc>
        <w:tc>
          <w:tcPr>
            <w:tcW w:w="1530" w:type="dxa"/>
            <w:tcBorders>
              <w:left w:val="single" w:sz="4" w:space="0" w:color="000000"/>
              <w:bottom w:val="single" w:sz="4" w:space="0" w:color="000000"/>
            </w:tcBorders>
            <w:vAlign w:val="bottom"/>
          </w:tcPr>
          <w:p>
            <w:pPr>
              <w:pStyle w:val="Header"/>
              <w:tabs>
                <w:tab w:val="clear" w:pos="4419"/>
                <w:tab w:val="clear" w:pos="8838"/>
              </w:tabs>
              <w:snapToGrid w:val="false"/>
              <w:spacing w:lineRule="auto" w:line="360"/>
              <w:jc w:val="center"/>
              <w:rPr>
                <w:sz w:val="21"/>
                <w:szCs w:val="21"/>
              </w:rPr>
            </w:pPr>
            <w:r>
              <w:rPr>
                <w:sz w:val="21"/>
                <w:szCs w:val="21"/>
              </w:rPr>
              <w:t>R$ 1.611,72</w:t>
            </w:r>
          </w:p>
        </w:tc>
        <w:tc>
          <w:tcPr>
            <w:tcW w:w="1904" w:type="dxa"/>
            <w:tcBorders>
              <w:left w:val="single" w:sz="4" w:space="0" w:color="000000"/>
              <w:bottom w:val="single" w:sz="4" w:space="0" w:color="000000"/>
              <w:right w:val="single" w:sz="4" w:space="0" w:color="000000"/>
            </w:tcBorders>
            <w:vAlign w:val="bottom"/>
          </w:tcPr>
          <w:p>
            <w:pPr>
              <w:pStyle w:val="Header"/>
              <w:tabs>
                <w:tab w:val="clear" w:pos="4419"/>
                <w:tab w:val="clear" w:pos="8838"/>
              </w:tabs>
              <w:snapToGrid w:val="false"/>
              <w:spacing w:lineRule="auto" w:line="360"/>
              <w:jc w:val="both"/>
              <w:rPr>
                <w:sz w:val="21"/>
                <w:szCs w:val="21"/>
              </w:rPr>
            </w:pPr>
            <w:r>
              <w:rPr>
                <w:sz w:val="21"/>
                <w:szCs w:val="21"/>
              </w:rPr>
              <w:t>R$ 16.117,20</w:t>
            </w:r>
          </w:p>
        </w:tc>
      </w:tr>
      <w:tr>
        <w:trPr>
          <w:trHeight w:val="1359" w:hRule="atLeast"/>
        </w:trPr>
        <w:tc>
          <w:tcPr>
            <w:tcW w:w="675" w:type="dxa"/>
            <w:tcBorders>
              <w:left w:val="single" w:sz="4" w:space="0" w:color="000000"/>
              <w:bottom w:val="single" w:sz="4" w:space="0" w:color="000000"/>
            </w:tcBorders>
            <w:vAlign w:val="bottom"/>
          </w:tcPr>
          <w:p>
            <w:pPr>
              <w:pStyle w:val="Normal"/>
              <w:widowControl w:val="false"/>
              <w:tabs>
                <w:tab w:val="clear" w:pos="720"/>
              </w:tabs>
              <w:jc w:val="center"/>
              <w:rPr>
                <w:sz w:val="21"/>
                <w:szCs w:val="21"/>
              </w:rPr>
            </w:pPr>
            <w:r>
              <w:rPr>
                <w:sz w:val="21"/>
                <w:szCs w:val="21"/>
              </w:rPr>
              <w:t>03</w:t>
            </w:r>
          </w:p>
        </w:tc>
        <w:tc>
          <w:tcPr>
            <w:tcW w:w="5685" w:type="dxa"/>
            <w:tcBorders>
              <w:left w:val="single" w:sz="4" w:space="0" w:color="000000"/>
              <w:bottom w:val="single" w:sz="4" w:space="0" w:color="000000"/>
            </w:tcBorders>
            <w:vAlign w:val="bottom"/>
          </w:tcPr>
          <w:p>
            <w:pPr>
              <w:pStyle w:val="Normal"/>
              <w:tabs>
                <w:tab w:val="clear" w:pos="720"/>
                <w:tab w:val="left" w:pos="-1800" w:leader="none"/>
              </w:tabs>
              <w:spacing w:lineRule="auto" w:line="360" w:before="120" w:after="0"/>
              <w:ind w:right="113"/>
              <w:jc w:val="both"/>
              <w:rPr>
                <w:sz w:val="21"/>
                <w:szCs w:val="21"/>
              </w:rPr>
            </w:pPr>
            <w:r>
              <w:rPr>
                <w:sz w:val="21"/>
                <w:szCs w:val="21"/>
              </w:rPr>
              <w:t>Soprador/aspirador; motor de mínimo 1 cv de potência, 2 tempos; vazão máxima de sopro de no mínimo 612 m³/h; com saco de coleta.</w:t>
            </w:r>
          </w:p>
        </w:tc>
        <w:tc>
          <w:tcPr>
            <w:tcW w:w="555" w:type="dxa"/>
            <w:tcBorders>
              <w:left w:val="single" w:sz="4" w:space="0" w:color="000000"/>
              <w:bottom w:val="single" w:sz="4" w:space="0" w:color="000000"/>
            </w:tcBorders>
            <w:vAlign w:val="bottom"/>
          </w:tcPr>
          <w:p>
            <w:pPr>
              <w:pStyle w:val="Normal"/>
              <w:widowControl w:val="false"/>
              <w:tabs>
                <w:tab w:val="clear" w:pos="720"/>
              </w:tabs>
              <w:jc w:val="right"/>
              <w:rPr>
                <w:sz w:val="21"/>
                <w:szCs w:val="21"/>
              </w:rPr>
            </w:pPr>
            <w:r>
              <w:rPr>
                <w:sz w:val="21"/>
                <w:szCs w:val="21"/>
              </w:rPr>
              <w:t>UN.</w:t>
            </w:r>
          </w:p>
        </w:tc>
        <w:tc>
          <w:tcPr>
            <w:tcW w:w="1080" w:type="dxa"/>
            <w:tcBorders>
              <w:left w:val="single" w:sz="4" w:space="0" w:color="000000"/>
              <w:bottom w:val="single" w:sz="4" w:space="0" w:color="000000"/>
            </w:tcBorders>
            <w:vAlign w:val="bottom"/>
          </w:tcPr>
          <w:p>
            <w:pPr>
              <w:pStyle w:val="Contedodatabela"/>
              <w:widowControl w:val="false"/>
              <w:jc w:val="center"/>
              <w:rPr>
                <w:sz w:val="21"/>
                <w:szCs w:val="21"/>
              </w:rPr>
            </w:pPr>
            <w:r>
              <w:rPr>
                <w:color w:val="000000"/>
                <w:sz w:val="21"/>
                <w:szCs w:val="21"/>
              </w:rPr>
              <w:t>10</w:t>
            </w:r>
          </w:p>
        </w:tc>
        <w:tc>
          <w:tcPr>
            <w:tcW w:w="1530" w:type="dxa"/>
            <w:tcBorders>
              <w:left w:val="single" w:sz="4" w:space="0" w:color="000000"/>
              <w:bottom w:val="single" w:sz="4" w:space="0" w:color="000000"/>
            </w:tcBorders>
            <w:vAlign w:val="bottom"/>
          </w:tcPr>
          <w:p>
            <w:pPr>
              <w:pStyle w:val="Header"/>
              <w:tabs>
                <w:tab w:val="clear" w:pos="4419"/>
                <w:tab w:val="clear" w:pos="8838"/>
              </w:tabs>
              <w:snapToGrid w:val="false"/>
              <w:spacing w:lineRule="auto" w:line="360"/>
              <w:jc w:val="center"/>
              <w:rPr>
                <w:sz w:val="21"/>
                <w:szCs w:val="21"/>
              </w:rPr>
            </w:pPr>
            <w:r>
              <w:rPr>
                <w:sz w:val="21"/>
                <w:szCs w:val="21"/>
              </w:rPr>
              <w:t>R$ 2.154,57</w:t>
            </w:r>
          </w:p>
        </w:tc>
        <w:tc>
          <w:tcPr>
            <w:tcW w:w="1904" w:type="dxa"/>
            <w:tcBorders>
              <w:left w:val="single" w:sz="4" w:space="0" w:color="000000"/>
              <w:bottom w:val="single" w:sz="4" w:space="0" w:color="000000"/>
              <w:right w:val="single" w:sz="4" w:space="0" w:color="000000"/>
            </w:tcBorders>
            <w:vAlign w:val="bottom"/>
          </w:tcPr>
          <w:p>
            <w:pPr>
              <w:pStyle w:val="Header"/>
              <w:tabs>
                <w:tab w:val="clear" w:pos="4419"/>
                <w:tab w:val="clear" w:pos="8838"/>
              </w:tabs>
              <w:snapToGrid w:val="false"/>
              <w:spacing w:lineRule="auto" w:line="360"/>
              <w:jc w:val="both"/>
              <w:rPr>
                <w:sz w:val="21"/>
                <w:szCs w:val="21"/>
              </w:rPr>
            </w:pPr>
            <w:r>
              <w:rPr>
                <w:sz w:val="21"/>
                <w:szCs w:val="21"/>
              </w:rPr>
              <w:t>R$ 21.545,70</w:t>
            </w:r>
          </w:p>
        </w:tc>
      </w:tr>
      <w:tr>
        <w:trPr>
          <w:trHeight w:val="1098" w:hRule="atLeast"/>
        </w:trPr>
        <w:tc>
          <w:tcPr>
            <w:tcW w:w="675" w:type="dxa"/>
            <w:tcBorders>
              <w:left w:val="single" w:sz="4" w:space="0" w:color="000000"/>
              <w:bottom w:val="single" w:sz="4" w:space="0" w:color="000000"/>
            </w:tcBorders>
            <w:vAlign w:val="bottom"/>
          </w:tcPr>
          <w:p>
            <w:pPr>
              <w:pStyle w:val="Normal"/>
              <w:widowControl w:val="false"/>
              <w:tabs>
                <w:tab w:val="clear" w:pos="720"/>
              </w:tabs>
              <w:jc w:val="center"/>
              <w:rPr>
                <w:sz w:val="21"/>
                <w:szCs w:val="21"/>
              </w:rPr>
            </w:pPr>
            <w:r>
              <w:rPr>
                <w:sz w:val="21"/>
                <w:szCs w:val="21"/>
              </w:rPr>
              <w:t>04</w:t>
            </w:r>
          </w:p>
        </w:tc>
        <w:tc>
          <w:tcPr>
            <w:tcW w:w="5685" w:type="dxa"/>
            <w:tcBorders>
              <w:left w:val="single" w:sz="4" w:space="0" w:color="000000"/>
              <w:bottom w:val="single" w:sz="4" w:space="0" w:color="000000"/>
            </w:tcBorders>
            <w:vAlign w:val="bottom"/>
          </w:tcPr>
          <w:p>
            <w:pPr>
              <w:pStyle w:val="Normal"/>
              <w:tabs>
                <w:tab w:val="clear" w:pos="720"/>
                <w:tab w:val="left" w:pos="-1800" w:leader="none"/>
              </w:tabs>
              <w:spacing w:lineRule="auto" w:line="360" w:before="0" w:after="0"/>
              <w:ind w:right="113"/>
              <w:jc w:val="both"/>
              <w:rPr>
                <w:sz w:val="21"/>
                <w:szCs w:val="21"/>
              </w:rPr>
            </w:pPr>
            <w:r>
              <w:rPr>
                <w:sz w:val="21"/>
                <w:szCs w:val="21"/>
              </w:rPr>
              <w:t>Cabo PP 2 X 1,5 mm para fio elétrico, com registro e certificação INMETRO</w:t>
            </w:r>
          </w:p>
        </w:tc>
        <w:tc>
          <w:tcPr>
            <w:tcW w:w="555" w:type="dxa"/>
            <w:tcBorders>
              <w:left w:val="single" w:sz="4" w:space="0" w:color="000000"/>
              <w:bottom w:val="single" w:sz="4" w:space="0" w:color="000000"/>
            </w:tcBorders>
            <w:vAlign w:val="bottom"/>
          </w:tcPr>
          <w:p>
            <w:pPr>
              <w:pStyle w:val="Normal"/>
              <w:widowControl w:val="false"/>
              <w:tabs>
                <w:tab w:val="clear" w:pos="720"/>
              </w:tabs>
              <w:jc w:val="right"/>
              <w:rPr>
                <w:sz w:val="21"/>
                <w:szCs w:val="21"/>
              </w:rPr>
            </w:pPr>
            <w:r>
              <w:rPr>
                <w:sz w:val="21"/>
                <w:szCs w:val="21"/>
              </w:rPr>
              <w:t>m.</w:t>
            </w:r>
          </w:p>
        </w:tc>
        <w:tc>
          <w:tcPr>
            <w:tcW w:w="1080" w:type="dxa"/>
            <w:tcBorders>
              <w:left w:val="single" w:sz="4" w:space="0" w:color="000000"/>
              <w:bottom w:val="single" w:sz="4" w:space="0" w:color="000000"/>
            </w:tcBorders>
            <w:vAlign w:val="bottom"/>
          </w:tcPr>
          <w:p>
            <w:pPr>
              <w:pStyle w:val="Contedodatabela"/>
              <w:widowControl w:val="false"/>
              <w:jc w:val="center"/>
              <w:rPr>
                <w:sz w:val="21"/>
                <w:szCs w:val="21"/>
              </w:rPr>
            </w:pPr>
            <w:r>
              <w:rPr>
                <w:color w:val="000000"/>
                <w:sz w:val="21"/>
                <w:szCs w:val="21"/>
              </w:rPr>
              <w:t>1000</w:t>
            </w:r>
          </w:p>
        </w:tc>
        <w:tc>
          <w:tcPr>
            <w:tcW w:w="1530" w:type="dxa"/>
            <w:tcBorders>
              <w:left w:val="single" w:sz="4" w:space="0" w:color="000000"/>
              <w:bottom w:val="single" w:sz="4" w:space="0" w:color="000000"/>
            </w:tcBorders>
            <w:vAlign w:val="bottom"/>
          </w:tcPr>
          <w:p>
            <w:pPr>
              <w:pStyle w:val="Header"/>
              <w:tabs>
                <w:tab w:val="clear" w:pos="4419"/>
                <w:tab w:val="clear" w:pos="8838"/>
              </w:tabs>
              <w:snapToGrid w:val="false"/>
              <w:spacing w:lineRule="auto" w:line="360" w:before="0" w:after="0"/>
              <w:jc w:val="center"/>
              <w:rPr>
                <w:sz w:val="21"/>
                <w:szCs w:val="21"/>
              </w:rPr>
            </w:pPr>
            <w:r>
              <w:rPr>
                <w:sz w:val="21"/>
                <w:szCs w:val="21"/>
              </w:rPr>
              <w:t>R$ 4,69</w:t>
            </w:r>
          </w:p>
          <w:p>
            <w:pPr>
              <w:pStyle w:val="Normal"/>
              <w:spacing w:lineRule="auto" w:line="360"/>
              <w:jc w:val="center"/>
              <w:rPr>
                <w:rFonts w:ascii="Arial" w:hAnsi="Arial"/>
                <w:sz w:val="21"/>
                <w:szCs w:val="21"/>
                <w:lang w:eastAsia="en-US"/>
              </w:rPr>
            </w:pPr>
            <w:r>
              <w:rPr>
                <w:sz w:val="21"/>
                <w:szCs w:val="21"/>
                <w:lang w:eastAsia="en-US"/>
              </w:rPr>
            </w:r>
          </w:p>
          <w:p>
            <w:pPr>
              <w:pStyle w:val="Normal"/>
              <w:spacing w:lineRule="auto" w:line="360"/>
              <w:jc w:val="center"/>
              <w:rPr>
                <w:rFonts w:ascii="Arial" w:hAnsi="Arial"/>
                <w:sz w:val="21"/>
                <w:szCs w:val="21"/>
                <w:lang w:eastAsia="en-US"/>
              </w:rPr>
            </w:pPr>
            <w:r>
              <w:rPr>
                <w:sz w:val="21"/>
                <w:szCs w:val="21"/>
                <w:lang w:eastAsia="en-US"/>
              </w:rPr>
            </w:r>
          </w:p>
        </w:tc>
        <w:tc>
          <w:tcPr>
            <w:tcW w:w="1904" w:type="dxa"/>
            <w:tcBorders>
              <w:left w:val="single" w:sz="4" w:space="0" w:color="000000"/>
              <w:bottom w:val="single" w:sz="4" w:space="0" w:color="000000"/>
              <w:right w:val="single" w:sz="4" w:space="0" w:color="000000"/>
            </w:tcBorders>
            <w:vAlign w:val="bottom"/>
          </w:tcPr>
          <w:p>
            <w:pPr>
              <w:pStyle w:val="Header"/>
              <w:tabs>
                <w:tab w:val="clear" w:pos="4419"/>
                <w:tab w:val="clear" w:pos="8838"/>
              </w:tabs>
              <w:snapToGrid w:val="false"/>
              <w:spacing w:lineRule="auto" w:line="360"/>
              <w:jc w:val="both"/>
              <w:rPr>
                <w:sz w:val="21"/>
                <w:szCs w:val="21"/>
              </w:rPr>
            </w:pPr>
            <w:r>
              <w:rPr>
                <w:sz w:val="21"/>
                <w:szCs w:val="21"/>
              </w:rPr>
              <w:t>R$ 4.690,00</w:t>
            </w:r>
          </w:p>
        </w:tc>
      </w:tr>
      <w:tr>
        <w:trPr>
          <w:trHeight w:val="954" w:hRule="atLeast"/>
        </w:trPr>
        <w:tc>
          <w:tcPr>
            <w:tcW w:w="675" w:type="dxa"/>
            <w:tcBorders>
              <w:left w:val="single" w:sz="4" w:space="0" w:color="000000"/>
              <w:bottom w:val="single" w:sz="4" w:space="0" w:color="000000"/>
            </w:tcBorders>
            <w:vAlign w:val="bottom"/>
          </w:tcPr>
          <w:p>
            <w:pPr>
              <w:pStyle w:val="Normal"/>
              <w:widowControl w:val="false"/>
              <w:tabs>
                <w:tab w:val="clear" w:pos="720"/>
              </w:tabs>
              <w:jc w:val="center"/>
              <w:rPr>
                <w:sz w:val="21"/>
                <w:szCs w:val="21"/>
              </w:rPr>
            </w:pPr>
            <w:r>
              <w:rPr>
                <w:sz w:val="21"/>
                <w:szCs w:val="21"/>
              </w:rPr>
              <w:t>05</w:t>
            </w:r>
          </w:p>
        </w:tc>
        <w:tc>
          <w:tcPr>
            <w:tcW w:w="5685" w:type="dxa"/>
            <w:tcBorders>
              <w:left w:val="single" w:sz="4" w:space="0" w:color="000000"/>
              <w:bottom w:val="single" w:sz="4" w:space="0" w:color="000000"/>
            </w:tcBorders>
            <w:vAlign w:val="bottom"/>
          </w:tcPr>
          <w:p>
            <w:pPr>
              <w:pStyle w:val="Normal"/>
              <w:tabs>
                <w:tab w:val="clear" w:pos="720"/>
                <w:tab w:val="left" w:pos="-1800" w:leader="none"/>
              </w:tabs>
              <w:spacing w:lineRule="auto" w:line="360" w:before="0" w:after="0"/>
              <w:ind w:right="113"/>
              <w:jc w:val="both"/>
              <w:rPr>
                <w:sz w:val="21"/>
                <w:szCs w:val="21"/>
              </w:rPr>
            </w:pPr>
            <w:r>
              <w:rPr>
                <w:sz w:val="21"/>
                <w:szCs w:val="21"/>
              </w:rPr>
              <w:t>Motosserra, peso de até 4,9 kg, até 60 cilindradas, potência em até 3,5 cv, sabre máximo de 45 cm, tanque de combustível no máximo de 0,49l, capacidade do tanque de óleo máximo de 0,29l.</w:t>
            </w:r>
          </w:p>
        </w:tc>
        <w:tc>
          <w:tcPr>
            <w:tcW w:w="555" w:type="dxa"/>
            <w:tcBorders>
              <w:left w:val="single" w:sz="4" w:space="0" w:color="000000"/>
              <w:bottom w:val="single" w:sz="4" w:space="0" w:color="000000"/>
            </w:tcBorders>
            <w:vAlign w:val="bottom"/>
          </w:tcPr>
          <w:p>
            <w:pPr>
              <w:pStyle w:val="Normal"/>
              <w:widowControl w:val="false"/>
              <w:tabs>
                <w:tab w:val="clear" w:pos="720"/>
              </w:tabs>
              <w:jc w:val="right"/>
              <w:rPr>
                <w:rFonts w:ascii="Arial" w:hAnsi="Arial"/>
                <w:sz w:val="21"/>
                <w:szCs w:val="21"/>
              </w:rPr>
            </w:pPr>
            <w:r>
              <w:rPr>
                <w:sz w:val="21"/>
                <w:szCs w:val="21"/>
              </w:rPr>
              <w:t>UN.</w:t>
            </w:r>
          </w:p>
        </w:tc>
        <w:tc>
          <w:tcPr>
            <w:tcW w:w="1080" w:type="dxa"/>
            <w:tcBorders>
              <w:left w:val="single" w:sz="4" w:space="0" w:color="000000"/>
              <w:bottom w:val="single" w:sz="4" w:space="0" w:color="000000"/>
            </w:tcBorders>
            <w:vAlign w:val="bottom"/>
          </w:tcPr>
          <w:p>
            <w:pPr>
              <w:pStyle w:val="Contedodatabela"/>
              <w:widowControl w:val="false"/>
              <w:jc w:val="center"/>
              <w:rPr>
                <w:rFonts w:ascii="Arial" w:hAnsi="Arial"/>
                <w:sz w:val="21"/>
                <w:szCs w:val="21"/>
              </w:rPr>
            </w:pPr>
            <w:r>
              <w:rPr>
                <w:sz w:val="21"/>
                <w:szCs w:val="21"/>
              </w:rPr>
              <w:t>05</w:t>
            </w:r>
          </w:p>
        </w:tc>
        <w:tc>
          <w:tcPr>
            <w:tcW w:w="1530" w:type="dxa"/>
            <w:tcBorders>
              <w:left w:val="single" w:sz="4" w:space="0" w:color="000000"/>
              <w:bottom w:val="single" w:sz="4" w:space="0" w:color="000000"/>
            </w:tcBorders>
            <w:vAlign w:val="bottom"/>
          </w:tcPr>
          <w:p>
            <w:pPr>
              <w:pStyle w:val="Header"/>
              <w:tabs>
                <w:tab w:val="clear" w:pos="4419"/>
                <w:tab w:val="clear" w:pos="8838"/>
              </w:tabs>
              <w:snapToGrid w:val="false"/>
              <w:spacing w:lineRule="auto" w:line="360" w:before="0" w:after="0"/>
              <w:jc w:val="center"/>
              <w:rPr>
                <w:rFonts w:ascii="Arial" w:hAnsi="Arial"/>
                <w:sz w:val="21"/>
                <w:szCs w:val="21"/>
              </w:rPr>
            </w:pPr>
            <w:r>
              <w:rPr>
                <w:sz w:val="21"/>
                <w:szCs w:val="21"/>
              </w:rPr>
              <w:t>2.998,00</w:t>
            </w:r>
          </w:p>
        </w:tc>
        <w:tc>
          <w:tcPr>
            <w:tcW w:w="1904" w:type="dxa"/>
            <w:tcBorders>
              <w:left w:val="single" w:sz="4" w:space="0" w:color="000000"/>
              <w:bottom w:val="single" w:sz="4" w:space="0" w:color="000000"/>
              <w:right w:val="single" w:sz="4" w:space="0" w:color="000000"/>
            </w:tcBorders>
            <w:vAlign w:val="bottom"/>
          </w:tcPr>
          <w:p>
            <w:pPr>
              <w:pStyle w:val="Header"/>
              <w:tabs>
                <w:tab w:val="clear" w:pos="4419"/>
                <w:tab w:val="clear" w:pos="8838"/>
              </w:tabs>
              <w:snapToGrid w:val="false"/>
              <w:spacing w:lineRule="auto" w:line="360"/>
              <w:jc w:val="both"/>
              <w:rPr>
                <w:rFonts w:ascii="Arial" w:hAnsi="Arial"/>
                <w:sz w:val="21"/>
                <w:szCs w:val="21"/>
              </w:rPr>
            </w:pPr>
            <w:r>
              <w:rPr>
                <w:sz w:val="21"/>
                <w:szCs w:val="21"/>
              </w:rPr>
              <w:t>14.990,00</w:t>
            </w:r>
          </w:p>
        </w:tc>
      </w:tr>
      <w:tr>
        <w:trPr>
          <w:trHeight w:val="343" w:hRule="atLeast"/>
        </w:trPr>
        <w:tc>
          <w:tcPr>
            <w:tcW w:w="9525" w:type="dxa"/>
            <w:gridSpan w:val="5"/>
            <w:tcBorders>
              <w:left w:val="single" w:sz="4" w:space="0" w:color="000000"/>
              <w:bottom w:val="single" w:sz="4" w:space="0" w:color="000000"/>
            </w:tcBorders>
            <w:shd w:fill="DDDDDD" w:val="clear"/>
            <w:vAlign w:val="bottom"/>
          </w:tcPr>
          <w:p>
            <w:pPr>
              <w:pStyle w:val="Normal"/>
              <w:widowControl w:val="false"/>
              <w:tabs>
                <w:tab w:val="clear" w:pos="720"/>
              </w:tabs>
              <w:jc w:val="center"/>
              <w:rPr>
                <w:sz w:val="21"/>
                <w:szCs w:val="21"/>
              </w:rPr>
            </w:pPr>
            <w:r>
              <w:rPr>
                <w:b/>
                <w:bCs/>
                <w:sz w:val="21"/>
                <w:szCs w:val="21"/>
              </w:rPr>
              <w:t>PREÇO TOTAL</w:t>
            </w:r>
          </w:p>
        </w:tc>
        <w:tc>
          <w:tcPr>
            <w:tcW w:w="1904" w:type="dxa"/>
            <w:tcBorders>
              <w:left w:val="single" w:sz="4" w:space="0" w:color="000000"/>
              <w:bottom w:val="single" w:sz="4" w:space="0" w:color="000000"/>
              <w:right w:val="single" w:sz="4" w:space="0" w:color="000000"/>
            </w:tcBorders>
            <w:shd w:fill="DDDDDD" w:val="clear"/>
            <w:vAlign w:val="bottom"/>
          </w:tcPr>
          <w:p>
            <w:pPr>
              <w:pStyle w:val="Contedodatabela"/>
              <w:widowControl w:val="false"/>
              <w:tabs>
                <w:tab w:val="clear" w:pos="720"/>
              </w:tabs>
              <w:spacing w:lineRule="auto" w:line="360"/>
              <w:jc w:val="right"/>
              <w:rPr>
                <w:sz w:val="21"/>
                <w:szCs w:val="21"/>
              </w:rPr>
            </w:pPr>
            <w:r>
              <w:rPr>
                <w:b/>
                <w:bCs/>
                <w:sz w:val="21"/>
                <w:szCs w:val="21"/>
              </w:rPr>
              <w:t xml:space="preserve">R$ </w:t>
            </w:r>
            <w:r>
              <w:rPr>
                <w:b/>
                <w:bCs/>
                <w:sz w:val="21"/>
                <w:szCs w:val="21"/>
              </w:rPr>
              <w:t>81.342,90</w:t>
            </w:r>
          </w:p>
        </w:tc>
      </w:tr>
    </w:tbl>
    <w:p>
      <w:pPr>
        <w:pStyle w:val="Normal"/>
        <w:rPr>
          <w:sz w:val="24"/>
          <w:szCs w:val="24"/>
        </w:rPr>
      </w:pPr>
      <w:r>
        <w:rPr>
          <w:sz w:val="24"/>
          <w:szCs w:val="24"/>
        </w:rPr>
      </w:r>
    </w:p>
    <w:p>
      <w:pPr>
        <w:pStyle w:val="Normal"/>
        <w:rPr/>
      </w:pPr>
      <w:r>
        <w:rPr>
          <w:b/>
          <w:bCs/>
          <w:sz w:val="24"/>
          <w:szCs w:val="24"/>
        </w:rPr>
        <w:t xml:space="preserve">O valor total da licitação é de </w:t>
      </w:r>
      <w:r>
        <w:rPr>
          <w:rFonts w:eastAsia="Times New Roman" w:cs="Arial"/>
          <w:b/>
          <w:bCs/>
          <w:i w:val="false"/>
          <w:caps w:val="false"/>
          <w:smallCaps w:val="false"/>
          <w:color w:val="000000"/>
          <w:spacing w:val="0"/>
          <w:kern w:val="0"/>
          <w:sz w:val="24"/>
          <w:szCs w:val="24"/>
          <w:shd w:fill="auto" w:val="clear"/>
          <w:lang w:val="pt-BR" w:eastAsia="zh-CN" w:bidi="ar-SA"/>
        </w:rPr>
        <w:t xml:space="preserve">R$ </w:t>
      </w:r>
      <w:r>
        <w:rPr>
          <w:rFonts w:eastAsia="Times New Roman" w:cs="Arial"/>
          <w:b/>
          <w:bCs/>
          <w:i w:val="false"/>
          <w:caps w:val="false"/>
          <w:smallCaps w:val="false"/>
          <w:color w:val="000000"/>
          <w:spacing w:val="0"/>
          <w:kern w:val="0"/>
          <w:sz w:val="24"/>
          <w:szCs w:val="24"/>
          <w:shd w:fill="auto" w:val="clear"/>
          <w:lang w:val="pt-BR" w:eastAsia="zh-CN" w:bidi="ar-SA"/>
        </w:rPr>
        <w:t>81.342,90</w:t>
      </w:r>
      <w:r>
        <w:rPr>
          <w:rFonts w:eastAsia="Calibri" w:cs="Times New Roman"/>
          <w:b/>
          <w:bCs/>
          <w:i w:val="false"/>
          <w:caps w:val="false"/>
          <w:smallCaps w:val="false"/>
          <w:color w:val="000000"/>
          <w:spacing w:val="0"/>
          <w:kern w:val="0"/>
          <w:sz w:val="24"/>
          <w:szCs w:val="24"/>
          <w:shd w:fill="auto" w:val="clear"/>
          <w:lang w:val="pt-BR" w:eastAsia="zh-CN" w:bidi="ar-SA"/>
        </w:rPr>
        <w:t xml:space="preserve"> (</w:t>
      </w:r>
      <w:r>
        <w:rPr>
          <w:rFonts w:eastAsia="Times New Roman" w:cs="Arial"/>
          <w:b/>
          <w:bCs/>
          <w:i w:val="false"/>
          <w:caps w:val="false"/>
          <w:smallCaps w:val="false"/>
          <w:color w:val="000000"/>
          <w:spacing w:val="0"/>
          <w:kern w:val="0"/>
          <w:sz w:val="24"/>
          <w:szCs w:val="24"/>
          <w:shd w:fill="auto" w:val="clear"/>
          <w:lang w:val="pt-BR" w:eastAsia="zh-CN" w:bidi="ar-SA"/>
        </w:rPr>
        <w:t>oitenta e um mil trezentos e quarenta e dois reais e noventa centavos</w:t>
      </w:r>
      <w:r>
        <w:rPr>
          <w:rFonts w:eastAsia="Calibri" w:cs="Times New Roman"/>
          <w:b/>
          <w:bCs/>
          <w:i w:val="false"/>
          <w:caps w:val="false"/>
          <w:smallCaps w:val="false"/>
          <w:color w:val="000000"/>
          <w:spacing w:val="0"/>
          <w:kern w:val="0"/>
          <w:sz w:val="24"/>
          <w:szCs w:val="24"/>
          <w:shd w:fill="auto" w:val="clear"/>
          <w:lang w:val="pt-BR" w:eastAsia="zh-CN" w:bidi="ar-SA"/>
        </w:rPr>
        <w:t>)</w:t>
      </w:r>
      <w:r>
        <w:rPr>
          <w:b/>
          <w:bCs/>
          <w:sz w:val="24"/>
          <w:szCs w:val="24"/>
        </w:rPr>
        <w:t>.</w:t>
      </w:r>
    </w:p>
    <w:p>
      <w:pPr>
        <w:pStyle w:val="Normal"/>
        <w:rPr>
          <w:b/>
          <w:bCs/>
          <w:sz w:val="24"/>
          <w:szCs w:val="24"/>
        </w:rPr>
      </w:pPr>
      <w:r>
        <w:rPr/>
      </w:r>
    </w:p>
    <w:p>
      <w:pPr>
        <w:pStyle w:val="Normal"/>
        <w:spacing w:lineRule="auto" w:line="360"/>
        <w:jc w:val="center"/>
        <w:rPr>
          <w:b/>
          <w:bCs/>
          <w:sz w:val="24"/>
          <w:szCs w:val="24"/>
        </w:rPr>
      </w:pPr>
      <w:r>
        <w:rPr>
          <w:b/>
          <w:bCs/>
          <w:sz w:val="24"/>
          <w:szCs w:val="24"/>
        </w:rPr>
        <w:t>5. ALTERNATIVAS DISPONÍVEIS NO MERCADO</w:t>
      </w:r>
    </w:p>
    <w:p>
      <w:pPr>
        <w:pStyle w:val="Normal"/>
        <w:spacing w:lineRule="auto" w:line="360"/>
        <w:jc w:val="both"/>
        <w:rPr/>
      </w:pPr>
      <w:r>
        <w:rPr>
          <w:sz w:val="24"/>
          <w:szCs w:val="24"/>
        </w:rPr>
        <w:tab/>
        <w:t xml:space="preserve">Conforme pesquisa de mercado realizada, para solução da necessidade administrativa, objeto do presente Estudo Técnico Preliminar, vislumbra-se possível, sob o aspecto técnico e econômico, a contratação de empresa para </w:t>
      </w:r>
      <w:r>
        <w:rPr>
          <w:rFonts w:eastAsia="Times New Roman" w:cs="Arial"/>
          <w:color w:val="auto"/>
          <w:kern w:val="0"/>
          <w:sz w:val="24"/>
          <w:szCs w:val="24"/>
          <w:lang w:val="pt-BR" w:eastAsia="zh-CN" w:bidi="ar-SA"/>
        </w:rPr>
        <w:t xml:space="preserve">registro de preço para eventual e futura aquisição de </w:t>
      </w:r>
      <w:r>
        <w:rPr>
          <w:rFonts w:eastAsia="Times New Roman" w:cs="Arial"/>
          <w:b w:val="false"/>
          <w:i w:val="false"/>
          <w:caps w:val="false"/>
          <w:smallCaps w:val="false"/>
          <w:color w:val="auto"/>
          <w:spacing w:val="0"/>
          <w:kern w:val="0"/>
          <w:sz w:val="24"/>
          <w:szCs w:val="24"/>
          <w:lang w:val="pt-BR" w:eastAsia="zh-CN" w:bidi="ar-SA"/>
        </w:rPr>
        <w:t>c</w:t>
      </w:r>
      <w:r>
        <w:rPr>
          <w:rFonts w:eastAsia="Calibri" w:cs="Times New Roman"/>
          <w:b w:val="false"/>
          <w:i w:val="false"/>
          <w:caps w:val="false"/>
          <w:smallCaps w:val="false"/>
          <w:color w:val="000000"/>
          <w:spacing w:val="0"/>
          <w:kern w:val="0"/>
          <w:sz w:val="24"/>
          <w:szCs w:val="24"/>
          <w:lang w:val="pt-BR" w:eastAsia="zh-CN" w:bidi="ar-SA"/>
        </w:rPr>
        <w:t>ortador de grama, roçadeira, soprador, motosserra e cabos de fio elétrico para utilização nos serviços de manutenção das Secretarias</w:t>
      </w:r>
      <w:r>
        <w:rPr>
          <w:rFonts w:cs="Arial"/>
          <w:sz w:val="24"/>
          <w:szCs w:val="24"/>
          <w:lang w:eastAsia="zh-CN"/>
        </w:rPr>
        <w:t>.</w:t>
      </w:r>
    </w:p>
    <w:p>
      <w:pPr>
        <w:pStyle w:val="Normal"/>
        <w:spacing w:lineRule="auto" w:line="360"/>
        <w:jc w:val="both"/>
        <w:rPr>
          <w:rFonts w:cs="Arial"/>
          <w:sz w:val="24"/>
          <w:szCs w:val="24"/>
          <w:lang w:eastAsia="zh-CN"/>
        </w:rPr>
      </w:pPr>
      <w:r>
        <w:rPr/>
      </w:r>
    </w:p>
    <w:p>
      <w:pPr>
        <w:pStyle w:val="Normal"/>
        <w:spacing w:lineRule="auto" w:line="360"/>
        <w:jc w:val="both"/>
        <w:rPr/>
      </w:pPr>
      <w:r>
        <w:rPr>
          <w:sz w:val="24"/>
          <w:szCs w:val="24"/>
        </w:rPr>
        <w:tab/>
        <w:t>Neste sentido, segue em anexo a lista de potenciais fornecedores, junto aos preços levantados. Essas referências foram obtidas através de pesquisa direta com os fornecedores, conforme exigido pela legislação municipal que “Estabelece o procedimento administrativo para a realização de pesquisa de preços para aquisição de bens, contratação de serviços em geral e para contratação de obras e serviços de engenharia no âmbito do Município de Três Passos, nos termos da Lei Federal nº 14.133/2021”.</w:t>
      </w:r>
    </w:p>
    <w:p>
      <w:pPr>
        <w:pStyle w:val="Normal"/>
        <w:spacing w:lineRule="auto" w:line="360"/>
        <w:jc w:val="center"/>
        <w:rPr>
          <w:b/>
          <w:bCs/>
          <w:sz w:val="24"/>
          <w:szCs w:val="24"/>
        </w:rPr>
      </w:pPr>
      <w:r>
        <w:rPr>
          <w:b/>
          <w:bCs/>
          <w:sz w:val="24"/>
          <w:szCs w:val="24"/>
        </w:rPr>
        <w:t>6. ESTIMATIVA DO VALOR DA CONTRATAÇÃO</w:t>
      </w:r>
    </w:p>
    <w:p>
      <w:pPr>
        <w:pStyle w:val="Normal"/>
        <w:spacing w:lineRule="auto" w:line="360"/>
        <w:jc w:val="both"/>
        <w:rPr/>
      </w:pPr>
      <w:r>
        <w:rPr>
          <w:sz w:val="24"/>
          <w:szCs w:val="24"/>
        </w:rPr>
        <w:tab/>
        <w:t xml:space="preserve">Estima-se para a contratação almejada o valor total </w:t>
      </w:r>
      <w:r>
        <w:rPr>
          <w:b w:val="false"/>
          <w:bCs w:val="false"/>
          <w:sz w:val="24"/>
          <w:szCs w:val="24"/>
        </w:rPr>
        <w:t>de</w:t>
      </w:r>
      <w:r>
        <w:rPr>
          <w:b/>
          <w:bCs/>
          <w:sz w:val="24"/>
          <w:szCs w:val="24"/>
        </w:rPr>
        <w:t xml:space="preserve"> </w:t>
      </w:r>
      <w:r>
        <w:rPr>
          <w:rFonts w:eastAsia="Times New Roman" w:cs="Arial"/>
          <w:b/>
          <w:bCs/>
          <w:i w:val="false"/>
          <w:caps w:val="false"/>
          <w:smallCaps w:val="false"/>
          <w:color w:val="000000"/>
          <w:spacing w:val="0"/>
          <w:kern w:val="0"/>
          <w:sz w:val="24"/>
          <w:szCs w:val="24"/>
          <w:shd w:fill="auto" w:val="clear"/>
          <w:lang w:val="pt-BR" w:eastAsia="zh-CN" w:bidi="ar-SA"/>
        </w:rPr>
        <w:t xml:space="preserve">R$ </w:t>
      </w:r>
      <w:r>
        <w:rPr>
          <w:rFonts w:eastAsia="Times New Roman" w:cs="Arial"/>
          <w:b/>
          <w:bCs/>
          <w:i w:val="false"/>
          <w:caps w:val="false"/>
          <w:smallCaps w:val="false"/>
          <w:color w:val="000000"/>
          <w:spacing w:val="0"/>
          <w:kern w:val="0"/>
          <w:sz w:val="24"/>
          <w:szCs w:val="24"/>
          <w:shd w:fill="auto" w:val="clear"/>
          <w:lang w:val="pt-BR" w:eastAsia="zh-CN" w:bidi="ar-SA"/>
        </w:rPr>
        <w:t>81.342,90</w:t>
      </w:r>
      <w:r>
        <w:rPr>
          <w:rFonts w:eastAsia="Calibri" w:cs="Times New Roman"/>
          <w:b/>
          <w:bCs/>
          <w:i w:val="false"/>
          <w:caps w:val="false"/>
          <w:smallCaps w:val="false"/>
          <w:color w:val="000000"/>
          <w:spacing w:val="0"/>
          <w:kern w:val="0"/>
          <w:sz w:val="24"/>
          <w:szCs w:val="24"/>
          <w:shd w:fill="auto" w:val="clear"/>
          <w:lang w:val="pt-BR" w:eastAsia="zh-CN" w:bidi="ar-SA"/>
        </w:rPr>
        <w:t xml:space="preserve"> (</w:t>
      </w:r>
      <w:r>
        <w:rPr>
          <w:rFonts w:eastAsia="Times New Roman" w:cs="Arial"/>
          <w:b/>
          <w:bCs/>
          <w:i w:val="false"/>
          <w:caps w:val="false"/>
          <w:smallCaps w:val="false"/>
          <w:color w:val="000000"/>
          <w:spacing w:val="0"/>
          <w:kern w:val="0"/>
          <w:sz w:val="24"/>
          <w:szCs w:val="24"/>
          <w:shd w:fill="auto" w:val="clear"/>
          <w:lang w:val="pt-BR" w:eastAsia="zh-CN" w:bidi="ar-SA"/>
        </w:rPr>
        <w:t>oitenta e um mil trezentos e quarenta e dois reais e noventa centavos</w:t>
      </w:r>
      <w:r>
        <w:rPr>
          <w:rFonts w:eastAsia="Calibri" w:cs="Times New Roman"/>
          <w:b/>
          <w:bCs/>
          <w:i w:val="false"/>
          <w:caps w:val="false"/>
          <w:smallCaps w:val="false"/>
          <w:color w:val="000000"/>
          <w:spacing w:val="0"/>
          <w:kern w:val="0"/>
          <w:sz w:val="24"/>
          <w:szCs w:val="24"/>
          <w:shd w:fill="auto" w:val="clear"/>
          <w:lang w:val="pt-BR" w:eastAsia="zh-CN" w:bidi="ar-SA"/>
        </w:rPr>
        <w:t>)</w:t>
      </w:r>
      <w:r>
        <w:rPr>
          <w:b/>
          <w:bCs/>
          <w:sz w:val="24"/>
          <w:szCs w:val="24"/>
        </w:rPr>
        <w:t>.</w:t>
      </w:r>
    </w:p>
    <w:p>
      <w:pPr>
        <w:pStyle w:val="Normal"/>
        <w:spacing w:lineRule="auto" w:line="360"/>
        <w:jc w:val="both"/>
        <w:rPr>
          <w:sz w:val="24"/>
          <w:szCs w:val="24"/>
        </w:rPr>
      </w:pPr>
      <w:r>
        <w:rPr>
          <w:sz w:val="24"/>
          <w:szCs w:val="24"/>
        </w:rPr>
        <w:tab/>
        <w:t>Vislumbra-se que tal valor é compatível com o praticado pelo mercado correspondente, observando-se a legislação, que “Estabelece o procedimento administrativo para a realização de pesquisa de preços para aquisição de bens, contratação de serviços em geral e para contratação de obras e serviços de engenharia no âmbito do Município de Três Passos, nos termos da Lei Federal nº 14.133/2021”.</w:t>
      </w:r>
    </w:p>
    <w:p>
      <w:pPr>
        <w:pStyle w:val="Normal"/>
        <w:spacing w:lineRule="auto" w:line="360"/>
        <w:jc w:val="both"/>
        <w:rPr>
          <w:sz w:val="24"/>
          <w:szCs w:val="24"/>
        </w:rPr>
      </w:pPr>
      <w:r>
        <w:rPr>
          <w:sz w:val="24"/>
          <w:szCs w:val="24"/>
        </w:rPr>
      </w:r>
    </w:p>
    <w:p>
      <w:pPr>
        <w:pStyle w:val="Normal"/>
        <w:spacing w:lineRule="auto" w:line="360"/>
        <w:jc w:val="center"/>
        <w:rPr>
          <w:b/>
          <w:bCs/>
          <w:sz w:val="24"/>
          <w:szCs w:val="24"/>
        </w:rPr>
      </w:pPr>
      <w:r>
        <w:rPr>
          <w:b/>
          <w:bCs/>
          <w:sz w:val="24"/>
          <w:szCs w:val="24"/>
        </w:rPr>
        <w:t>7. DESCRIÇÃO DA SOLUÇÃO COMO UM TODO</w:t>
      </w:r>
    </w:p>
    <w:p>
      <w:pPr>
        <w:pStyle w:val="Normal"/>
        <w:spacing w:lineRule="auto" w:line="360"/>
        <w:jc w:val="both"/>
        <w:rPr/>
      </w:pPr>
      <w:r>
        <w:rPr>
          <w:sz w:val="24"/>
          <w:szCs w:val="24"/>
        </w:rPr>
        <w:tab/>
        <w:t>A aquisição de cortadores de grama, roçadeiras, sopradores, motosserra e cabos de fio elétrico representa uma solução eficiente e estratégica para suprir as necessidades operacionais das Secretarias Municipais no que se refere à execução dos serviços de manutenção e conservação de espaços públicos. Com a disponibilização desses equipamentos, será possível melhorar significativamente a qualidade e a agilidade dos trabalhos realizados pelas equipes responsáveis, garantindo a manutenção contínua e padronizada de praças, jardins, canteiros, vias públicas e demais áreas sob gestão do município.</w:t>
      </w:r>
    </w:p>
    <w:p>
      <w:pPr>
        <w:pStyle w:val="BodyText"/>
        <w:spacing w:lineRule="auto" w:line="360" w:before="0" w:after="0"/>
        <w:rPr>
          <w:rFonts w:ascii="Arial" w:hAnsi="Arial"/>
          <w:b w:val="false"/>
          <w:bCs w:val="false"/>
          <w:sz w:val="24"/>
          <w:szCs w:val="24"/>
        </w:rPr>
      </w:pPr>
      <w:r>
        <w:rPr>
          <w:rFonts w:ascii="Arial" w:hAnsi="Arial"/>
          <w:b w:val="false"/>
          <w:bCs w:val="false"/>
          <w:sz w:val="24"/>
          <w:szCs w:val="24"/>
        </w:rPr>
        <w:tab/>
        <w:t>Essa medida contribuirá para otimizar os recursos humanos e materiais, reduzir custos com manutenções corretivas e terceirizações, e aumentar a autonomia das Secretarias para atender às demandas de forma mais rápida e eficaz. Além disso, com ferramentas apropriadas e em boas condições de uso, será possível ampliar a cobertura das ações de manutenção, promovendo maior regularidade nos serviços prestados e melhorando a imagem e a funcionalidade dos espaços públicos.</w:t>
      </w:r>
    </w:p>
    <w:p>
      <w:pPr>
        <w:pStyle w:val="BodyText"/>
        <w:spacing w:lineRule="auto" w:line="360" w:before="0" w:after="283"/>
        <w:rPr>
          <w:rFonts w:ascii="Arial" w:hAnsi="Arial"/>
          <w:b w:val="false"/>
          <w:bCs w:val="false"/>
          <w:sz w:val="24"/>
          <w:szCs w:val="24"/>
        </w:rPr>
      </w:pPr>
      <w:r>
        <w:rPr>
          <w:rFonts w:ascii="Arial" w:hAnsi="Arial"/>
          <w:b w:val="false"/>
          <w:bCs w:val="false"/>
          <w:sz w:val="24"/>
          <w:szCs w:val="24"/>
        </w:rPr>
        <w:tab/>
        <w:t>A solução apresentada também impacta positivamente na organização urbana, na saúde pública — ao evitar a formação de focos de insetos e animais nocivos — e na valorização ambiental, uma vez que áreas verdes bem cuidadas promovem equilíbrio ecológico e qualidade de vida para a população. Dessa forma, a aquisição desses equipamentos representa uma resposta concreta às demandas da administração municipal por serviços públicos mais eficientes, contínuos e de maior alcance.</w:t>
      </w:r>
    </w:p>
    <w:p>
      <w:pPr>
        <w:pStyle w:val="Normal"/>
        <w:spacing w:lineRule="auto" w:line="360"/>
        <w:jc w:val="center"/>
        <w:rPr>
          <w:b/>
          <w:bCs/>
          <w:sz w:val="24"/>
          <w:szCs w:val="24"/>
        </w:rPr>
      </w:pPr>
      <w:r>
        <w:rPr>
          <w:b/>
          <w:bCs/>
          <w:sz w:val="24"/>
          <w:szCs w:val="24"/>
        </w:rPr>
        <w:t>8. JUSTIFICATIVA PARA O PARCELAMENTO OU NÃO DA CONTRATAÇÃO</w:t>
      </w:r>
    </w:p>
    <w:p>
      <w:pPr>
        <w:pStyle w:val="NormalWeb"/>
        <w:spacing w:lineRule="auto" w:line="360" w:before="0" w:after="0"/>
        <w:jc w:val="both"/>
        <w:rPr/>
      </w:pPr>
      <w:r>
        <w:rPr>
          <w:rFonts w:cs="Arial" w:ascii="Arial" w:hAnsi="Arial"/>
        </w:rPr>
        <w:tab/>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cs="Arial" w:ascii="Arial" w:hAnsi="Arial"/>
          <w:color w:val="000000"/>
        </w:rPr>
        <w:t xml:space="preserve">o custo para a Administração de vários contratos frente às vantagens da redução de custos, com divisão do objeto em itens, </w:t>
      </w:r>
      <w:bookmarkStart w:id="0" w:name="art47§1iii"/>
      <w:bookmarkEnd w:id="0"/>
      <w:r>
        <w:rPr>
          <w:rFonts w:cs="Arial" w:ascii="Arial" w:hAnsi="Arial"/>
          <w:color w:val="000000"/>
        </w:rPr>
        <w:t>e o dever de buscar a ampliação da competição e de evitar a concentração de mercado.</w:t>
      </w:r>
    </w:p>
    <w:p>
      <w:pPr>
        <w:pStyle w:val="NormalWeb"/>
        <w:spacing w:lineRule="auto" w:line="360" w:before="0" w:after="0"/>
        <w:jc w:val="both"/>
        <w:rPr/>
      </w:pPr>
      <w:r>
        <w:rPr>
          <w:rFonts w:cs="Arial" w:ascii="Arial" w:hAnsi="Arial"/>
        </w:rPr>
        <w:tab/>
        <w:t>Tendo em vista o objeto, poderá haver o parcelamento da contratação.</w:t>
      </w:r>
    </w:p>
    <w:p>
      <w:pPr>
        <w:pStyle w:val="NormalWeb"/>
        <w:spacing w:lineRule="auto" w:line="360" w:before="0" w:after="0"/>
        <w:jc w:val="center"/>
        <w:rPr>
          <w:rFonts w:ascii="Arial" w:hAnsi="Arial" w:cs="Arial"/>
          <w:b/>
          <w:bCs/>
        </w:rPr>
      </w:pPr>
      <w:r>
        <w:rPr>
          <w:rFonts w:cs="Arial" w:ascii="Arial" w:hAnsi="Arial"/>
          <w:b/>
          <w:bCs/>
        </w:rPr>
        <w:t xml:space="preserve">9. RESULTADOS PRETENDIDOS </w:t>
      </w:r>
    </w:p>
    <w:p>
      <w:pPr>
        <w:pStyle w:val="Normal"/>
        <w:spacing w:lineRule="auto" w:line="360"/>
        <w:jc w:val="both"/>
        <w:rPr/>
      </w:pPr>
      <w:r>
        <w:rPr>
          <w:sz w:val="24"/>
          <w:szCs w:val="24"/>
        </w:rPr>
        <w:tab/>
        <w:t xml:space="preserve">Pretende-se, com o presente processo licitatório, assegurar </w:t>
      </w:r>
      <w:r>
        <w:rPr>
          <w:color w:val="000000"/>
          <w:sz w:val="24"/>
          <w:szCs w:val="24"/>
        </w:rPr>
        <w:t>a seleção da proposta apta a gerar a contratação mais vantajosa para o Município.</w:t>
      </w:r>
    </w:p>
    <w:p>
      <w:pPr>
        <w:pStyle w:val="Normal"/>
        <w:spacing w:lineRule="auto" w:line="360"/>
        <w:jc w:val="both"/>
        <w:rPr/>
      </w:pPr>
      <w:r>
        <w:rPr>
          <w:color w:val="000000"/>
          <w:sz w:val="24"/>
          <w:szCs w:val="24"/>
        </w:rPr>
        <w:tab/>
        <w:t xml:space="preserve">Almeja-se, igualmente, assegurar tratamento isonômico entre os licitantes, bem como a justa competição, </w:t>
      </w:r>
      <w:r>
        <w:rPr>
          <w:rFonts w:eastAsia="Times New Roman" w:cs="Arial"/>
          <w:color w:val="000000"/>
          <w:kern w:val="0"/>
          <w:sz w:val="24"/>
          <w:szCs w:val="24"/>
          <w:lang w:val="pt-BR" w:eastAsia="zh-CN" w:bidi="ar-SA"/>
        </w:rPr>
        <w:t>evitando a</w:t>
      </w:r>
      <w:r>
        <w:rPr>
          <w:color w:val="000000"/>
          <w:sz w:val="24"/>
          <w:szCs w:val="24"/>
        </w:rPr>
        <w:t xml:space="preserve"> contratação com sobrepreço ou com preço manifestamente inexequível e superfaturamento na execução do contrato.</w:t>
      </w:r>
    </w:p>
    <w:p>
      <w:pPr>
        <w:pStyle w:val="Normal"/>
        <w:spacing w:lineRule="auto" w:line="360"/>
        <w:jc w:val="both"/>
        <w:rPr>
          <w:sz w:val="24"/>
          <w:szCs w:val="24"/>
        </w:rPr>
      </w:pPr>
      <w:r>
        <w:rPr>
          <w:sz w:val="24"/>
          <w:szCs w:val="24"/>
        </w:rPr>
        <w:tab/>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pPr>
        <w:pStyle w:val="Normal"/>
        <w:spacing w:lineRule="auto" w:line="360"/>
        <w:jc w:val="both"/>
        <w:rPr>
          <w:sz w:val="24"/>
          <w:szCs w:val="24"/>
        </w:rPr>
      </w:pPr>
      <w:r>
        <w:rPr>
          <w:sz w:val="24"/>
          <w:szCs w:val="24"/>
        </w:rPr>
      </w:r>
    </w:p>
    <w:p>
      <w:pPr>
        <w:pStyle w:val="NormalWeb"/>
        <w:spacing w:lineRule="auto" w:line="360" w:before="0" w:after="0"/>
        <w:jc w:val="center"/>
        <w:rPr>
          <w:rFonts w:ascii="Arial" w:hAnsi="Arial" w:cs="Arial"/>
          <w:b/>
          <w:bCs/>
          <w:color w:val="000000"/>
        </w:rPr>
      </w:pPr>
      <w:bookmarkStart w:id="1" w:name="art18§1v"/>
      <w:bookmarkStart w:id="2" w:name="art18§1vi"/>
      <w:bookmarkStart w:id="3" w:name="art18§1vii"/>
      <w:bookmarkStart w:id="4" w:name="art18§1viii"/>
      <w:bookmarkStart w:id="5" w:name="art18§1ix"/>
      <w:bookmarkStart w:id="6" w:name="art18§1x"/>
      <w:bookmarkStart w:id="7" w:name="art18§1ii"/>
      <w:bookmarkStart w:id="8" w:name="art18§1iii"/>
      <w:bookmarkEnd w:id="1"/>
      <w:bookmarkEnd w:id="2"/>
      <w:bookmarkEnd w:id="3"/>
      <w:bookmarkEnd w:id="4"/>
      <w:bookmarkEnd w:id="5"/>
      <w:bookmarkEnd w:id="6"/>
      <w:bookmarkEnd w:id="7"/>
      <w:bookmarkEnd w:id="8"/>
      <w:r>
        <w:rPr>
          <w:rFonts w:cs="Arial" w:ascii="Arial" w:hAnsi="Arial"/>
          <w:b/>
          <w:bCs/>
          <w:color w:val="000000"/>
        </w:rPr>
        <w:t>10. PROVIDÊNCIAS PRÉVIAS AO CONTRATO</w:t>
      </w:r>
    </w:p>
    <w:p>
      <w:pPr>
        <w:pStyle w:val="NormalWeb"/>
        <w:spacing w:lineRule="auto" w:line="360" w:before="0" w:after="0"/>
        <w:jc w:val="both"/>
        <w:rPr/>
      </w:pPr>
      <w:bookmarkStart w:id="9" w:name="art18§1xi"/>
      <w:bookmarkEnd w:id="9"/>
      <w:r>
        <w:rPr>
          <w:rFonts w:cs="Arial" w:ascii="Arial" w:hAnsi="Arial"/>
          <w:color w:val="000000"/>
        </w:rPr>
        <w:tab/>
        <w:t>Para a contratação pretendida não haverá necessidade de providências prévias no âmbito da Administração. As secretarias indicarão os servidores para atuarem como fisca</w:t>
      </w:r>
      <w:r>
        <w:rPr>
          <w:rFonts w:eastAsia="Times New Roman" w:cs="Arial" w:ascii="Arial" w:hAnsi="Arial"/>
          <w:color w:val="000000"/>
          <w:kern w:val="0"/>
          <w:sz w:val="24"/>
          <w:szCs w:val="24"/>
          <w:lang w:val="pt-BR" w:eastAsia="pt-BR" w:bidi="ar-SA"/>
        </w:rPr>
        <w:t>is</w:t>
      </w:r>
      <w:r>
        <w:rPr>
          <w:rFonts w:cs="Arial" w:ascii="Arial" w:hAnsi="Arial"/>
          <w:color w:val="000000"/>
        </w:rPr>
        <w:t xml:space="preserve"> do contrato, </w:t>
      </w:r>
      <w:r>
        <w:rPr>
          <w:rFonts w:eastAsia="Times New Roman" w:cs="Arial" w:ascii="Arial" w:hAnsi="Arial"/>
          <w:color w:val="000000"/>
          <w:kern w:val="0"/>
          <w:sz w:val="24"/>
          <w:szCs w:val="24"/>
          <w:lang w:val="pt-BR" w:eastAsia="pt-BR" w:bidi="ar-SA"/>
        </w:rPr>
        <w:t>sendo estes o operário, Sr. Flori Soares e o Secretário Municipal de Obras e Viação, Sr. Egon Schlemmer, ou quem vier a substituí-los</w:t>
      </w:r>
      <w:r>
        <w:rPr>
          <w:rFonts w:cs="Arial" w:ascii="Arial" w:hAnsi="Arial"/>
          <w:color w:val="000000"/>
        </w:rPr>
        <w:t>.</w:t>
      </w:r>
    </w:p>
    <w:p>
      <w:pPr>
        <w:pStyle w:val="NormalWeb"/>
        <w:spacing w:lineRule="auto" w:line="360" w:before="0" w:after="0"/>
        <w:jc w:val="both"/>
        <w:rPr>
          <w:rFonts w:ascii="Arial" w:hAnsi="Arial" w:cs="Arial"/>
        </w:rPr>
      </w:pPr>
      <w:r>
        <w:rPr>
          <w:rFonts w:cs="Arial" w:ascii="Arial" w:hAnsi="Arial"/>
        </w:rPr>
        <w:t xml:space="preserve">Ademais, para que a pretendida contratação tenha sucesso, é preciso que outras etapas sejam concluídas, quais sejam: </w:t>
      </w:r>
    </w:p>
    <w:p>
      <w:pPr>
        <w:pStyle w:val="NormalWeb"/>
        <w:spacing w:lineRule="auto" w:line="360" w:before="0" w:after="0"/>
        <w:jc w:val="both"/>
        <w:rPr/>
      </w:pPr>
      <w:r>
        <w:rPr>
          <w:rFonts w:cs="Arial" w:ascii="Arial" w:hAnsi="Arial"/>
          <w:b/>
          <w:bCs/>
        </w:rPr>
        <w:t>a)</w:t>
      </w:r>
      <w:r>
        <w:rPr>
          <w:rFonts w:cs="Arial" w:ascii="Arial" w:hAnsi="Arial"/>
        </w:rPr>
        <w:t xml:space="preserve"> elaboração de minuta do edital; </w:t>
      </w:r>
    </w:p>
    <w:p>
      <w:pPr>
        <w:pStyle w:val="NormalWeb"/>
        <w:spacing w:lineRule="auto" w:line="360" w:before="0" w:after="0"/>
        <w:jc w:val="both"/>
        <w:rPr/>
      </w:pPr>
      <w:r>
        <w:rPr>
          <w:rFonts w:cs="Arial" w:ascii="Arial" w:hAnsi="Arial"/>
          <w:b/>
          <w:bCs/>
        </w:rPr>
        <w:t xml:space="preserve">b) </w:t>
      </w:r>
      <w:r>
        <w:rPr>
          <w:rFonts w:cs="Arial" w:ascii="Arial" w:hAnsi="Arial"/>
        </w:rPr>
        <w:t xml:space="preserve">realização de certificação de disponibilidade orçamentária; </w:t>
      </w:r>
    </w:p>
    <w:p>
      <w:pPr>
        <w:pStyle w:val="NormalWeb"/>
        <w:spacing w:lineRule="auto" w:line="360" w:before="0" w:after="0"/>
        <w:jc w:val="both"/>
        <w:rPr/>
      </w:pPr>
      <w:r>
        <w:rPr>
          <w:rFonts w:cs="Arial" w:ascii="Arial" w:hAnsi="Arial"/>
          <w:b/>
          <w:bCs/>
        </w:rPr>
        <w:t>c)</w:t>
      </w:r>
      <w:r>
        <w:rPr>
          <w:rFonts w:cs="Arial" w:ascii="Arial" w:hAnsi="Arial"/>
        </w:rPr>
        <w:t xml:space="preserve"> designação em Portaria de pregoeiro, equipe de apoio, agente de contratação (conforme o caso); </w:t>
      </w:r>
    </w:p>
    <w:p>
      <w:pPr>
        <w:pStyle w:val="NormalWeb"/>
        <w:spacing w:lineRule="auto" w:line="360" w:before="0" w:after="0"/>
        <w:jc w:val="both"/>
        <w:rPr/>
      </w:pPr>
      <w:r>
        <w:rPr>
          <w:rFonts w:cs="Arial" w:ascii="Arial" w:hAnsi="Arial"/>
          <w:b/>
          <w:bCs/>
        </w:rPr>
        <w:t>d)</w:t>
      </w:r>
      <w:r>
        <w:rPr>
          <w:rFonts w:cs="Arial" w:ascii="Arial" w:hAnsi="Arial"/>
        </w:rPr>
        <w:t xml:space="preserve"> elaboração de minuta do contrato; </w:t>
      </w:r>
    </w:p>
    <w:p>
      <w:pPr>
        <w:pStyle w:val="NormalWeb"/>
        <w:spacing w:lineRule="auto" w:line="360" w:before="0" w:after="0"/>
        <w:jc w:val="both"/>
        <w:rPr/>
      </w:pPr>
      <w:r>
        <w:rPr>
          <w:rFonts w:cs="Arial" w:ascii="Arial" w:hAnsi="Arial"/>
          <w:b/>
          <w:bCs/>
        </w:rPr>
        <w:t>e)</w:t>
      </w:r>
      <w:r>
        <w:rPr>
          <w:rFonts w:cs="Arial" w:ascii="Arial" w:hAnsi="Arial"/>
        </w:rPr>
        <w:t xml:space="preserve"> encaminhamento do processo para análise jurídica; </w:t>
      </w:r>
    </w:p>
    <w:p>
      <w:pPr>
        <w:pStyle w:val="NormalWeb"/>
        <w:spacing w:lineRule="auto" w:line="360" w:before="0" w:after="0"/>
        <w:jc w:val="both"/>
        <w:rPr/>
      </w:pPr>
      <w:r>
        <w:rPr>
          <w:rFonts w:cs="Arial" w:ascii="Arial" w:hAnsi="Arial"/>
          <w:b/>
          <w:bCs/>
        </w:rPr>
        <w:t>f)</w:t>
      </w:r>
      <w:r>
        <w:rPr>
          <w:rFonts w:cs="Arial" w:ascii="Arial" w:hAnsi="Arial"/>
        </w:rPr>
        <w:t xml:space="preserve"> análise da manifestação jurídica e atendimento aos apontamentos constantes no parecer, mediante Nota Técnica com os ajustes indicados; </w:t>
      </w:r>
    </w:p>
    <w:p>
      <w:pPr>
        <w:pStyle w:val="NormalWeb"/>
        <w:spacing w:lineRule="auto" w:line="360" w:before="0" w:after="0"/>
        <w:jc w:val="both"/>
        <w:rPr/>
      </w:pPr>
      <w:r>
        <w:rPr>
          <w:rFonts w:cs="Arial" w:ascii="Arial" w:hAnsi="Arial"/>
          <w:b/>
          <w:bCs/>
        </w:rPr>
        <w:t>g)</w:t>
      </w:r>
      <w:r>
        <w:rPr>
          <w:rFonts w:cs="Arial" w:ascii="Arial" w:hAnsi="Arial"/>
        </w:rPr>
        <w:t xml:space="preserve"> publicação e divulgação do edital e anexos; </w:t>
      </w:r>
    </w:p>
    <w:p>
      <w:pPr>
        <w:pStyle w:val="NormalWeb"/>
        <w:spacing w:lineRule="auto" w:line="360" w:before="0" w:after="0"/>
        <w:jc w:val="both"/>
        <w:rPr/>
      </w:pPr>
      <w:r>
        <w:rPr>
          <w:rFonts w:cs="Arial" w:ascii="Arial" w:hAnsi="Arial"/>
          <w:b/>
          <w:bCs/>
        </w:rPr>
        <w:t>h)</w:t>
      </w:r>
      <w:r>
        <w:rPr>
          <w:rFonts w:cs="Arial" w:ascii="Arial" w:hAnsi="Arial"/>
        </w:rPr>
        <w:t xml:space="preserve"> resposta a eventuais pedidos de esclarecimentos e/ou impugnação, caso aplicável; </w:t>
      </w:r>
    </w:p>
    <w:p>
      <w:pPr>
        <w:pStyle w:val="NormalWeb"/>
        <w:spacing w:lineRule="auto" w:line="360" w:before="0" w:after="0"/>
        <w:jc w:val="both"/>
        <w:rPr/>
      </w:pPr>
      <w:r>
        <w:rPr>
          <w:rFonts w:cs="Arial" w:ascii="Arial" w:hAnsi="Arial"/>
          <w:b/>
          <w:bCs/>
        </w:rPr>
        <w:t>i)</w:t>
      </w:r>
      <w:r>
        <w:rPr>
          <w:rFonts w:cs="Arial" w:ascii="Arial" w:hAnsi="Arial"/>
        </w:rPr>
        <w:t xml:space="preserve"> realização do certame, com suas respectivas etapas; </w:t>
      </w:r>
    </w:p>
    <w:p>
      <w:pPr>
        <w:pStyle w:val="NormalWeb"/>
        <w:spacing w:lineRule="auto" w:line="360" w:before="0" w:after="0"/>
        <w:jc w:val="both"/>
        <w:rPr/>
      </w:pPr>
      <w:r>
        <w:rPr>
          <w:rFonts w:cs="Arial" w:ascii="Arial" w:hAnsi="Arial"/>
          <w:b/>
          <w:bCs/>
        </w:rPr>
        <w:t>j)</w:t>
      </w:r>
      <w:r>
        <w:rPr>
          <w:rFonts w:cs="Arial" w:ascii="Arial" w:hAnsi="Arial"/>
        </w:rPr>
        <w:t xml:space="preserve"> realização de empenho; e </w:t>
      </w:r>
    </w:p>
    <w:p>
      <w:pPr>
        <w:pStyle w:val="NormalWeb"/>
        <w:spacing w:lineRule="auto" w:line="360" w:before="0" w:after="0"/>
        <w:jc w:val="both"/>
        <w:rPr/>
      </w:pPr>
      <w:r>
        <w:rPr>
          <w:rFonts w:cs="Arial" w:ascii="Arial" w:hAnsi="Arial"/>
          <w:b/>
          <w:bCs/>
        </w:rPr>
        <w:t>l)</w:t>
      </w:r>
      <w:r>
        <w:rPr>
          <w:rFonts w:cs="Arial" w:ascii="Arial" w:hAnsi="Arial"/>
        </w:rPr>
        <w:t xml:space="preserve"> assinatura e publicação do contrato.</w:t>
      </w:r>
    </w:p>
    <w:p>
      <w:pPr>
        <w:pStyle w:val="NormalWeb"/>
        <w:spacing w:lineRule="auto" w:line="360" w:before="0" w:after="0"/>
        <w:jc w:val="both"/>
        <w:rPr>
          <w:rFonts w:ascii="Arial" w:hAnsi="Arial" w:cs="Arial"/>
          <w:b/>
          <w:bCs/>
          <w:color w:val="000000"/>
        </w:rPr>
      </w:pPr>
      <w:r>
        <w:rPr>
          <w:rFonts w:cs="Arial" w:ascii="Arial" w:hAnsi="Arial"/>
          <w:b/>
          <w:bCs/>
          <w:color w:val="000000"/>
        </w:rPr>
      </w:r>
    </w:p>
    <w:p>
      <w:pPr>
        <w:pStyle w:val="NormalWeb"/>
        <w:spacing w:lineRule="auto" w:line="360" w:before="0" w:after="0"/>
        <w:jc w:val="center"/>
        <w:rPr>
          <w:rFonts w:ascii="Arial" w:hAnsi="Arial" w:cs="Arial"/>
          <w:b/>
          <w:bCs/>
          <w:color w:val="000000"/>
        </w:rPr>
      </w:pPr>
      <w:r>
        <w:rPr>
          <w:rFonts w:cs="Arial" w:ascii="Arial" w:hAnsi="Arial"/>
          <w:b/>
          <w:bCs/>
          <w:color w:val="000000"/>
        </w:rPr>
        <w:t>11. CONTRATAÇÕES CORRELATAS E/OU INTERDEPENDENTES</w:t>
      </w:r>
    </w:p>
    <w:p>
      <w:pPr>
        <w:pStyle w:val="NormalWeb"/>
        <w:spacing w:lineRule="auto" w:line="360" w:before="0" w:after="0"/>
        <w:jc w:val="both"/>
        <w:rPr>
          <w:rFonts w:ascii="Arial" w:hAnsi="Arial" w:cs="Arial"/>
        </w:rPr>
      </w:pPr>
      <w:r>
        <w:rPr>
          <w:rFonts w:cs="Arial" w:ascii="Arial" w:hAnsi="Arial"/>
        </w:rPr>
        <w:tab/>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pPr>
        <w:pStyle w:val="NormalWeb"/>
        <w:spacing w:lineRule="auto" w:line="360" w:before="0" w:after="0"/>
        <w:jc w:val="both"/>
        <w:rPr>
          <w:rFonts w:ascii="Arial" w:hAnsi="Arial" w:cs="Arial"/>
        </w:rPr>
      </w:pPr>
      <w:r>
        <w:rPr>
          <w:rFonts w:cs="Arial" w:ascii="Arial" w:hAnsi="Arial"/>
        </w:rPr>
        <w:tab/>
        <w:t>Os bens/serviços que se pretende, portanto, são autônomos e prescindem de contratações correlatas ou interdependentes.</w:t>
      </w:r>
    </w:p>
    <w:p>
      <w:pPr>
        <w:pStyle w:val="NormalWeb"/>
        <w:spacing w:lineRule="auto" w:line="360" w:before="0" w:after="0"/>
        <w:jc w:val="both"/>
        <w:rPr>
          <w:rFonts w:ascii="Arial" w:hAnsi="Arial" w:cs="Arial"/>
          <w:b/>
          <w:bCs/>
          <w:color w:val="000000"/>
        </w:rPr>
      </w:pPr>
      <w:r>
        <w:rPr>
          <w:rFonts w:cs="Arial" w:ascii="Arial" w:hAnsi="Arial"/>
          <w:b/>
          <w:bCs/>
          <w:color w:val="000000"/>
        </w:rPr>
      </w:r>
      <w:bookmarkStart w:id="10" w:name="art18§1xii"/>
      <w:bookmarkStart w:id="11" w:name="art18§1xii"/>
      <w:bookmarkEnd w:id="11"/>
    </w:p>
    <w:p>
      <w:pPr>
        <w:pStyle w:val="NormalWeb"/>
        <w:spacing w:lineRule="auto" w:line="360" w:before="0" w:after="0"/>
        <w:jc w:val="center"/>
        <w:rPr>
          <w:rFonts w:ascii="Arial" w:hAnsi="Arial" w:cs="Arial"/>
          <w:b/>
          <w:bCs/>
          <w:color w:val="000000"/>
        </w:rPr>
      </w:pPr>
      <w:r>
        <w:rPr>
          <w:rFonts w:cs="Arial" w:ascii="Arial" w:hAnsi="Arial"/>
          <w:b/>
          <w:bCs/>
          <w:color w:val="000000"/>
        </w:rPr>
        <w:t xml:space="preserve">12. POSSÍVEIS IMPACTOS AMBIENTAIS </w:t>
      </w:r>
    </w:p>
    <w:p>
      <w:pPr>
        <w:pStyle w:val="NormalWeb"/>
        <w:spacing w:lineRule="auto" w:line="360" w:before="0" w:after="0"/>
        <w:jc w:val="both"/>
        <w:rPr>
          <w:rFonts w:ascii="Arial" w:hAnsi="Arial" w:cs="Arial"/>
        </w:rPr>
      </w:pPr>
      <w:r>
        <w:rPr>
          <w:rFonts w:cs="Arial" w:ascii="Arial" w:hAnsi="Arial"/>
        </w:rPr>
        <w:tab/>
        <w:t>A aquisição do objeto que vislumbra impactos ambientais provenientes desta contratação, são de responsabilidade da contratante. Pois os resíduos sólidos produzidos no uso e manuseio dos objetos, bem como o destino dos mesmos serão de responsabilidade da contratante do objeto.</w:t>
      </w:r>
    </w:p>
    <w:p>
      <w:pPr>
        <w:pStyle w:val="NormalWeb"/>
        <w:spacing w:lineRule="auto" w:line="360" w:before="0" w:after="0"/>
        <w:jc w:val="both"/>
        <w:rPr>
          <w:rFonts w:ascii="Arial" w:hAnsi="Arial" w:cs="Arial"/>
          <w:color w:val="000000"/>
        </w:rPr>
      </w:pPr>
      <w:r>
        <w:rPr>
          <w:rFonts w:cs="Arial" w:ascii="Arial" w:hAnsi="Arial"/>
          <w:color w:val="000000"/>
        </w:rPr>
        <w:tab/>
        <w:t>Orientações complementares acerca da sustentabilidade da prestação almejada poderão ser repassadas pela fiscalização competente.</w:t>
      </w:r>
    </w:p>
    <w:p>
      <w:pPr>
        <w:pStyle w:val="NormalWeb"/>
        <w:spacing w:lineRule="auto" w:line="360" w:before="0" w:after="0"/>
        <w:jc w:val="both"/>
        <w:rPr>
          <w:rFonts w:ascii="Arial" w:hAnsi="Arial" w:cs="Arial"/>
          <w:color w:val="000000"/>
        </w:rPr>
      </w:pPr>
      <w:r>
        <w:rPr>
          <w:rFonts w:cs="Arial" w:ascii="Arial" w:hAnsi="Arial"/>
          <w:color w:val="000000"/>
        </w:rPr>
      </w:r>
    </w:p>
    <w:p>
      <w:pPr>
        <w:pStyle w:val="NormalWeb"/>
        <w:spacing w:lineRule="auto" w:line="360" w:before="0" w:after="0"/>
        <w:jc w:val="center"/>
        <w:rPr>
          <w:rFonts w:ascii="Arial" w:hAnsi="Arial" w:cs="Arial"/>
          <w:b/>
          <w:bCs/>
          <w:color w:val="000000"/>
        </w:rPr>
      </w:pPr>
      <w:bookmarkStart w:id="12" w:name="art18§1xiii"/>
      <w:bookmarkEnd w:id="12"/>
      <w:r>
        <w:rPr>
          <w:rFonts w:cs="Arial" w:ascii="Arial" w:hAnsi="Arial"/>
          <w:b/>
          <w:bCs/>
          <w:color w:val="000000"/>
        </w:rPr>
        <w:t xml:space="preserve">13. DECLARAÇÃO DE VIABILIDADE </w:t>
      </w:r>
    </w:p>
    <w:p>
      <w:pPr>
        <w:pStyle w:val="NormalWeb"/>
        <w:spacing w:lineRule="auto" w:line="360" w:before="0" w:after="0"/>
        <w:jc w:val="both"/>
        <w:rPr>
          <w:rFonts w:ascii="Arial" w:hAnsi="Arial" w:cs="Arial"/>
        </w:rPr>
      </w:pPr>
      <w:r>
        <w:rPr>
          <w:rFonts w:cs="Arial" w:ascii="Arial" w:hAnsi="Arial"/>
        </w:rPr>
        <w:tab/>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pPr>
        <w:pStyle w:val="Normal"/>
        <w:spacing w:lineRule="auto" w:line="360"/>
        <w:jc w:val="right"/>
        <w:rPr/>
      </w:pPr>
      <w:r>
        <w:rPr>
          <w:rFonts w:cs="Arial"/>
          <w:sz w:val="24"/>
          <w:szCs w:val="24"/>
          <w:lang w:eastAsia="zh-CN"/>
        </w:rPr>
        <w:t>Três Passos, 10 de março de 2025.</w:t>
      </w:r>
    </w:p>
    <w:p>
      <w:pPr>
        <w:pStyle w:val="Normal"/>
        <w:spacing w:lineRule="auto" w:line="360"/>
        <w:jc w:val="right"/>
        <w:rPr>
          <w:rFonts w:cs="Arial"/>
          <w:sz w:val="24"/>
          <w:szCs w:val="24"/>
          <w:lang w:eastAsia="zh-CN"/>
        </w:rPr>
      </w:pPr>
      <w:r>
        <w:rPr>
          <w:rFonts w:cs="Arial"/>
          <w:sz w:val="24"/>
          <w:szCs w:val="24"/>
          <w:lang w:eastAsia="zh-CN"/>
        </w:rPr>
      </w:r>
    </w:p>
    <w:p>
      <w:pPr>
        <w:pStyle w:val="Normal"/>
        <w:shd w:val="clear" w:fill="FFFFFF"/>
        <w:jc w:val="center"/>
        <w:rPr>
          <w:rFonts w:ascii="Times New Roman" w:hAnsi="Times New Roman" w:eastAsia="Calibri" w:cs="Times New Roman"/>
          <w:b/>
          <w:bCs/>
          <w:color w:val="000000"/>
          <w:kern w:val="0"/>
          <w:sz w:val="22"/>
          <w:szCs w:val="22"/>
          <w:shd w:fill="auto" w:val="clear"/>
          <w:lang w:val="pt-BR" w:eastAsia="zh-CN" w:bidi="ar-SA"/>
        </w:rPr>
      </w:pPr>
      <w:r>
        <w:rPr>
          <w:rFonts w:eastAsia="Calibri" w:cs="Times New Roman"/>
          <w:b/>
          <w:bCs/>
          <w:color w:val="000000"/>
          <w:kern w:val="0"/>
          <w:sz w:val="22"/>
          <w:szCs w:val="22"/>
          <w:shd w:fill="auto" w:val="clear"/>
          <w:lang w:val="pt-BR" w:eastAsia="zh-CN" w:bidi="ar-SA"/>
        </w:rPr>
        <w:t>ROSICLER SEGHETTO</w:t>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t>Secretária Municipal de Saúde</w:t>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r>
    </w:p>
    <w:p>
      <w:pPr>
        <w:pStyle w:val="Normal"/>
        <w:shd w:val="clear" w:fill="FFFFFF"/>
        <w:jc w:val="center"/>
        <w:rPr>
          <w:b/>
          <w:bCs/>
        </w:rPr>
      </w:pPr>
      <w:r>
        <w:rPr>
          <w:rFonts w:eastAsia="Calibri"/>
          <w:b/>
          <w:bCs/>
          <w:color w:val="000000"/>
          <w:sz w:val="22"/>
          <w:szCs w:val="22"/>
          <w:shd w:fill="auto" w:val="clear"/>
        </w:rPr>
        <w:t>EGON SCHLEMMER</w:t>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t>Secretário Municipal de Obras e Viação</w:t>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r>
    </w:p>
    <w:p>
      <w:pPr>
        <w:pStyle w:val="Normal"/>
        <w:shd w:val="clear" w:fill="FFFFFF"/>
        <w:jc w:val="center"/>
        <w:rPr>
          <w:b/>
          <w:bCs/>
        </w:rPr>
      </w:pPr>
      <w:r>
        <w:rPr>
          <w:rFonts w:eastAsia="Calibri"/>
          <w:b/>
          <w:bCs/>
          <w:color w:val="000000"/>
          <w:sz w:val="22"/>
          <w:szCs w:val="22"/>
          <w:shd w:fill="auto" w:val="clear"/>
        </w:rPr>
        <w:t>JAIR LOCATELLI</w:t>
      </w:r>
    </w:p>
    <w:p>
      <w:pPr>
        <w:pStyle w:val="Normal"/>
        <w:shd w:val="clear" w:fill="FFFFFF"/>
        <w:jc w:val="center"/>
        <w:rPr>
          <w:b w:val="false"/>
          <w:bCs w:val="false"/>
        </w:rPr>
      </w:pPr>
      <w:r>
        <w:rPr>
          <w:rFonts w:eastAsia="Calibri" w:cs="Arial"/>
          <w:b w:val="false"/>
          <w:bCs w:val="false"/>
          <w:color w:val="000000"/>
          <w:kern w:val="0"/>
          <w:sz w:val="22"/>
          <w:szCs w:val="22"/>
          <w:shd w:fill="auto" w:val="clear"/>
          <w:lang w:val="pt-BR" w:eastAsia="zh-CN" w:bidi="ar-SA"/>
        </w:rPr>
        <w:t>Secretário Municipal de Meio Ambiente</w:t>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r>
    </w:p>
    <w:p>
      <w:pPr>
        <w:pStyle w:val="Normal"/>
        <w:shd w:val="clear" w:fill="FFFFFF"/>
        <w:jc w:val="center"/>
        <w:rPr>
          <w:rFonts w:eastAsia="Calibri"/>
          <w:color w:val="000000"/>
          <w:sz w:val="22"/>
          <w:szCs w:val="22"/>
          <w:shd w:fill="auto" w:val="clear"/>
        </w:rPr>
      </w:pPr>
      <w:r>
        <w:rPr>
          <w:rFonts w:eastAsia="Calibri"/>
          <w:color w:val="000000"/>
          <w:sz w:val="22"/>
          <w:szCs w:val="22"/>
          <w:shd w:fill="auto" w:val="clear"/>
        </w:rPr>
      </w:r>
    </w:p>
    <w:p>
      <w:pPr>
        <w:pStyle w:val="Normal"/>
        <w:shd w:val="clear" w:fill="FFFFFF"/>
        <w:jc w:val="center"/>
        <w:rPr>
          <w:b/>
          <w:bCs/>
        </w:rPr>
      </w:pPr>
      <w:r>
        <w:rPr>
          <w:rFonts w:eastAsia="Calibri" w:cs="Arial"/>
          <w:b/>
          <w:bCs/>
          <w:color w:val="000000"/>
          <w:kern w:val="0"/>
          <w:sz w:val="22"/>
          <w:szCs w:val="22"/>
          <w:shd w:fill="auto" w:val="clear"/>
          <w:lang w:val="pt-BR" w:eastAsia="zh-CN" w:bidi="ar-SA"/>
        </w:rPr>
        <w:t>LURDES DRESCH</w:t>
      </w:r>
    </w:p>
    <w:p>
      <w:pPr>
        <w:pStyle w:val="Normal"/>
        <w:shd w:val="clear" w:fill="FFFFFF"/>
        <w:jc w:val="center"/>
        <w:rPr>
          <w:b w:val="false"/>
          <w:bCs w:val="false"/>
        </w:rPr>
      </w:pPr>
      <w:r>
        <w:rPr>
          <w:rFonts w:eastAsia="Calibri" w:cs="Arial"/>
          <w:b w:val="false"/>
          <w:bCs w:val="false"/>
          <w:color w:val="000000"/>
          <w:kern w:val="0"/>
          <w:sz w:val="22"/>
          <w:szCs w:val="22"/>
          <w:shd w:fill="auto" w:val="clear"/>
          <w:lang w:val="pt-BR" w:eastAsia="zh-CN" w:bidi="ar-SA"/>
        </w:rPr>
        <w:t>Secretária Municipal de Educação e Cultura</w:t>
      </w:r>
    </w:p>
    <w:sectPr>
      <w:headerReference w:type="default" r:id="rId2"/>
      <w:headerReference w:type="first" r:id="rId3"/>
      <w:footerReference w:type="default" r:id="rId4"/>
      <w:type w:val="nextPage"/>
      <w:pgSz w:w="11906" w:h="16838"/>
      <w:pgMar w:left="1276" w:right="1134" w:gutter="0" w:header="1418" w:top="3424" w:footer="737"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Light">
    <w:charset w:val="00"/>
    <w:family w:val="roman"/>
    <w:pitch w:val="variable"/>
  </w:font>
  <w:font w:name="Calibri">
    <w:charset w:val="00"/>
    <w:family w:val="roman"/>
    <w:pitch w:val="variable"/>
  </w:font>
  <w:font w:name="Segoe UI">
    <w:charset w:val="00"/>
    <w:family w:val="roman"/>
    <w:pitch w:val="variable"/>
  </w:font>
  <w:font w:name="Monotype Sorts">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7</w:t>
    </w:r>
    <w:r>
      <w:rPr/>
      <w:fldChar w:fldCharType="end"/>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505460" cy="612140"/>
          <wp:effectExtent l="0" t="0" r="0" b="0"/>
          <wp:docPr id="1"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
                  <pic:cNvPicPr>
                    <a:picLocks noChangeAspect="1" noChangeArrowheads="1"/>
                  </pic:cNvPicPr>
                </pic:nvPicPr>
                <pic:blipFill>
                  <a:blip r:embed="rId1"/>
                  <a:srcRect l="-69" t="-52" r="-69" b="-52"/>
                  <a:stretch>
                    <a:fillRect/>
                  </a:stretch>
                </pic:blipFill>
                <pic:spPr bwMode="auto">
                  <a:xfrm>
                    <a:off x="0" y="0"/>
                    <a:ext cx="505460" cy="612140"/>
                  </a:xfrm>
                  <a:prstGeom prst="rect">
                    <a:avLst/>
                  </a:prstGeom>
                </pic:spPr>
              </pic:pic>
            </a:graphicData>
          </a:graphic>
        </wp:inline>
      </w:drawing>
    </w:r>
  </w:p>
  <w:p>
    <w:pPr>
      <w:pStyle w:val="Header"/>
      <w:jc w:val="center"/>
      <w:rPr/>
    </w:pPr>
    <w:r>
      <w:rPr/>
      <w:t>Estado do Rio Grande do Sul</w:t>
    </w:r>
  </w:p>
  <w:p>
    <w:pPr>
      <w:pStyle w:val="Header"/>
      <w:jc w:val="center"/>
      <w:rPr>
        <w:b/>
      </w:rPr>
    </w:pPr>
    <w:r>
      <w:rPr>
        <w:b/>
      </w:rPr>
      <w:t>Município de Três Passos</w:t>
    </w:r>
  </w:p>
  <w:p>
    <w:pPr>
      <w:pStyle w:val="Header"/>
      <w:jc w:val="center"/>
      <w:rPr/>
    </w:pPr>
    <w:r>
      <w:rPr/>
      <w:t>Poder Executivo</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505460" cy="61214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69" t="-52" r="-69" b="-52"/>
                  <a:stretch>
                    <a:fillRect/>
                  </a:stretch>
                </pic:blipFill>
                <pic:spPr bwMode="auto">
                  <a:xfrm>
                    <a:off x="0" y="0"/>
                    <a:ext cx="505460" cy="612140"/>
                  </a:xfrm>
                  <a:prstGeom prst="rect">
                    <a:avLst/>
                  </a:prstGeom>
                </pic:spPr>
              </pic:pic>
            </a:graphicData>
          </a:graphic>
        </wp:inline>
      </w:drawing>
    </w:r>
  </w:p>
  <w:p>
    <w:pPr>
      <w:pStyle w:val="Header"/>
      <w:jc w:val="center"/>
      <w:rPr/>
    </w:pPr>
    <w:r>
      <w:rPr/>
      <w:t>Estado do Rio Grande do Sul</w:t>
    </w:r>
  </w:p>
  <w:p>
    <w:pPr>
      <w:pStyle w:val="Header"/>
      <w:jc w:val="center"/>
      <w:rPr>
        <w:b/>
      </w:rPr>
    </w:pPr>
    <w:r>
      <w:rPr>
        <w:b/>
      </w:rPr>
      <w:t>Município de Três Passos</w:t>
    </w:r>
  </w:p>
  <w:p>
    <w:pPr>
      <w:pStyle w:val="Header"/>
      <w:jc w:val="center"/>
      <w:rPr/>
    </w:pPr>
    <w:r>
      <w:rPr/>
      <w:t>Poder Executivo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20"/>
  <w:autoHyphenation w:val="true"/>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Arial" w:hAnsi="Arial" w:eastAsia="Times New Roman" w:cs="Arial"/>
      <w:color w:val="auto"/>
      <w:kern w:val="0"/>
      <w:sz w:val="22"/>
      <w:szCs w:val="20"/>
      <w:lang w:val="pt-BR" w:eastAsia="zh-CN" w:bidi="ar-SA"/>
    </w:rPr>
  </w:style>
  <w:style w:type="paragraph" w:styleId="Heading1">
    <w:name w:val="Heading 1"/>
    <w:basedOn w:val="Normal"/>
    <w:next w:val="Normal"/>
    <w:qFormat/>
    <w:pPr>
      <w:keepNext w:val="true"/>
      <w:numPr>
        <w:ilvl w:val="0"/>
        <w:numId w:val="2"/>
      </w:numPr>
      <w:spacing w:before="240" w:after="60"/>
      <w:outlineLvl w:val="0"/>
    </w:pPr>
    <w:rPr>
      <w:b/>
      <w:kern w:val="2"/>
      <w:sz w:val="28"/>
    </w:rPr>
  </w:style>
  <w:style w:type="paragraph" w:styleId="Heading2">
    <w:name w:val="Heading 2"/>
    <w:basedOn w:val="Normal"/>
    <w:next w:val="Normal"/>
    <w:qFormat/>
    <w:pPr>
      <w:keepNext w:val="true"/>
      <w:numPr>
        <w:ilvl w:val="0"/>
        <w:numId w:val="0"/>
      </w:numPr>
      <w:spacing w:before="240" w:after="60"/>
      <w:outlineLvl w:val="1"/>
    </w:pPr>
    <w:rPr>
      <w:rFonts w:ascii="Calibri Light" w:hAnsi="Calibri Light" w:cs="Times New Roman"/>
      <w:b/>
      <w:bCs/>
      <w:i/>
      <w:iCs/>
      <w:sz w:val="28"/>
      <w:szCs w:val="28"/>
    </w:rPr>
  </w:style>
  <w:style w:type="paragraph" w:styleId="Heading3">
    <w:name w:val="Heading 3"/>
    <w:basedOn w:val="Normal"/>
    <w:next w:val="Normal"/>
    <w:qFormat/>
    <w:pPr>
      <w:keepNext w:val="true"/>
      <w:numPr>
        <w:ilvl w:val="0"/>
        <w:numId w:val="0"/>
      </w:numPr>
      <w:spacing w:before="240" w:after="60"/>
      <w:outlineLvl w:val="2"/>
    </w:pPr>
    <w:rPr>
      <w:rFonts w:ascii="Calibri Light" w:hAnsi="Calibri Light" w:cs="Times New Roman"/>
      <w:b/>
      <w:bCs/>
      <w:sz w:val="26"/>
      <w:szCs w:val="26"/>
    </w:rPr>
  </w:style>
  <w:style w:type="paragraph" w:styleId="Heading5">
    <w:name w:val="Heading 5"/>
    <w:basedOn w:val="Normal"/>
    <w:next w:val="Normal"/>
    <w:qFormat/>
    <w:pPr>
      <w:keepNext w:val="true"/>
      <w:keepLines/>
      <w:numPr>
        <w:ilvl w:val="0"/>
        <w:numId w:val="0"/>
      </w:numPr>
      <w:spacing w:before="320" w:after="200"/>
      <w:outlineLvl w:val="4"/>
    </w:pPr>
    <w:rPr>
      <w:rFonts w:ascii="Arial" w:hAnsi="Arial" w:eastAsia="Arial" w:cs="Arial"/>
      <w:b/>
      <w:bCs/>
      <w:sz w:val="24"/>
      <w:szCs w:val="24"/>
    </w:rPr>
  </w:style>
  <w:style w:type="paragraph" w:styleId="Heading6">
    <w:name w:val="Heading 6"/>
    <w:basedOn w:val="Normal"/>
    <w:next w:val="Normal"/>
    <w:qFormat/>
    <w:pPr>
      <w:numPr>
        <w:ilvl w:val="0"/>
        <w:numId w:val="0"/>
      </w:numPr>
      <w:spacing w:before="240" w:after="60"/>
      <w:outlineLvl w:val="5"/>
    </w:pPr>
    <w:rPr>
      <w:rFonts w:ascii="Calibri" w:hAnsi="Calibri" w:cs="Calibri"/>
      <w:b/>
      <w:bCs/>
    </w:rPr>
  </w:style>
  <w:style w:type="paragraph" w:styleId="Heading7">
    <w:name w:val="Heading 7"/>
    <w:basedOn w:val="Normal"/>
    <w:next w:val="Normal"/>
    <w:qFormat/>
    <w:pPr>
      <w:keepNext w:val="true"/>
      <w:numPr>
        <w:ilvl w:val="6"/>
        <w:numId w:val="2"/>
      </w:numPr>
      <w:tabs>
        <w:tab w:val="clear" w:pos="720"/>
        <w:tab w:val="left" w:pos="2835" w:leader="none"/>
      </w:tabs>
      <w:spacing w:lineRule="exact" w:line="280"/>
      <w:ind w:hanging="57" w:left="57" w:right="57"/>
      <w:jc w:val="center"/>
      <w:outlineLvl w:val="6"/>
    </w:pPr>
    <w:rPr>
      <w:rFonts w:ascii="Times New Roman" w:hAnsi="Times New Roman" w:cs="Times New Roman"/>
      <w:b/>
      <w:spacing w:val="14"/>
      <w:sz w:val="24"/>
    </w:rPr>
  </w:style>
  <w:style w:type="character" w:styleId="DefaultParagraphFont">
    <w:name w:val="Default Paragraph Font"/>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ontepargpadro4">
    <w:name w:val="Fonte parág. padrão4"/>
    <w:qFormat/>
    <w:rPr/>
  </w:style>
  <w:style w:type="character" w:styleId="Absatz-Standardschriftart">
    <w:name w:val="Absatz-Standardschriftart"/>
    <w:qFormat/>
    <w:rPr/>
  </w:style>
  <w:style w:type="character" w:styleId="Fontepargpadro3">
    <w:name w:val="Fonte parág. padrão3"/>
    <w:qFormat/>
    <w:rPr/>
  </w:style>
  <w:style w:type="character" w:styleId="WW-Absatz-Standardschriftart">
    <w:name w:val="WW-Absatz-Standardschriftart"/>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Fontepargpadro1">
    <w:name w:val="Fonte parág. padrão1"/>
    <w:qFormat/>
    <w:rPr/>
  </w:style>
  <w:style w:type="character" w:styleId="Pagenumber">
    <w:name w:val="page number"/>
    <w:basedOn w:val="Fontepargpadro1"/>
    <w:qFormat/>
    <w:rPr/>
  </w:style>
  <w:style w:type="character" w:styleId="Caracteresdenotaderodap">
    <w:name w:val="Caracteres de nota de rodapé"/>
    <w:qFormat/>
    <w:rPr>
      <w:vertAlign w:val="superscript"/>
    </w:rPr>
  </w:style>
  <w:style w:type="character" w:styleId="Refdenotaderodap1">
    <w:name w:val="Ref. de nota de rodapé1"/>
    <w:qFormat/>
    <w:rPr>
      <w:vertAlign w:val="superscript"/>
    </w:rPr>
  </w:style>
  <w:style w:type="character" w:styleId="Caracteresdenotadefim">
    <w:name w:val="Caracteres de nota de fim"/>
    <w:qFormat/>
    <w:rPr>
      <w:vertAlign w:val="superscript"/>
    </w:rPr>
  </w:style>
  <w:style w:type="character" w:styleId="WW-Caracteresdenotadefim">
    <w:name w:val="WW-Caracteres de nota de fim"/>
    <w:qFormat/>
    <w:rPr/>
  </w:style>
  <w:style w:type="character" w:styleId="Smbolosdenumerao">
    <w:name w:val="Símbolos de numeração"/>
    <w:qForma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Refdenotadefim3">
    <w:name w:val="Ref. de nota de fim3"/>
    <w:qFormat/>
    <w:rPr>
      <w:vertAlign w:val="superscript"/>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RodapChar">
    <w:name w:val="Rodapé Char"/>
    <w:qFormat/>
    <w:rPr>
      <w:rFonts w:ascii="Arial" w:hAnsi="Arial" w:cs="Arial"/>
      <w:sz w:val="22"/>
      <w:lang w:eastAsia="zh-CN"/>
    </w:rPr>
  </w:style>
  <w:style w:type="character" w:styleId="Refdenotaderodap5">
    <w:name w:val="Ref. de nota de rodapé5"/>
    <w:qFormat/>
    <w:rPr>
      <w:vertAlign w:val="superscript"/>
    </w:rPr>
  </w:style>
  <w:style w:type="character" w:styleId="TextodebaloChar">
    <w:name w:val="Texto de balão Char"/>
    <w:qFormat/>
    <w:rPr>
      <w:rFonts w:ascii="Segoe UI" w:hAnsi="Segoe UI" w:cs="Segoe UI"/>
      <w:sz w:val="18"/>
      <w:szCs w:val="18"/>
      <w:lang w:eastAsia="zh-CN"/>
    </w:rPr>
  </w:style>
  <w:style w:type="character" w:styleId="Hyperlink">
    <w:name w:val="Hyperlink"/>
    <w:rPr>
      <w:color w:val="0563C1"/>
      <w:u w:val="single"/>
    </w:rPr>
  </w:style>
  <w:style w:type="character" w:styleId="MenoPendente1">
    <w:name w:val="Menção Pendente1"/>
    <w:qFormat/>
    <w:rPr>
      <w:color w:val="808080"/>
      <w:shd w:fill="E6E6E6" w:val="clear"/>
    </w:rPr>
  </w:style>
  <w:style w:type="character" w:styleId="FollowedHyperlink">
    <w:name w:val="FollowedHyperlink"/>
    <w:basedOn w:val="DefaultParagraphFont"/>
    <w:rPr>
      <w:color w:val="954F72"/>
      <w:u w:val="single"/>
    </w:rPr>
  </w:style>
  <w:style w:type="character" w:styleId="Ttulo2Char">
    <w:name w:val="Título 2 Char"/>
    <w:basedOn w:val="DefaultParagraphFont"/>
    <w:qFormat/>
    <w:rPr>
      <w:rFonts w:ascii="Calibri Light" w:hAnsi="Calibri Light"/>
      <w:b/>
      <w:bCs/>
      <w:i/>
      <w:iCs/>
      <w:sz w:val="28"/>
      <w:szCs w:val="28"/>
    </w:rPr>
  </w:style>
  <w:style w:type="character" w:styleId="Ttulo3Char">
    <w:name w:val="Título 3 Char"/>
    <w:basedOn w:val="DefaultParagraphFont"/>
    <w:qFormat/>
    <w:rPr>
      <w:rFonts w:ascii="Calibri Light" w:hAnsi="Calibri Light"/>
      <w:b/>
      <w:bCs/>
      <w:sz w:val="26"/>
      <w:szCs w:val="26"/>
    </w:rPr>
  </w:style>
  <w:style w:type="character" w:styleId="Ttulo7Char">
    <w:name w:val="Título 7 Char"/>
    <w:basedOn w:val="DefaultParagraphFont"/>
    <w:qFormat/>
    <w:rPr>
      <w:b/>
      <w:spacing w:val="14"/>
      <w:sz w:val="24"/>
    </w:rPr>
  </w:style>
  <w:style w:type="character" w:styleId="WW8Num2z0">
    <w:name w:val="WW8Num2z0"/>
    <w:qFormat/>
    <w:rPr>
      <w:rFonts w:ascii="Monotype Sorts" w:hAnsi="Monotype Sorts"/>
    </w:rPr>
  </w:style>
  <w:style w:type="character" w:styleId="WW8Num3z0">
    <w:name w:val="WW8Num3z0"/>
    <w:qFormat/>
    <w:rPr>
      <w:b/>
    </w:rPr>
  </w:style>
  <w:style w:type="character" w:styleId="WW8Num4z0">
    <w:name w:val="WW8Num4z0"/>
    <w:qFormat/>
    <w:rPr>
      <w:rFonts w:ascii="Times New Roman" w:hAnsi="Times New Roman" w:eastAsia="Times New Roman" w:cs="Times New Roman"/>
    </w:rPr>
  </w:style>
  <w:style w:type="character" w:styleId="WW8Num4z1">
    <w:name w:val="WW8Num4z1"/>
    <w:qFormat/>
    <w:rPr>
      <w:rFonts w:ascii="Courier New" w:hAnsi="Courier New"/>
    </w:rPr>
  </w:style>
  <w:style w:type="character" w:styleId="WW8Num4z2">
    <w:name w:val="WW8Num4z2"/>
    <w:qFormat/>
    <w:rPr>
      <w:rFonts w:ascii="Wingdings" w:hAnsi="Wingdings"/>
    </w:rPr>
  </w:style>
  <w:style w:type="character" w:styleId="WW8Num4z3">
    <w:name w:val="WW8Num4z3"/>
    <w:qFormat/>
    <w:rPr>
      <w:rFonts w:ascii="Symbol" w:hAnsi="Symbol"/>
    </w:rPr>
  </w:style>
  <w:style w:type="character" w:styleId="WW8Num5z0">
    <w:name w:val="WW8Num5z0"/>
    <w:qFormat/>
    <w:rPr>
      <w:rFonts w:ascii="Times New Roman" w:hAnsi="Times New Roman"/>
      <w:b/>
    </w:rPr>
  </w:style>
  <w:style w:type="character" w:styleId="WW8Num6z0">
    <w:name w:val="WW8Num6z0"/>
    <w:qFormat/>
    <w:rPr>
      <w:b/>
    </w:rPr>
  </w:style>
  <w:style w:type="character" w:styleId="WW8Num7z0">
    <w:name w:val="WW8Num7z0"/>
    <w:qFormat/>
    <w:rPr>
      <w:b/>
    </w:rPr>
  </w:style>
  <w:style w:type="character" w:styleId="Emphasis">
    <w:name w:val="Emphasis"/>
    <w:qFormat/>
    <w:rPr>
      <w:i/>
      <w:iCs/>
    </w:rPr>
  </w:style>
  <w:style w:type="character" w:styleId="Strong">
    <w:name w:val="Strong"/>
    <w:qFormat/>
    <w:rPr>
      <w:b/>
      <w:bCs/>
    </w:rPr>
  </w:style>
  <w:style w:type="character" w:styleId="CabealhoChar">
    <w:name w:val="Cabeçalho Char"/>
    <w:basedOn w:val="DefaultParagraphFont"/>
    <w:qFormat/>
    <w:rPr>
      <w:rFonts w:ascii="Times New Roman" w:hAnsi="Times New Roman" w:eastAsia="Times New Roman" w:cs="Times New Roman"/>
      <w:sz w:val="20"/>
      <w:szCs w:val="20"/>
      <w:lang w:eastAsia="zh-CN"/>
    </w:rPr>
  </w:style>
  <w:style w:type="character" w:styleId="CorpodetextoChar">
    <w:name w:val="Corpo de texto Char"/>
    <w:basedOn w:val="DefaultParagraphFont"/>
    <w:qFormat/>
    <w:rPr>
      <w:rFonts w:ascii="Times New Roman" w:hAnsi="Times New Roman" w:eastAsia="Times New Roman" w:cs="Times New Roman"/>
      <w:sz w:val="20"/>
      <w:szCs w:val="20"/>
      <w:lang w:eastAsia="zh-CN"/>
    </w:rPr>
  </w:style>
  <w:style w:type="character" w:styleId="Ttulo6Char">
    <w:name w:val="Título 6 Char"/>
    <w:basedOn w:val="DefaultParagraphFont"/>
    <w:qFormat/>
    <w:rPr>
      <w:rFonts w:ascii="Calibri" w:hAnsi="Calibri" w:eastAsia="Times New Roman" w:cs="Calibri"/>
      <w:b/>
      <w:bCs/>
      <w:sz w:val="20"/>
      <w:szCs w:val="20"/>
      <w:lang w:eastAsia="zh-CN"/>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widowControl w:val="false"/>
      <w:suppressAutoHyphens w:val="true"/>
      <w:jc w:val="both"/>
    </w:pPr>
    <w:rPr>
      <w:rFonts w:ascii="Times New Roman" w:hAnsi="Times New Roman" w:cs="Times New Roman"/>
      <w:sz w:val="28"/>
    </w:rPr>
  </w:style>
  <w:style w:type="paragraph" w:styleId="List">
    <w:name w:val="List"/>
    <w:basedOn w:val="BodyText"/>
    <w:pPr/>
    <w:rPr>
      <w:rFonts w:cs="Tahoma"/>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Tahoma"/>
    </w:rPr>
  </w:style>
  <w:style w:type="paragraph" w:styleId="Ttulo3">
    <w:name w:val="Título3"/>
    <w:basedOn w:val="Normal"/>
    <w:next w:val="BodyText"/>
    <w:qFormat/>
    <w:pPr>
      <w:keepNext w:val="true"/>
      <w:spacing w:before="240" w:after="120"/>
    </w:pPr>
    <w:rPr>
      <w:rFonts w:ascii="Liberation Sans" w:hAnsi="Liberation Sans" w:eastAsia="Microsoft YaHei" w:cs="Mangal"/>
      <w:sz w:val="28"/>
      <w:szCs w:val="28"/>
    </w:rPr>
  </w:style>
  <w:style w:type="paragraph" w:styleId="Caption1">
    <w:name w:val="caption1"/>
    <w:basedOn w:val="Normal"/>
    <w:qFormat/>
    <w:pPr>
      <w:suppressLineNumbers/>
      <w:spacing w:before="120" w:after="120"/>
    </w:pPr>
    <w:rPr>
      <w:rFonts w:cs="Mangal"/>
      <w:i/>
      <w:iCs/>
      <w:sz w:val="24"/>
      <w:szCs w:val="24"/>
    </w:rPr>
  </w:style>
  <w:style w:type="paragraph" w:styleId="Ttulo2">
    <w:name w:val="Título2"/>
    <w:basedOn w:val="Normal"/>
    <w:next w:val="BodyText"/>
    <w:qFormat/>
    <w:pPr>
      <w:keepNext w:val="true"/>
      <w:spacing w:before="240" w:after="120"/>
    </w:pPr>
    <w:rPr>
      <w:rFonts w:eastAsia="Lucida Sans Unicode" w:cs="Mangal"/>
      <w:sz w:val="28"/>
      <w:szCs w:val="28"/>
    </w:rPr>
  </w:style>
  <w:style w:type="paragraph" w:styleId="Legenda3">
    <w:name w:val="Legenda3"/>
    <w:basedOn w:val="Normal"/>
    <w:qFormat/>
    <w:pPr>
      <w:suppressLineNumbers/>
      <w:spacing w:before="120" w:after="120"/>
    </w:pPr>
    <w:rPr>
      <w:rFonts w:cs="Mangal"/>
      <w:i/>
      <w:iCs/>
      <w:sz w:val="24"/>
      <w:szCs w:val="24"/>
    </w:rPr>
  </w:style>
  <w:style w:type="paragraph" w:styleId="Ttulo1">
    <w:name w:val="Título1"/>
    <w:basedOn w:val="Normal"/>
    <w:next w:val="BodyText"/>
    <w:qFormat/>
    <w:pPr>
      <w:keepNext w:val="true"/>
      <w:spacing w:before="240" w:after="120"/>
    </w:pPr>
    <w:rPr>
      <w:rFonts w:eastAsia="Lucida Sans Unicode" w:cs="Tahoma"/>
      <w:sz w:val="28"/>
      <w:szCs w:val="28"/>
    </w:rPr>
  </w:style>
  <w:style w:type="paragraph" w:styleId="Legenda2">
    <w:name w:val="Legenda2"/>
    <w:basedOn w:val="Normal"/>
    <w:qFormat/>
    <w:pPr>
      <w:suppressLineNumbers/>
      <w:spacing w:before="120" w:after="120"/>
    </w:pPr>
    <w:rPr>
      <w:rFonts w:cs="Mangal"/>
      <w:i/>
      <w:iCs/>
      <w:sz w:val="24"/>
      <w:szCs w:val="24"/>
    </w:rPr>
  </w:style>
  <w:style w:type="paragraph" w:styleId="Captulo">
    <w:name w:val="Capítulo"/>
    <w:basedOn w:val="Normal"/>
    <w:next w:val="BodyText"/>
    <w:qFormat/>
    <w:pPr>
      <w:keepNext w:val="true"/>
      <w:spacing w:before="240" w:after="120"/>
    </w:pPr>
    <w:rPr>
      <w:rFonts w:eastAsia="Lucida Sans Unicode" w:cs="Tahoma"/>
      <w:sz w:val="28"/>
      <w:szCs w:val="28"/>
    </w:rPr>
  </w:style>
  <w:style w:type="paragraph" w:styleId="Legenda1">
    <w:name w:val="Legenda1"/>
    <w:basedOn w:val="Normal"/>
    <w:qFormat/>
    <w:pPr>
      <w:suppressLineNumbers/>
      <w:spacing w:before="120" w:after="120"/>
    </w:pPr>
    <w:rPr>
      <w:rFonts w:cs="Tahoma"/>
      <w:i/>
      <w:iCs/>
      <w:sz w:val="24"/>
      <w:szCs w:val="24"/>
    </w:rPr>
  </w:style>
  <w:style w:type="paragraph" w:styleId="Subtitle">
    <w:name w:val="Subtitle"/>
    <w:basedOn w:val="Captulo"/>
    <w:next w:val="BodyText"/>
    <w:qFormat/>
    <w:pPr>
      <w:jc w:val="center"/>
    </w:pPr>
    <w:rPr>
      <w:i/>
      <w:iCs/>
    </w:rPr>
  </w:style>
  <w:style w:type="paragraph" w:styleId="CabealhoeRodap">
    <w:name w:val="Cabeçalho e Rodapé"/>
    <w:basedOn w:val="Normal"/>
    <w:qFormat/>
    <w:pPr/>
    <w:rPr/>
  </w:style>
  <w:style w:type="paragraph" w:styleId="Footer">
    <w:name w:val="Footer"/>
    <w:basedOn w:val="Normal"/>
    <w:pPr>
      <w:tabs>
        <w:tab w:val="clear" w:pos="720"/>
        <w:tab w:val="center" w:pos="4419" w:leader="none"/>
        <w:tab w:val="right" w:pos="8838" w:leader="none"/>
      </w:tabs>
    </w:pPr>
    <w:rPr/>
  </w:style>
  <w:style w:type="paragraph" w:styleId="Header">
    <w:name w:val="Header"/>
    <w:basedOn w:val="Normal"/>
    <w:pPr>
      <w:tabs>
        <w:tab w:val="clear" w:pos="720"/>
        <w:tab w:val="center" w:pos="4419" w:leader="none"/>
        <w:tab w:val="right" w:pos="8838" w:leader="none"/>
      </w:tabs>
    </w:pPr>
    <w:rPr/>
  </w:style>
  <w:style w:type="paragraph" w:styleId="JE1">
    <w:name w:val="JE1"/>
    <w:basedOn w:val="Heading1"/>
    <w:qFormat/>
    <w:pPr>
      <w:numPr>
        <w:ilvl w:val="0"/>
        <w:numId w:val="0"/>
      </w:numPr>
      <w:suppressAutoHyphens w:val="true"/>
      <w:jc w:val="center"/>
    </w:pPr>
    <w:rPr/>
  </w:style>
  <w:style w:type="paragraph" w:styleId="BodyTextIndent">
    <w:name w:val="Body Text Indent"/>
    <w:basedOn w:val="Normal"/>
    <w:pPr>
      <w:suppressAutoHyphens w:val="true"/>
      <w:ind w:hanging="0" w:left="2410" w:right="0"/>
      <w:jc w:val="both"/>
    </w:pPr>
    <w:rPr>
      <w:b/>
      <w:sz w:val="24"/>
    </w:rPr>
  </w:style>
  <w:style w:type="paragraph" w:styleId="FootnoteText">
    <w:name w:val="Footnote Text"/>
    <w:basedOn w:val="Normal"/>
    <w:pPr>
      <w:suppressAutoHyphens w:val="true"/>
    </w:pPr>
    <w:rPr>
      <w:rFonts w:ascii="Times New Roman" w:hAnsi="Times New Roman" w:cs="Times New Roman"/>
      <w:sz w:val="20"/>
    </w:rPr>
  </w:style>
  <w:style w:type="paragraph" w:styleId="Corpodetexto21">
    <w:name w:val="Corpo de texto 21"/>
    <w:basedOn w:val="Normal"/>
    <w:qFormat/>
    <w:pPr>
      <w:jc w:val="both"/>
    </w:pPr>
    <w:rPr/>
  </w:style>
  <w:style w:type="paragraph" w:styleId="Contedodetabela">
    <w:name w:val="Conteúdo de tabela"/>
    <w:basedOn w:val="Normal"/>
    <w:qFormat/>
    <w:pPr>
      <w:suppressLineNumbers/>
    </w:pPr>
    <w:rPr/>
  </w:style>
  <w:style w:type="paragraph" w:styleId="Contedodatabela">
    <w:name w:val="Conteúdo da tabela"/>
    <w:basedOn w:val="Normal"/>
    <w:qFormat/>
    <w:pPr>
      <w:suppressLineNumbers/>
    </w:pPr>
    <w:rPr/>
  </w:style>
  <w:style w:type="paragraph" w:styleId="Ttulodetabela">
    <w:name w:val="Título de tabela"/>
    <w:basedOn w:val="Contedodetabela"/>
    <w:qFormat/>
    <w:pPr>
      <w:jc w:val="center"/>
    </w:pPr>
    <w:rPr>
      <w:b/>
      <w:bCs/>
    </w:rPr>
  </w:style>
  <w:style w:type="paragraph" w:styleId="Contedodequadro">
    <w:name w:val="Conteúdo de quadro"/>
    <w:basedOn w:val="BodyText"/>
    <w:qFormat/>
    <w:pPr/>
    <w:rPr/>
  </w:style>
  <w:style w:type="paragraph" w:styleId="Ttulodatabela">
    <w:name w:val="Título da tabela"/>
    <w:basedOn w:val="Contedodatabela"/>
    <w:qFormat/>
    <w:pPr>
      <w:jc w:val="center"/>
    </w:pPr>
    <w:rPr>
      <w:b/>
      <w:bCs/>
    </w:rPr>
  </w:style>
  <w:style w:type="paragraph" w:styleId="Contedodoquadro">
    <w:name w:val="Conteúdo do quadro"/>
    <w:basedOn w:val="BodyText"/>
    <w:qFormat/>
    <w:pPr/>
    <w:rPr/>
  </w:style>
  <w:style w:type="paragraph" w:styleId="BalloonText">
    <w:name w:val="Balloon Text"/>
    <w:basedOn w:val="Normal"/>
    <w:qFormat/>
    <w:pPr/>
    <w:rPr>
      <w:rFonts w:ascii="Segoe UI" w:hAnsi="Segoe UI" w:cs="Segoe UI"/>
      <w:sz w:val="18"/>
      <w:szCs w:val="18"/>
    </w:rPr>
  </w:style>
  <w:style w:type="paragraph" w:styleId="Textoembloco1">
    <w:name w:val="Texto em bloco1"/>
    <w:basedOn w:val="Normal"/>
    <w:qFormat/>
    <w:pPr>
      <w:ind w:firstLine="1134" w:left="4253" w:right="57"/>
      <w:jc w:val="both"/>
    </w:pPr>
    <w:rPr>
      <w:rFonts w:cs="Times New Roman"/>
      <w:i/>
      <w:spacing w:val="14"/>
    </w:rPr>
  </w:style>
  <w:style w:type="paragraph" w:styleId="Texto2">
    <w:name w:val="texto2"/>
    <w:basedOn w:val="Normal"/>
    <w:qFormat/>
    <w:pPr>
      <w:spacing w:before="280" w:after="280"/>
    </w:pPr>
    <w:rPr>
      <w:rFonts w:ascii="Times New Roman" w:hAnsi="Times New Roman" w:cs="Times New Roman"/>
      <w:sz w:val="24"/>
      <w:szCs w:val="24"/>
      <w:lang w:eastAsia="pt-BR"/>
    </w:rPr>
  </w:style>
  <w:style w:type="paragraph" w:styleId="04partenormativa">
    <w:name w:val="04partenormativa"/>
    <w:basedOn w:val="Normal"/>
    <w:qFormat/>
    <w:pPr>
      <w:spacing w:before="280" w:after="280"/>
    </w:pPr>
    <w:rPr>
      <w:rFonts w:ascii="Times New Roman" w:hAnsi="Times New Roman" w:cs="Times New Roman"/>
      <w:sz w:val="24"/>
      <w:szCs w:val="24"/>
      <w:lang w:eastAsia="pt-BR"/>
    </w:rPr>
  </w:style>
  <w:style w:type="paragraph" w:styleId="ListParagraph">
    <w:name w:val="List Paragraph"/>
    <w:basedOn w:val="Normal"/>
    <w:qFormat/>
    <w:pPr>
      <w:spacing w:before="0" w:after="0"/>
      <w:ind w:hanging="0" w:left="720" w:right="0"/>
      <w:contextualSpacing/>
    </w:pPr>
    <w:rPr/>
  </w:style>
  <w:style w:type="paragraph" w:styleId="NormalWeb">
    <w:name w:val="Normal (Web)"/>
    <w:basedOn w:val="Normal"/>
    <w:qFormat/>
    <w:pPr>
      <w:spacing w:before="280" w:after="280"/>
    </w:pPr>
    <w:rPr>
      <w:rFonts w:ascii="Times New Roman" w:hAnsi="Times New Roman" w:cs="Times New Roman"/>
      <w:sz w:val="24"/>
      <w:szCs w:val="24"/>
      <w:lang w:eastAsia="pt-BR"/>
    </w:rPr>
  </w:style>
  <w:style w:type="paragraph" w:styleId="NoSpacing">
    <w:name w:val="No Spacing"/>
    <w:qFormat/>
    <w:pPr>
      <w:widowControl/>
      <w:suppressAutoHyphens w:val="true"/>
      <w:overflowPunct w:val="true"/>
      <w:bidi w:val="0"/>
      <w:spacing w:lineRule="auto" w:line="240" w:before="0" w:after="0"/>
      <w:jc w:val="left"/>
    </w:pPr>
    <w:rPr>
      <w:rFonts w:ascii="Times New Roman" w:hAnsi="Times New Roman" w:eastAsia="Times New Roman" w:cs="Times New Roman"/>
      <w:color w:val="auto"/>
      <w:kern w:val="0"/>
      <w:sz w:val="20"/>
      <w:szCs w:val="20"/>
      <w:lang w:val="pt-BR" w:eastAsia="pt-BR" w:bidi="ar-SA"/>
    </w:rPr>
  </w:style>
  <w:style w:type="numbering" w:styleId="Numeraoivx">
    <w:name w:val="Numeração ivx"/>
    <w:qFormat/>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1379</TotalTime>
  <Application>LibreOffice/7.6.4.1$Windows_X86_64 LibreOffice_project/e19e193f88cd6c0525a17fb7a176ed8e6a3e2aa1</Application>
  <AppVersion>15.0000</AppVersion>
  <Pages>7</Pages>
  <Words>1725</Words>
  <Characters>9834</Characters>
  <CharactersWithSpaces>11491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2023-04-01T10:45:00Z</dcterms:created>
  <dc:creator>Marcia Bello</dc:creator>
  <dc:description/>
  <dc:language>pt-BR</dc:language>
  <cp:lastModifiedBy/>
  <cp:lastPrinted>2025-05-20T13:16:50Z</cp:lastPrinted>
  <dcterms:modified xsi:type="dcterms:W3CDTF">2025-05-20T13:24:49Z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