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36667" w:rsidRDefault="007543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ESTUDO TÉCNICO PRELIMINAR</w:t>
      </w:r>
    </w:p>
    <w:p w:rsidR="00536667" w:rsidRDefault="007543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</w:pPr>
      <w:r>
        <w:rPr>
          <w:b/>
          <w:bCs/>
          <w:sz w:val="24"/>
          <w:szCs w:val="24"/>
        </w:rPr>
        <w:t>PROCESSO ADMINISTRATIVO</w:t>
      </w:r>
    </w:p>
    <w:p w:rsidR="00536667" w:rsidRDefault="007543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Três Passos</w:t>
      </w:r>
    </w:p>
    <w:p w:rsidR="00536667" w:rsidRDefault="007543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 Municipal de Meio Ambiente</w:t>
      </w:r>
    </w:p>
    <w:p w:rsidR="00536667" w:rsidRDefault="007543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>
        <w:rPr>
          <w:kern w:val="2"/>
          <w:sz w:val="24"/>
          <w:szCs w:val="24"/>
        </w:rPr>
        <w:t>Aquisição de materiais essenciais (insumos, ferramentas e materiais de apoio)</w:t>
      </w:r>
      <w:r>
        <w:rPr>
          <w:kern w:val="2"/>
          <w:sz w:val="24"/>
          <w:szCs w:val="24"/>
        </w:rPr>
        <w:t xml:space="preserve"> para garantir a eficiência, qualidade e adequado funcionamento das atividades e serviços desenvolvidos pelo setor de paisagismo da </w:t>
      </w:r>
      <w:proofErr w:type="spellStart"/>
      <w:r>
        <w:rPr>
          <w:kern w:val="2"/>
          <w:sz w:val="24"/>
          <w:szCs w:val="24"/>
        </w:rPr>
        <w:t>SeMMA</w:t>
      </w:r>
      <w:proofErr w:type="spellEnd"/>
      <w:r>
        <w:rPr>
          <w:kern w:val="2"/>
          <w:sz w:val="24"/>
          <w:szCs w:val="24"/>
        </w:rPr>
        <w:t xml:space="preserve">. </w:t>
      </w:r>
    </w:p>
    <w:p w:rsidR="00536667" w:rsidRDefault="0075439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536667" w:rsidRDefault="00754393">
      <w:pPr>
        <w:pStyle w:val="Corpodetexto"/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>A aquisição dos materiais propostos é necessária para assegurar a continuidade, eficiên</w:t>
      </w:r>
      <w:r>
        <w:rPr>
          <w:rFonts w:ascii="Arial" w:hAnsi="Arial"/>
          <w:sz w:val="24"/>
          <w:szCs w:val="24"/>
        </w:rPr>
        <w:t>cia e qualidade das atividades desenvolvidas pelo setor de paisagismo da Secretaria Municipal de Meio Ambiente (</w:t>
      </w:r>
      <w:proofErr w:type="spellStart"/>
      <w:r>
        <w:rPr>
          <w:rFonts w:ascii="Arial" w:hAnsi="Arial"/>
          <w:sz w:val="24"/>
          <w:szCs w:val="24"/>
        </w:rPr>
        <w:t>SeMMA</w:t>
      </w:r>
      <w:proofErr w:type="spellEnd"/>
      <w:r>
        <w:rPr>
          <w:rFonts w:ascii="Arial" w:hAnsi="Arial"/>
          <w:sz w:val="24"/>
          <w:szCs w:val="24"/>
        </w:rPr>
        <w:t>), responsável pela implantação, manutenção e conservação de áreas verdes, praças, canteiros, arborização urbana e produção de mudas no viv</w:t>
      </w:r>
      <w:r>
        <w:rPr>
          <w:rFonts w:ascii="Arial" w:hAnsi="Arial"/>
          <w:sz w:val="24"/>
          <w:szCs w:val="24"/>
        </w:rPr>
        <w:t>eiro municipal.</w:t>
      </w:r>
    </w:p>
    <w:p w:rsidR="00536667" w:rsidRDefault="00754393">
      <w:pPr>
        <w:pStyle w:val="Corpodetexto"/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 xml:space="preserve">O pleno desempenho dessas atribuições depende do fornecimento contínuo de insumos e ferramentas adequadas. Produtos como fertilizantes, adubo orgânico e calcário são fundamentais para a correção, nutrição e melhoria das condições do solo, </w:t>
      </w:r>
      <w:r>
        <w:rPr>
          <w:rFonts w:ascii="Arial" w:hAnsi="Arial"/>
          <w:sz w:val="24"/>
          <w:szCs w:val="24"/>
        </w:rPr>
        <w:t xml:space="preserve">garantindo o desenvolvimento saudável das espécies vegetais. Da mesma forma, insumos como enxofre agrícola, óxido de cálcio, sulfato de cobre </w:t>
      </w:r>
      <w:proofErr w:type="spellStart"/>
      <w:r>
        <w:rPr>
          <w:rFonts w:ascii="Arial" w:hAnsi="Arial"/>
          <w:sz w:val="24"/>
          <w:szCs w:val="24"/>
        </w:rPr>
        <w:t>pentahidratado</w:t>
      </w:r>
      <w:proofErr w:type="spellEnd"/>
      <w:r>
        <w:rPr>
          <w:rFonts w:ascii="Arial" w:hAnsi="Arial"/>
          <w:sz w:val="24"/>
          <w:szCs w:val="24"/>
        </w:rPr>
        <w:t xml:space="preserve"> e óleo de </w:t>
      </w:r>
      <w:proofErr w:type="spellStart"/>
      <w:r>
        <w:rPr>
          <w:rFonts w:ascii="Arial" w:hAnsi="Arial"/>
          <w:sz w:val="24"/>
          <w:szCs w:val="24"/>
        </w:rPr>
        <w:t>neem</w:t>
      </w:r>
      <w:proofErr w:type="spellEnd"/>
      <w:r>
        <w:rPr>
          <w:rFonts w:ascii="Arial" w:hAnsi="Arial"/>
          <w:sz w:val="24"/>
          <w:szCs w:val="24"/>
        </w:rPr>
        <w:t xml:space="preserve"> são utilizados no manejo fitossanitário, auxiliando na prevenção e controle de praga</w:t>
      </w:r>
      <w:r>
        <w:rPr>
          <w:rFonts w:ascii="Arial" w:hAnsi="Arial"/>
          <w:sz w:val="24"/>
          <w:szCs w:val="24"/>
        </w:rPr>
        <w:t>s e doenças, contribuindo para a sanidade das plantas.</w:t>
      </w:r>
    </w:p>
    <w:p w:rsidR="00536667" w:rsidRDefault="00754393">
      <w:pPr>
        <w:pStyle w:val="Corpodetexto"/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 xml:space="preserve">Ferramentas manuais, como ancinho e sacho coração, são indispensáveis para o preparo do solo, capina, revolvimento e manutenção dos canteiros. Já equipamentos como pulverizador e regadores viabilizam </w:t>
      </w:r>
      <w:r>
        <w:rPr>
          <w:rFonts w:ascii="Arial" w:hAnsi="Arial"/>
          <w:sz w:val="24"/>
          <w:szCs w:val="24"/>
        </w:rPr>
        <w:t>a aplicação adequada de insumos e a irrigação das plantas, especialmente no viveiro e em áreas recém-implantadas.</w:t>
      </w:r>
    </w:p>
    <w:p w:rsidR="00536667" w:rsidRDefault="00754393">
      <w:pPr>
        <w:pStyle w:val="Corpodetexto"/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 xml:space="preserve">Materiais auxiliares, como sacos plásticos para mudas, arame, fita isolante e veda rosca, são necessários para a produção e acondicionamento </w:t>
      </w:r>
      <w:r>
        <w:rPr>
          <w:rFonts w:ascii="Arial" w:hAnsi="Arial"/>
          <w:sz w:val="24"/>
          <w:szCs w:val="24"/>
        </w:rPr>
        <w:t xml:space="preserve">de mudas, </w:t>
      </w:r>
      <w:proofErr w:type="spellStart"/>
      <w:r>
        <w:rPr>
          <w:rFonts w:ascii="Arial" w:hAnsi="Arial"/>
          <w:sz w:val="24"/>
          <w:szCs w:val="24"/>
        </w:rPr>
        <w:t>tutoramento</w:t>
      </w:r>
      <w:proofErr w:type="spellEnd"/>
      <w:r>
        <w:rPr>
          <w:rFonts w:ascii="Arial" w:hAnsi="Arial"/>
          <w:sz w:val="24"/>
          <w:szCs w:val="24"/>
        </w:rPr>
        <w:t xml:space="preserve"> de plantas, bem como para pequenos reparos e manutenção de sistemas de água, como torneiras.</w:t>
      </w:r>
    </w:p>
    <w:p w:rsidR="00536667" w:rsidRDefault="00754393">
      <w:pPr>
        <w:pStyle w:val="Corpodetexto"/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ab/>
        <w:t>Além disso, a utilização de iscas para formigas é essencial para o controle de pragas que podem comprometer significativamente o desenvolvim</w:t>
      </w:r>
      <w:r>
        <w:rPr>
          <w:rFonts w:ascii="Arial" w:hAnsi="Arial"/>
          <w:sz w:val="24"/>
          <w:szCs w:val="24"/>
        </w:rPr>
        <w:t>ento das espécies cultivadas.</w:t>
      </w:r>
    </w:p>
    <w:p w:rsidR="00536667" w:rsidRDefault="00754393">
      <w:pPr>
        <w:pStyle w:val="Corpodetexto"/>
        <w:spacing w:after="283" w:line="360" w:lineRule="auto"/>
      </w:pPr>
      <w:r>
        <w:rPr>
          <w:rFonts w:ascii="Arial" w:hAnsi="Arial"/>
          <w:sz w:val="24"/>
          <w:szCs w:val="24"/>
        </w:rPr>
        <w:tab/>
        <w:t xml:space="preserve">Dessa forma, a aquisição desses materiais é imprescindível para garantir a execução adequada e contínua das atividades do setor de paisagismo, assegurando a qualidade estética, funcional e ambiental dos espaços públicos, bem </w:t>
      </w:r>
      <w:r>
        <w:rPr>
          <w:rFonts w:ascii="Arial" w:hAnsi="Arial"/>
          <w:sz w:val="24"/>
          <w:szCs w:val="24"/>
        </w:rPr>
        <w:t xml:space="preserve">como o cumprimento das competências institucionais da </w:t>
      </w:r>
      <w:proofErr w:type="spellStart"/>
      <w:r>
        <w:rPr>
          <w:rFonts w:ascii="Arial" w:hAnsi="Arial"/>
          <w:sz w:val="24"/>
          <w:szCs w:val="24"/>
        </w:rPr>
        <w:t>SeMMA</w:t>
      </w:r>
      <w:proofErr w:type="spellEnd"/>
      <w:r>
        <w:rPr>
          <w:rFonts w:ascii="Arial" w:hAnsi="Arial"/>
          <w:sz w:val="24"/>
          <w:szCs w:val="24"/>
        </w:rPr>
        <w:t>.</w:t>
      </w:r>
    </w:p>
    <w:p w:rsidR="00536667" w:rsidRDefault="0075439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536667" w:rsidRDefault="007543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A contratação pretendida está prevista na Lei de Diretrizes Orçamentárias (LDO) de 2026, estando assim alinhada com o planejamento desta Admin</w:t>
      </w:r>
      <w:r>
        <w:rPr>
          <w:sz w:val="24"/>
          <w:szCs w:val="24"/>
        </w:rPr>
        <w:t>istração.</w:t>
      </w:r>
    </w:p>
    <w:p w:rsidR="00536667" w:rsidRDefault="00536667">
      <w:pPr>
        <w:spacing w:line="360" w:lineRule="auto"/>
        <w:jc w:val="both"/>
        <w:rPr>
          <w:sz w:val="24"/>
          <w:szCs w:val="24"/>
        </w:rPr>
      </w:pPr>
    </w:p>
    <w:p w:rsidR="00536667" w:rsidRDefault="0075439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536667" w:rsidRDefault="007543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Os</w:t>
      </w:r>
      <w:r>
        <w:rPr>
          <w:sz w:val="24"/>
          <w:szCs w:val="24"/>
        </w:rPr>
        <w:t xml:space="preserve"> itens do objeto licitatório</w:t>
      </w:r>
      <w:r>
        <w:rPr>
          <w:sz w:val="24"/>
          <w:szCs w:val="24"/>
        </w:rPr>
        <w:t xml:space="preserve"> deverão ser entregues no </w:t>
      </w:r>
      <w:r>
        <w:rPr>
          <w:rFonts w:eastAsia="Calibri"/>
          <w:color w:val="000000"/>
          <w:sz w:val="24"/>
          <w:szCs w:val="24"/>
        </w:rPr>
        <w:t xml:space="preserve">Horto Florestal, Av. Farroupilha, 1844, Padre </w:t>
      </w:r>
      <w:proofErr w:type="spellStart"/>
      <w:r>
        <w:rPr>
          <w:rFonts w:eastAsia="Calibri"/>
          <w:color w:val="000000"/>
          <w:sz w:val="24"/>
          <w:szCs w:val="24"/>
        </w:rPr>
        <w:t>Gonzales</w:t>
      </w:r>
      <w:proofErr w:type="spellEnd"/>
      <w:r>
        <w:rPr>
          <w:rFonts w:eastAsia="Calibri"/>
          <w:color w:val="000000"/>
          <w:sz w:val="24"/>
          <w:szCs w:val="24"/>
        </w:rPr>
        <w:t xml:space="preserve"> (ao lado do cemitério de padre </w:t>
      </w:r>
      <w:proofErr w:type="spellStart"/>
      <w:r>
        <w:rPr>
          <w:rFonts w:eastAsia="Calibri"/>
          <w:color w:val="000000"/>
          <w:sz w:val="24"/>
          <w:szCs w:val="24"/>
        </w:rPr>
        <w:t>gonzales</w:t>
      </w:r>
      <w:proofErr w:type="spellEnd"/>
      <w:r>
        <w:rPr>
          <w:rFonts w:eastAsia="Calibri"/>
          <w:color w:val="000000"/>
          <w:sz w:val="24"/>
          <w:szCs w:val="24"/>
        </w:rPr>
        <w:t>), Três Passos-RS, 98600-000</w:t>
      </w:r>
      <w:r>
        <w:rPr>
          <w:sz w:val="24"/>
          <w:szCs w:val="24"/>
        </w:rPr>
        <w:t>, no prazo de 15 (quinz</w:t>
      </w:r>
      <w:r>
        <w:rPr>
          <w:sz w:val="24"/>
          <w:szCs w:val="24"/>
        </w:rPr>
        <w:t xml:space="preserve">e) dias do recebimento do empenho, e deverão estar de acordo com a descrição dos produtos, tendo em vista que o não atendimento dos </w:t>
      </w:r>
      <w:r>
        <w:rPr>
          <w:color w:val="000000"/>
          <w:sz w:val="24"/>
          <w:szCs w:val="24"/>
        </w:rPr>
        <w:t>padrões técnicos e de desempenho e qualidade irá resultar na aplicação das penalidades de acordo com a legislação vigente</w:t>
      </w:r>
      <w:r>
        <w:rPr>
          <w:sz w:val="24"/>
          <w:szCs w:val="24"/>
        </w:rPr>
        <w:t xml:space="preserve"> da</w:t>
      </w:r>
      <w:r>
        <w:rPr>
          <w:sz w:val="24"/>
          <w:szCs w:val="24"/>
        </w:rPr>
        <w:t xml:space="preserve"> Lei Federal nº 14.133/2021.</w:t>
      </w:r>
    </w:p>
    <w:p w:rsidR="00536667" w:rsidRDefault="007543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A contratação será realizada por meio de licitação, na modalidade Pregão, na sua </w:t>
      </w:r>
      <w:proofErr w:type="gramStart"/>
      <w:r>
        <w:rPr>
          <w:sz w:val="24"/>
          <w:szCs w:val="24"/>
        </w:rPr>
        <w:t>forma</w:t>
      </w:r>
      <w:proofErr w:type="gramEnd"/>
      <w:r>
        <w:rPr>
          <w:sz w:val="24"/>
          <w:szCs w:val="24"/>
        </w:rPr>
        <w:t xml:space="preserve"> eletrônica, com critério de julgamento por menor preço, nos termos dos artigos 6º, inciso XLI, 17, § 2º, e 34, todos da Lei Federal nº </w:t>
      </w:r>
      <w:r>
        <w:rPr>
          <w:sz w:val="24"/>
          <w:szCs w:val="24"/>
        </w:rPr>
        <w:t>14.133/2021.</w:t>
      </w:r>
    </w:p>
    <w:p w:rsidR="00536667" w:rsidRDefault="007543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Para fornecimento dos produtos pretendidos os eventuais interessados deverão comprovar que atuam em ramo de atividade compatível com o objeto da licitação, bem como apresentar os documentos a título habilitação, nos termos do art. 62 e 66, da</w:t>
      </w:r>
      <w:r>
        <w:rPr>
          <w:sz w:val="24"/>
          <w:szCs w:val="24"/>
        </w:rPr>
        <w:t xml:space="preserve"> Lei nº 14.133/2021.</w:t>
      </w:r>
    </w:p>
    <w:p w:rsidR="00536667" w:rsidRDefault="0075439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:rsidR="00536667" w:rsidRDefault="007543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Os quantitativos estimados para a contratação pretendida têm como parâmetro a necessidade do objeto, ou seja, a a</w:t>
      </w:r>
      <w:r>
        <w:rPr>
          <w:kern w:val="2"/>
          <w:sz w:val="24"/>
          <w:szCs w:val="24"/>
        </w:rPr>
        <w:t xml:space="preserve">quisição de materiais essenciais para garantir a </w:t>
      </w:r>
      <w:r>
        <w:rPr>
          <w:kern w:val="2"/>
          <w:sz w:val="24"/>
          <w:szCs w:val="24"/>
        </w:rPr>
        <w:lastRenderedPageBreak/>
        <w:t>eficiência, qualidade e adequado funcionam</w:t>
      </w:r>
      <w:r>
        <w:rPr>
          <w:kern w:val="2"/>
          <w:sz w:val="24"/>
          <w:szCs w:val="24"/>
        </w:rPr>
        <w:t xml:space="preserve">ento das atividades e serviços desenvolvidos pelo setor de paisagismo da </w:t>
      </w:r>
      <w:proofErr w:type="spellStart"/>
      <w:r>
        <w:rPr>
          <w:kern w:val="2"/>
          <w:sz w:val="24"/>
          <w:szCs w:val="24"/>
        </w:rPr>
        <w:t>SeMMA</w:t>
      </w:r>
      <w:proofErr w:type="spellEnd"/>
      <w:r>
        <w:rPr>
          <w:rFonts w:eastAsia="Calibri"/>
          <w:color w:val="000000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Neste sentido, segue memória de cálculo:</w:t>
      </w:r>
    </w:p>
    <w:tbl>
      <w:tblPr>
        <w:tblStyle w:val="Tabelacomgrade"/>
        <w:tblW w:w="11544" w:type="dxa"/>
        <w:jc w:val="center"/>
        <w:tblLayout w:type="fixed"/>
        <w:tblLook w:val="04A0" w:firstRow="1" w:lastRow="0" w:firstColumn="1" w:lastColumn="0" w:noHBand="0" w:noVBand="1"/>
      </w:tblPr>
      <w:tblGrid>
        <w:gridCol w:w="900"/>
        <w:gridCol w:w="2214"/>
        <w:gridCol w:w="919"/>
        <w:gridCol w:w="788"/>
        <w:gridCol w:w="1237"/>
        <w:gridCol w:w="1201"/>
        <w:gridCol w:w="1124"/>
        <w:gridCol w:w="1875"/>
        <w:gridCol w:w="1286"/>
      </w:tblGrid>
      <w:tr w:rsidR="00536667">
        <w:trPr>
          <w:jc w:val="center"/>
        </w:trPr>
        <w:tc>
          <w:tcPr>
            <w:tcW w:w="899" w:type="dxa"/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213" w:type="dxa"/>
            <w:tcBorders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OBJETO</w:t>
            </w:r>
          </w:p>
        </w:tc>
        <w:tc>
          <w:tcPr>
            <w:tcW w:w="919" w:type="dxa"/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UNID.</w:t>
            </w:r>
          </w:p>
        </w:tc>
        <w:tc>
          <w:tcPr>
            <w:tcW w:w="788" w:type="dxa"/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</w:t>
            </w:r>
            <w:r>
              <w:rPr>
                <w:b/>
                <w:bCs/>
                <w:sz w:val="24"/>
                <w:szCs w:val="24"/>
              </w:rPr>
              <w:t>TD</w:t>
            </w:r>
          </w:p>
        </w:tc>
        <w:tc>
          <w:tcPr>
            <w:tcW w:w="1237" w:type="dxa"/>
            <w:tcBorders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Orç.1</w:t>
            </w:r>
          </w:p>
        </w:tc>
        <w:tc>
          <w:tcPr>
            <w:tcW w:w="1201" w:type="dxa"/>
            <w:tcBorders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Orç.2</w:t>
            </w:r>
          </w:p>
        </w:tc>
        <w:tc>
          <w:tcPr>
            <w:tcW w:w="1124" w:type="dxa"/>
            <w:tcBorders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Orç.3</w:t>
            </w:r>
          </w:p>
        </w:tc>
        <w:tc>
          <w:tcPr>
            <w:tcW w:w="1875" w:type="dxa"/>
            <w:tcBorders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VALOR </w:t>
            </w:r>
            <w:r>
              <w:rPr>
                <w:b/>
                <w:bCs/>
                <w:sz w:val="24"/>
                <w:szCs w:val="24"/>
              </w:rPr>
              <w:t>REFERÊNCIA</w:t>
            </w:r>
          </w:p>
        </w:tc>
        <w:tc>
          <w:tcPr>
            <w:tcW w:w="1286" w:type="dxa"/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pStyle w:val="Corpodetexto"/>
              <w:spacing w:line="36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color w:val="000000"/>
                <w:sz w:val="24"/>
                <w:szCs w:val="24"/>
              </w:rPr>
              <w:t>Fertilizante foliar mineral misto concentrado, embalagem de 01</w:t>
            </w: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 litro, para diluir.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cs="Times New Roman"/>
                <w:sz w:val="24"/>
                <w:szCs w:val="24"/>
                <w:lang w:eastAsia="pt-BR"/>
              </w:rPr>
              <w:t>un</w:t>
            </w:r>
            <w:proofErr w:type="gramEnd"/>
            <w:r>
              <w:rPr>
                <w:rFonts w:cs="Times New Roman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R$ 93,50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R$ 96,00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R$ 95,00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R$ 94,83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R$ 1.896,67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both"/>
              <w:rPr>
                <w:sz w:val="20"/>
              </w:rPr>
            </w:pPr>
            <w:r>
              <w:rPr>
                <w:color w:val="000000"/>
                <w:sz w:val="24"/>
                <w:szCs w:val="24"/>
              </w:rPr>
              <w:t xml:space="preserve">Óleo de </w:t>
            </w:r>
            <w:proofErr w:type="spellStart"/>
            <w:r>
              <w:rPr>
                <w:color w:val="000000"/>
                <w:sz w:val="24"/>
                <w:szCs w:val="24"/>
              </w:rPr>
              <w:t>neem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concentrado</w:t>
            </w:r>
            <w:bookmarkStart w:id="1" w:name="_U-qBabjLLYme1sQP5vy9qQY_59"/>
            <w:bookmarkEnd w:id="1"/>
            <w:r>
              <w:rPr>
                <w:color w:val="000000"/>
                <w:sz w:val="24"/>
                <w:szCs w:val="24"/>
              </w:rPr>
              <w:t xml:space="preserve">, </w:t>
            </w:r>
            <w:hyperlink r:id="rId8">
              <w:r>
                <w:rPr>
                  <w:rStyle w:val="Hyperlink"/>
                  <w:color w:val="000000"/>
                  <w:sz w:val="24"/>
                  <w:szCs w:val="24"/>
                  <w:u w:val="none"/>
                </w:rPr>
                <w:t>AZADIRACTINA 0,12% PP</w:t>
              </w:r>
            </w:hyperlink>
            <w:r>
              <w:rPr>
                <w:color w:val="000000"/>
                <w:sz w:val="24"/>
                <w:szCs w:val="24"/>
              </w:rPr>
              <w:t>, embalagem de 01 litro, para diluir.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cs="Times New Roman"/>
                <w:sz w:val="24"/>
                <w:szCs w:val="24"/>
                <w:lang w:eastAsia="pt-BR"/>
              </w:rPr>
              <w:t>un</w:t>
            </w:r>
            <w:proofErr w:type="gramEnd"/>
            <w:r>
              <w:rPr>
                <w:rFonts w:cs="Times New Roman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R$ 147,00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R$ 100,00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R$ 150,00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R$ 132,33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R$ 2.646,67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Saco plástico, preto, com furos, para plantio de mudas, 50 micras, tamanho 14x20cm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cs="Times New Roman"/>
                <w:sz w:val="24"/>
                <w:szCs w:val="24"/>
                <w:lang w:eastAsia="pt-BR"/>
              </w:rPr>
              <w:t>un</w:t>
            </w:r>
            <w:proofErr w:type="gramEnd"/>
            <w:r>
              <w:rPr>
                <w:rFonts w:cs="Times New Roman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20.000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R$ 0,29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R$ 0,48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R$ 0,50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R$ 0,42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R$ 8.466,67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pStyle w:val="Corpodetexto"/>
              <w:spacing w:line="36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Calcário </w:t>
            </w:r>
            <w:proofErr w:type="spellStart"/>
            <w:r>
              <w:rPr>
                <w:rFonts w:ascii="Arial" w:hAnsi="Arial"/>
                <w:color w:val="000000"/>
                <w:sz w:val="24"/>
                <w:szCs w:val="24"/>
              </w:rPr>
              <w:t>dolomítico</w:t>
            </w:r>
            <w:proofErr w:type="spellEnd"/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cs="Times New Roman"/>
                <w:sz w:val="24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5000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R$ 1,39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R$ 0,60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R$ 0,37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R$ 0,79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R$ 3.933,33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Ancinho de </w:t>
            </w:r>
            <w:r>
              <w:rPr>
                <w:color w:val="000000"/>
                <w:sz w:val="24"/>
                <w:szCs w:val="24"/>
              </w:rPr>
              <w:t>plástico para jardinagem, com cabo de madeira, no mínimo. 100cm, com 22 dentes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cs="Times New Roman"/>
                <w:sz w:val="24"/>
                <w:szCs w:val="24"/>
                <w:lang w:eastAsia="pt-BR"/>
              </w:rPr>
              <w:t>un</w:t>
            </w:r>
            <w:proofErr w:type="gramEnd"/>
            <w:r>
              <w:rPr>
                <w:rFonts w:cs="Times New Roman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R$ 37,00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R$ 43,00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R$ 40,00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R$ 40,00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R$ 1.600,00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06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pStyle w:val="Ttulo1"/>
              <w:widowControl w:val="0"/>
              <w:spacing w:before="0" w:after="0" w:line="360" w:lineRule="auto"/>
              <w:jc w:val="both"/>
              <w:rPr>
                <w:sz w:val="24"/>
                <w:szCs w:val="24"/>
              </w:rPr>
            </w:pPr>
            <w:bookmarkStart w:id="2" w:name="productTitle"/>
            <w:bookmarkStart w:id="3" w:name="title"/>
            <w:bookmarkEnd w:id="2"/>
            <w:bookmarkEnd w:id="3"/>
            <w:r>
              <w:rPr>
                <w:b w:val="0"/>
                <w:color w:val="000000"/>
                <w:sz w:val="24"/>
                <w:szCs w:val="24"/>
              </w:rPr>
              <w:t>Sacho coração, uma ponta, cabo de madeira, 60 Cm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cs="Times New Roman"/>
                <w:sz w:val="24"/>
                <w:szCs w:val="24"/>
                <w:lang w:eastAsia="pt-BR"/>
              </w:rPr>
              <w:t>un</w:t>
            </w:r>
            <w:proofErr w:type="gramEnd"/>
            <w:r>
              <w:rPr>
                <w:rFonts w:cs="Times New Roman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R$ 45,00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R$ 20,99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R$ 50,00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R$ 38,66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R$ 773,27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pStyle w:val="Ttulo1"/>
              <w:widowControl w:val="0"/>
              <w:spacing w:before="0" w:after="0" w:line="360" w:lineRule="auto"/>
              <w:jc w:val="both"/>
              <w:rPr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 xml:space="preserve">Arame </w:t>
            </w:r>
            <w:r>
              <w:rPr>
                <w:b w:val="0"/>
                <w:color w:val="000000"/>
                <w:sz w:val="24"/>
                <w:szCs w:val="24"/>
              </w:rPr>
              <w:t>galvanizado, 18mm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cs="Times New Roman"/>
                <w:sz w:val="24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R$ 28,00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R$ 29,99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R$ 27,00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R$ 28,33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R$ 849,90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pStyle w:val="Ttulo1"/>
              <w:widowControl w:val="0"/>
              <w:spacing w:before="0" w:after="0" w:line="360" w:lineRule="auto"/>
              <w:jc w:val="both"/>
            </w:pPr>
            <w:r>
              <w:rPr>
                <w:b w:val="0"/>
                <w:color w:val="000000"/>
                <w:sz w:val="24"/>
                <w:szCs w:val="24"/>
              </w:rPr>
              <w:t xml:space="preserve">Isca para </w:t>
            </w:r>
            <w:r>
              <w:rPr>
                <w:rFonts w:eastAsia="NSimSun"/>
                <w:b w:val="0"/>
                <w:bCs/>
                <w:color w:val="000000"/>
                <w:sz w:val="24"/>
                <w:szCs w:val="24"/>
              </w:rPr>
              <w:t>f</w:t>
            </w:r>
            <w:r>
              <w:rPr>
                <w:b w:val="0"/>
                <w:color w:val="000000"/>
                <w:sz w:val="24"/>
                <w:szCs w:val="24"/>
              </w:rPr>
              <w:t xml:space="preserve">ormigas cortadeiras - com atrativo, pacote de 500gr, que tenha em sua </w:t>
            </w:r>
            <w:r>
              <w:rPr>
                <w:b w:val="0"/>
                <w:color w:val="000000"/>
                <w:sz w:val="24"/>
                <w:szCs w:val="24"/>
              </w:rPr>
              <w:t>c</w:t>
            </w:r>
            <w:r>
              <w:rPr>
                <w:rStyle w:val="Forte"/>
                <w:bCs w:val="0"/>
                <w:color w:val="000000"/>
                <w:sz w:val="24"/>
                <w:szCs w:val="24"/>
              </w:rPr>
              <w:t>omposição</w:t>
            </w:r>
            <w:r>
              <w:rPr>
                <w:rStyle w:val="Forte"/>
                <w:b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b w:val="0"/>
                <w:color w:val="000000"/>
                <w:sz w:val="24"/>
                <w:szCs w:val="24"/>
              </w:rPr>
              <w:t>Fipronil</w:t>
            </w:r>
            <w:proofErr w:type="spellEnd"/>
            <w:r>
              <w:rPr>
                <w:b w:val="0"/>
                <w:color w:val="000000"/>
                <w:sz w:val="24"/>
                <w:szCs w:val="24"/>
              </w:rPr>
              <w:t xml:space="preserve"> 0,01%, </w:t>
            </w:r>
            <w:proofErr w:type="spellStart"/>
            <w:r>
              <w:rPr>
                <w:b w:val="0"/>
                <w:color w:val="000000"/>
                <w:sz w:val="24"/>
                <w:szCs w:val="24"/>
              </w:rPr>
              <w:t>Sulfluramida</w:t>
            </w:r>
            <w:proofErr w:type="spellEnd"/>
            <w:r>
              <w:rPr>
                <w:b w:val="0"/>
                <w:color w:val="000000"/>
                <w:sz w:val="24"/>
                <w:szCs w:val="24"/>
              </w:rPr>
              <w:t xml:space="preserve"> 0,01%.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spellStart"/>
            <w:r>
              <w:rPr>
                <w:rFonts w:cs="Times New Roman"/>
                <w:sz w:val="24"/>
                <w:szCs w:val="24"/>
                <w:lang w:eastAsia="pt-BR"/>
              </w:rPr>
              <w:t>pct</w:t>
            </w:r>
            <w:proofErr w:type="spellEnd"/>
            <w:r>
              <w:rPr>
                <w:rFonts w:cs="Times New Roman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R$ 10,00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R$ 6,99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R$ 7,14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R$ 8,04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R$ 321,73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pStyle w:val="Ttulo1"/>
              <w:widowControl w:val="0"/>
              <w:spacing w:before="0" w:after="0" w:line="360" w:lineRule="auto"/>
              <w:jc w:val="both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Regador plástico de água para jardim, 10 litros, com bico chuveiro removível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cs="Times New Roman"/>
                <w:sz w:val="24"/>
                <w:szCs w:val="24"/>
                <w:lang w:eastAsia="pt-BR"/>
              </w:rPr>
              <w:t>un</w:t>
            </w:r>
            <w:proofErr w:type="gramEnd"/>
            <w:r>
              <w:rPr>
                <w:rFonts w:cs="Times New Roman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R$ 26,00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R$ 26,00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R$ 23,99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R$ 25,33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R$ 379,95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pStyle w:val="Ttulo1"/>
              <w:widowControl w:val="0"/>
              <w:spacing w:before="0" w:after="0" w:line="360" w:lineRule="auto"/>
              <w:jc w:val="both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Fita isolante, 19mmx20m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cs="Times New Roman"/>
                <w:sz w:val="24"/>
                <w:szCs w:val="24"/>
                <w:lang w:eastAsia="pt-BR"/>
              </w:rPr>
              <w:t>un</w:t>
            </w:r>
            <w:proofErr w:type="gramEnd"/>
            <w:r>
              <w:rPr>
                <w:rFonts w:cs="Times New Roman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60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R$ 17,00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R$ 3,40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R$ 8,99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R$ 9,80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R$ 587,80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pStyle w:val="Ttulo1"/>
              <w:widowControl w:val="0"/>
              <w:spacing w:before="0" w:after="0" w:line="360" w:lineRule="auto"/>
              <w:jc w:val="both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Fita veda rosca 18mmx25m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cs="Times New Roman"/>
                <w:sz w:val="24"/>
                <w:szCs w:val="24"/>
                <w:lang w:eastAsia="pt-BR"/>
              </w:rPr>
              <w:t>un</w:t>
            </w:r>
            <w:proofErr w:type="gramEnd"/>
            <w:r>
              <w:rPr>
                <w:rFonts w:cs="Times New Roman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60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R$ 15,00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R$ 9,99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R$ 4,00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R$ 9,66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R$ 579,80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pStyle w:val="Ttulo1"/>
              <w:widowControl w:val="0"/>
              <w:spacing w:before="0" w:after="0" w:line="360" w:lineRule="auto"/>
              <w:jc w:val="both"/>
              <w:rPr>
                <w:sz w:val="24"/>
                <w:szCs w:val="24"/>
              </w:rPr>
            </w:pPr>
            <w:r>
              <w:rPr>
                <w:b w:val="0"/>
                <w:color w:val="000000"/>
                <w:kern w:val="0"/>
                <w:sz w:val="24"/>
                <w:szCs w:val="24"/>
              </w:rPr>
              <w:t>Enxofre Agrícola 98% Puro (embalado).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cs="Times New Roman"/>
                <w:sz w:val="24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R$ 18,00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R$ 12,99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R$ 20,00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R$ 17,00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R$ 339,93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pStyle w:val="Ttulo1"/>
              <w:widowControl w:val="0"/>
              <w:spacing w:before="0" w:after="0" w:line="360" w:lineRule="auto"/>
              <w:jc w:val="both"/>
              <w:rPr>
                <w:sz w:val="24"/>
                <w:szCs w:val="24"/>
              </w:rPr>
            </w:pPr>
            <w:bookmarkStart w:id="4" w:name="productTitle_Copia_1"/>
            <w:bookmarkStart w:id="5" w:name="title_Copia_1"/>
            <w:bookmarkEnd w:id="4"/>
            <w:bookmarkEnd w:id="5"/>
            <w:r>
              <w:rPr>
                <w:b w:val="0"/>
                <w:color w:val="000000"/>
                <w:sz w:val="24"/>
                <w:szCs w:val="24"/>
              </w:rPr>
              <w:t xml:space="preserve">Sulfato De Cobre </w:t>
            </w:r>
            <w:proofErr w:type="spellStart"/>
            <w:r>
              <w:rPr>
                <w:b w:val="0"/>
                <w:color w:val="000000"/>
                <w:sz w:val="24"/>
                <w:szCs w:val="24"/>
              </w:rPr>
              <w:lastRenderedPageBreak/>
              <w:t>Pentahidratado</w:t>
            </w:r>
            <w:proofErr w:type="spellEnd"/>
            <w:r>
              <w:rPr>
                <w:b w:val="0"/>
                <w:color w:val="000000"/>
                <w:sz w:val="24"/>
                <w:szCs w:val="24"/>
              </w:rPr>
              <w:t xml:space="preserve"> 99,00% de Pureza (embalado).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cs="Times New Roman"/>
                <w:sz w:val="24"/>
                <w:szCs w:val="24"/>
                <w:lang w:eastAsia="pt-BR"/>
              </w:rPr>
              <w:lastRenderedPageBreak/>
              <w:t>kg</w:t>
            </w:r>
            <w:proofErr w:type="gramEnd"/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R$ 37,00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R$ 36,99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R$ </w:t>
            </w:r>
            <w:r>
              <w:rPr>
                <w:sz w:val="24"/>
                <w:szCs w:val="24"/>
              </w:rPr>
              <w:lastRenderedPageBreak/>
              <w:t>39,00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R$ 37,66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R$ 753,27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pStyle w:val="Ttulo1"/>
              <w:widowControl w:val="0"/>
              <w:spacing w:before="0" w:after="0" w:line="360" w:lineRule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b w:val="0"/>
                <w:color w:val="000000"/>
                <w:sz w:val="24"/>
                <w:szCs w:val="24"/>
              </w:rPr>
              <w:t>óxido</w:t>
            </w:r>
            <w:proofErr w:type="gramEnd"/>
            <w:r>
              <w:rPr>
                <w:b w:val="0"/>
                <w:color w:val="000000"/>
                <w:sz w:val="24"/>
                <w:szCs w:val="24"/>
              </w:rPr>
              <w:t xml:space="preserve"> </w:t>
            </w:r>
            <w:r>
              <w:rPr>
                <w:b w:val="0"/>
                <w:color w:val="000000"/>
                <w:sz w:val="24"/>
                <w:szCs w:val="24"/>
              </w:rPr>
              <w:t>de cálcio (cal virgem).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Saco (25kg)</w:t>
            </w:r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R$ 37,00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R$ 24,75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R$ 39,00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R$ 33,58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R$ 167,92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pStyle w:val="Ttulo1"/>
              <w:widowControl w:val="0"/>
              <w:spacing w:before="0" w:after="0" w:line="360" w:lineRule="auto"/>
              <w:jc w:val="both"/>
              <w:rPr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Pulverizador manual 20 litros.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cs="Times New Roman"/>
                <w:sz w:val="24"/>
                <w:szCs w:val="24"/>
                <w:lang w:eastAsia="pt-BR"/>
              </w:rPr>
              <w:t>un</w:t>
            </w:r>
            <w:proofErr w:type="gramEnd"/>
            <w:r>
              <w:rPr>
                <w:rFonts w:cs="Times New Roman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R$ 430,00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R$ 167,99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R$ 265,31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R$ 287,77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R$ 575,53</w:t>
            </w:r>
          </w:p>
        </w:tc>
      </w:tr>
      <w:tr w:rsidR="00536667">
        <w:trPr>
          <w:jc w:val="center"/>
        </w:trPr>
        <w:tc>
          <w:tcPr>
            <w:tcW w:w="899" w:type="dxa"/>
            <w:tcBorders>
              <w:top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13" w:type="dxa"/>
            <w:tcBorders>
              <w:top w:val="nil"/>
              <w:right w:val="nil"/>
            </w:tcBorders>
          </w:tcPr>
          <w:p w:rsidR="00536667" w:rsidRDefault="00754393">
            <w:pPr>
              <w:pStyle w:val="Corpodetexto"/>
              <w:spacing w:after="15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Adubo orgânico a base de cama aviária, esterco de porco, casca de ovo e </w:t>
            </w:r>
            <w:r>
              <w:rPr>
                <w:rFonts w:ascii="Arial" w:hAnsi="Arial"/>
                <w:color w:val="000000"/>
                <w:sz w:val="24"/>
                <w:szCs w:val="24"/>
              </w:rPr>
              <w:t>cinzas (a granel).</w:t>
            </w:r>
          </w:p>
        </w:tc>
        <w:tc>
          <w:tcPr>
            <w:tcW w:w="919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cs="Times New Roman"/>
                <w:sz w:val="24"/>
                <w:szCs w:val="24"/>
                <w:lang w:eastAsia="pt-BR"/>
              </w:rPr>
              <w:t>kg</w:t>
            </w:r>
            <w:proofErr w:type="gramEnd"/>
          </w:p>
        </w:tc>
        <w:tc>
          <w:tcPr>
            <w:tcW w:w="788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cs="Times New Roman"/>
                <w:sz w:val="24"/>
                <w:szCs w:val="24"/>
                <w:lang w:eastAsia="pt-BR"/>
              </w:rPr>
              <w:t>10.000</w:t>
            </w: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R$ 0,30</w:t>
            </w:r>
          </w:p>
        </w:tc>
        <w:tc>
          <w:tcPr>
            <w:tcW w:w="1201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R$ 0,45</w:t>
            </w:r>
          </w:p>
        </w:tc>
        <w:tc>
          <w:tcPr>
            <w:tcW w:w="1124" w:type="dxa"/>
            <w:tcBorders>
              <w:top w:val="nil"/>
              <w:right w:val="nil"/>
            </w:tcBorders>
          </w:tcPr>
          <w:p w:rsidR="00536667" w:rsidRDefault="00754393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R$ 0,40</w:t>
            </w:r>
          </w:p>
        </w:tc>
        <w:tc>
          <w:tcPr>
            <w:tcW w:w="1875" w:type="dxa"/>
            <w:tcBorders>
              <w:top w:val="nil"/>
              <w:right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R$ 0,38</w:t>
            </w:r>
          </w:p>
        </w:tc>
        <w:tc>
          <w:tcPr>
            <w:tcW w:w="1286" w:type="dxa"/>
            <w:tcBorders>
              <w:top w:val="nil"/>
            </w:tcBorders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R$ 3.833,33</w:t>
            </w:r>
          </w:p>
        </w:tc>
      </w:tr>
      <w:tr w:rsidR="00536667">
        <w:trPr>
          <w:trHeight w:val="640"/>
          <w:jc w:val="center"/>
        </w:trPr>
        <w:tc>
          <w:tcPr>
            <w:tcW w:w="10256" w:type="dxa"/>
            <w:gridSpan w:val="8"/>
            <w:tcBorders>
              <w:top w:val="nil"/>
              <w:right w:val="nil"/>
            </w:tcBorders>
            <w:vAlign w:val="center"/>
          </w:tcPr>
          <w:p w:rsidR="00536667" w:rsidRDefault="00754393">
            <w:pPr>
              <w:widowControl w:val="0"/>
              <w:spacing w:before="57" w:after="57" w:line="276" w:lineRule="auto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  <w:tc>
          <w:tcPr>
            <w:tcW w:w="1286" w:type="dxa"/>
            <w:tcBorders>
              <w:top w:val="nil"/>
            </w:tcBorders>
            <w:vAlign w:val="center"/>
          </w:tcPr>
          <w:p w:rsidR="00536667" w:rsidRDefault="00754393">
            <w:pPr>
              <w:pStyle w:val="Contedodatabela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R$ 27.705,77</w:t>
            </w:r>
          </w:p>
        </w:tc>
      </w:tr>
    </w:tbl>
    <w:p w:rsidR="00536667" w:rsidRDefault="00536667">
      <w:pPr>
        <w:spacing w:line="360" w:lineRule="auto"/>
        <w:jc w:val="both"/>
        <w:rPr>
          <w:sz w:val="24"/>
          <w:szCs w:val="24"/>
        </w:rPr>
      </w:pPr>
    </w:p>
    <w:p w:rsidR="00536667" w:rsidRDefault="00754393">
      <w:pPr>
        <w:spacing w:line="360" w:lineRule="auto"/>
        <w:jc w:val="both"/>
        <w:rPr>
          <w:szCs w:val="22"/>
        </w:rPr>
      </w:pPr>
      <w:r>
        <w:rPr>
          <w:b/>
          <w:bCs/>
          <w:szCs w:val="22"/>
        </w:rPr>
        <w:t xml:space="preserve">Valor total estimado de </w:t>
      </w:r>
      <w:r>
        <w:rPr>
          <w:b/>
          <w:bCs/>
          <w:szCs w:val="22"/>
        </w:rPr>
        <w:t>R$ 27.705,77</w:t>
      </w:r>
      <w:r>
        <w:rPr>
          <w:b/>
          <w:bCs/>
          <w:szCs w:val="22"/>
        </w:rPr>
        <w:t xml:space="preserve"> </w:t>
      </w:r>
      <w:r>
        <w:rPr>
          <w:b/>
          <w:bCs/>
          <w:color w:val="000000"/>
          <w:szCs w:val="22"/>
        </w:rPr>
        <w:t>(vinte e sete mil setecentos e cinco reais e setenta e sete centavos).</w:t>
      </w:r>
    </w:p>
    <w:p w:rsidR="00536667" w:rsidRDefault="00536667">
      <w:pPr>
        <w:spacing w:line="360" w:lineRule="auto"/>
        <w:jc w:val="both"/>
        <w:rPr>
          <w:szCs w:val="22"/>
        </w:rPr>
      </w:pPr>
    </w:p>
    <w:p w:rsidR="00536667" w:rsidRDefault="0075439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536667" w:rsidRDefault="007543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Conforme pesquisa de mercado realizada, para solução da necessidade administrativa, objeto do presente Estudo Técnico Preliminar, vislumbra-se possível, sob o aspecto técnico e econômico, a a</w:t>
      </w:r>
      <w:r>
        <w:rPr>
          <w:kern w:val="2"/>
          <w:sz w:val="24"/>
          <w:szCs w:val="24"/>
        </w:rPr>
        <w:t>quisição de materiais essenciais para garantir a eficiência, qual</w:t>
      </w:r>
      <w:r>
        <w:rPr>
          <w:kern w:val="2"/>
          <w:sz w:val="24"/>
          <w:szCs w:val="24"/>
        </w:rPr>
        <w:t xml:space="preserve">idade e adequado funcionamento das atividades e serviços desenvolvidos pelo setor de paisagismo da </w:t>
      </w:r>
      <w:proofErr w:type="spellStart"/>
      <w:r>
        <w:rPr>
          <w:kern w:val="2"/>
          <w:sz w:val="24"/>
          <w:szCs w:val="24"/>
        </w:rPr>
        <w:t>SeMMA</w:t>
      </w:r>
      <w:proofErr w:type="spellEnd"/>
      <w:r>
        <w:rPr>
          <w:rFonts w:eastAsia="Calibri"/>
          <w:color w:val="000000"/>
          <w:sz w:val="24"/>
          <w:szCs w:val="24"/>
        </w:rPr>
        <w:t>.</w:t>
      </w:r>
    </w:p>
    <w:p w:rsidR="00536667" w:rsidRDefault="007543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Neste sentido, segue em anexo a indicação de potenciais fornecedores através do levantamento de preços.</w:t>
      </w:r>
    </w:p>
    <w:p w:rsidR="00536667" w:rsidRDefault="007543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Tais referências foram obtidas por meio de p</w:t>
      </w:r>
      <w:r>
        <w:rPr>
          <w:sz w:val="24"/>
          <w:szCs w:val="24"/>
        </w:rPr>
        <w:t xml:space="preserve">esquisa com fornecedor através do levantamento de preços, que segue em anexo, efetuadas com base em legislação Municipal, que “Estabelece o procedimento administrativo para a realização de pesquisa de preços para aquisição de bens, contratação de serviços </w:t>
      </w:r>
      <w:r>
        <w:rPr>
          <w:sz w:val="24"/>
          <w:szCs w:val="24"/>
        </w:rPr>
        <w:t xml:space="preserve">em geral e para contratação de obras e serviços de engenharia no âmbito do Município de Três Passos, nos termos </w:t>
      </w:r>
      <w:r>
        <w:rPr>
          <w:sz w:val="24"/>
          <w:szCs w:val="24"/>
        </w:rPr>
        <w:lastRenderedPageBreak/>
        <w:t xml:space="preserve">da Lei Federal nº 14.133/2021”. Em razão da especificidade de alguns materiais a serem adquiridos, não foi possível localizar todos os itens em </w:t>
      </w:r>
      <w:r>
        <w:rPr>
          <w:sz w:val="24"/>
          <w:szCs w:val="24"/>
        </w:rPr>
        <w:t xml:space="preserve">portais oficiais de licitações, restringindo-se a obtenção dos valores à pesquisa de preços realizada junto a fornecedores do próprio município. </w:t>
      </w:r>
    </w:p>
    <w:p w:rsidR="00536667" w:rsidRDefault="00536667">
      <w:pPr>
        <w:spacing w:line="360" w:lineRule="auto"/>
        <w:jc w:val="both"/>
        <w:rPr>
          <w:sz w:val="24"/>
          <w:szCs w:val="24"/>
        </w:rPr>
      </w:pPr>
    </w:p>
    <w:p w:rsidR="00536667" w:rsidRDefault="0075439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536667" w:rsidRDefault="007543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Estima-se para a contratação almejada o valor total </w:t>
      </w:r>
      <w:proofErr w:type="gramStart"/>
      <w:r>
        <w:rPr>
          <w:sz w:val="24"/>
          <w:szCs w:val="24"/>
        </w:rPr>
        <w:t>de</w:t>
      </w:r>
      <w:r>
        <w:rPr>
          <w:color w:val="C9211E"/>
          <w:sz w:val="24"/>
          <w:szCs w:val="24"/>
        </w:rPr>
        <w:t xml:space="preserve"> </w:t>
      </w:r>
      <w:r>
        <w:rPr>
          <w:b/>
          <w:bCs/>
          <w:color w:val="000000"/>
          <w:szCs w:val="22"/>
        </w:rPr>
        <w:t xml:space="preserve"> </w:t>
      </w:r>
      <w:r>
        <w:rPr>
          <w:b/>
          <w:bCs/>
          <w:color w:val="000000"/>
          <w:szCs w:val="22"/>
        </w:rPr>
        <w:t>R</w:t>
      </w:r>
      <w:proofErr w:type="gramEnd"/>
      <w:r>
        <w:rPr>
          <w:b/>
          <w:bCs/>
          <w:color w:val="000000"/>
          <w:szCs w:val="22"/>
        </w:rPr>
        <w:t>$ 27.705,77</w:t>
      </w:r>
      <w:r>
        <w:rPr>
          <w:b/>
          <w:bCs/>
          <w:color w:val="000000"/>
          <w:szCs w:val="22"/>
        </w:rPr>
        <w:t xml:space="preserve"> (</w:t>
      </w:r>
      <w:r>
        <w:rPr>
          <w:b/>
          <w:bCs/>
          <w:color w:val="000000"/>
          <w:szCs w:val="22"/>
        </w:rPr>
        <w:t>vinte e sete mil setecentos e cinco reais e setenta e sete centavos).</w:t>
      </w:r>
    </w:p>
    <w:p w:rsidR="00536667" w:rsidRDefault="007543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Vislumbra-se que tal valor é compatível com o praticado pelo mercado correspondente, observando-se a legislação, que “Estabelece o procedimento administrativo para a realização de pesqu</w:t>
      </w:r>
      <w:r>
        <w:rPr>
          <w:sz w:val="24"/>
          <w:szCs w:val="24"/>
        </w:rPr>
        <w:t>isa de preços para aquisição de bens, contratação de serviços em geral e para contratação de obras e serviços de engenharia no âmbito do Município de Três Passos, nos termos da Lei Federal nº 14.133/2021”.</w:t>
      </w:r>
    </w:p>
    <w:p w:rsidR="00536667" w:rsidRDefault="00536667">
      <w:pPr>
        <w:spacing w:line="360" w:lineRule="auto"/>
        <w:jc w:val="both"/>
        <w:rPr>
          <w:sz w:val="24"/>
          <w:szCs w:val="24"/>
        </w:rPr>
      </w:pPr>
    </w:p>
    <w:p w:rsidR="00536667" w:rsidRDefault="0075439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536667" w:rsidRDefault="007543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A solução p</w:t>
      </w:r>
      <w:r>
        <w:rPr>
          <w:sz w:val="24"/>
          <w:szCs w:val="24"/>
        </w:rPr>
        <w:t>roposta consiste na aquisição planejada e contínua de materiais essenciais destinados ao atendimento das demandas operacionais do setor de paisagismo da Secretaria Municipal de Meio Ambiente (</w:t>
      </w:r>
      <w:proofErr w:type="spellStart"/>
      <w:r>
        <w:rPr>
          <w:sz w:val="24"/>
          <w:szCs w:val="24"/>
        </w:rPr>
        <w:t>SeMMA</w:t>
      </w:r>
      <w:proofErr w:type="spellEnd"/>
      <w:r>
        <w:rPr>
          <w:sz w:val="24"/>
          <w:szCs w:val="24"/>
        </w:rPr>
        <w:t>), garantindo a execução eficiente, segura e de qualidade d</w:t>
      </w:r>
      <w:r>
        <w:rPr>
          <w:sz w:val="24"/>
          <w:szCs w:val="24"/>
        </w:rPr>
        <w:t>as atividades desenvolvidas em áreas públicas do município.</w:t>
      </w:r>
    </w:p>
    <w:p w:rsidR="00536667" w:rsidRDefault="00754393">
      <w:pPr>
        <w:pStyle w:val="Corpodetexto"/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>A composição da solução abrange insumos, ferramentas e materiais de apoio indispensáveis à manutenção, implantação e revitalização de espaços ajardinados, como praças, canteiros centrais, parques</w:t>
      </w:r>
      <w:r>
        <w:rPr>
          <w:rFonts w:ascii="Arial" w:hAnsi="Arial"/>
          <w:sz w:val="24"/>
          <w:szCs w:val="24"/>
        </w:rPr>
        <w:t xml:space="preserve"> e demais áreas verdes. Entre os itens contemplados, destacam-se fertilizantes, adubos orgânicos, corretivos de solo, defensivos de menor impacto ambiental, equipamentos manuais, recipientes para produção de mudas, além de materiais auxiliares utilizados n</w:t>
      </w:r>
      <w:r>
        <w:rPr>
          <w:rFonts w:ascii="Arial" w:hAnsi="Arial"/>
          <w:sz w:val="24"/>
          <w:szCs w:val="24"/>
        </w:rPr>
        <w:t>as rotinas de plantio, manejo e conservação.</w:t>
      </w:r>
    </w:p>
    <w:p w:rsidR="00536667" w:rsidRDefault="00754393">
      <w:pPr>
        <w:pStyle w:val="Corpodetexto"/>
        <w:spacing w:after="283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 xml:space="preserve">Com a disponibilização adequada desses materiais, busca-se assegurar a continuidade dos serviços de paisagismo, otimizar o desempenho das equipes, reduzir interrupções operacionais e elevar o padrão estético e </w:t>
      </w:r>
      <w:r>
        <w:rPr>
          <w:rFonts w:ascii="Arial" w:hAnsi="Arial"/>
          <w:sz w:val="24"/>
          <w:szCs w:val="24"/>
        </w:rPr>
        <w:t xml:space="preserve">ambiental dos espaços públicos. </w:t>
      </w:r>
      <w:r>
        <w:rPr>
          <w:rFonts w:ascii="Arial" w:hAnsi="Arial"/>
          <w:sz w:val="24"/>
          <w:szCs w:val="24"/>
        </w:rPr>
        <w:lastRenderedPageBreak/>
        <w:tab/>
        <w:t>Ademais, a solução contribui diretamente para a promoção do bem-estar da população, valorização dos ambientes urbanos e fortalecimento das ações de educação e conscientização ambiental no município.</w:t>
      </w:r>
    </w:p>
    <w:p w:rsidR="00536667" w:rsidRDefault="0075439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JUSTIFICATIVA PARA O </w:t>
      </w:r>
      <w:r>
        <w:rPr>
          <w:b/>
          <w:bCs/>
          <w:sz w:val="24"/>
          <w:szCs w:val="24"/>
        </w:rPr>
        <w:t>PARCELAMENTO OU NÃO DA CONTRATAÇÃO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>Nos termos do art. 47, inciso II, da Lei Federal nº 14.133/2021, as licitações devem observar o princípio do parcelamento, sempre que este for tecnicamente viável e economicamente vantajoso para a Administração. Na aplicação desse princípio, o § 1º do mesm</w:t>
      </w:r>
      <w:r>
        <w:rPr>
          <w:rFonts w:ascii="Arial" w:hAnsi="Arial" w:cs="Arial"/>
        </w:rPr>
        <w:t xml:space="preserve">o artigo determina que devem ser considerados fatores como a responsabilidade técnica pela execução, os custos administrativos decorrentes da gestão de múltiplos contratos e as possíveis vantagens econômicas resultantes da divisão do objeto em itens. Além </w:t>
      </w:r>
      <w:r>
        <w:rPr>
          <w:rFonts w:ascii="Arial" w:hAnsi="Arial" w:cs="Arial"/>
        </w:rPr>
        <w:t xml:space="preserve">disso, é dever da Administração buscar a ampliação da competitividade e evitar a concentração de mercado. Diante desses parâmetros, verifica-se que a aplicação do princípio do </w:t>
      </w:r>
      <w:r>
        <w:rPr>
          <w:rFonts w:ascii="Arial" w:hAnsi="Arial" w:cs="Arial"/>
        </w:rPr>
        <w:t>parcelamento é plenamente possível.</w:t>
      </w:r>
    </w:p>
    <w:p w:rsidR="00536667" w:rsidRDefault="00536667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</w:p>
    <w:p w:rsidR="00536667" w:rsidRDefault="00754393">
      <w:pPr>
        <w:pStyle w:val="NormalWeb"/>
        <w:spacing w:beforeAutospacing="0" w:afterAutospacing="0" w:line="36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536667" w:rsidRDefault="00754393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ab/>
      </w:r>
      <w:r>
        <w:rPr>
          <w:color w:val="000000"/>
          <w:sz w:val="24"/>
          <w:szCs w:val="24"/>
        </w:rPr>
        <w:t>O presente proc</w:t>
      </w:r>
      <w:r>
        <w:rPr>
          <w:color w:val="000000"/>
          <w:sz w:val="24"/>
          <w:szCs w:val="24"/>
        </w:rPr>
        <w:t xml:space="preserve">esso licitatório tem como objetivo assegurar a seleção da proposta que represente a contratação mais vantajosa para o Município, em conformidade com os princípios que regem a administração pública. Busca-se, ainda, garantir o tratamento isonômico entre os </w:t>
      </w:r>
      <w:r>
        <w:rPr>
          <w:color w:val="000000"/>
          <w:sz w:val="24"/>
          <w:szCs w:val="24"/>
        </w:rPr>
        <w:t xml:space="preserve">licitantes e a promoção de uma competição justa e transparente, prevenindo a ocorrência de </w:t>
      </w:r>
      <w:proofErr w:type="spellStart"/>
      <w:r>
        <w:rPr>
          <w:color w:val="000000"/>
          <w:sz w:val="24"/>
          <w:szCs w:val="24"/>
        </w:rPr>
        <w:t>sobrepreço</w:t>
      </w:r>
      <w:proofErr w:type="spellEnd"/>
      <w:r>
        <w:rPr>
          <w:color w:val="000000"/>
          <w:sz w:val="24"/>
          <w:szCs w:val="24"/>
        </w:rPr>
        <w:t>, preços manifestamente inexequíveis e eventuais casos de superfaturamento na execução do contrato.</w:t>
      </w:r>
    </w:p>
    <w:p w:rsidR="00536667" w:rsidRDefault="00754393">
      <w:pPr>
        <w:pStyle w:val="Corpodetexto"/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>Adicionalmente, a contratação decorrente deste certame</w:t>
      </w:r>
      <w:r>
        <w:rPr>
          <w:rFonts w:ascii="Arial" w:hAnsi="Arial"/>
          <w:sz w:val="24"/>
          <w:szCs w:val="24"/>
        </w:rPr>
        <w:t xml:space="preserve"> exigirá da empresa vencedora a observância de boas práticas de sustentabilidade, contribuindo para a racionalização e otimização do uso de recursos públicos, bem como para a redução dos impactos ambientais associados à execução do objeto contratado.</w:t>
      </w:r>
    </w:p>
    <w:p w:rsidR="00536667" w:rsidRDefault="00754393">
      <w:pPr>
        <w:pStyle w:val="Corpodetexto"/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>Aind</w:t>
      </w:r>
      <w:r>
        <w:rPr>
          <w:rFonts w:ascii="Arial" w:hAnsi="Arial"/>
          <w:sz w:val="24"/>
          <w:szCs w:val="24"/>
        </w:rPr>
        <w:t>a, com a aquisição dos materiais almeja-se garantir a manutenção adequada, implantação e revitalização de praças, canteiros centrais, parques e demais espaços públicos, promovendo ambientes mais organizados, seguros, agradáveis e visualmente qualificados p</w:t>
      </w:r>
      <w:r>
        <w:rPr>
          <w:rFonts w:ascii="Arial" w:hAnsi="Arial"/>
          <w:sz w:val="24"/>
          <w:szCs w:val="24"/>
        </w:rPr>
        <w:t xml:space="preserve">ara uso da população. Como consequência, busca-se elevar o bem-estar </w:t>
      </w:r>
      <w:r>
        <w:rPr>
          <w:rFonts w:ascii="Arial" w:hAnsi="Arial"/>
          <w:sz w:val="24"/>
          <w:szCs w:val="24"/>
        </w:rPr>
        <w:lastRenderedPageBreak/>
        <w:t xml:space="preserve">coletivo e a valorização dos espaços urbanos. </w:t>
      </w:r>
    </w:p>
    <w:p w:rsidR="00536667" w:rsidRDefault="00754393">
      <w:pPr>
        <w:pStyle w:val="Corpodetexto"/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>Outro resultado almejado é o aumento da produtividade e desempenho das equipes de trabalho, com a disponibilização de materiais e ferrament</w:t>
      </w:r>
      <w:r>
        <w:rPr>
          <w:rFonts w:ascii="Arial" w:hAnsi="Arial"/>
          <w:sz w:val="24"/>
          <w:szCs w:val="24"/>
        </w:rPr>
        <w:t>as adequadas, reduzindo retrabalhos, desperdícios e interrupções nas atividades. Além disso, pretende-se assegurar maior durabilidade das intervenções realizadas, por meio do uso de insumos de qualidade.</w:t>
      </w:r>
    </w:p>
    <w:p w:rsidR="00536667" w:rsidRDefault="00754393">
      <w:pPr>
        <w:pStyle w:val="Corpodetexto"/>
        <w:spacing w:after="283" w:line="360" w:lineRule="auto"/>
        <w:rPr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>Também se objetiva a adoção de práticas mais susten</w:t>
      </w:r>
      <w:r>
        <w:rPr>
          <w:rFonts w:ascii="Arial" w:hAnsi="Arial"/>
          <w:sz w:val="24"/>
          <w:szCs w:val="24"/>
        </w:rPr>
        <w:t>táveis, com a utilização de materiais que causem menor impacto ambiental, contribuindo para a conservação dos recursos naturais, melhoria da qualidade do solo e fortalecimento das políticas públicas ambientais.</w:t>
      </w:r>
    </w:p>
    <w:p w:rsidR="00536667" w:rsidRDefault="00754393">
      <w:pPr>
        <w:pStyle w:val="NormalWeb"/>
        <w:spacing w:beforeAutospacing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  <w:bookmarkStart w:id="6" w:name="art18§1ii"/>
      <w:bookmarkStart w:id="7" w:name="art18§1iii"/>
      <w:bookmarkStart w:id="8" w:name="art18§1v"/>
      <w:bookmarkStart w:id="9" w:name="art18§1vi"/>
      <w:bookmarkStart w:id="10" w:name="art18§1vii"/>
      <w:bookmarkStart w:id="11" w:name="art18§1viii"/>
      <w:bookmarkStart w:id="12" w:name="art18§1ix"/>
      <w:bookmarkStart w:id="13" w:name="art18§1x"/>
      <w:bookmarkEnd w:id="6"/>
      <w:bookmarkEnd w:id="7"/>
      <w:bookmarkEnd w:id="8"/>
      <w:bookmarkEnd w:id="9"/>
      <w:bookmarkEnd w:id="10"/>
      <w:bookmarkEnd w:id="11"/>
      <w:bookmarkEnd w:id="12"/>
      <w:bookmarkEnd w:id="13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bookmarkStart w:id="14" w:name="art18§1xi"/>
      <w:bookmarkEnd w:id="14"/>
      <w:r>
        <w:rPr>
          <w:rFonts w:ascii="Arial" w:hAnsi="Arial" w:cs="Arial"/>
          <w:color w:val="000000"/>
        </w:rPr>
        <w:tab/>
        <w:t xml:space="preserve">Para a </w:t>
      </w:r>
      <w:r>
        <w:rPr>
          <w:rFonts w:ascii="Arial" w:hAnsi="Arial" w:cs="Arial"/>
          <w:color w:val="000000"/>
        </w:rPr>
        <w:t>contratação pretendida não haverá necessidade de providências prévias no âmbito da Administração.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 xml:space="preserve">A Secretaria de Meio Ambiente indicará os servidores para atuarem como gestor e fiscal do contrato, sendo estes, respectivamente, </w:t>
      </w:r>
      <w:r>
        <w:rPr>
          <w:rFonts w:ascii="Arial" w:hAnsi="Arial" w:cs="Arial"/>
          <w:color w:val="000000"/>
        </w:rPr>
        <w:t>o Secretário Municipal do M</w:t>
      </w:r>
      <w:r>
        <w:rPr>
          <w:rFonts w:ascii="Arial" w:hAnsi="Arial" w:cs="Arial"/>
          <w:color w:val="000000"/>
        </w:rPr>
        <w:t xml:space="preserve">eio Ambiente, Jair </w:t>
      </w:r>
      <w:proofErr w:type="spellStart"/>
      <w:r>
        <w:rPr>
          <w:rFonts w:ascii="Arial" w:hAnsi="Arial" w:cs="Arial"/>
          <w:color w:val="000000"/>
        </w:rPr>
        <w:t>Locatelli</w:t>
      </w:r>
      <w:proofErr w:type="spellEnd"/>
      <w:r>
        <w:rPr>
          <w:rFonts w:ascii="Arial" w:hAnsi="Arial" w:cs="Arial"/>
          <w:color w:val="000000"/>
        </w:rPr>
        <w:t xml:space="preserve">, e a Diretora Geral de Ornamentação e Paisagismo, </w:t>
      </w:r>
      <w:proofErr w:type="spellStart"/>
      <w:r>
        <w:rPr>
          <w:rFonts w:ascii="Arial" w:hAnsi="Arial" w:cs="Arial"/>
          <w:color w:val="000000"/>
        </w:rPr>
        <w:t>Roselei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Graffunder</w:t>
      </w:r>
      <w:proofErr w:type="spellEnd"/>
      <w:r>
        <w:rPr>
          <w:rFonts w:ascii="Arial" w:hAnsi="Arial" w:cs="Arial"/>
          <w:color w:val="000000"/>
        </w:rPr>
        <w:t>, ou quem vier a substituí-los</w:t>
      </w:r>
      <w:r>
        <w:rPr>
          <w:rFonts w:ascii="Arial" w:hAnsi="Arial" w:cs="Arial"/>
          <w:color w:val="000000"/>
        </w:rPr>
        <w:t>.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Ademais, para que a pretendida contratação tenha sucesso, é preciso que outras etapas sejam concluídas, quais sejam: 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a)</w:t>
      </w:r>
      <w:r>
        <w:rPr>
          <w:rFonts w:ascii="Arial" w:hAnsi="Arial" w:cs="Arial"/>
        </w:rPr>
        <w:t xml:space="preserve"> elaboração de minuta do edital; 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b) </w:t>
      </w:r>
      <w:r>
        <w:rPr>
          <w:rFonts w:ascii="Arial" w:hAnsi="Arial" w:cs="Arial"/>
        </w:rPr>
        <w:t xml:space="preserve">realização de certificação de disponibilidade orçamentária; 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c)</w:t>
      </w:r>
      <w:r>
        <w:rPr>
          <w:rFonts w:ascii="Arial" w:hAnsi="Arial" w:cs="Arial"/>
        </w:rPr>
        <w:t xml:space="preserve"> designação em Portaria de pregoeiro, equipe de apoio, agente de contratação (conforme o caso); 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d)</w:t>
      </w:r>
      <w:r>
        <w:rPr>
          <w:rFonts w:ascii="Arial" w:hAnsi="Arial" w:cs="Arial"/>
        </w:rPr>
        <w:t xml:space="preserve"> elaboração de minuta do contrato; 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e)</w:t>
      </w:r>
      <w:r>
        <w:rPr>
          <w:rFonts w:ascii="Arial" w:hAnsi="Arial" w:cs="Arial"/>
        </w:rPr>
        <w:t xml:space="preserve"> encaminhamento do </w:t>
      </w:r>
      <w:r>
        <w:rPr>
          <w:rFonts w:ascii="Arial" w:hAnsi="Arial" w:cs="Arial"/>
        </w:rPr>
        <w:t xml:space="preserve">processo para análise jurídica; 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f)</w:t>
      </w:r>
      <w:r>
        <w:rPr>
          <w:rFonts w:ascii="Arial" w:hAnsi="Arial" w:cs="Arial"/>
        </w:rPr>
        <w:t xml:space="preserve"> análise da manifestação jurídica e atendimento aos apontamentos constantes no parecer, mediante Nota Técnica com os ajustes indicados; 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g)</w:t>
      </w:r>
      <w:r>
        <w:rPr>
          <w:rFonts w:ascii="Arial" w:hAnsi="Arial" w:cs="Arial"/>
        </w:rPr>
        <w:t xml:space="preserve"> publicação e divulgação do edital e anexos; 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h)</w:t>
      </w:r>
      <w:r>
        <w:rPr>
          <w:rFonts w:ascii="Arial" w:hAnsi="Arial" w:cs="Arial"/>
        </w:rPr>
        <w:t xml:space="preserve"> resposta a eventuais pedidos de e</w:t>
      </w:r>
      <w:r>
        <w:rPr>
          <w:rFonts w:ascii="Arial" w:hAnsi="Arial" w:cs="Arial"/>
        </w:rPr>
        <w:t xml:space="preserve">sclarecimentos e/ou impugnação, caso aplicável; 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i)</w:t>
      </w:r>
      <w:r>
        <w:rPr>
          <w:rFonts w:ascii="Arial" w:hAnsi="Arial" w:cs="Arial"/>
        </w:rPr>
        <w:t xml:space="preserve"> realização do certame, com suas respectivas etapas; 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j)</w:t>
      </w:r>
      <w:r>
        <w:rPr>
          <w:rFonts w:ascii="Arial" w:hAnsi="Arial" w:cs="Arial"/>
        </w:rPr>
        <w:t xml:space="preserve"> realização de empenho; e 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>l)</w:t>
      </w:r>
      <w:r>
        <w:rPr>
          <w:rFonts w:ascii="Arial" w:hAnsi="Arial" w:cs="Arial"/>
        </w:rPr>
        <w:t xml:space="preserve"> assinatura e publicação do contrato.</w:t>
      </w:r>
    </w:p>
    <w:p w:rsidR="00536667" w:rsidRDefault="00536667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</w:p>
    <w:p w:rsidR="00536667" w:rsidRDefault="00754393">
      <w:pPr>
        <w:pStyle w:val="NormalWeb"/>
        <w:spacing w:beforeAutospacing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Este estudo não identificou a </w:t>
      </w:r>
      <w:r>
        <w:rPr>
          <w:rFonts w:ascii="Arial" w:hAnsi="Arial" w:cs="Arial"/>
        </w:rPr>
        <w:t>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Os bens/serviços que se pr</w:t>
      </w:r>
      <w:r>
        <w:rPr>
          <w:rFonts w:ascii="Arial" w:hAnsi="Arial" w:cs="Arial"/>
        </w:rPr>
        <w:t>etende, portanto, são autônomos e prescindem de contratações correlatas ou interdependentes.</w:t>
      </w:r>
      <w:bookmarkStart w:id="15" w:name="art18§1xii"/>
      <w:bookmarkEnd w:id="15"/>
    </w:p>
    <w:p w:rsidR="00536667" w:rsidRDefault="00754393">
      <w:pPr>
        <w:pStyle w:val="NormalWeb"/>
        <w:spacing w:beforeAutospacing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 aquisição de objetos que vislumbram impactos ambientais provenientes desta contratação, são de responsabilidade da contratant</w:t>
      </w:r>
      <w:r>
        <w:rPr>
          <w:rFonts w:ascii="Arial" w:hAnsi="Arial" w:cs="Arial"/>
        </w:rPr>
        <w:t>e. Pois os resíduos sólidos produzidos no uso e manuseio dos objetos, bem como o destino dos mesmos serão de responsabilidade da contratante do objeto.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Orientações complementares acerca da sustentabilidade da prestação almejada poderão ser repassadas pela</w:t>
      </w:r>
      <w:r>
        <w:rPr>
          <w:rFonts w:ascii="Arial" w:hAnsi="Arial" w:cs="Arial"/>
          <w:color w:val="000000"/>
        </w:rPr>
        <w:t xml:space="preserve"> fiscalização competente.</w:t>
      </w:r>
    </w:p>
    <w:p w:rsidR="00536667" w:rsidRDefault="00536667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</w:p>
    <w:p w:rsidR="00536667" w:rsidRDefault="00754393">
      <w:pPr>
        <w:pStyle w:val="NormalWeb"/>
        <w:spacing w:beforeAutospacing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  <w:bookmarkStart w:id="16" w:name="art18§1xiii"/>
      <w:bookmarkEnd w:id="16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536667" w:rsidRDefault="00754393">
      <w:pPr>
        <w:pStyle w:val="NormalWeb"/>
        <w:spacing w:beforeAutospacing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ab/>
        <w:t>Com base na justificativa e nas especificações técnicas constantes neste Estudo Técnico Preliminar e seus anexos, e na existência de planejamento orçamentário para subsidiar esta contratação, decla</w:t>
      </w:r>
      <w:r>
        <w:rPr>
          <w:rFonts w:ascii="Arial" w:hAnsi="Arial" w:cs="Arial"/>
        </w:rPr>
        <w:t>ramos que a contratação é viável, atendendo aos padrões e preços de mercado.</w:t>
      </w:r>
    </w:p>
    <w:p w:rsidR="00536667" w:rsidRDefault="00754393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Três Passos, 25</w:t>
      </w:r>
      <w:r>
        <w:rPr>
          <w:sz w:val="24"/>
          <w:szCs w:val="24"/>
        </w:rPr>
        <w:t xml:space="preserve"> de março</w:t>
      </w:r>
      <w:r>
        <w:rPr>
          <w:sz w:val="24"/>
          <w:szCs w:val="24"/>
        </w:rPr>
        <w:t xml:space="preserve"> de 2026.</w:t>
      </w:r>
    </w:p>
    <w:p w:rsidR="00536667" w:rsidRDefault="00536667">
      <w:pPr>
        <w:spacing w:line="360" w:lineRule="auto"/>
        <w:jc w:val="right"/>
        <w:rPr>
          <w:sz w:val="24"/>
          <w:szCs w:val="24"/>
        </w:rPr>
      </w:pPr>
    </w:p>
    <w:p w:rsidR="00536667" w:rsidRDefault="00536667">
      <w:pPr>
        <w:spacing w:line="360" w:lineRule="auto"/>
        <w:jc w:val="right"/>
        <w:rPr>
          <w:sz w:val="24"/>
          <w:szCs w:val="24"/>
        </w:rPr>
      </w:pPr>
    </w:p>
    <w:p w:rsidR="00536667" w:rsidRDefault="0075439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JAIR LOCATELLI</w:t>
      </w:r>
    </w:p>
    <w:p w:rsidR="00536667" w:rsidRDefault="00754393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Secretário Municipal de Meio Ambiente</w:t>
      </w:r>
    </w:p>
    <w:sectPr w:rsidR="00536667">
      <w:headerReference w:type="default" r:id="rId9"/>
      <w:pgSz w:w="11906" w:h="16838"/>
      <w:pgMar w:top="3424" w:right="1134" w:bottom="1134" w:left="1276" w:header="141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393" w:rsidRDefault="00754393">
      <w:r>
        <w:separator/>
      </w:r>
    </w:p>
  </w:endnote>
  <w:endnote w:type="continuationSeparator" w:id="0">
    <w:p w:rsidR="00754393" w:rsidRDefault="00754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roman"/>
    <w:pitch w:val="variable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393" w:rsidRDefault="00754393">
      <w:r>
        <w:separator/>
      </w:r>
    </w:p>
  </w:footnote>
  <w:footnote w:type="continuationSeparator" w:id="0">
    <w:p w:rsidR="00754393" w:rsidRDefault="00754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667" w:rsidRDefault="00754393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05460" cy="612140"/>
          <wp:effectExtent l="0" t="0" r="0" b="0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9" t="-52" r="-69" b="-52"/>
                  <a:stretch>
                    <a:fillRect/>
                  </a:stretch>
                </pic:blipFill>
                <pic:spPr bwMode="auto">
                  <a:xfrm>
                    <a:off x="0" y="0"/>
                    <a:ext cx="505460" cy="612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6667" w:rsidRDefault="00754393">
    <w:pPr>
      <w:pStyle w:val="Cabealho"/>
      <w:jc w:val="center"/>
    </w:pPr>
    <w:r>
      <w:t xml:space="preserve">Estado do Rio </w:t>
    </w:r>
    <w:r>
      <w:t>Grande do Sul</w:t>
    </w:r>
  </w:p>
  <w:p w:rsidR="00536667" w:rsidRDefault="00754393">
    <w:pPr>
      <w:pStyle w:val="Cabealho"/>
      <w:jc w:val="center"/>
      <w:rPr>
        <w:b/>
      </w:rPr>
    </w:pPr>
    <w:r>
      <w:rPr>
        <w:b/>
      </w:rPr>
      <w:t>Município de Três Passos</w:t>
    </w:r>
  </w:p>
  <w:p w:rsidR="00536667" w:rsidRDefault="00754393">
    <w:pPr>
      <w:pStyle w:val="Cabealho"/>
      <w:jc w:val="center"/>
    </w:pPr>
    <w:r>
      <w:t>Poder Executivo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43CC4"/>
    <w:multiLevelType w:val="multilevel"/>
    <w:tmpl w:val="F41209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8C63058"/>
    <w:multiLevelType w:val="multilevel"/>
    <w:tmpl w:val="AFAE33EC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667"/>
    <w:rsid w:val="00536667"/>
    <w:rsid w:val="006E660D"/>
    <w:rsid w:val="0075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5BBEF-29DC-4017-9134-C30838796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keepLines/>
      <w:spacing w:before="320" w:after="200"/>
      <w:outlineLvl w:val="4"/>
    </w:pPr>
    <w:rPr>
      <w:rFonts w:eastAsia="Arial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character" w:styleId="nfase">
    <w:name w:val="Emphasis"/>
    <w:qFormat/>
    <w:rPr>
      <w:i/>
      <w:iCs/>
    </w:rPr>
  </w:style>
  <w:style w:type="character" w:styleId="Forte">
    <w:name w:val="Strong"/>
    <w:qFormat/>
    <w:rPr>
      <w:b/>
      <w:b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pPr>
      <w:numPr>
        <w:numId w:val="0"/>
      </w:numPr>
      <w:jc w:val="center"/>
    </w:pPr>
  </w:style>
  <w:style w:type="paragraph" w:styleId="Recuodecorpodetexto">
    <w:name w:val="Body Text Indent"/>
    <w:basedOn w:val="Normal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styleId="Textodebalo">
    <w:name w:val="Balloon Text"/>
    <w:basedOn w:val="Normal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</w:style>
  <w:style w:type="numbering" w:customStyle="1" w:styleId="Numeraoivx">
    <w:name w:val="Numeração ivx"/>
    <w:qFormat/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tie.com.br/oleo-de-neem-concentrado-azadiractina-0-12-pp-100ml?srsltid=AfmBOorySundlnJGwZ7PfVjcuVbg_FAbCq2sxC-BpgjL1mE_zli1ke4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83745-377D-428A-95D8-9898824CD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2238</Words>
  <Characters>12087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Compras</cp:lastModifiedBy>
  <cp:revision>2</cp:revision>
  <cp:lastPrinted>2026-03-25T15:35:00Z</cp:lastPrinted>
  <dcterms:created xsi:type="dcterms:W3CDTF">2026-04-29T19:27:00Z</dcterms:created>
  <dcterms:modified xsi:type="dcterms:W3CDTF">2026-04-29T19:27:00Z</dcterms:modified>
  <dc:language>pt-BR</dc:language>
</cp:coreProperties>
</file>