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pBdr>
          <w:top w:val="single" w:sz="4" w:space="1" w:color="000000"/>
          <w:bottom w:val="single" w:sz="4" w:space="1" w:color="000000"/>
        </w:pBdr>
        <w:shd w:val="clear" w:color="auto" w:fill="FFFFFF"/>
        <w:ind w:left="720"/>
        <w:jc w:val="center"/>
        <w:rPr/>
      </w:pPr>
      <w:r>
        <w:rPr>
          <w:rFonts w:eastAsia="Calibri"/>
          <w:b/>
          <w:sz w:val="22"/>
          <w:szCs w:val="22"/>
          <w:highlight w:val="white"/>
        </w:rPr>
        <w:t>ANEXO I – TERMO DE REFERÊNCIA</w:t>
      </w:r>
    </w:p>
    <w:p>
      <w:pPr>
        <w:pStyle w:val="Normal"/>
        <w:ind w:left="720"/>
        <w:jc w:val="right"/>
        <w:rPr>
          <w:rFonts w:eastAsia="Calibri"/>
          <w:sz w:val="22"/>
          <w:szCs w:val="22"/>
        </w:rPr>
      </w:pPr>
      <w:r>
        <w:rPr>
          <w:rFonts w:eastAsia="Calibri"/>
          <w:sz w:val="22"/>
          <w:szCs w:val="22"/>
        </w:rPr>
      </w:r>
    </w:p>
    <w:p>
      <w:pPr>
        <w:pStyle w:val="Normal"/>
        <w:numPr>
          <w:ilvl w:val="0"/>
          <w:numId w:val="2"/>
        </w:numPr>
        <w:shd w:val="clear" w:color="auto" w:fill="FFFFFF"/>
        <w:tabs>
          <w:tab w:val="clear" w:pos="708"/>
          <w:tab w:val="left" w:pos="284" w:leader="none"/>
        </w:tabs>
        <w:suppressAutoHyphens w:val="false"/>
        <w:jc w:val="both"/>
        <w:rPr>
          <w:rFonts w:eastAsia="Calibri"/>
          <w:b/>
          <w:color w:val="000000"/>
          <w:sz w:val="22"/>
          <w:szCs w:val="22"/>
          <w:u w:val="single"/>
        </w:rPr>
      </w:pPr>
      <w:r>
        <w:rPr>
          <w:rFonts w:eastAsia="Calibri"/>
          <w:b/>
          <w:color w:val="000000"/>
          <w:sz w:val="22"/>
          <w:szCs w:val="22"/>
          <w:u w:val="single"/>
        </w:rPr>
        <w:t>OBJETO:</w:t>
      </w:r>
    </w:p>
    <w:p>
      <w:pPr>
        <w:pStyle w:val="Normal"/>
        <w:shd w:val="clear" w:color="auto" w:fill="FFFFFF"/>
        <w:tabs>
          <w:tab w:val="clear" w:pos="708"/>
          <w:tab w:val="left" w:pos="284" w:leader="none"/>
        </w:tabs>
        <w:suppressAutoHyphens w:val="false"/>
        <w:ind w:left="405"/>
        <w:jc w:val="both"/>
        <w:rPr>
          <w:rFonts w:eastAsia="Calibri"/>
          <w:b/>
          <w:sz w:val="22"/>
          <w:szCs w:val="22"/>
        </w:rPr>
      </w:pPr>
      <w:r>
        <w:rPr>
          <w:rFonts w:eastAsia="Calibri"/>
          <w:b/>
          <w:sz w:val="22"/>
          <w:szCs w:val="22"/>
        </w:rPr>
        <w:t xml:space="preserve"> </w:t>
      </w:r>
    </w:p>
    <w:p>
      <w:pPr>
        <w:pStyle w:val="Normal"/>
        <w:numPr>
          <w:ilvl w:val="1"/>
          <w:numId w:val="2"/>
        </w:numPr>
        <w:tabs>
          <w:tab w:val="clear" w:pos="708"/>
          <w:tab w:val="left" w:pos="426" w:leader="none"/>
        </w:tabs>
        <w:suppressAutoHyphens w:val="false"/>
        <w:ind w:hanging="0" w:left="0"/>
        <w:jc w:val="both"/>
        <w:rPr/>
      </w:pPr>
      <w:r>
        <w:rPr>
          <w:rFonts w:eastAsia="Calibri"/>
          <w:color w:val="000000"/>
          <w:sz w:val="22"/>
          <w:szCs w:val="22"/>
        </w:rPr>
        <w:t xml:space="preserve">Adesão à Ata de Registro de Preços para aquisição de </w:t>
      </w:r>
      <w:r>
        <w:rPr>
          <w:rStyle w:val="Strong"/>
          <w:rFonts w:eastAsia="Calibri"/>
          <w:b w:val="false"/>
          <w:bCs w:val="false"/>
          <w:color w:val="000000"/>
          <w:sz w:val="22"/>
          <w:szCs w:val="22"/>
        </w:rPr>
        <w:t>01 (uma) Retroescavadeira nova, ano e modelo 2026</w:t>
      </w:r>
      <w:r>
        <w:rPr>
          <w:rFonts w:eastAsia="Calibri"/>
          <w:color w:val="000000"/>
          <w:sz w:val="22"/>
          <w:szCs w:val="22"/>
        </w:rPr>
        <w:t>, destinada a compor a frota de máquinas da Secretaria Municipal de Agricultura do Município de Três Passos/RS, conforme natureza, condições, quantidades e exigências estabelecidas neste instrumento:</w:t>
      </w:r>
    </w:p>
    <w:p>
      <w:pPr>
        <w:pStyle w:val="Normal"/>
        <w:tabs>
          <w:tab w:val="clear" w:pos="708"/>
          <w:tab w:val="left" w:pos="426" w:leader="none"/>
        </w:tabs>
        <w:suppressAutoHyphens w:val="false"/>
        <w:ind w:left="405"/>
        <w:jc w:val="both"/>
        <w:rPr>
          <w:rFonts w:eastAsia="Calibri"/>
          <w:color w:val="000000"/>
          <w:sz w:val="22"/>
          <w:szCs w:val="22"/>
        </w:rPr>
      </w:pPr>
      <w:r>
        <w:rPr>
          <w:rFonts w:eastAsia="Calibri"/>
          <w:color w:val="000000"/>
          <w:sz w:val="22"/>
          <w:szCs w:val="22"/>
        </w:rPr>
      </w:r>
    </w:p>
    <w:tbl>
      <w:tblPr>
        <w:tblW w:w="8579" w:type="dxa"/>
        <w:jc w:val="left"/>
        <w:tblInd w:w="67" w:type="dxa"/>
        <w:tblLayout w:type="fixed"/>
        <w:tblCellMar>
          <w:top w:w="240" w:type="dxa"/>
          <w:left w:w="28" w:type="dxa"/>
          <w:bottom w:w="240" w:type="dxa"/>
          <w:right w:w="180" w:type="dxa"/>
        </w:tblCellMar>
        <w:tblLook w:val="04a0" w:firstRow="1" w:noVBand="1" w:lastRow="0" w:firstColumn="1" w:lastColumn="0" w:noHBand="0"/>
      </w:tblPr>
      <w:tblGrid>
        <w:gridCol w:w="959"/>
        <w:gridCol w:w="3151"/>
        <w:gridCol w:w="914"/>
        <w:gridCol w:w="1741"/>
        <w:gridCol w:w="1814"/>
      </w:tblGrid>
      <w:tr>
        <w:trPr>
          <w:tblHeader w:val="true"/>
        </w:trPr>
        <w:tc>
          <w:tcPr>
            <w:tcW w:w="959"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pPr>
            <w:r>
              <w:rPr>
                <w:rStyle w:val="Strong"/>
                <w:color w:val="1F1F1F"/>
                <w:sz w:val="22"/>
                <w:szCs w:val="22"/>
              </w:rPr>
              <w:t>Item</w:t>
            </w:r>
          </w:p>
        </w:tc>
        <w:tc>
          <w:tcPr>
            <w:tcW w:w="3151"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pPr>
            <w:r>
              <w:rPr>
                <w:rStyle w:val="Strong"/>
                <w:color w:val="1F1F1F"/>
                <w:sz w:val="22"/>
                <w:szCs w:val="22"/>
              </w:rPr>
              <w:t>Produto</w:t>
            </w:r>
          </w:p>
        </w:tc>
        <w:tc>
          <w:tcPr>
            <w:tcW w:w="914"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pPr>
            <w:r>
              <w:rPr>
                <w:rStyle w:val="Strong"/>
                <w:color w:val="1F1F1F"/>
                <w:sz w:val="22"/>
                <w:szCs w:val="22"/>
              </w:rPr>
              <w:t>Qtde</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pPr>
            <w:r>
              <w:rPr>
                <w:rStyle w:val="Strong"/>
                <w:color w:val="1F1F1F"/>
                <w:sz w:val="22"/>
                <w:szCs w:val="22"/>
              </w:rPr>
              <w:t>Valor Unitário</w:t>
            </w:r>
          </w:p>
        </w:tc>
        <w:tc>
          <w:tcPr>
            <w:tcW w:w="1814"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Contedodatabelauser"/>
              <w:spacing w:lineRule="auto" w:line="271"/>
              <w:jc w:val="center"/>
              <w:rPr/>
            </w:pPr>
            <w:r>
              <w:rPr>
                <w:rStyle w:val="Strong"/>
                <w:color w:val="1F1F1F"/>
                <w:sz w:val="22"/>
                <w:szCs w:val="22"/>
              </w:rPr>
              <w:t>Valor Total</w:t>
            </w:r>
          </w:p>
        </w:tc>
      </w:tr>
      <w:tr>
        <w:trPr/>
        <w:tc>
          <w:tcPr>
            <w:tcW w:w="959"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sz w:val="22"/>
                <w:szCs w:val="22"/>
              </w:rPr>
            </w:pPr>
            <w:r>
              <w:rPr>
                <w:color w:val="1F1F1F"/>
                <w:sz w:val="22"/>
                <w:szCs w:val="22"/>
              </w:rPr>
              <w:t>01</w:t>
            </w:r>
          </w:p>
        </w:tc>
        <w:tc>
          <w:tcPr>
            <w:tcW w:w="3151" w:type="dxa"/>
            <w:tcBorders>
              <w:top w:val="single" w:sz="2" w:space="0" w:color="000000"/>
              <w:left w:val="single" w:sz="2" w:space="0" w:color="000000"/>
              <w:bottom w:val="single" w:sz="2" w:space="0" w:color="000000"/>
              <w:right w:val="single" w:sz="2" w:space="0" w:color="000000"/>
            </w:tcBorders>
            <w:vAlign w:val="center"/>
          </w:tcPr>
          <w:p>
            <w:pPr>
              <w:pStyle w:val="Contedodatabelauser"/>
              <w:jc w:val="center"/>
              <w:rPr>
                <w:rFonts w:ascii="Google Sans Text;sans-serif" w:hAnsi="Google Sans Text;sans-serif"/>
                <w:color w:val="1F1F1F"/>
                <w:sz w:val="16"/>
                <w:szCs w:val="16"/>
              </w:rPr>
            </w:pPr>
            <w:r>
              <w:rPr>
                <w:rStyle w:val="Strong"/>
                <w:b w:val="false"/>
                <w:bCs w:val="false"/>
                <w:color w:val="1F1F1F"/>
                <w:sz w:val="22"/>
                <w:szCs w:val="22"/>
              </w:rPr>
              <w:t>Retroescavadeira</w:t>
            </w:r>
            <w:r>
              <w:rPr>
                <w:color w:val="1F1F1F"/>
                <w:sz w:val="22"/>
                <w:szCs w:val="22"/>
              </w:rPr>
              <w:t xml:space="preserve">, com potência operacional mínima de </w:t>
            </w:r>
            <w:r>
              <w:rPr>
                <w:rStyle w:val="Strong"/>
                <w:b w:val="false"/>
                <w:bCs w:val="false"/>
                <w:color w:val="1F1F1F"/>
                <w:sz w:val="22"/>
                <w:szCs w:val="22"/>
              </w:rPr>
              <w:t>85 HP</w:t>
            </w:r>
            <w:r>
              <w:rPr>
                <w:color w:val="1F1F1F"/>
                <w:sz w:val="22"/>
                <w:szCs w:val="22"/>
              </w:rPr>
              <w:t xml:space="preserve">, capacidade mínima da caçamba carregadeira de </w:t>
            </w:r>
            <w:r>
              <w:rPr>
                <w:rStyle w:val="Strong"/>
                <w:b w:val="false"/>
                <w:bCs w:val="false"/>
                <w:color w:val="1F1F1F"/>
                <w:sz w:val="22"/>
                <w:szCs w:val="22"/>
              </w:rPr>
              <w:t>1,0 m³</w:t>
            </w:r>
            <w:r>
              <w:rPr>
                <w:color w:val="1F1F1F"/>
                <w:sz w:val="22"/>
                <w:szCs w:val="22"/>
              </w:rPr>
              <w:t xml:space="preserve">, capacidade mínima da caçamba escavadeira de </w:t>
            </w:r>
            <w:r>
              <w:rPr>
                <w:rStyle w:val="Strong"/>
                <w:b w:val="false"/>
                <w:bCs w:val="false"/>
                <w:color w:val="1F1F1F"/>
                <w:sz w:val="22"/>
                <w:szCs w:val="22"/>
              </w:rPr>
              <w:t>0,20 m³</w:t>
            </w:r>
            <w:r>
              <w:rPr>
                <w:color w:val="1F1F1F"/>
                <w:sz w:val="22"/>
                <w:szCs w:val="22"/>
              </w:rPr>
              <w:t xml:space="preserve">, tração </w:t>
            </w:r>
            <w:r>
              <w:rPr>
                <w:rStyle w:val="Strong"/>
                <w:b w:val="false"/>
                <w:bCs w:val="false"/>
                <w:color w:val="1F1F1F"/>
                <w:sz w:val="22"/>
                <w:szCs w:val="22"/>
              </w:rPr>
              <w:t>4x4</w:t>
            </w:r>
            <w:r>
              <w:rPr>
                <w:color w:val="1F1F1F"/>
                <w:sz w:val="22"/>
                <w:szCs w:val="22"/>
              </w:rPr>
              <w:t xml:space="preserve"> e motorização </w:t>
            </w:r>
            <w:r>
              <w:rPr>
                <w:rStyle w:val="Strong"/>
                <w:b w:val="false"/>
                <w:bCs w:val="false"/>
                <w:color w:val="1F1F1F"/>
                <w:sz w:val="22"/>
                <w:szCs w:val="22"/>
              </w:rPr>
              <w:t>a diesel</w:t>
            </w:r>
            <w:r>
              <w:rPr>
                <w:color w:val="1F1F1F"/>
                <w:sz w:val="22"/>
                <w:szCs w:val="22"/>
              </w:rPr>
              <w:t>.</w:t>
            </w:r>
          </w:p>
        </w:tc>
        <w:tc>
          <w:tcPr>
            <w:tcW w:w="914"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sz w:val="22"/>
                <w:szCs w:val="22"/>
              </w:rPr>
            </w:pPr>
            <w:r>
              <w:rPr>
                <w:color w:val="1F1F1F"/>
                <w:sz w:val="22"/>
                <w:szCs w:val="22"/>
              </w:rPr>
              <w:t>01 UN</w:t>
            </w:r>
          </w:p>
        </w:tc>
        <w:tc>
          <w:tcPr>
            <w:tcW w:w="1741" w:type="dxa"/>
            <w:tcBorders>
              <w:top w:val="single" w:sz="2" w:space="0" w:color="000000"/>
              <w:left w:val="single" w:sz="2" w:space="0" w:color="000000"/>
              <w:bottom w:val="single" w:sz="2" w:space="0" w:color="000000"/>
              <w:right w:val="single" w:sz="2" w:space="0" w:color="000000"/>
            </w:tcBorders>
            <w:vAlign w:val="center"/>
          </w:tcPr>
          <w:p>
            <w:pPr>
              <w:pStyle w:val="Contedodatabelauser"/>
              <w:spacing w:lineRule="auto" w:line="271"/>
              <w:jc w:val="center"/>
              <w:rPr>
                <w:sz w:val="22"/>
                <w:szCs w:val="22"/>
              </w:rPr>
            </w:pPr>
            <w:r>
              <w:rPr>
                <w:color w:val="1F1F1F"/>
                <w:sz w:val="22"/>
                <w:szCs w:val="22"/>
              </w:rPr>
              <w:t>R$ 449.000,00</w:t>
            </w:r>
          </w:p>
        </w:tc>
        <w:tc>
          <w:tcPr>
            <w:tcW w:w="1814" w:type="dxa"/>
            <w:tcBorders>
              <w:top w:val="single" w:sz="2" w:space="0" w:color="000000"/>
              <w:left w:val="single" w:sz="2" w:space="0" w:color="000000"/>
              <w:bottom w:val="single" w:sz="2" w:space="0" w:color="000000"/>
              <w:right w:val="single" w:sz="2" w:space="0" w:color="000000"/>
            </w:tcBorders>
            <w:tcMar>
              <w:right w:w="28" w:type="dxa"/>
            </w:tcMar>
            <w:vAlign w:val="center"/>
          </w:tcPr>
          <w:p>
            <w:pPr>
              <w:pStyle w:val="Contedodatabelauser"/>
              <w:spacing w:lineRule="auto" w:line="271"/>
              <w:jc w:val="center"/>
              <w:rPr>
                <w:sz w:val="22"/>
                <w:szCs w:val="22"/>
              </w:rPr>
            </w:pPr>
            <w:r>
              <w:rPr>
                <w:color w:val="1F1F1F"/>
                <w:sz w:val="22"/>
                <w:szCs w:val="22"/>
              </w:rPr>
              <w:t>R$ 449.000,00</w:t>
            </w:r>
          </w:p>
        </w:tc>
      </w:tr>
      <w:tr>
        <w:trPr/>
        <w:tc>
          <w:tcPr>
            <w:tcW w:w="959" w:type="dxa"/>
            <w:tcBorders>
              <w:left w:val="single" w:sz="2" w:space="0" w:color="000000"/>
              <w:bottom w:val="single" w:sz="2" w:space="0" w:color="000000"/>
              <w:right w:val="single" w:sz="2" w:space="0" w:color="000000"/>
            </w:tcBorders>
            <w:vAlign w:val="center"/>
          </w:tcPr>
          <w:p>
            <w:pPr>
              <w:pStyle w:val="Contedodatabelauser"/>
              <w:spacing w:lineRule="auto" w:line="271"/>
              <w:jc w:val="center"/>
              <w:rPr>
                <w:sz w:val="22"/>
                <w:szCs w:val="22"/>
              </w:rPr>
            </w:pPr>
            <w:r>
              <w:rPr>
                <w:sz w:val="22"/>
                <w:szCs w:val="22"/>
              </w:rPr>
            </w:r>
          </w:p>
        </w:tc>
        <w:tc>
          <w:tcPr>
            <w:tcW w:w="7620" w:type="dxa"/>
            <w:gridSpan w:val="4"/>
            <w:tcBorders>
              <w:left w:val="single" w:sz="2" w:space="0" w:color="000000"/>
              <w:bottom w:val="single" w:sz="2" w:space="0" w:color="000000"/>
              <w:right w:val="single" w:sz="2" w:space="0" w:color="000000"/>
            </w:tcBorders>
            <w:vAlign w:val="center"/>
          </w:tcPr>
          <w:p>
            <w:pPr>
              <w:pStyle w:val="Contedodatabelauser"/>
              <w:jc w:val="right"/>
              <w:rPr>
                <w:sz w:val="22"/>
                <w:szCs w:val="22"/>
              </w:rPr>
            </w:pPr>
            <w:r>
              <w:rPr>
                <w:b/>
                <w:bCs/>
                <w:sz w:val="22"/>
                <w:szCs w:val="22"/>
              </w:rPr>
              <w:t>VALOR TOTAL R$ 449.000,00</w:t>
            </w:r>
          </w:p>
        </w:tc>
      </w:tr>
    </w:tbl>
    <w:p>
      <w:pPr>
        <w:pStyle w:val="Normal"/>
        <w:tabs>
          <w:tab w:val="clear" w:pos="708"/>
          <w:tab w:val="left" w:pos="426" w:leader="none"/>
        </w:tabs>
        <w:suppressAutoHyphens w:val="false"/>
        <w:jc w:val="both"/>
        <w:rPr>
          <w:rFonts w:ascii="Liberation Serif" w:hAnsi="Liberation Serif" w:eastAsia="NSimSun" w:cs="Arial"/>
          <w:color w:val="000000"/>
          <w:sz w:val="24"/>
          <w:szCs w:val="24"/>
          <w:lang w:bidi="hi-IN"/>
        </w:rPr>
      </w:pPr>
      <w:r>
        <w:rPr>
          <w:rFonts w:eastAsia="NSimSun" w:cs="Arial" w:ascii="Liberation Serif" w:hAnsi="Liberation Serif"/>
          <w:color w:val="000000"/>
          <w:sz w:val="24"/>
          <w:szCs w:val="24"/>
          <w:lang w:bidi="hi-IN"/>
        </w:rPr>
      </w:r>
    </w:p>
    <w:p>
      <w:pPr>
        <w:pStyle w:val="Normal"/>
        <w:numPr>
          <w:ilvl w:val="1"/>
          <w:numId w:val="2"/>
        </w:numPr>
        <w:suppressAutoHyphens w:val="false"/>
        <w:jc w:val="both"/>
        <w:rPr>
          <w:rFonts w:eastAsia="Calibri"/>
          <w:color w:val="000000"/>
          <w:sz w:val="22"/>
          <w:szCs w:val="22"/>
          <w:highlight w:val="white"/>
        </w:rPr>
      </w:pPr>
      <w:r>
        <w:rPr>
          <w:rFonts w:eastAsia="Calibri"/>
          <w:color w:val="000000"/>
          <w:sz w:val="22"/>
          <w:szCs w:val="22"/>
          <w:highlight w:val="white"/>
        </w:rPr>
        <w:t xml:space="preserve">Os documentos auxiliares e os parâmetros utilizados para a obtenção dos preços de referência, nos termos do artigo 23 da Lei nº 14.133/2021, constam em anexo ao memorando nº </w:t>
      </w:r>
      <w:r>
        <w:rPr>
          <w:rFonts w:eastAsia="Calibri"/>
          <w:color w:val="000000"/>
          <w:sz w:val="22"/>
          <w:szCs w:val="22"/>
          <w:shd w:fill="auto" w:val="clear"/>
        </w:rPr>
        <w:t>272/2026</w:t>
      </w:r>
      <w:r>
        <w:rPr>
          <w:rFonts w:eastAsia="Calibri" w:cs="Calibri"/>
          <w:color w:val="000000"/>
          <w:sz w:val="22"/>
          <w:szCs w:val="22"/>
          <w:highlight w:val="white"/>
        </w:rPr>
        <w:t xml:space="preserve">, </w:t>
      </w:r>
      <w:r>
        <w:rPr>
          <w:rFonts w:eastAsia="Calibri"/>
          <w:color w:val="000000"/>
          <w:sz w:val="22"/>
          <w:szCs w:val="22"/>
          <w:highlight w:val="white"/>
        </w:rPr>
        <w:t>da Secretaria Municipal da Agricultura e foram coletados pelo mecânico Felipe Diel.</w:t>
      </w:r>
    </w:p>
    <w:p>
      <w:pPr>
        <w:pStyle w:val="Normal"/>
        <w:suppressAutoHyphens w:val="false"/>
        <w:ind w:left="405"/>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jc w:val="both"/>
        <w:rPr>
          <w:rFonts w:eastAsia="Calibri" w:cs="Arial"/>
          <w:color w:val="000000"/>
          <w:sz w:val="22"/>
          <w:szCs w:val="22"/>
          <w:highlight w:val="white"/>
        </w:rPr>
      </w:pPr>
      <w:r>
        <w:rPr>
          <w:rFonts w:eastAsia="Calibri" w:cs="Arial"/>
          <w:color w:val="000000"/>
          <w:sz w:val="22"/>
          <w:szCs w:val="22"/>
          <w:highlight w:val="white"/>
        </w:rPr>
        <w:t xml:space="preserve">Após ampla pesquisa de mercado, com a coleta de orçamentos junto a empresas do ramo e consulta ao sistema LicitaCon, verificou-se que a adesão à Ata de Registro de Preços nº 023/2026, decorrente do Pregão Eletrônico nº 008/2026, da Prefeitura Municipal de Feliz/RS, apresenta-se como a alternativa mais vantajosa para a Administração. </w:t>
      </w:r>
    </w:p>
    <w:p>
      <w:pPr>
        <w:pStyle w:val="Normal"/>
        <w:suppressAutoHyphens w:val="false"/>
        <w:ind w:left="405"/>
        <w:jc w:val="both"/>
        <w:rPr>
          <w:rFonts w:eastAsia="Calibri" w:cs="Arial"/>
          <w:color w:val="000000"/>
          <w:sz w:val="22"/>
          <w:szCs w:val="22"/>
          <w:highlight w:val="white"/>
        </w:rPr>
      </w:pPr>
      <w:r>
        <w:rPr>
          <w:rFonts w:eastAsia="Calibri" w:cs="Arial"/>
          <w:color w:val="000000"/>
          <w:sz w:val="22"/>
          <w:szCs w:val="22"/>
          <w:highlight w:val="white"/>
        </w:rPr>
      </w:r>
    </w:p>
    <w:p>
      <w:pPr>
        <w:pStyle w:val="Normal"/>
        <w:numPr>
          <w:ilvl w:val="1"/>
          <w:numId w:val="2"/>
        </w:numPr>
        <w:suppressAutoHyphens w:val="false"/>
        <w:jc w:val="both"/>
        <w:rPr/>
      </w:pPr>
      <w:r>
        <w:rPr>
          <w:rFonts w:eastAsia="Calibri" w:cs="Arial"/>
          <w:color w:val="000000"/>
          <w:sz w:val="22"/>
          <w:szCs w:val="22"/>
          <w:highlight w:val="white"/>
        </w:rPr>
        <w:t>A Prefeitura Municipal de Feliz foi devidamente oficiada, e deferiu a solicitação de adesão, após iniciaram-se os procedimentos para a efetivação da aquisição, em contante observância ao ordenamento jurídico vigente.</w:t>
      </w:r>
    </w:p>
    <w:p>
      <w:pPr>
        <w:pStyle w:val="Normal"/>
        <w:suppressAutoHyphens w:val="false"/>
        <w:ind w:left="405"/>
        <w:jc w:val="both"/>
        <w:rPr>
          <w:rFonts w:eastAsia="Calibri" w:cs="Arial"/>
          <w:color w:val="000000"/>
          <w:sz w:val="22"/>
          <w:szCs w:val="22"/>
          <w:highlight w:val="white"/>
        </w:rPr>
      </w:pPr>
      <w:r>
        <w:rPr>
          <w:rFonts w:eastAsia="Calibri" w:cs="Arial"/>
          <w:color w:val="000000"/>
          <w:sz w:val="22"/>
          <w:szCs w:val="22"/>
          <w:highlight w:val="white"/>
        </w:rPr>
      </w:r>
    </w:p>
    <w:p>
      <w:pPr>
        <w:pStyle w:val="Normal"/>
        <w:numPr>
          <w:ilvl w:val="1"/>
          <w:numId w:val="2"/>
        </w:numPr>
        <w:suppressAutoHyphens w:val="false"/>
        <w:jc w:val="both"/>
        <w:rPr>
          <w:rFonts w:eastAsia="Calibri" w:cs="Arial"/>
          <w:color w:val="000000"/>
          <w:sz w:val="22"/>
          <w:szCs w:val="22"/>
          <w:highlight w:val="white"/>
        </w:rPr>
      </w:pPr>
      <w:r>
        <w:rPr>
          <w:rFonts w:eastAsia="Calibri" w:cs="Arial"/>
          <w:color w:val="000000"/>
          <w:sz w:val="22"/>
          <w:szCs w:val="22"/>
          <w:highlight w:val="white"/>
        </w:rPr>
        <w:t xml:space="preserve">O fornecedor registrado para o item é a empresa </w:t>
      </w:r>
      <w:r>
        <w:rPr>
          <w:rStyle w:val="Strong"/>
          <w:rFonts w:eastAsia="Calibri" w:cs="Arial"/>
          <w:b w:val="false"/>
          <w:bCs w:val="false"/>
          <w:color w:val="000000"/>
          <w:sz w:val="22"/>
          <w:szCs w:val="22"/>
          <w:highlight w:val="white"/>
        </w:rPr>
        <w:t>PARANÁ EQUIPAMENTOS S.A</w:t>
      </w:r>
      <w:r>
        <w:rPr>
          <w:rStyle w:val="Strong"/>
          <w:rFonts w:eastAsia="Calibri" w:cs="Arial"/>
          <w:color w:val="000000"/>
          <w:sz w:val="22"/>
          <w:szCs w:val="22"/>
          <w:highlight w:val="white"/>
        </w:rPr>
        <w:t>.</w:t>
      </w:r>
      <w:r>
        <w:rPr>
          <w:rFonts w:eastAsia="Calibri" w:cs="Arial"/>
          <w:color w:val="000000"/>
          <w:sz w:val="22"/>
          <w:szCs w:val="22"/>
          <w:highlight w:val="white"/>
        </w:rPr>
        <w:t xml:space="preserve">, inscrita no CNPJ nº 76.527.951/0001-85, que manifestou formalmente seu aceite ao fornecimento do equipamento, bem como sua concordância em aguardar a conclusão da análise e a confirmação da aprovação dos recursos pelo Ministério da Agricultura e Pecuária (MAPA), realizando a entrega somente após comunicação formal da Administração Municipal, conforme documentação anexa ao processo. </w:t>
      </w:r>
    </w:p>
    <w:p>
      <w:pPr>
        <w:pStyle w:val="Normal"/>
        <w:suppressAutoHyphens w:val="false"/>
        <w:ind w:left="405"/>
        <w:jc w:val="both"/>
        <w:rPr>
          <w:rFonts w:eastAsia="Calibri" w:cs="Arial"/>
          <w:color w:val="000000"/>
          <w:sz w:val="22"/>
          <w:szCs w:val="22"/>
          <w:highlight w:val="white"/>
        </w:rPr>
      </w:pPr>
      <w:r>
        <w:rPr>
          <w:rFonts w:eastAsia="Calibri" w:cs="Arial"/>
          <w:color w:val="000000"/>
          <w:sz w:val="22"/>
          <w:szCs w:val="22"/>
          <w:highlight w:val="white"/>
        </w:rPr>
      </w:r>
    </w:p>
    <w:p>
      <w:pPr>
        <w:pStyle w:val="Normal"/>
        <w:numPr>
          <w:ilvl w:val="1"/>
          <w:numId w:val="2"/>
        </w:numPr>
        <w:suppressAutoHyphens w:val="false"/>
        <w:rPr/>
      </w:pPr>
      <w:r>
        <w:rPr>
          <w:rFonts w:eastAsia="Calibri"/>
          <w:color w:val="000000"/>
          <w:sz w:val="22"/>
          <w:szCs w:val="22"/>
        </w:rPr>
        <w:t>O objeto a ser contratado é de natureza comum, nos termos do artigo 6º, inciso XIII da Lei nº 14.133/2021.</w:t>
      </w:r>
    </w:p>
    <w:p>
      <w:pPr>
        <w:pStyle w:val="Normal"/>
        <w:suppressAutoHyphens w:val="false"/>
        <w:ind w:left="405"/>
        <w:jc w:val="both"/>
        <w:rPr>
          <w:rFonts w:eastAsia="Calibri"/>
          <w:color w:val="000000"/>
          <w:sz w:val="22"/>
          <w:szCs w:val="22"/>
        </w:rPr>
      </w:pPr>
      <w:r>
        <w:rPr>
          <w:rFonts w:eastAsia="Calibri"/>
          <w:color w:val="000000"/>
          <w:sz w:val="22"/>
          <w:szCs w:val="22"/>
        </w:rPr>
      </w:r>
    </w:p>
    <w:p>
      <w:pPr>
        <w:pStyle w:val="Normal"/>
        <w:suppressAutoHyphens w:val="false"/>
        <w:jc w:val="both"/>
        <w:rPr>
          <w:rFonts w:eastAsia="Calibri"/>
          <w:b/>
          <w:sz w:val="22"/>
          <w:szCs w:val="22"/>
        </w:rPr>
      </w:pPr>
      <w:r>
        <w:rPr>
          <w:rFonts w:eastAsia="Calibri"/>
          <w:b/>
          <w:sz w:val="22"/>
          <w:szCs w:val="22"/>
        </w:rPr>
      </w:r>
    </w:p>
    <w:p>
      <w:pPr>
        <w:pStyle w:val="Normal"/>
        <w:numPr>
          <w:ilvl w:val="0"/>
          <w:numId w:val="2"/>
        </w:numPr>
        <w:shd w:val="clear" w:color="auto" w:fill="FFFFFF"/>
        <w:suppressAutoHyphens w:val="false"/>
        <w:ind w:hanging="284" w:left="284"/>
        <w:jc w:val="both"/>
        <w:rPr/>
      </w:pPr>
      <w:r>
        <w:rPr>
          <w:rFonts w:eastAsia="Calibri"/>
          <w:b/>
          <w:color w:val="000000"/>
          <w:sz w:val="22"/>
          <w:szCs w:val="22"/>
          <w:u w:val="single"/>
        </w:rPr>
        <w:t>JUSTIFICATIVA E OBJETIVO DA CONTRATAÇÃO.</w:t>
      </w:r>
    </w:p>
    <w:p>
      <w:pPr>
        <w:pStyle w:val="BodyText"/>
        <w:spacing w:before="57" w:after="57"/>
        <w:rPr/>
      </w:pPr>
      <w:r>
        <w:rPr>
          <w:rStyle w:val="Strong"/>
          <w:rFonts w:eastAsia="Calibri"/>
          <w:b w:val="false"/>
          <w:bCs w:val="false"/>
          <w:sz w:val="22"/>
          <w:szCs w:val="22"/>
        </w:rPr>
        <w:tab/>
        <w:t>A presente contratação tem por objeto a aquisição de 01 (uma) retroescavadeira nova, ano e modelo 2026, destinada à Secretaria Municipal de Agricultura, por meio de adesão à Ata de Registro de Preços nº 023/2026. A aquisição será realizada com recursos provenientes de Emenda Parlamentar Federal, formalizada por Convênio com o Ministério da Agricultura e Pecuária (MAPA), acrescidos da contrapartida financeira do Município.</w:t>
      </w:r>
    </w:p>
    <w:p>
      <w:pPr>
        <w:pStyle w:val="BodyText"/>
        <w:spacing w:before="0" w:after="55"/>
        <w:rPr>
          <w:rFonts w:eastAsia="Calibri"/>
          <w:sz w:val="22"/>
          <w:szCs w:val="22"/>
        </w:rPr>
      </w:pPr>
      <w:r>
        <w:rPr>
          <w:rFonts w:eastAsia="Calibri"/>
          <w:sz w:val="22"/>
          <w:szCs w:val="22"/>
        </w:rPr>
        <w:tab/>
        <w:t>A contratação justifica-se pela necessidade de fortalecer a infraestrutura de apoio à produção agropecuária, ampliando a capacidade de atendimento da Secretaria Municipal de Agricultura aos pequenos e médios produtores rurais e aos agricultores familiares. O equipamento será utilizado na execução de serviços de manutenção de acessos às propriedades rurais, terraplanagens, abertura de valas, preparo de áreas para produção e plantio e outras ações voltadas à melhoria da infraestrutura rural.</w:t>
      </w:r>
    </w:p>
    <w:p>
      <w:pPr>
        <w:pStyle w:val="BodyText"/>
        <w:spacing w:before="0" w:after="283"/>
        <w:rPr/>
      </w:pPr>
      <w:r>
        <w:rPr>
          <w:rFonts w:eastAsia="Calibri"/>
          <w:sz w:val="22"/>
          <w:szCs w:val="22"/>
        </w:rPr>
        <w:tab/>
        <w:t>A aquisição contribuirá para a redução dos custos de produção, melhoria das condições de trabalho no meio rural, aumento da produtividade e fortalecimento da atividade agropecuária, promovendo o desenvolvimento rural sustentável e incentivando a permanência do produtor no campo. Além disso, a incorporação de um equipamento novo proporcionará maior eficiência na prestação dos serviços públicos, redução dos custos de manutenção da frota e melhor utilização dos recursos públicos, atendendo aos objetivos do Convênio firmado com o Ministério da Agricultura e Pecuária (MAPA).</w:t>
      </w:r>
    </w:p>
    <w:p>
      <w:pPr>
        <w:pStyle w:val="Normal"/>
        <w:numPr>
          <w:ilvl w:val="0"/>
          <w:numId w:val="2"/>
        </w:numPr>
        <w:shd w:val="clear" w:color="auto" w:fill="FFFFFF"/>
        <w:suppressAutoHyphens w:val="false"/>
        <w:ind w:hanging="284" w:left="284"/>
        <w:jc w:val="both"/>
        <w:rPr>
          <w:rFonts w:eastAsia="Calibri"/>
          <w:b/>
          <w:color w:val="000000"/>
          <w:sz w:val="22"/>
          <w:szCs w:val="22"/>
          <w:u w:val="single"/>
        </w:rPr>
      </w:pPr>
      <w:r>
        <w:rPr>
          <w:rFonts w:eastAsia="Calibri"/>
          <w:b/>
          <w:color w:val="000000"/>
          <w:sz w:val="22"/>
          <w:szCs w:val="22"/>
          <w:u w:val="single"/>
        </w:rPr>
        <w:t>FORMA E CRITÉRIOS DE SELEÇÃO DO FORNECEDOR.</w:t>
      </w:r>
    </w:p>
    <w:p>
      <w:pPr>
        <w:pStyle w:val="Normal"/>
        <w:jc w:val="both"/>
        <w:rPr>
          <w:rFonts w:eastAsia="Calibri"/>
          <w:b/>
          <w:sz w:val="22"/>
          <w:szCs w:val="22"/>
        </w:rPr>
      </w:pPr>
      <w:r>
        <w:rPr>
          <w:rFonts w:eastAsia="Calibri"/>
          <w:b/>
          <w:sz w:val="22"/>
          <w:szCs w:val="22"/>
        </w:rPr>
      </w:r>
    </w:p>
    <w:p>
      <w:pPr>
        <w:pStyle w:val="Normal"/>
        <w:widowControl w:val="false"/>
        <w:numPr>
          <w:ilvl w:val="1"/>
          <w:numId w:val="2"/>
        </w:numPr>
        <w:suppressAutoHyphens w:val="false"/>
        <w:jc w:val="both"/>
        <w:rPr>
          <w:rFonts w:eastAsia="Calibri"/>
          <w:color w:val="000000"/>
          <w:sz w:val="22"/>
          <w:szCs w:val="22"/>
        </w:rPr>
      </w:pPr>
      <w:r>
        <w:rPr>
          <w:rFonts w:eastAsia="Calibri"/>
          <w:color w:val="000000"/>
          <w:sz w:val="22"/>
          <w:szCs w:val="22"/>
        </w:rPr>
        <w:t>As exigências de habilitação jurídica e de regularidade fiscal, social e trabalhista são as usuais para a generalidade dos objetos, conforme disciplinado no edital.</w:t>
      </w:r>
    </w:p>
    <w:p>
      <w:pPr>
        <w:pStyle w:val="Normal"/>
        <w:widowControl w:val="false"/>
        <w:ind w:left="405"/>
        <w:jc w:val="both"/>
        <w:rPr>
          <w:rFonts w:eastAsia="Calibri"/>
          <w:color w:val="000000"/>
          <w:sz w:val="22"/>
          <w:szCs w:val="22"/>
        </w:rPr>
      </w:pPr>
      <w:r>
        <w:rPr>
          <w:rFonts w:eastAsia="Calibri"/>
          <w:color w:val="000000"/>
          <w:sz w:val="22"/>
          <w:szCs w:val="22"/>
        </w:rPr>
      </w:r>
    </w:p>
    <w:p>
      <w:pPr>
        <w:pStyle w:val="Normal"/>
        <w:widowControl w:val="false"/>
        <w:numPr>
          <w:ilvl w:val="1"/>
          <w:numId w:val="2"/>
        </w:numPr>
        <w:suppressAutoHyphens w:val="false"/>
        <w:jc w:val="both"/>
        <w:rPr>
          <w:rFonts w:eastAsia="Calibri"/>
          <w:color w:val="000000"/>
          <w:sz w:val="22"/>
          <w:szCs w:val="22"/>
        </w:rPr>
      </w:pPr>
      <w:r>
        <w:rPr>
          <w:rFonts w:eastAsia="Calibri"/>
          <w:color w:val="000000"/>
          <w:sz w:val="22"/>
          <w:szCs w:val="22"/>
        </w:rPr>
        <w:t>Os critérios de qualificação econômico-financeira a serem atendidos pelo fornecedor estão previstos no edital.</w:t>
      </w:r>
    </w:p>
    <w:p>
      <w:pPr>
        <w:pStyle w:val="Normal"/>
        <w:widowControl w:val="false"/>
        <w:suppressAutoHyphens w:val="false"/>
        <w:ind w:left="405"/>
        <w:jc w:val="both"/>
        <w:rPr>
          <w:rFonts w:eastAsia="Calibri"/>
          <w:color w:val="000000"/>
          <w:sz w:val="22"/>
          <w:szCs w:val="22"/>
        </w:rPr>
      </w:pPr>
      <w:r>
        <w:rPr>
          <w:rFonts w:eastAsia="Calibri"/>
          <w:color w:val="000000"/>
          <w:sz w:val="22"/>
          <w:szCs w:val="22"/>
        </w:rPr>
      </w:r>
    </w:p>
    <w:p>
      <w:pPr>
        <w:pStyle w:val="BodyText"/>
        <w:widowControl w:val="false"/>
        <w:numPr>
          <w:ilvl w:val="1"/>
          <w:numId w:val="2"/>
        </w:numPr>
        <w:suppressAutoHyphens w:val="false"/>
        <w:rPr>
          <w:rFonts w:eastAsia="Calibri"/>
          <w:color w:val="000000"/>
          <w:sz w:val="22"/>
          <w:szCs w:val="22"/>
        </w:rPr>
      </w:pPr>
      <w:r>
        <w:rPr>
          <w:rFonts w:eastAsia="Calibri"/>
          <w:color w:val="000000"/>
          <w:sz w:val="22"/>
          <w:szCs w:val="22"/>
        </w:rPr>
        <w:t>A contratação será realizada por meio de adesão à Ata de Registro de Preços, nos termos do art. 86 da Lei Federal nº 14.133/2021, utilizando-se a Ata de Registro de Preços nº 023/2026, decorrente do Pregão Eletrônico nº 008/2026, promovido pelo Município de Feliz/RS.</w:t>
      </w:r>
    </w:p>
    <w:p>
      <w:pPr>
        <w:pStyle w:val="BodyText"/>
        <w:widowControl w:val="false"/>
        <w:suppressAutoHyphens w:val="false"/>
        <w:ind w:left="405"/>
        <w:rPr>
          <w:rFonts w:eastAsia="Calibri"/>
          <w:color w:val="000000"/>
          <w:sz w:val="22"/>
          <w:szCs w:val="22"/>
        </w:rPr>
      </w:pPr>
      <w:r>
        <w:rPr>
          <w:rFonts w:eastAsia="Calibri"/>
          <w:color w:val="000000"/>
          <w:sz w:val="22"/>
          <w:szCs w:val="22"/>
        </w:rPr>
      </w:r>
    </w:p>
    <w:p>
      <w:pPr>
        <w:pStyle w:val="BodyText"/>
        <w:widowControl w:val="false"/>
        <w:numPr>
          <w:ilvl w:val="2"/>
          <w:numId w:val="2"/>
        </w:numPr>
        <w:suppressAutoHyphens w:val="false"/>
        <w:rPr>
          <w:rFonts w:eastAsia="Calibri"/>
          <w:color w:val="000000"/>
          <w:sz w:val="22"/>
          <w:szCs w:val="22"/>
        </w:rPr>
      </w:pPr>
      <w:r>
        <w:rPr>
          <w:rFonts w:eastAsia="Calibri"/>
          <w:color w:val="000000"/>
          <w:sz w:val="22"/>
          <w:szCs w:val="22"/>
        </w:rPr>
        <w:t xml:space="preserve">A seleção do fornecedor decorre de procedimento licitatório regularmente realizado pelo órgão gerenciador da Ata, no qual foi adotado como critério de julgamento o </w:t>
      </w:r>
      <w:r>
        <w:rPr>
          <w:rStyle w:val="Strong"/>
          <w:rFonts w:eastAsia="Calibri"/>
          <w:b w:val="false"/>
          <w:bCs w:val="false"/>
          <w:color w:val="000000"/>
          <w:sz w:val="22"/>
          <w:szCs w:val="22"/>
        </w:rPr>
        <w:t>menor preço</w:t>
      </w:r>
      <w:r>
        <w:rPr>
          <w:rFonts w:eastAsia="Calibri"/>
          <w:color w:val="000000"/>
          <w:sz w:val="22"/>
          <w:szCs w:val="22"/>
        </w:rPr>
        <w:t>, observadas as especificações técnicas, os requisitos de habilitação e as demais condições estabelecidas no edital e na respectiva Ata de Registro de Preços.</w:t>
      </w:r>
    </w:p>
    <w:p>
      <w:pPr>
        <w:pStyle w:val="BodyText"/>
        <w:widowControl w:val="false"/>
        <w:suppressAutoHyphens w:val="false"/>
        <w:ind w:left="720"/>
        <w:rPr>
          <w:rFonts w:eastAsia="Calibri"/>
          <w:color w:val="000000"/>
          <w:sz w:val="22"/>
          <w:szCs w:val="22"/>
        </w:rPr>
      </w:pPr>
      <w:r>
        <w:rPr>
          <w:rFonts w:eastAsia="Calibri"/>
          <w:color w:val="000000"/>
          <w:sz w:val="22"/>
          <w:szCs w:val="22"/>
        </w:rPr>
      </w:r>
    </w:p>
    <w:p>
      <w:pPr>
        <w:pStyle w:val="BodyText"/>
        <w:widowControl w:val="false"/>
        <w:numPr>
          <w:ilvl w:val="2"/>
          <w:numId w:val="2"/>
        </w:numPr>
        <w:suppressAutoHyphens w:val="false"/>
        <w:rPr>
          <w:rFonts w:eastAsia="Calibri"/>
          <w:color w:val="000000"/>
          <w:sz w:val="22"/>
          <w:szCs w:val="22"/>
        </w:rPr>
      </w:pPr>
      <w:r>
        <w:rPr>
          <w:rFonts w:eastAsia="Calibri"/>
          <w:color w:val="000000"/>
          <w:sz w:val="22"/>
          <w:szCs w:val="22"/>
        </w:rPr>
        <w:t>A escolha de aderir a ata de registro de preços foi precedida de análise da vantajosidade da contratação para a Administração Municipal, mediante pesquisa de preços realizada junto ao mercado e consulta ao sistema LicitaCon. Embora dois dos orçamentos que instruíram o Plano de Trabalho aprovado no âmbito do Convênio com o Ministério da Agricultura e Pecuária (MAPA) apresentem valores inferiores ao registrado na Ata, tais cotações foram elaboradas em momento anterior e tiveram como finalidade subsidiar a proposta de convênio.</w:t>
      </w:r>
    </w:p>
    <w:p>
      <w:pPr>
        <w:pStyle w:val="BodyText"/>
        <w:widowControl w:val="false"/>
        <w:suppressAutoHyphens w:val="false"/>
        <w:ind w:left="720"/>
        <w:rPr>
          <w:rFonts w:eastAsia="Calibri"/>
          <w:color w:val="000000"/>
          <w:sz w:val="22"/>
          <w:szCs w:val="22"/>
        </w:rPr>
      </w:pPr>
      <w:r>
        <w:rPr>
          <w:rFonts w:eastAsia="Calibri"/>
          <w:color w:val="000000"/>
          <w:sz w:val="22"/>
          <w:szCs w:val="22"/>
        </w:rPr>
      </w:r>
    </w:p>
    <w:p>
      <w:pPr>
        <w:pStyle w:val="BodyText"/>
        <w:widowControl w:val="false"/>
        <w:numPr>
          <w:ilvl w:val="2"/>
          <w:numId w:val="2"/>
        </w:numPr>
        <w:suppressAutoHyphens w:val="false"/>
        <w:rPr>
          <w:rFonts w:eastAsia="Calibri"/>
          <w:color w:val="000000"/>
          <w:sz w:val="22"/>
          <w:szCs w:val="22"/>
        </w:rPr>
      </w:pPr>
      <w:r>
        <w:rPr>
          <w:rFonts w:eastAsia="Calibri"/>
          <w:color w:val="000000"/>
          <w:sz w:val="22"/>
          <w:szCs w:val="22"/>
        </w:rPr>
        <w:t>Considerando os preços atualmente praticados no mercado, as especificações técnicas do equipamento e a pesquisa de preços realizada para a presente contratação, concluiu-se que o valor registrado na Ata permanece compatível e vantajoso para a Administração, atendendo aos princípios da economicidade, da eficiência e da seleção da proposta mais vantajosa previstos na Lei nº 14.133/2021.</w:t>
      </w:r>
    </w:p>
    <w:p>
      <w:pPr>
        <w:pStyle w:val="BodyText"/>
        <w:widowControl w:val="false"/>
        <w:suppressAutoHyphens w:val="false"/>
        <w:ind w:left="720"/>
        <w:rPr>
          <w:rFonts w:eastAsia="Calibri"/>
          <w:color w:val="000000"/>
          <w:sz w:val="22"/>
          <w:szCs w:val="22"/>
        </w:rPr>
      </w:pPr>
      <w:r>
        <w:rPr>
          <w:rFonts w:eastAsia="Calibri"/>
          <w:color w:val="000000"/>
          <w:sz w:val="22"/>
          <w:szCs w:val="22"/>
        </w:rPr>
      </w:r>
    </w:p>
    <w:p>
      <w:pPr>
        <w:pStyle w:val="BodyText"/>
        <w:widowControl w:val="false"/>
        <w:numPr>
          <w:ilvl w:val="2"/>
          <w:numId w:val="2"/>
        </w:numPr>
        <w:suppressAutoHyphens w:val="false"/>
        <w:rPr>
          <w:rFonts w:eastAsia="Calibri"/>
          <w:color w:val="000000"/>
          <w:sz w:val="22"/>
          <w:szCs w:val="22"/>
        </w:rPr>
      </w:pPr>
      <w:r>
        <w:rPr>
          <w:rFonts w:eastAsia="Calibri"/>
          <w:color w:val="000000"/>
          <w:sz w:val="22"/>
          <w:szCs w:val="22"/>
        </w:rPr>
        <w:t>A formalização da adesão observa, ainda, a anuência do órgão gerenciador da Ata e o aceite formal da empresa registrada, atendendo a todos os requisitos legais e administrativos para a efetivação da contratação.</w:t>
      </w:r>
    </w:p>
    <w:p>
      <w:pPr>
        <w:pStyle w:val="Normal"/>
        <w:widowControl w:val="false"/>
        <w:suppressAutoHyphens w:val="false"/>
        <w:jc w:val="both"/>
        <w:rPr>
          <w:rFonts w:eastAsia="Calibri"/>
          <w:color w:val="000000"/>
          <w:sz w:val="22"/>
          <w:szCs w:val="22"/>
        </w:rPr>
      </w:pPr>
      <w:r>
        <w:rPr>
          <w:rFonts w:eastAsia="Calibri"/>
          <w:color w:val="000000"/>
          <w:sz w:val="22"/>
          <w:szCs w:val="22"/>
        </w:rPr>
      </w:r>
    </w:p>
    <w:p>
      <w:pPr>
        <w:pStyle w:val="Normal"/>
        <w:numPr>
          <w:ilvl w:val="0"/>
          <w:numId w:val="2"/>
        </w:numPr>
        <w:shd w:val="clear" w:color="auto" w:fill="FFFFFF"/>
        <w:suppressAutoHyphens w:val="false"/>
        <w:ind w:hanging="263" w:left="284"/>
        <w:jc w:val="both"/>
        <w:rPr>
          <w:rFonts w:eastAsia="Calibri"/>
          <w:b/>
          <w:color w:val="000000"/>
          <w:sz w:val="22"/>
          <w:szCs w:val="22"/>
          <w:u w:val="single"/>
        </w:rPr>
      </w:pPr>
      <w:r>
        <w:rPr>
          <w:rFonts w:eastAsia="Calibri"/>
          <w:b/>
          <w:color w:val="000000"/>
          <w:sz w:val="22"/>
          <w:szCs w:val="22"/>
          <w:u w:val="single"/>
        </w:rPr>
        <w:t>ENTREGA E CRITÉRIO DE ACEITAÇÃO DO OBJETO.</w:t>
      </w:r>
    </w:p>
    <w:p>
      <w:pPr>
        <w:pStyle w:val="Normal"/>
        <w:jc w:val="both"/>
        <w:rPr>
          <w:rFonts w:eastAsia="Calibri"/>
          <w:sz w:val="22"/>
          <w:szCs w:val="22"/>
        </w:rPr>
      </w:pPr>
      <w:r>
        <w:rPr>
          <w:rFonts w:eastAsia="Calibri"/>
          <w:sz w:val="22"/>
          <w:szCs w:val="22"/>
        </w:rPr>
      </w:r>
    </w:p>
    <w:p>
      <w:pPr>
        <w:pStyle w:val="Normal"/>
        <w:numPr>
          <w:ilvl w:val="1"/>
          <w:numId w:val="2"/>
        </w:numPr>
        <w:shd w:val="clear" w:color="auto" w:fill="FFFFFF"/>
        <w:tabs>
          <w:tab w:val="clear" w:pos="708"/>
          <w:tab w:val="left" w:pos="426" w:leader="none"/>
        </w:tabs>
        <w:suppressAutoHyphens w:val="false"/>
        <w:ind w:hanging="0" w:left="0"/>
        <w:jc w:val="both"/>
        <w:rPr>
          <w:sz w:val="22"/>
          <w:szCs w:val="22"/>
        </w:rPr>
      </w:pPr>
      <w:r>
        <w:rPr>
          <w:rFonts w:eastAsia="Calibri"/>
          <w:color w:val="000000"/>
          <w:sz w:val="22"/>
          <w:szCs w:val="22"/>
          <w:highlight w:val="white"/>
        </w:rPr>
        <w:t>O prazo de entrega do objeto é de até 30 (trinta) dias a contar do recebimento do empenho pelo contratado, conforme previsto na ata. Ressalta-se que a</w:t>
      </w:r>
      <w:r>
        <w:rPr>
          <w:sz w:val="22"/>
          <w:szCs w:val="22"/>
        </w:rPr>
        <w:t xml:space="preserve"> empresa Paraná Equipamentos concordou em aguardar a conclusão da análise e a confirmação da aprovação, pelo Ministério da Agricultura e Pecuária (MAPA), dos recursos vinculados ao convênio, realizando a entrega do equipamento somente após a comunicação formal da Administração Municipal, conforme declaração anexa.</w:t>
      </w:r>
    </w:p>
    <w:p>
      <w:pPr>
        <w:pStyle w:val="Normal"/>
        <w:shd w:val="clear" w:color="auto" w:fill="FFFFFF"/>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shd w:val="clear" w:color="auto" w:fill="FFFFFF"/>
        <w:tabs>
          <w:tab w:val="clear" w:pos="708"/>
          <w:tab w:val="left" w:pos="426" w:leader="none"/>
        </w:tabs>
        <w:suppressAutoHyphens w:val="false"/>
        <w:ind w:hanging="0" w:left="0"/>
        <w:jc w:val="both"/>
        <w:rPr/>
      </w:pPr>
      <w:r>
        <w:rPr>
          <w:rFonts w:eastAsia="Calibri"/>
          <w:color w:val="000000"/>
          <w:sz w:val="22"/>
          <w:szCs w:val="22"/>
        </w:rPr>
        <w:t xml:space="preserve">A entrega da máquina deverá ser realizada no seguinte endereço: </w:t>
      </w:r>
      <w:r>
        <w:rPr>
          <w:rFonts w:eastAsia="Calibri"/>
          <w:color w:val="000000"/>
          <w:sz w:val="22"/>
          <w:szCs w:val="22"/>
          <w:lang w:eastAsia="en-US"/>
        </w:rPr>
        <w:t>Av. Ijuí, 1800 – Parque de Máquinas (Três Passos/RS) das 8h às 11h30 e das 13h30 às 17h30.</w:t>
      </w:r>
    </w:p>
    <w:p>
      <w:pPr>
        <w:pStyle w:val="Normal"/>
        <w:ind w:left="720"/>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hanging="0" w:left="0"/>
        <w:jc w:val="both"/>
        <w:rPr/>
      </w:pPr>
      <w:r>
        <w:rPr>
          <w:rFonts w:eastAsia="Calibri"/>
          <w:color w:val="000000"/>
          <w:sz w:val="22"/>
          <w:szCs w:val="22"/>
        </w:rPr>
        <w:t xml:space="preserve">O recebimento será realizado pelos fiscais do contrato, ou por quem vier </w:t>
      </w:r>
      <w:r>
        <w:rPr>
          <w:rFonts w:eastAsia="Calibri"/>
          <w:color w:val="000000"/>
          <w:sz w:val="22"/>
          <w:szCs w:val="22"/>
          <w:lang w:eastAsia="en-US"/>
        </w:rPr>
        <w:t xml:space="preserve">a substituí-los, </w:t>
      </w:r>
      <w:r>
        <w:rPr>
          <w:rFonts w:eastAsia="Calibri"/>
          <w:color w:val="000000"/>
          <w:sz w:val="22"/>
          <w:szCs w:val="22"/>
        </w:rPr>
        <w:t>que verificarão se o objeto está de acordo com o descritivo do edital e sendo necessário emitirá relatório com as ocorrências da execução do contrato e demais documentos que julgarem necessários, devendo encaminhá-los ao gestor do contrato para recebimento definitivo.</w:t>
      </w:r>
    </w:p>
    <w:p>
      <w:pPr>
        <w:pStyle w:val="Normal"/>
        <w:tabs>
          <w:tab w:val="clear" w:pos="708"/>
          <w:tab w:val="left" w:pos="567" w:leader="none"/>
        </w:tabs>
        <w:suppressAutoHyphens w:val="false"/>
        <w:ind w:left="405"/>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hanging="0" w:left="0"/>
        <w:jc w:val="both"/>
        <w:rPr/>
      </w:pPr>
      <w:r>
        <w:rPr>
          <w:rFonts w:eastAsia="Calibri"/>
          <w:color w:val="000000"/>
          <w:sz w:val="22"/>
          <w:szCs w:val="22"/>
        </w:rPr>
        <w:t>Serão designados como fiscais do contrato o técnico agrícola Marcos Roberto Rache e o mecânico Felipe Diel para acompanhamento e fiscalização da entrega do bem, conforme previsto no Art. 117 da Lei 14.133/2021.</w:t>
      </w:r>
    </w:p>
    <w:p>
      <w:pPr>
        <w:pStyle w:val="Normal"/>
        <w:ind w:left="720"/>
        <w:rPr>
          <w:rFonts w:eastAsia="Calibri"/>
          <w:color w:val="000000"/>
          <w:sz w:val="22"/>
          <w:szCs w:val="22"/>
        </w:rPr>
      </w:pPr>
      <w:r>
        <w:rPr>
          <w:rFonts w:eastAsia="Calibri"/>
          <w:color w:val="000000"/>
          <w:sz w:val="22"/>
          <w:szCs w:val="22"/>
        </w:rPr>
      </w:r>
    </w:p>
    <w:p>
      <w:pPr>
        <w:pStyle w:val="Normal"/>
        <w:numPr>
          <w:ilvl w:val="1"/>
          <w:numId w:val="2"/>
        </w:numPr>
        <w:suppressAutoHyphens w:val="false"/>
        <w:ind w:hanging="0" w:left="0"/>
        <w:jc w:val="both"/>
        <w:rPr>
          <w:rFonts w:eastAsia="Calibri"/>
          <w:color w:val="000000"/>
          <w:sz w:val="22"/>
          <w:szCs w:val="22"/>
        </w:rPr>
      </w:pPr>
      <w:r>
        <w:rPr>
          <w:rFonts w:eastAsia="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pPr>
        <w:pStyle w:val="Normal"/>
        <w:shd w:val="clear" w:color="auto" w:fill="FFFFFF"/>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hanging="0" w:left="0"/>
        <w:jc w:val="both"/>
        <w:rPr/>
      </w:pPr>
      <w:r>
        <w:rPr>
          <w:rFonts w:eastAsia="Calibri"/>
          <w:color w:val="000000"/>
          <w:sz w:val="22"/>
          <w:szCs w:val="22"/>
        </w:rPr>
        <w:t>Os bens poderão ser rejeitados, no todo ou em parte, quando em desacordo com as especificações constantes neste Termo de Referência, no edital ou no contrato, devendo ser substituídos no prazo de até cinco dias</w:t>
      </w:r>
      <w:r>
        <w:rPr>
          <w:rFonts w:eastAsia="Calibri"/>
          <w:b/>
          <w:color w:val="000000"/>
          <w:sz w:val="22"/>
          <w:szCs w:val="22"/>
        </w:rPr>
        <w:t>,</w:t>
      </w:r>
      <w:r>
        <w:rPr>
          <w:rFonts w:eastAsia="Calibri"/>
          <w:color w:val="000000"/>
          <w:sz w:val="22"/>
          <w:szCs w:val="22"/>
        </w:rPr>
        <w:t xml:space="preserve"> a contar da notificação da contratada, às suas custas, sem prejuízo da aplicação das penalidades.</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hanging="0" w:left="0"/>
        <w:jc w:val="both"/>
        <w:rPr>
          <w:rFonts w:eastAsia="Calibri"/>
          <w:color w:val="000000"/>
          <w:sz w:val="22"/>
          <w:szCs w:val="22"/>
        </w:rPr>
      </w:pPr>
      <w:r>
        <w:rPr>
          <w:rFonts w:eastAsia="Calibri"/>
          <w:color w:val="000000"/>
          <w:sz w:val="22"/>
          <w:szCs w:val="22"/>
        </w:rPr>
        <w:t>O recebimento do objeto não exclui a responsabilidade da contratada pelos prejuízos resultantes da incorreta execução do contrato.</w:t>
      </w:r>
    </w:p>
    <w:p>
      <w:pPr>
        <w:pStyle w:val="Normal"/>
        <w:tabs>
          <w:tab w:val="clear" w:pos="708"/>
          <w:tab w:val="left" w:pos="426" w:leader="none"/>
        </w:tabs>
        <w:suppressAutoHyphens w:val="false"/>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ind w:hanging="0" w:left="0"/>
        <w:jc w:val="both"/>
        <w:rPr>
          <w:sz w:val="22"/>
          <w:szCs w:val="22"/>
        </w:rPr>
      </w:pPr>
      <w:r>
        <w:rPr>
          <w:sz w:val="22"/>
          <w:szCs w:val="22"/>
          <w:highlight w:val="white"/>
        </w:rPr>
        <w:t>Demais quesitos relacionados a empresa devem ser efetivados conforme o descritivo do contrato firmado entre a Empresa PARANA EQUIPAMENTOS e a Prefeitura Municipal de Feliz/RS. Em caso de contradição entre o texto deste Termo de Referência e o Contrato firmado entre a empresa e o Município de Feliz, prevalecerá o disposto neste termo de referência/contrato firmado com o Município de Três Passos.</w:t>
      </w:r>
    </w:p>
    <w:p>
      <w:pPr>
        <w:pStyle w:val="Normal"/>
        <w:tabs>
          <w:tab w:val="clear" w:pos="708"/>
          <w:tab w:val="left" w:pos="426" w:leader="none"/>
        </w:tabs>
        <w:jc w:val="both"/>
        <w:rPr>
          <w:rFonts w:eastAsia="Calibri"/>
          <w:color w:val="000000"/>
          <w:sz w:val="24"/>
          <w:szCs w:val="24"/>
        </w:rPr>
      </w:pPr>
      <w:r>
        <w:rPr>
          <w:rFonts w:eastAsia="Calibri"/>
          <w:color w:val="000000"/>
          <w:sz w:val="24"/>
          <w:szCs w:val="24"/>
        </w:rPr>
      </w:r>
    </w:p>
    <w:p>
      <w:pPr>
        <w:pStyle w:val="Normal"/>
        <w:numPr>
          <w:ilvl w:val="0"/>
          <w:numId w:val="2"/>
        </w:numPr>
        <w:shd w:val="clear" w:color="auto" w:fill="FFFFFF"/>
        <w:suppressAutoHyphens w:val="false"/>
        <w:ind w:hanging="284" w:left="284"/>
        <w:jc w:val="both"/>
        <w:rPr>
          <w:rFonts w:eastAsia="Calibri"/>
          <w:b/>
          <w:color w:val="000000"/>
          <w:sz w:val="22"/>
          <w:szCs w:val="22"/>
          <w:u w:val="single"/>
        </w:rPr>
      </w:pPr>
      <w:r>
        <w:rPr>
          <w:rFonts w:eastAsia="Calibri"/>
          <w:b/>
          <w:color w:val="000000"/>
          <w:sz w:val="22"/>
          <w:szCs w:val="22"/>
          <w:u w:val="single"/>
        </w:rPr>
        <w:t>OBRIGAÇÕES DA CONTRATANTE.</w:t>
      </w:r>
    </w:p>
    <w:p>
      <w:pPr>
        <w:pStyle w:val="Normal"/>
        <w:jc w:val="both"/>
        <w:rPr>
          <w:rFonts w:eastAsia="Calibri"/>
          <w:sz w:val="22"/>
          <w:szCs w:val="22"/>
        </w:rPr>
      </w:pPr>
      <w:r>
        <w:rPr>
          <w:rFonts w:eastAsia="Calibri"/>
          <w:sz w:val="22"/>
          <w:szCs w:val="22"/>
        </w:rPr>
      </w:r>
    </w:p>
    <w:p>
      <w:pPr>
        <w:pStyle w:val="Normal"/>
        <w:numPr>
          <w:ilvl w:val="1"/>
          <w:numId w:val="2"/>
        </w:numPr>
        <w:suppressAutoHyphens w:val="false"/>
        <w:jc w:val="both"/>
        <w:rPr>
          <w:rFonts w:eastAsia="Calibri"/>
          <w:color w:val="000000"/>
          <w:sz w:val="22"/>
          <w:szCs w:val="22"/>
        </w:rPr>
      </w:pPr>
      <w:r>
        <w:rPr>
          <w:rFonts w:eastAsia="Calibri"/>
          <w:color w:val="000000"/>
          <w:sz w:val="22"/>
          <w:szCs w:val="22"/>
        </w:rPr>
        <w:t>São obrigações da Contratante:</w:t>
      </w:r>
    </w:p>
    <w:p>
      <w:pPr>
        <w:pStyle w:val="Normal"/>
        <w:ind w:left="405"/>
        <w:jc w:val="both"/>
        <w:rPr>
          <w:rFonts w:eastAsia="Calibri"/>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hanging="0" w:left="284"/>
        <w:jc w:val="both"/>
        <w:rPr>
          <w:rFonts w:eastAsia="Calibri"/>
          <w:color w:val="000000"/>
          <w:sz w:val="22"/>
          <w:szCs w:val="22"/>
        </w:rPr>
      </w:pPr>
      <w:r>
        <w:rPr>
          <w:rFonts w:eastAsia="Calibri"/>
          <w:color w:val="000000"/>
          <w:sz w:val="22"/>
          <w:szCs w:val="22"/>
        </w:rPr>
        <w:t>Receber o objeto no prazo e condições estabelecidas no Edital e seus anexos;</w:t>
      </w:r>
    </w:p>
    <w:p>
      <w:pPr>
        <w:pStyle w:val="Normal"/>
        <w:tabs>
          <w:tab w:val="clear" w:pos="708"/>
          <w:tab w:val="left" w:pos="851" w:leader="none"/>
        </w:tabs>
        <w:ind w:left="284"/>
        <w:jc w:val="both"/>
        <w:rPr>
          <w:rFonts w:eastAsia="Calibri"/>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Verificar minuciosamente, no prazo fixado, a conformidade dos bens recebidos provisoriamente com as especificações constantes do Edital e da proposta, para fins de aceitação e recebimento definitivo;</w:t>
      </w:r>
    </w:p>
    <w:p>
      <w:pPr>
        <w:pStyle w:val="Normal"/>
        <w:tabs>
          <w:tab w:val="clear" w:pos="708"/>
          <w:tab w:val="left" w:pos="851" w:leader="none"/>
        </w:tabs>
        <w:jc w:val="both"/>
        <w:rPr>
          <w:rFonts w:eastAsia="Calibri"/>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hanging="0" w:left="284"/>
        <w:jc w:val="both"/>
        <w:rPr/>
      </w:pPr>
      <w:r>
        <w:rPr>
          <w:rFonts w:eastAsia="Calibri"/>
          <w:sz w:val="22"/>
          <w:szCs w:val="22"/>
        </w:rPr>
        <w:t>Comunicar à Contratada, por escrito, sobre imperfeições, falhas ou irregularidades verificadas no objeto fornecido, para que seja substituído, reparado ou corrigido;</w:t>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Acompanhar e fiscalizar o cumprimento das obrigações da Contratada, através de comissão/servidor especialmente designado;</w:t>
      </w:r>
    </w:p>
    <w:p>
      <w:pPr>
        <w:pStyle w:val="Normal"/>
        <w:tabs>
          <w:tab w:val="clear" w:pos="708"/>
          <w:tab w:val="left" w:pos="851" w:leader="none"/>
        </w:tabs>
        <w:jc w:val="both"/>
        <w:rPr>
          <w:rFonts w:eastAsia="Calibri"/>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hanging="0" w:left="284"/>
        <w:jc w:val="both"/>
        <w:rPr/>
      </w:pPr>
      <w:r>
        <w:rPr>
          <w:rFonts w:eastAsia="Calibri"/>
          <w:sz w:val="22"/>
          <w:szCs w:val="22"/>
        </w:rPr>
        <w:t>Efetuar o pagamento à Contratada</w:t>
      </w:r>
      <w:r>
        <w:rPr>
          <w:rFonts w:eastAsia="Calibri"/>
          <w:b/>
          <w:sz w:val="22"/>
          <w:szCs w:val="22"/>
        </w:rPr>
        <w:t xml:space="preserve"> </w:t>
      </w:r>
      <w:r>
        <w:rPr>
          <w:rFonts w:eastAsia="Calibri"/>
          <w:sz w:val="22"/>
          <w:szCs w:val="22"/>
        </w:rPr>
        <w:t>no valor correspondente ao fornecimento do objeto, no prazo e forma estabelecidos no Edital e seus anexos, observada a ordem cronológica para cada fonte diferenciada de recursos, nos termos do art. 141 da Lei nº 14.133/2021;</w:t>
      </w:r>
    </w:p>
    <w:p>
      <w:pPr>
        <w:pStyle w:val="Normal"/>
        <w:tabs>
          <w:tab w:val="clear" w:pos="708"/>
          <w:tab w:val="left" w:pos="851" w:leader="none"/>
        </w:tabs>
        <w:jc w:val="both"/>
        <w:rPr>
          <w:rFonts w:eastAsia="Calibri"/>
          <w:b/>
          <w:color w:val="000000"/>
          <w:sz w:val="22"/>
          <w:szCs w:val="22"/>
        </w:rPr>
      </w:pPr>
      <w:r>
        <w:rPr>
          <w:rFonts w:eastAsia="Calibri"/>
          <w:b/>
          <w:color w:val="000000"/>
          <w:sz w:val="22"/>
          <w:szCs w:val="22"/>
        </w:rPr>
      </w:r>
    </w:p>
    <w:p>
      <w:pPr>
        <w:pStyle w:val="Normal"/>
        <w:numPr>
          <w:ilvl w:val="1"/>
          <w:numId w:val="2"/>
        </w:numPr>
        <w:tabs>
          <w:tab w:val="clear" w:pos="708"/>
          <w:tab w:val="left" w:pos="426" w:leader="none"/>
        </w:tabs>
        <w:suppressAutoHyphens w:val="false"/>
        <w:ind w:hanging="0" w:left="0"/>
        <w:jc w:val="both"/>
        <w:rPr/>
      </w:pPr>
      <w:r>
        <w:rPr>
          <w:rFonts w:eastAsia="Calibri"/>
          <w:sz w:val="22"/>
          <w:szCs w:val="22"/>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pPr>
        <w:pStyle w:val="Normal"/>
        <w:tabs>
          <w:tab w:val="clear" w:pos="708"/>
          <w:tab w:val="left" w:pos="2070" w:leader="none"/>
        </w:tabs>
        <w:jc w:val="both"/>
        <w:rPr/>
      </w:pPr>
      <w:r>
        <w:rPr>
          <w:rFonts w:eastAsia="Calibri"/>
          <w:sz w:val="22"/>
          <w:szCs w:val="22"/>
        </w:rPr>
        <w:tab/>
      </w:r>
    </w:p>
    <w:p>
      <w:pPr>
        <w:pStyle w:val="Normal"/>
        <w:numPr>
          <w:ilvl w:val="0"/>
          <w:numId w:val="2"/>
        </w:numPr>
        <w:shd w:val="clear" w:color="auto" w:fill="FFFFFF"/>
        <w:suppressAutoHyphens w:val="false"/>
        <w:ind w:hanging="284" w:left="284"/>
        <w:jc w:val="both"/>
        <w:rPr>
          <w:rFonts w:eastAsia="Calibri"/>
          <w:b/>
          <w:color w:val="000000"/>
          <w:sz w:val="22"/>
          <w:szCs w:val="22"/>
          <w:u w:val="single"/>
        </w:rPr>
      </w:pPr>
      <w:r>
        <w:rPr>
          <w:rFonts w:eastAsia="Calibri"/>
          <w:b/>
          <w:color w:val="000000"/>
          <w:sz w:val="22"/>
          <w:szCs w:val="22"/>
          <w:u w:val="single"/>
        </w:rPr>
        <w:t>OBRIGAÇÕES DA CONTRATADA.</w:t>
      </w:r>
    </w:p>
    <w:p>
      <w:pPr>
        <w:pStyle w:val="Normal"/>
        <w:jc w:val="both"/>
        <w:rPr>
          <w:rFonts w:eastAsia="Calibri"/>
          <w:sz w:val="22"/>
          <w:szCs w:val="22"/>
        </w:rPr>
      </w:pPr>
      <w:r>
        <w:rPr>
          <w:rFonts w:eastAsia="Calibri"/>
          <w:sz w:val="22"/>
          <w:szCs w:val="22"/>
        </w:rPr>
      </w:r>
    </w:p>
    <w:p>
      <w:pPr>
        <w:pStyle w:val="Normal"/>
        <w:numPr>
          <w:ilvl w:val="1"/>
          <w:numId w:val="2"/>
        </w:numPr>
        <w:tabs>
          <w:tab w:val="clear" w:pos="708"/>
          <w:tab w:val="left" w:pos="426" w:leader="none"/>
        </w:tabs>
        <w:suppressAutoHyphens w:val="false"/>
        <w:ind w:hanging="0" w:left="0"/>
        <w:jc w:val="both"/>
        <w:rPr>
          <w:rFonts w:eastAsia="Calibri"/>
          <w:color w:val="000000"/>
          <w:sz w:val="22"/>
          <w:szCs w:val="22"/>
        </w:rPr>
      </w:pPr>
      <w:r>
        <w:rPr>
          <w:rFonts w:eastAsia="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pPr>
        <w:pStyle w:val="Normal"/>
        <w:ind w:left="405"/>
        <w:jc w:val="both"/>
        <w:rPr>
          <w:rFonts w:eastAsia="Calibri"/>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hanging="0" w:left="284"/>
        <w:jc w:val="both"/>
        <w:rPr>
          <w:rFonts w:eastAsia="Calibri"/>
          <w:color w:val="000000"/>
          <w:sz w:val="22"/>
          <w:szCs w:val="22"/>
        </w:rPr>
      </w:pPr>
      <w:r>
        <w:rPr>
          <w:rFonts w:eastAsia="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pPr>
        <w:pStyle w:val="Normal"/>
        <w:ind w:left="567"/>
        <w:jc w:val="both"/>
        <w:rPr>
          <w:rFonts w:eastAsia="Calibri"/>
          <w:color w:val="FF0000"/>
          <w:sz w:val="22"/>
          <w:szCs w:val="22"/>
        </w:rPr>
      </w:pPr>
      <w:r>
        <w:rPr>
          <w:rFonts w:eastAsia="Calibri"/>
          <w:color w:val="FF0000"/>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Responsabilizar-se pelos vícios e danos decorrentes do objeto, de acordo com os artigos 12, 13 e 17 a 27, do Código de Defesa do Consumidor (Lei nº 8.078, de 1990);</w:t>
      </w:r>
    </w:p>
    <w:p>
      <w:pPr>
        <w:pStyle w:val="Normal"/>
        <w:ind w:left="720"/>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Responsabilizar-se pelos danos causados diretamente à Administração ou a terceiros em razão da execução do contrato;</w:t>
      </w:r>
    </w:p>
    <w:p>
      <w:pPr>
        <w:pStyle w:val="Normal"/>
        <w:tabs>
          <w:tab w:val="clear" w:pos="708"/>
          <w:tab w:val="left" w:pos="851" w:leader="none"/>
        </w:tabs>
        <w:suppressAutoHyphens w:val="false"/>
        <w:jc w:val="both"/>
        <w:rPr>
          <w:sz w:val="22"/>
          <w:szCs w:val="22"/>
        </w:rPr>
      </w:pPr>
      <w:r>
        <w:rPr>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Reparar, corrigir, remover, reconstruir ou substituir, a suas expensas, no total ou em parte, o objeto do contrato em que se verificarem vícios, defeitos ou incorreções resultantes de sua execução ou de materiais nela empregados;</w:t>
      </w:r>
    </w:p>
    <w:p>
      <w:pPr>
        <w:pStyle w:val="Normal"/>
        <w:tabs>
          <w:tab w:val="clear" w:pos="708"/>
          <w:tab w:val="left" w:pos="851" w:leader="none"/>
        </w:tabs>
        <w:suppressAutoHyphens w:val="false"/>
        <w:jc w:val="both"/>
        <w:rPr>
          <w:sz w:val="22"/>
          <w:szCs w:val="22"/>
        </w:rPr>
      </w:pPr>
      <w:r>
        <w:rPr>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Comunicar à Contratante, no prazo máximo de 24 (vinte e quatro) horas que antecede a data da entrega, os motivos que impossibilitem o cumprimento do prazo previsto, com a devida comprovação;</w:t>
      </w:r>
    </w:p>
    <w:p>
      <w:pPr>
        <w:pStyle w:val="Normal"/>
        <w:tabs>
          <w:tab w:val="clear" w:pos="708"/>
          <w:tab w:val="left" w:pos="851" w:leader="none"/>
        </w:tabs>
        <w:jc w:val="both"/>
        <w:rPr>
          <w:rFonts w:eastAsia="Calibri"/>
          <w:sz w:val="22"/>
          <w:szCs w:val="22"/>
        </w:rPr>
      </w:pPr>
      <w:r>
        <w:rPr>
          <w:rFonts w:eastAsia="Calibri"/>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Manter, durante toda a execução do contrato, em compatibilidade com as obrigações assumidas, todas as condições de habilitação e qualificação exigidas na licitação;</w:t>
      </w:r>
    </w:p>
    <w:p>
      <w:pPr>
        <w:pStyle w:val="Normal"/>
        <w:tabs>
          <w:tab w:val="clear" w:pos="708"/>
          <w:tab w:val="left" w:pos="851" w:leader="none"/>
        </w:tabs>
        <w:ind w:left="284"/>
        <w:jc w:val="both"/>
        <w:rPr>
          <w:rFonts w:eastAsia="Calibri"/>
          <w:sz w:val="22"/>
          <w:szCs w:val="22"/>
        </w:rPr>
      </w:pPr>
      <w:r>
        <w:rPr>
          <w:rFonts w:eastAsia="Calibri"/>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Indicar preposto para representá-la durante a execução do contrato;</w:t>
      </w:r>
    </w:p>
    <w:p>
      <w:pPr>
        <w:pStyle w:val="Normal"/>
        <w:ind w:left="720"/>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Implantação de programa de integridade pelo licitante vencedor, no prazo de 6 (seis) meses, em caso de licitação de grande vulto, nos termos do artigo 25, §4º da Lei nº 14.133/2021;</w:t>
      </w:r>
    </w:p>
    <w:p>
      <w:pPr>
        <w:pStyle w:val="Normal"/>
        <w:ind w:left="720"/>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s>
        <w:suppressAutoHyphens w:val="false"/>
        <w:ind w:hanging="0" w:left="284"/>
        <w:jc w:val="both"/>
        <w:rPr>
          <w:rFonts w:eastAsia="Calibri"/>
          <w:sz w:val="22"/>
          <w:szCs w:val="22"/>
        </w:rPr>
      </w:pPr>
      <w:r>
        <w:rPr>
          <w:rFonts w:eastAsia="Calibri"/>
          <w:sz w:val="22"/>
          <w:szCs w:val="22"/>
        </w:rPr>
        <w:t xml:space="preserve"> </w:t>
      </w:r>
      <w:r>
        <w:rPr>
          <w:rFonts w:eastAsia="Calibri"/>
          <w:sz w:val="22"/>
          <w:szCs w:val="22"/>
        </w:rPr>
        <w:t>Cumprir com a reserva de cargos prevista em lei para pessoa com deficiência ou para reabilitado da Previdência Social e para aprendiz, além de atender às regras de acessibilidade previstas na legislação, conforme disposto no art. 93 da Lei nº 8.213/1991.</w:t>
      </w:r>
    </w:p>
    <w:p>
      <w:pPr>
        <w:pStyle w:val="Normal"/>
        <w:tabs>
          <w:tab w:val="clear" w:pos="708"/>
          <w:tab w:val="left" w:pos="851" w:leader="none"/>
        </w:tabs>
        <w:ind w:left="284"/>
        <w:jc w:val="both"/>
        <w:rPr>
          <w:rFonts w:eastAsia="Calibri"/>
          <w:sz w:val="22"/>
          <w:szCs w:val="22"/>
        </w:rPr>
      </w:pPr>
      <w:r>
        <w:rPr>
          <w:rFonts w:eastAsia="Calibri"/>
          <w:sz w:val="22"/>
          <w:szCs w:val="22"/>
        </w:rPr>
      </w:r>
    </w:p>
    <w:p>
      <w:pPr>
        <w:pStyle w:val="Normal"/>
        <w:numPr>
          <w:ilvl w:val="0"/>
          <w:numId w:val="2"/>
        </w:numPr>
        <w:shd w:val="clear" w:color="auto" w:fill="FFFFFF"/>
        <w:suppressAutoHyphens w:val="false"/>
        <w:ind w:hanging="284" w:left="284"/>
        <w:jc w:val="both"/>
        <w:rPr>
          <w:rFonts w:eastAsia="Calibri"/>
          <w:b/>
          <w:color w:val="000000"/>
          <w:sz w:val="22"/>
          <w:szCs w:val="22"/>
          <w:u w:val="single"/>
        </w:rPr>
      </w:pPr>
      <w:r>
        <w:rPr>
          <w:rFonts w:eastAsia="Calibri"/>
          <w:b/>
          <w:color w:val="000000"/>
          <w:sz w:val="22"/>
          <w:szCs w:val="22"/>
          <w:u w:val="single"/>
        </w:rPr>
        <w:t>DA SUBCONTRATAÇÃO.</w:t>
      </w:r>
    </w:p>
    <w:p>
      <w:pPr>
        <w:pStyle w:val="Normal"/>
        <w:ind w:left="405"/>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jc w:val="both"/>
        <w:rPr>
          <w:rFonts w:eastAsia="Calibri"/>
          <w:color w:val="000000"/>
          <w:sz w:val="22"/>
          <w:szCs w:val="22"/>
        </w:rPr>
      </w:pPr>
      <w:r>
        <w:rPr>
          <w:rFonts w:eastAsia="Calibri"/>
          <w:color w:val="000000"/>
          <w:sz w:val="22"/>
          <w:szCs w:val="22"/>
        </w:rPr>
        <w:t>Não será admitida a subcontratação do objeto licitatório.</w:t>
      </w:r>
    </w:p>
    <w:p>
      <w:pPr>
        <w:pStyle w:val="Normal"/>
        <w:suppressAutoHyphens w:val="false"/>
        <w:jc w:val="both"/>
        <w:rPr>
          <w:rFonts w:eastAsia="Calibri"/>
          <w:sz w:val="22"/>
          <w:szCs w:val="22"/>
        </w:rPr>
      </w:pPr>
      <w:r>
        <w:rPr>
          <w:rFonts w:eastAsia="Calibri"/>
          <w:sz w:val="22"/>
          <w:szCs w:val="22"/>
        </w:rPr>
      </w:r>
    </w:p>
    <w:p>
      <w:pPr>
        <w:pStyle w:val="Normal"/>
        <w:numPr>
          <w:ilvl w:val="0"/>
          <w:numId w:val="2"/>
        </w:numPr>
        <w:shd w:val="clear" w:color="auto" w:fill="FFFFFF"/>
        <w:suppressAutoHyphens w:val="false"/>
        <w:ind w:hanging="284" w:left="284"/>
        <w:jc w:val="both"/>
        <w:rPr>
          <w:rFonts w:eastAsia="Calibri"/>
          <w:b/>
          <w:color w:val="000000"/>
          <w:sz w:val="22"/>
          <w:szCs w:val="22"/>
          <w:u w:val="single"/>
        </w:rPr>
      </w:pPr>
      <w:r>
        <w:rPr>
          <w:rFonts w:eastAsia="Calibri"/>
          <w:b/>
          <w:color w:val="000000"/>
          <w:sz w:val="22"/>
          <w:szCs w:val="22"/>
          <w:u w:val="single"/>
        </w:rPr>
        <w:t>DA ALTERAÇÃO SUBJETIVA.</w:t>
      </w:r>
    </w:p>
    <w:p>
      <w:pPr>
        <w:pStyle w:val="Normal"/>
        <w:tabs>
          <w:tab w:val="clear" w:pos="708"/>
          <w:tab w:val="left" w:pos="426" w:leader="none"/>
        </w:tabs>
        <w:jc w:val="both"/>
        <w:rPr>
          <w:rFonts w:eastAsia="Calibri"/>
          <w:color w:val="0000FF"/>
          <w:sz w:val="22"/>
          <w:szCs w:val="22"/>
        </w:rPr>
      </w:pPr>
      <w:r>
        <w:rPr>
          <w:rFonts w:eastAsia="Calibri"/>
          <w:color w:val="0000FF"/>
          <w:sz w:val="22"/>
          <w:szCs w:val="22"/>
        </w:rPr>
      </w:r>
    </w:p>
    <w:p>
      <w:pPr>
        <w:pStyle w:val="Normal"/>
        <w:numPr>
          <w:ilvl w:val="1"/>
          <w:numId w:val="2"/>
        </w:numPr>
        <w:tabs>
          <w:tab w:val="clear" w:pos="708"/>
          <w:tab w:val="left" w:pos="426" w:leader="none"/>
        </w:tabs>
        <w:suppressAutoHyphens w:val="false"/>
        <w:ind w:hanging="0" w:left="0"/>
        <w:jc w:val="both"/>
        <w:rPr>
          <w:rFonts w:eastAsia="Calibri"/>
          <w:sz w:val="22"/>
          <w:szCs w:val="22"/>
        </w:rPr>
      </w:pPr>
      <w:r>
        <w:rPr>
          <w:rFonts w:eastAsia="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ormal"/>
        <w:tabs>
          <w:tab w:val="clear" w:pos="708"/>
          <w:tab w:val="left" w:pos="426" w:leader="none"/>
        </w:tabs>
        <w:jc w:val="both"/>
        <w:rPr>
          <w:rFonts w:eastAsia="Calibri"/>
          <w:color w:val="0000FF"/>
          <w:sz w:val="22"/>
          <w:szCs w:val="22"/>
        </w:rPr>
      </w:pPr>
      <w:r>
        <w:rPr>
          <w:rFonts w:eastAsia="Calibri"/>
          <w:color w:val="0000FF"/>
          <w:sz w:val="22"/>
          <w:szCs w:val="22"/>
        </w:rPr>
      </w:r>
    </w:p>
    <w:p>
      <w:pPr>
        <w:pStyle w:val="Normal"/>
        <w:numPr>
          <w:ilvl w:val="0"/>
          <w:numId w:val="2"/>
        </w:numPr>
        <w:shd w:val="clear" w:color="auto" w:fill="FFFFFF"/>
        <w:suppressAutoHyphens w:val="false"/>
        <w:ind w:hanging="284" w:left="284"/>
        <w:jc w:val="both"/>
        <w:rPr>
          <w:rFonts w:eastAsia="Calibri"/>
          <w:b/>
          <w:color w:val="000000"/>
          <w:sz w:val="22"/>
          <w:szCs w:val="22"/>
          <w:u w:val="single"/>
        </w:rPr>
      </w:pPr>
      <w:r>
        <w:rPr>
          <w:rFonts w:eastAsia="Calibri"/>
          <w:b/>
          <w:color w:val="000000"/>
          <w:sz w:val="22"/>
          <w:szCs w:val="22"/>
          <w:u w:val="single"/>
        </w:rPr>
        <w:t>DO CONTROLE E FISCALIZAÇÃO DA EXECUÇÃO.</w:t>
      </w:r>
    </w:p>
    <w:p>
      <w:pPr>
        <w:pStyle w:val="Normal"/>
        <w:jc w:val="both"/>
        <w:rPr>
          <w:rFonts w:eastAsia="Calibri"/>
          <w:b/>
          <w:sz w:val="22"/>
          <w:szCs w:val="22"/>
        </w:rPr>
      </w:pPr>
      <w:r>
        <w:rPr>
          <w:rFonts w:eastAsia="Calibri"/>
          <w:b/>
          <w:sz w:val="22"/>
          <w:szCs w:val="22"/>
        </w:rPr>
      </w:r>
    </w:p>
    <w:p>
      <w:pPr>
        <w:pStyle w:val="Normal"/>
        <w:numPr>
          <w:ilvl w:val="1"/>
          <w:numId w:val="2"/>
        </w:numPr>
        <w:tabs>
          <w:tab w:val="clear" w:pos="708"/>
          <w:tab w:val="left" w:pos="426" w:leader="none"/>
        </w:tabs>
        <w:suppressAutoHyphens w:val="false"/>
        <w:ind w:hanging="0" w:left="0"/>
        <w:jc w:val="both"/>
        <w:rPr>
          <w:rFonts w:eastAsia="Calibri"/>
          <w:color w:val="000000"/>
          <w:sz w:val="22"/>
          <w:szCs w:val="22"/>
        </w:rPr>
      </w:pPr>
      <w:r>
        <w:rPr>
          <w:rFonts w:eastAsia="Calibri"/>
          <w:color w:val="000000"/>
          <w:sz w:val="22"/>
          <w:szCs w:val="22"/>
        </w:rPr>
        <w:t>Nos termos do art. 117 Lei nº 14.133/2021, o fiscal designado acompanhará e fiscalizará a entrega dos bens, anotando em registro próprio todas as ocorrências relacionadas com a execução e determinando o que for necessário à regularização de falhas ou defeitos observados.</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hanging="0" w:left="0"/>
        <w:jc w:val="both"/>
        <w:rPr>
          <w:rFonts w:eastAsia="Calibri"/>
          <w:color w:val="000000"/>
          <w:sz w:val="22"/>
          <w:szCs w:val="22"/>
        </w:rPr>
      </w:pPr>
      <w:r>
        <w:rPr>
          <w:rFonts w:eastAsia="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hanging="0" w:left="0"/>
        <w:jc w:val="both"/>
        <w:rPr>
          <w:rFonts w:eastAsia="Calibri"/>
          <w:color w:val="000000"/>
          <w:sz w:val="22"/>
          <w:szCs w:val="22"/>
        </w:rPr>
      </w:pPr>
      <w:r>
        <w:rPr>
          <w:rFonts w:eastAsia="Calibri"/>
          <w:color w:val="000000"/>
          <w:sz w:val="22"/>
          <w:szCs w:val="22"/>
        </w:rPr>
        <w:t>O fiscal designado pela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ao gestor do contrato ou secretário para as providências cabíveis.</w:t>
      </w:r>
    </w:p>
    <w:p>
      <w:pPr>
        <w:pStyle w:val="Normal"/>
        <w:ind w:left="720"/>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hanging="0" w:left="0"/>
        <w:jc w:val="both"/>
        <w:rPr>
          <w:rFonts w:eastAsia="Calibri"/>
          <w:color w:val="000000"/>
          <w:sz w:val="22"/>
          <w:szCs w:val="22"/>
        </w:rPr>
      </w:pPr>
      <w:r>
        <w:rPr>
          <w:rFonts w:eastAsia="Calibri"/>
          <w:color w:val="000000"/>
          <w:sz w:val="22"/>
          <w:szCs w:val="22"/>
        </w:rPr>
        <w:t xml:space="preserve">O fiscal do contrato será auxiliado pelos órgãos de assessoramento jurídico e de controle interno da Administração. </w:t>
      </w:r>
    </w:p>
    <w:p>
      <w:pPr>
        <w:pStyle w:val="Normal"/>
        <w:ind w:left="720"/>
        <w:rPr>
          <w:rFonts w:eastAsia="Calibri"/>
          <w:color w:val="000000"/>
          <w:sz w:val="22"/>
          <w:szCs w:val="22"/>
        </w:rPr>
      </w:pPr>
      <w:r>
        <w:rPr>
          <w:rFonts w:eastAsia="Calibri"/>
          <w:color w:val="000000"/>
          <w:sz w:val="22"/>
          <w:szCs w:val="22"/>
        </w:rPr>
      </w:r>
    </w:p>
    <w:p>
      <w:pPr>
        <w:pStyle w:val="Normal"/>
        <w:numPr>
          <w:ilvl w:val="0"/>
          <w:numId w:val="2"/>
        </w:numPr>
        <w:shd w:val="clear" w:color="auto" w:fill="FFFFFF"/>
        <w:suppressAutoHyphens w:val="false"/>
        <w:jc w:val="both"/>
        <w:rPr>
          <w:rFonts w:eastAsia="Calibri"/>
          <w:b/>
          <w:color w:val="000000"/>
          <w:sz w:val="22"/>
          <w:szCs w:val="22"/>
          <w:u w:val="single"/>
        </w:rPr>
      </w:pPr>
      <w:r>
        <w:rPr>
          <w:rFonts w:eastAsia="Calibri"/>
          <w:b/>
          <w:color w:val="000000"/>
          <w:sz w:val="22"/>
          <w:szCs w:val="22"/>
          <w:u w:val="single"/>
        </w:rPr>
        <w:t>DO PAGAMENTO.</w:t>
      </w:r>
    </w:p>
    <w:p>
      <w:pPr>
        <w:pStyle w:val="Normal"/>
        <w:jc w:val="both"/>
        <w:rPr>
          <w:rFonts w:eastAsia="Calibri"/>
          <w:b/>
          <w:sz w:val="22"/>
          <w:szCs w:val="22"/>
        </w:rPr>
      </w:pPr>
      <w:r>
        <w:rPr>
          <w:rFonts w:eastAsia="Calibri"/>
          <w:b/>
          <w:sz w:val="22"/>
          <w:szCs w:val="22"/>
        </w:rPr>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O pagamento será realizado em até 30 (trinta) dias após a emissão da nota ou conforme parecer contábil, priorizando-se o prazo estipulado neste, contados a partir do recebimento da Nota Fiscal ou Fatura, através de ordem bancária, para crédito em banco, agência e conta-corrente indicadas pelo contratado, sempre após a realização das entregas.</w:t>
      </w:r>
    </w:p>
    <w:p>
      <w:pPr>
        <w:pStyle w:val="Normal"/>
        <w:tabs>
          <w:tab w:val="clear" w:pos="708"/>
          <w:tab w:val="left" w:pos="567" w:leader="none"/>
        </w:tabs>
        <w:suppressAutoHyphens w:val="false"/>
        <w:jc w:val="both"/>
        <w:rPr>
          <w:rFonts w:eastAsia="Calibri"/>
          <w:color w:val="000000"/>
          <w:sz w:val="22"/>
          <w:szCs w:val="22"/>
        </w:rPr>
      </w:pPr>
      <w:r>
        <w:rPr>
          <w:rFonts w:eastAsia="Calibri"/>
          <w:color w:val="000000"/>
          <w:sz w:val="22"/>
          <w:szCs w:val="22"/>
        </w:rPr>
      </w:r>
    </w:p>
    <w:p>
      <w:pPr>
        <w:pStyle w:val="BodyText"/>
        <w:numPr>
          <w:ilvl w:val="2"/>
          <w:numId w:val="2"/>
        </w:numPr>
        <w:tabs>
          <w:tab w:val="clear" w:pos="708"/>
          <w:tab w:val="left" w:pos="567" w:leader="none"/>
        </w:tabs>
        <w:suppressAutoHyphens w:val="false"/>
        <w:ind w:hanging="0" w:left="0"/>
        <w:rPr>
          <w:rFonts w:eastAsia="Calibri"/>
          <w:color w:val="000000"/>
          <w:sz w:val="22"/>
          <w:szCs w:val="22"/>
        </w:rPr>
      </w:pPr>
      <w:r>
        <w:rPr>
          <w:rFonts w:eastAsia="Calibri"/>
          <w:color w:val="000000"/>
          <w:sz w:val="22"/>
          <w:szCs w:val="22"/>
        </w:rPr>
        <w:t xml:space="preserve">Para fins de identificação da origem dos recursos e atendimento às exigências de controle e prestação de contas do Convênio, a Nota Fiscal deverá conter, no campo </w:t>
      </w:r>
      <w:r>
        <w:rPr>
          <w:rStyle w:val="Strong"/>
          <w:rFonts w:eastAsia="Calibri"/>
          <w:b w:val="false"/>
          <w:bCs w:val="false"/>
          <w:color w:val="000000"/>
          <w:sz w:val="22"/>
          <w:szCs w:val="22"/>
        </w:rPr>
        <w:t>"Observações"</w:t>
      </w:r>
      <w:r>
        <w:rPr>
          <w:rFonts w:eastAsia="Calibri"/>
          <w:color w:val="000000"/>
          <w:sz w:val="22"/>
          <w:szCs w:val="22"/>
        </w:rPr>
        <w:t xml:space="preserve"> ou equivalente, a seguinte informação:</w:t>
      </w:r>
    </w:p>
    <w:p>
      <w:pPr>
        <w:pStyle w:val="BodyText"/>
        <w:tabs>
          <w:tab w:val="clear" w:pos="708"/>
          <w:tab w:val="left" w:pos="567" w:leader="none"/>
        </w:tabs>
        <w:suppressAutoHyphens w:val="false"/>
        <w:spacing w:before="0" w:after="283"/>
        <w:rPr>
          <w:rFonts w:eastAsia="Calibri"/>
          <w:color w:val="000000"/>
          <w:sz w:val="22"/>
          <w:szCs w:val="22"/>
        </w:rPr>
      </w:pPr>
      <w:r>
        <w:rPr>
          <w:rStyle w:val="Emphasis"/>
          <w:rFonts w:eastAsia="Calibri"/>
          <w:color w:val="000000"/>
          <w:sz w:val="22"/>
          <w:szCs w:val="22"/>
        </w:rPr>
        <w:tab/>
        <w:t>"Aquisição realizada com recursos provenientes de Emenda Parlamentar Federal de autoria do Senador Paulo Paim, formalizada por meio do Convênio nº 992524/2026, celebrado com o Ministério da Agricultura e Pecuária (MAPA), acrescidos da contrapartida financeira do Município de Três Passos/RS."</w:t>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Considera-se ocorrido o recebimento da nota fiscal ou fatura no momento em que o órgão contratante atestar a execução do objeto do contrato.</w:t>
      </w:r>
    </w:p>
    <w:p>
      <w:pPr>
        <w:pStyle w:val="Normal"/>
        <w:tabs>
          <w:tab w:val="clear" w:pos="708"/>
          <w:tab w:val="left" w:pos="993"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tabs>
          <w:tab w:val="clear" w:pos="708"/>
          <w:tab w:val="left" w:pos="567" w:leader="none"/>
          <w:tab w:val="left" w:pos="709" w:leader="none"/>
        </w:tabs>
        <w:jc w:val="both"/>
        <w:rPr>
          <w:rFonts w:eastAsia="Calibri"/>
          <w:sz w:val="22"/>
          <w:szCs w:val="22"/>
        </w:rPr>
      </w:pPr>
      <w:r>
        <w:rPr>
          <w:rFonts w:eastAsia="Calibri"/>
          <w:sz w:val="22"/>
          <w:szCs w:val="22"/>
        </w:rPr>
      </w:r>
    </w:p>
    <w:p>
      <w:pPr>
        <w:pStyle w:val="Normal"/>
        <w:numPr>
          <w:ilvl w:val="1"/>
          <w:numId w:val="2"/>
        </w:numPr>
        <w:tabs>
          <w:tab w:val="clear" w:pos="708"/>
          <w:tab w:val="left" w:pos="709" w:leader="none"/>
        </w:tabs>
        <w:suppressAutoHyphens w:val="false"/>
        <w:ind w:hanging="0" w:left="0"/>
        <w:jc w:val="both"/>
        <w:rPr>
          <w:rFonts w:eastAsia="Calibri"/>
          <w:color w:val="000000"/>
          <w:sz w:val="22"/>
          <w:szCs w:val="22"/>
        </w:rPr>
      </w:pPr>
      <w:r>
        <w:rPr>
          <w:rFonts w:eastAsia="Calibri"/>
          <w:color w:val="000000"/>
          <w:sz w:val="22"/>
          <w:szCs w:val="22"/>
        </w:rPr>
        <w:t>Quando do pagamento, será efetuada a retenção tributária prevista na legislação aplicável.</w:t>
      </w:r>
    </w:p>
    <w:p>
      <w:pPr>
        <w:pStyle w:val="Normal"/>
        <w:jc w:val="both"/>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 w:val="left" w:pos="1134" w:leader="none"/>
        </w:tabs>
        <w:suppressAutoHyphens w:val="false"/>
        <w:ind w:hanging="0" w:left="284"/>
        <w:jc w:val="both"/>
        <w:rPr>
          <w:rFonts w:eastAsia="Calibri"/>
          <w:color w:val="000000"/>
          <w:sz w:val="22"/>
          <w:szCs w:val="22"/>
        </w:rPr>
      </w:pPr>
      <w:r>
        <w:rPr>
          <w:rFonts w:eastAsia="Calibri"/>
          <w:color w:val="000000"/>
          <w:sz w:val="22"/>
          <w:szCs w:val="22"/>
        </w:rPr>
        <w:t xml:space="preserve">A Contratada regularmente optante pelo Simples Nacional, nos termos da Lei Complementar nº 123/2006, não sofrerá a retenção tributária quanto aos impostos e contribuições abrangidos por aquele regime. </w:t>
      </w:r>
    </w:p>
    <w:p>
      <w:pPr>
        <w:pStyle w:val="Normal"/>
        <w:tabs>
          <w:tab w:val="clear" w:pos="708"/>
          <w:tab w:val="left" w:pos="851" w:leader="none"/>
          <w:tab w:val="left" w:pos="1134" w:leader="none"/>
        </w:tabs>
        <w:suppressAutoHyphens w:val="false"/>
        <w:ind w:left="1004"/>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ind w:hanging="0" w:left="0"/>
        <w:jc w:val="both"/>
        <w:rPr>
          <w:rFonts w:eastAsia="Calibri"/>
          <w:color w:val="000000"/>
          <w:sz w:val="22"/>
          <w:szCs w:val="22"/>
        </w:rPr>
      </w:pPr>
      <w:r>
        <w:rPr>
          <w:rFonts w:eastAsia="Calibri"/>
          <w:color w:val="000000"/>
          <w:sz w:val="22"/>
          <w:szCs w:val="22"/>
        </w:rPr>
        <w:t xml:space="preserve">Nos casos de eventuais atrasos de pagamento, desde que a Contratada não tenha concorrido, de alguma forma, para tanto, fica convencionado que os valores serão atualizados pelo INPC do período. </w:t>
      </w:r>
    </w:p>
    <w:p>
      <w:pPr>
        <w:pStyle w:val="Normal"/>
        <w:suppressAutoHyphens w:val="false"/>
        <w:jc w:val="both"/>
        <w:rPr>
          <w:rFonts w:eastAsia="Calibri"/>
          <w:sz w:val="22"/>
          <w:szCs w:val="22"/>
        </w:rPr>
      </w:pPr>
      <w:r>
        <w:rPr>
          <w:rFonts w:eastAsia="Calibri"/>
          <w:sz w:val="22"/>
          <w:szCs w:val="22"/>
        </w:rPr>
      </w:r>
    </w:p>
    <w:p>
      <w:pPr>
        <w:pStyle w:val="Normal"/>
        <w:numPr>
          <w:ilvl w:val="0"/>
          <w:numId w:val="2"/>
        </w:numPr>
        <w:shd w:val="clear" w:color="auto" w:fill="FFFFFF"/>
        <w:suppressAutoHyphens w:val="false"/>
        <w:jc w:val="both"/>
        <w:rPr>
          <w:rFonts w:eastAsia="Calibri"/>
          <w:b/>
          <w:color w:val="000000"/>
          <w:sz w:val="22"/>
          <w:szCs w:val="22"/>
          <w:u w:val="single"/>
        </w:rPr>
      </w:pPr>
      <w:r>
        <w:rPr>
          <w:rFonts w:eastAsia="Calibri"/>
          <w:b/>
          <w:color w:val="000000"/>
          <w:sz w:val="22"/>
          <w:szCs w:val="22"/>
          <w:u w:val="single"/>
        </w:rPr>
        <w:t>DO REAJUSTE.</w:t>
      </w:r>
    </w:p>
    <w:p>
      <w:pPr>
        <w:pStyle w:val="Normal"/>
        <w:rPr>
          <w:rFonts w:eastAsia="Calibri"/>
          <w:sz w:val="22"/>
          <w:szCs w:val="22"/>
        </w:rPr>
      </w:pPr>
      <w:r>
        <w:rPr>
          <w:rFonts w:eastAsia="Calibri"/>
          <w:sz w:val="22"/>
          <w:szCs w:val="22"/>
        </w:rPr>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 xml:space="preserve">Os preços contratados poderão sofrer reajuste, conforme previsto no edital  e nos termos do art. 25, §7º da Lei nº 14.133/2021. </w:t>
      </w:r>
    </w:p>
    <w:p>
      <w:pPr>
        <w:pStyle w:val="Normal"/>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pPr>
        <w:pStyle w:val="Normal"/>
        <w:tabs>
          <w:tab w:val="clear" w:pos="708"/>
          <w:tab w:val="left" w:pos="567"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Na ausência de previsão legal quanto ao índice substituto, as partes elegerão novo índice oficial, para reajustamento do preço do valor remanescente, por meio de termo aditivo.</w:t>
      </w:r>
    </w:p>
    <w:p>
      <w:pPr>
        <w:pStyle w:val="Normal"/>
        <w:tabs>
          <w:tab w:val="clear" w:pos="708"/>
          <w:tab w:val="left" w:pos="567"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hanging="0" w:left="0"/>
        <w:jc w:val="both"/>
        <w:rPr>
          <w:rFonts w:eastAsia="Calibri"/>
          <w:color w:val="000000"/>
          <w:sz w:val="22"/>
          <w:szCs w:val="22"/>
        </w:rPr>
      </w:pPr>
      <w:r>
        <w:rPr>
          <w:rFonts w:eastAsia="Calibri"/>
          <w:color w:val="000000"/>
          <w:sz w:val="22"/>
          <w:szCs w:val="22"/>
        </w:rPr>
        <w:t>O reajuste poderá ser realizado por apostilamento.</w:t>
      </w:r>
    </w:p>
    <w:p>
      <w:pPr>
        <w:pStyle w:val="Normal"/>
        <w:jc w:val="both"/>
        <w:rPr>
          <w:rFonts w:eastAsia="Calibri"/>
          <w:sz w:val="22"/>
          <w:szCs w:val="22"/>
        </w:rPr>
      </w:pPr>
      <w:r>
        <w:rPr>
          <w:rFonts w:eastAsia="Calibri"/>
          <w:sz w:val="22"/>
          <w:szCs w:val="22"/>
        </w:rPr>
      </w:r>
    </w:p>
    <w:p>
      <w:pPr>
        <w:pStyle w:val="Normal"/>
        <w:numPr>
          <w:ilvl w:val="0"/>
          <w:numId w:val="2"/>
        </w:numPr>
        <w:shd w:val="clear" w:color="auto" w:fill="FFFFFF"/>
        <w:suppressAutoHyphens w:val="false"/>
        <w:jc w:val="both"/>
        <w:rPr>
          <w:rFonts w:eastAsia="Calibri"/>
          <w:b/>
          <w:color w:val="000000"/>
          <w:sz w:val="22"/>
          <w:szCs w:val="22"/>
          <w:u w:val="single"/>
        </w:rPr>
      </w:pPr>
      <w:r>
        <w:rPr>
          <w:rFonts w:eastAsia="Calibri"/>
          <w:b/>
          <w:color w:val="000000"/>
          <w:sz w:val="22"/>
          <w:szCs w:val="22"/>
          <w:u w:val="single"/>
        </w:rPr>
        <w:t>DA GARANTIA.</w:t>
      </w:r>
    </w:p>
    <w:p>
      <w:pPr>
        <w:pStyle w:val="Normal"/>
        <w:jc w:val="both"/>
        <w:rPr>
          <w:rFonts w:eastAsia="Calibri"/>
          <w:sz w:val="22"/>
          <w:szCs w:val="22"/>
        </w:rPr>
      </w:pPr>
      <w:r>
        <w:rPr>
          <w:rFonts w:eastAsia="Calibri"/>
          <w:sz w:val="22"/>
          <w:szCs w:val="22"/>
        </w:rPr>
      </w:r>
    </w:p>
    <w:p>
      <w:pPr>
        <w:pStyle w:val="Normal"/>
        <w:numPr>
          <w:ilvl w:val="1"/>
          <w:numId w:val="2"/>
        </w:numPr>
        <w:suppressAutoHyphens w:val="false"/>
        <w:jc w:val="both"/>
        <w:rPr/>
      </w:pPr>
      <w:r>
        <w:rPr>
          <w:rFonts w:eastAsia="Calibri"/>
          <w:color w:val="000000"/>
          <w:sz w:val="22"/>
          <w:szCs w:val="22"/>
        </w:rPr>
        <w:t xml:space="preserve">A contratada PARANA EQUIPAMENTOS SA fica responsável por fornecer assistência em tempo integral até que se finde o prazo de garantia, executando atividades tais como: Orientações sobre o uso do equipamento, orientações quanto a correta manutenção do maquinário, auxilio e fornecimento quanto a manutenções preventivas, substituição de componentes que se deteriorarem antes do estipulado pelo fabricante, entre outras atividades prestacionais. </w:t>
      </w:r>
    </w:p>
    <w:p>
      <w:pPr>
        <w:pStyle w:val="Normal"/>
        <w:suppressAutoHyphens w:val="false"/>
        <w:ind w:left="405"/>
        <w:jc w:val="both"/>
        <w:rPr>
          <w:rFonts w:eastAsia="Calibri"/>
          <w:color w:val="000000"/>
          <w:sz w:val="22"/>
          <w:szCs w:val="22"/>
        </w:rPr>
      </w:pPr>
      <w:r>
        <w:rPr>
          <w:rFonts w:eastAsia="Calibri"/>
          <w:color w:val="000000"/>
          <w:sz w:val="22"/>
          <w:szCs w:val="22"/>
        </w:rPr>
      </w:r>
    </w:p>
    <w:p>
      <w:pPr>
        <w:pStyle w:val="Normal"/>
        <w:numPr>
          <w:ilvl w:val="0"/>
          <w:numId w:val="2"/>
        </w:numPr>
        <w:shd w:val="clear" w:color="auto" w:fill="FFFFFF"/>
        <w:suppressAutoHyphens w:val="false"/>
        <w:jc w:val="both"/>
        <w:rPr>
          <w:rFonts w:eastAsia="Calibri"/>
          <w:b/>
          <w:color w:val="000000"/>
          <w:sz w:val="22"/>
          <w:szCs w:val="22"/>
          <w:u w:val="single"/>
        </w:rPr>
      </w:pPr>
      <w:r>
        <w:rPr>
          <w:rFonts w:eastAsia="Calibri"/>
          <w:b/>
          <w:color w:val="000000"/>
          <w:sz w:val="22"/>
          <w:szCs w:val="22"/>
          <w:u w:val="single"/>
        </w:rPr>
        <w:t>DAS INFRAÇÕES E SANÇÕES ADMINISTRATIVAS.</w:t>
      </w:r>
    </w:p>
    <w:p>
      <w:pPr>
        <w:pStyle w:val="Normal"/>
        <w:numPr>
          <w:ilvl w:val="1"/>
          <w:numId w:val="2"/>
        </w:numPr>
        <w:spacing w:before="0" w:after="120"/>
        <w:jc w:val="both"/>
        <w:rPr>
          <w:b/>
          <w:bCs/>
          <w:sz w:val="22"/>
          <w:szCs w:val="22"/>
        </w:rPr>
      </w:pPr>
      <w:r>
        <w:rPr>
          <w:b/>
          <w:bCs/>
          <w:sz w:val="22"/>
          <w:szCs w:val="22"/>
        </w:rPr>
        <w:t>Das Infrações Administrativas</w:t>
      </w:r>
    </w:p>
    <w:p>
      <w:pPr>
        <w:pStyle w:val="Normal"/>
        <w:spacing w:before="0" w:after="120"/>
        <w:jc w:val="both"/>
        <w:rPr>
          <w:sz w:val="22"/>
          <w:szCs w:val="22"/>
        </w:rPr>
      </w:pPr>
      <w:r>
        <w:rPr>
          <w:sz w:val="22"/>
          <w:szCs w:val="22"/>
        </w:rPr>
        <w:t>13.1.1. Comete infração administrativa, nos termos da Lei Federal nº 14.133/2021, o licitante ou o contratado que:</w:t>
      </w:r>
    </w:p>
    <w:p>
      <w:pPr>
        <w:pStyle w:val="Normal"/>
        <w:spacing w:before="0" w:after="120"/>
        <w:jc w:val="both"/>
        <w:rPr>
          <w:sz w:val="22"/>
          <w:szCs w:val="22"/>
        </w:rPr>
      </w:pPr>
      <w:r>
        <w:rPr>
          <w:sz w:val="22"/>
          <w:szCs w:val="22"/>
        </w:rPr>
        <w:t xml:space="preserve">13.1.1.1. der causa à inexecução parcial do contrato; </w:t>
      </w:r>
    </w:p>
    <w:p>
      <w:pPr>
        <w:pStyle w:val="Normal"/>
        <w:spacing w:before="0" w:after="120"/>
        <w:jc w:val="both"/>
        <w:rPr>
          <w:sz w:val="22"/>
          <w:szCs w:val="22"/>
        </w:rPr>
      </w:pPr>
      <w:r>
        <w:rPr>
          <w:sz w:val="22"/>
          <w:szCs w:val="22"/>
        </w:rPr>
        <w:t xml:space="preserve">13.1.1.2. der causa à inexecução parcial do contrato que cause grave dano à Administração, ao funcionamento dos serviços públicos ou ao interesse coletivo; </w:t>
      </w:r>
    </w:p>
    <w:p>
      <w:pPr>
        <w:pStyle w:val="Normal"/>
        <w:spacing w:before="0" w:after="120"/>
        <w:jc w:val="both"/>
        <w:rPr>
          <w:sz w:val="22"/>
          <w:szCs w:val="22"/>
        </w:rPr>
      </w:pPr>
      <w:r>
        <w:rPr>
          <w:sz w:val="22"/>
          <w:szCs w:val="22"/>
        </w:rPr>
        <w:t xml:space="preserve">13.1.1.3. der causa à inexecução total do contrato; </w:t>
      </w:r>
    </w:p>
    <w:p>
      <w:pPr>
        <w:pStyle w:val="Normal"/>
        <w:spacing w:before="0" w:after="120"/>
        <w:jc w:val="both"/>
        <w:rPr>
          <w:sz w:val="22"/>
          <w:szCs w:val="22"/>
        </w:rPr>
      </w:pPr>
      <w:r>
        <w:rPr>
          <w:sz w:val="22"/>
          <w:szCs w:val="22"/>
        </w:rPr>
        <w:t>13.1.1.4. deixar de entregar a documentação exigida para o certame;</w:t>
      </w:r>
    </w:p>
    <w:p>
      <w:pPr>
        <w:pStyle w:val="Normal"/>
        <w:spacing w:before="0" w:after="120"/>
        <w:jc w:val="both"/>
        <w:rPr>
          <w:sz w:val="22"/>
          <w:szCs w:val="22"/>
        </w:rPr>
      </w:pPr>
      <w:r>
        <w:rPr>
          <w:sz w:val="22"/>
          <w:szCs w:val="22"/>
        </w:rPr>
        <w:t>13.1.1.5. não mantenha a proposta, salvo em decorrência de fato superveniente devidamente justificado;</w:t>
      </w:r>
    </w:p>
    <w:p>
      <w:pPr>
        <w:pStyle w:val="Normal"/>
        <w:spacing w:before="0" w:after="120"/>
        <w:jc w:val="both"/>
        <w:rPr>
          <w:sz w:val="22"/>
          <w:szCs w:val="22"/>
        </w:rPr>
      </w:pPr>
      <w:r>
        <w:rPr>
          <w:sz w:val="22"/>
          <w:szCs w:val="22"/>
        </w:rPr>
        <w:t xml:space="preserve">13.1.1.6. não celebre o contrato ou não entregue a documentação exigida para a contratação, quando convocado dentro do prazo de validade de sua proposta; </w:t>
      </w:r>
    </w:p>
    <w:p>
      <w:pPr>
        <w:pStyle w:val="Normal"/>
        <w:spacing w:before="0" w:after="120"/>
        <w:jc w:val="both"/>
        <w:rPr>
          <w:sz w:val="22"/>
          <w:szCs w:val="22"/>
        </w:rPr>
      </w:pPr>
      <w:r>
        <w:rPr>
          <w:sz w:val="22"/>
          <w:szCs w:val="22"/>
        </w:rPr>
        <w:t xml:space="preserve">13.1.1.7. enseje o retardamento da execução ou da entrega do objeto da licitação, sem motivo justificado; </w:t>
      </w:r>
    </w:p>
    <w:p>
      <w:pPr>
        <w:pStyle w:val="Normal"/>
        <w:spacing w:before="0" w:after="120"/>
        <w:jc w:val="both"/>
        <w:rPr>
          <w:sz w:val="22"/>
          <w:szCs w:val="22"/>
        </w:rPr>
      </w:pPr>
      <w:r>
        <w:rPr>
          <w:sz w:val="22"/>
          <w:szCs w:val="22"/>
        </w:rPr>
        <w:t xml:space="preserve">13.1.1.8. apresente declaração ou documentação falsa exigida para o certame ou preste declaração falsa durante a licitação ou a execução do contrato; </w:t>
      </w:r>
    </w:p>
    <w:p>
      <w:pPr>
        <w:pStyle w:val="Normal"/>
        <w:spacing w:before="0" w:after="120"/>
        <w:jc w:val="both"/>
        <w:rPr>
          <w:sz w:val="22"/>
          <w:szCs w:val="22"/>
        </w:rPr>
      </w:pPr>
      <w:r>
        <w:rPr>
          <w:sz w:val="22"/>
          <w:szCs w:val="22"/>
        </w:rPr>
        <w:t xml:space="preserve">13.1.1.9. fraude a licitação ou pratique ato fraudulento na execução do contrato; </w:t>
      </w:r>
    </w:p>
    <w:p>
      <w:pPr>
        <w:pStyle w:val="Normal"/>
        <w:spacing w:before="0" w:after="120"/>
        <w:jc w:val="both"/>
        <w:rPr>
          <w:sz w:val="22"/>
          <w:szCs w:val="22"/>
        </w:rPr>
      </w:pPr>
      <w:r>
        <w:rPr>
          <w:sz w:val="22"/>
          <w:szCs w:val="22"/>
        </w:rPr>
        <w:t>13.1.1.10. comporte-se de modo inidôneo ou cometa fraude de qualquer natureza;</w:t>
      </w:r>
    </w:p>
    <w:p>
      <w:pPr>
        <w:pStyle w:val="Normal"/>
        <w:spacing w:before="0" w:after="120"/>
        <w:jc w:val="both"/>
        <w:rPr>
          <w:sz w:val="22"/>
          <w:szCs w:val="22"/>
        </w:rPr>
      </w:pPr>
      <w:r>
        <w:rPr>
          <w:sz w:val="22"/>
          <w:szCs w:val="22"/>
        </w:rPr>
        <w:t xml:space="preserve">13.1.1.11. pratique atos ilícitos com vistas a frustrar os objetivos da licitação; </w:t>
      </w:r>
    </w:p>
    <w:p>
      <w:pPr>
        <w:pStyle w:val="Normal"/>
        <w:spacing w:before="0" w:after="120"/>
        <w:jc w:val="both"/>
        <w:rPr>
          <w:sz w:val="22"/>
          <w:szCs w:val="22"/>
        </w:rPr>
      </w:pPr>
      <w:r>
        <w:rPr>
          <w:sz w:val="22"/>
          <w:szCs w:val="22"/>
        </w:rPr>
        <w:t xml:space="preserve">13.1.1.12. pratique ato lesivo previsto no art. 5º da Lei nº 12.846, de 1º de agosto de 2013. </w:t>
      </w:r>
    </w:p>
    <w:p>
      <w:pPr>
        <w:pStyle w:val="Normal"/>
        <w:spacing w:before="0" w:after="120"/>
        <w:rPr>
          <w:b/>
          <w:bCs/>
          <w:sz w:val="22"/>
          <w:szCs w:val="22"/>
        </w:rPr>
      </w:pPr>
      <w:r>
        <w:rPr>
          <w:b/>
          <w:bCs/>
          <w:sz w:val="22"/>
          <w:szCs w:val="22"/>
        </w:rPr>
        <w:t>13.2. Do Processo Administrativo e das Sanções Administrativas</w:t>
      </w:r>
    </w:p>
    <w:p>
      <w:pPr>
        <w:pStyle w:val="Normal"/>
        <w:spacing w:before="0" w:after="120"/>
        <w:jc w:val="both"/>
        <w:rPr>
          <w:sz w:val="22"/>
          <w:szCs w:val="22"/>
        </w:rPr>
      </w:pPr>
      <w:r>
        <w:rPr>
          <w:sz w:val="22"/>
          <w:szCs w:val="22"/>
        </w:rPr>
        <w:t>13.2.1. A aplicação de quaisquer das penalidades aqui previstas realizar-se-á em processo administrativo, assegurado o contraditório e a ampla defesa, observando-se o procedimento previsto na Lei Federal nº 14.133/2021.</w:t>
      </w:r>
    </w:p>
    <w:p>
      <w:pPr>
        <w:pStyle w:val="Normal"/>
        <w:spacing w:before="0" w:after="120"/>
        <w:jc w:val="both"/>
        <w:rPr>
          <w:sz w:val="22"/>
          <w:szCs w:val="22"/>
        </w:rPr>
      </w:pPr>
      <w:r>
        <w:rPr>
          <w:sz w:val="22"/>
          <w:szCs w:val="22"/>
        </w:rPr>
        <w:t xml:space="preserve">13.2.2. Serão aplicadas ao responsável pelas infrações administrativas, as seguintes sanções: </w:t>
      </w:r>
    </w:p>
    <w:p>
      <w:pPr>
        <w:pStyle w:val="Normal"/>
        <w:spacing w:before="0" w:after="120"/>
        <w:jc w:val="both"/>
        <w:rPr/>
      </w:pPr>
      <w:r>
        <w:rPr>
          <w:sz w:val="22"/>
          <w:szCs w:val="22"/>
        </w:rPr>
        <w:t xml:space="preserve">13.2.2.1. advertência, para a infração prevista no item subitem 13.1.1.1., </w:t>
      </w:r>
      <w:r>
        <w:rPr>
          <w:rFonts w:eastAsia="Arial"/>
          <w:color w:val="000000"/>
          <w:sz w:val="22"/>
          <w:szCs w:val="22"/>
        </w:rPr>
        <w:t>quando não se justificar a imposição de penalidade mais grave</w:t>
      </w:r>
      <w:r>
        <w:rPr>
          <w:sz w:val="22"/>
          <w:szCs w:val="22"/>
        </w:rPr>
        <w:t>;</w:t>
      </w:r>
    </w:p>
    <w:p>
      <w:pPr>
        <w:pStyle w:val="Normal"/>
        <w:spacing w:before="0" w:after="120"/>
        <w:jc w:val="both"/>
        <w:rPr>
          <w:sz w:val="22"/>
          <w:szCs w:val="22"/>
        </w:rPr>
      </w:pPr>
      <w:r>
        <w:rPr>
          <w:sz w:val="22"/>
          <w:szCs w:val="22"/>
        </w:rPr>
        <w:t>13.2.2.2. multa, nas modalidades:</w:t>
      </w:r>
    </w:p>
    <w:p>
      <w:pPr>
        <w:pStyle w:val="Normal"/>
        <w:spacing w:before="0" w:after="120"/>
        <w:jc w:val="both"/>
        <w:rPr/>
      </w:pPr>
      <w:r>
        <w:rPr>
          <w:sz w:val="22"/>
          <w:szCs w:val="22"/>
        </w:rPr>
        <w:t xml:space="preserve">13.2.2.2.1. </w:t>
      </w:r>
      <w:r>
        <w:rPr>
          <w:color w:val="000000"/>
          <w:sz w:val="22"/>
          <w:szCs w:val="22"/>
        </w:rPr>
        <w:t xml:space="preserve">compensatória, de até 10% sobre o valor da parcela inadimplida, para quaisquer das infrações previstas nos </w:t>
      </w:r>
      <w:r>
        <w:rPr>
          <w:sz w:val="22"/>
          <w:szCs w:val="22"/>
        </w:rPr>
        <w:t xml:space="preserve">itens 13.1.1.1. a 13.1.1.12 </w:t>
      </w:r>
    </w:p>
    <w:p>
      <w:pPr>
        <w:pStyle w:val="Normal"/>
        <w:spacing w:before="0" w:after="120"/>
        <w:jc w:val="both"/>
        <w:rPr>
          <w:sz w:val="22"/>
          <w:szCs w:val="22"/>
        </w:rPr>
      </w:pPr>
      <w:r>
        <w:rPr>
          <w:sz w:val="22"/>
          <w:szCs w:val="22"/>
        </w:rPr>
        <w:t>13.2.2.2.2. moratória, pelo atraso injustificado na execução do contrato, de até 0,5% (meio por cento) por dia de atraso injustificado sobre o valor da parcela inadimplida, até o limite de 30 (trinta) dias;</w:t>
      </w:r>
    </w:p>
    <w:p>
      <w:pPr>
        <w:pStyle w:val="Normal"/>
        <w:spacing w:before="0" w:after="120"/>
        <w:jc w:val="both"/>
        <w:rPr/>
      </w:pPr>
      <w:r>
        <w:rPr>
          <w:color w:val="000000"/>
          <w:sz w:val="22"/>
          <w:szCs w:val="22"/>
        </w:rPr>
        <w:t xml:space="preserve">13.2.2.3. Impedimento de licitar e contratar, para as infrações previstas nos itens 13.1.1.2. a 22.1.1.7., </w:t>
      </w:r>
      <w:r>
        <w:rPr>
          <w:rFonts w:eastAsia="Arial"/>
          <w:color w:val="000000"/>
          <w:sz w:val="22"/>
          <w:szCs w:val="22"/>
        </w:rPr>
        <w:t>quando não se justificar a imposição de penalidade mais grave;</w:t>
      </w:r>
    </w:p>
    <w:p>
      <w:pPr>
        <w:pStyle w:val="Normal"/>
        <w:spacing w:before="0" w:after="120"/>
        <w:jc w:val="both"/>
        <w:rPr>
          <w:color w:val="000000"/>
          <w:sz w:val="22"/>
          <w:szCs w:val="22"/>
        </w:rPr>
      </w:pPr>
      <w:r>
        <w:rPr>
          <w:color w:val="000000"/>
          <w:sz w:val="22"/>
          <w:szCs w:val="22"/>
        </w:rPr>
        <w:t>13.2.2.4. declaração de inidoneidade para licitar e contratar, para as infrações previstas nos itens 13.1.1.8. a 13.1.1.12.</w:t>
      </w:r>
    </w:p>
    <w:p>
      <w:pPr>
        <w:pStyle w:val="Normal"/>
        <w:rPr>
          <w:b/>
          <w:bCs/>
          <w:color w:val="000000"/>
          <w:sz w:val="22"/>
          <w:szCs w:val="22"/>
        </w:rPr>
      </w:pPr>
      <w:r>
        <w:rPr>
          <w:b/>
          <w:bCs/>
          <w:color w:val="000000"/>
          <w:sz w:val="22"/>
          <w:szCs w:val="22"/>
        </w:rPr>
        <w:t>13.3. Da Aplicação das Sanções</w:t>
      </w:r>
    </w:p>
    <w:p>
      <w:pPr>
        <w:pStyle w:val="Normal"/>
        <w:rPr>
          <w:sz w:val="22"/>
          <w:szCs w:val="22"/>
        </w:rPr>
      </w:pPr>
      <w:r>
        <w:rPr>
          <w:sz w:val="22"/>
          <w:szCs w:val="22"/>
        </w:rPr>
        <w:t>13.3.1. As sanções aqui previstas são independentes entre si, podendo ser aplicadas isoladas ou, no caso das multas, cumulativamente, sem prejuízo de outras medidas cabíveis.</w:t>
      </w:r>
    </w:p>
    <w:p>
      <w:pPr>
        <w:pStyle w:val="Normal"/>
        <w:rPr>
          <w:sz w:val="22"/>
          <w:szCs w:val="22"/>
        </w:rPr>
      </w:pPr>
      <w:r>
        <w:rPr>
          <w:sz w:val="22"/>
          <w:szCs w:val="22"/>
        </w:rPr>
        <w:t>13.3.2. A aplicação de sanções não exime o licitante ou o contratado da obrigação de reparar os danos, perdas ou prejuízos que venha a causar ao ente público.</w:t>
      </w:r>
    </w:p>
    <w:p>
      <w:pPr>
        <w:pStyle w:val="Normal"/>
        <w:jc w:val="both"/>
        <w:rPr>
          <w:sz w:val="22"/>
          <w:szCs w:val="22"/>
        </w:rPr>
      </w:pPr>
      <w:r>
        <w:rPr>
          <w:sz w:val="22"/>
          <w:szCs w:val="22"/>
        </w:rPr>
        <w:t>13.3.2.1.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jc w:val="both"/>
        <w:rPr/>
      </w:pPr>
      <w:r>
        <w:rPr>
          <w:sz w:val="22"/>
          <w:szCs w:val="22"/>
        </w:rPr>
        <w:t xml:space="preserve">13.3.3. </w:t>
      </w:r>
      <w:r>
        <w:rPr>
          <w:rFonts w:eastAsia="Arial"/>
          <w:sz w:val="22"/>
          <w:szCs w:val="22"/>
        </w:rPr>
        <w:t>A multa de mora poderá ser convertida em multa compensatória, com a aplicação cumulada de outras sanções previstas neste Edital.</w:t>
      </w:r>
    </w:p>
    <w:p>
      <w:pPr>
        <w:pStyle w:val="Normal"/>
        <w:jc w:val="both"/>
        <w:rPr>
          <w:sz w:val="22"/>
          <w:szCs w:val="22"/>
        </w:rPr>
      </w:pPr>
      <w:r>
        <w:rPr>
          <w:sz w:val="22"/>
          <w:szCs w:val="22"/>
        </w:rPr>
        <w:t>13.3.4 As penalidades de multa decorrentes de fatos diversos serão consideradas independentes entre si.</w:t>
      </w:r>
    </w:p>
    <w:p>
      <w:pPr>
        <w:pStyle w:val="Normal"/>
        <w:jc w:val="both"/>
        <w:rPr/>
      </w:pPr>
      <w:r>
        <w:rPr>
          <w:sz w:val="22"/>
          <w:szCs w:val="22"/>
        </w:rPr>
        <w:t xml:space="preserve">13.3.5. O contrato, sem prejuízo das multas e demais cominações legais previstas no instrumento, poderá ser rescindido unilateralmente, por ato formal da Administração, nos casos enumerados nos incisos do </w:t>
      </w:r>
      <w:r>
        <w:rPr>
          <w:i/>
          <w:iCs/>
          <w:sz w:val="22"/>
          <w:szCs w:val="22"/>
        </w:rPr>
        <w:t>caput</w:t>
      </w:r>
      <w:r>
        <w:rPr>
          <w:sz w:val="22"/>
          <w:szCs w:val="22"/>
        </w:rPr>
        <w:t xml:space="preserve"> do art. 137 da Lei Federal nº 14.133/2021.</w:t>
      </w:r>
    </w:p>
    <w:p>
      <w:pPr>
        <w:pStyle w:val="Normal"/>
        <w:jc w:val="both"/>
        <w:rPr>
          <w:sz w:val="22"/>
          <w:szCs w:val="22"/>
        </w:rPr>
      </w:pPr>
      <w:r>
        <w:rPr>
          <w:sz w:val="22"/>
          <w:szCs w:val="22"/>
        </w:rPr>
        <w:t>13.3.6.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jc w:val="both"/>
        <w:rPr>
          <w:sz w:val="22"/>
          <w:szCs w:val="22"/>
        </w:rPr>
      </w:pPr>
      <w:r>
        <w:rPr>
          <w:sz w:val="22"/>
          <w:szCs w:val="22"/>
        </w:rPr>
        <w:t>13.3.7. Serão reputados como inidôneos atos como os descritos nos arts.337-F, 337-I, 337-J, 337-K, 337-L e no art. 337-M, §§ 1º e 2º, do Capítulo II-B, do Título XI da Parte Especial do Decreto-Lei nº 2.848, de 7 de dezembro de 1940 (Código Penal).</w:t>
      </w:r>
    </w:p>
    <w:p>
      <w:pPr>
        <w:pStyle w:val="Normal"/>
        <w:jc w:val="both"/>
        <w:rPr/>
      </w:pPr>
      <w:r>
        <w:rPr>
          <w:sz w:val="22"/>
          <w:szCs w:val="22"/>
        </w:rPr>
        <w:t>13.3.8. As sanções de impedimento de licitar e contratar e de declaração de inidoneidade serão publicadas no site o Município (</w:t>
      </w:r>
      <w:hyperlink r:id="rId2">
        <w:r>
          <w:rPr>
            <w:rStyle w:val="Style8"/>
            <w:color w:val="0000FF"/>
            <w:sz w:val="22"/>
            <w:szCs w:val="22"/>
            <w:u w:val="single"/>
          </w:rPr>
          <w:t>www.trespassos.rs.gov.br</w:t>
        </w:r>
      </w:hyperlink>
      <w:r>
        <w:rPr>
          <w:sz w:val="22"/>
          <w:szCs w:val="22"/>
        </w:rPr>
        <w:t xml:space="preserve">) em ícone próprio. </w:t>
      </w:r>
    </w:p>
    <w:p>
      <w:pPr>
        <w:pStyle w:val="Heading6"/>
        <w:numPr>
          <w:ilvl w:val="5"/>
          <w:numId w:val="1"/>
        </w:numPr>
        <w:rPr>
          <w:rFonts w:ascii="Times New Roman" w:hAnsi="Times New Roman" w:cs="Times New Roman"/>
          <w:sz w:val="22"/>
          <w:szCs w:val="22"/>
        </w:rPr>
      </w:pPr>
      <w:r>
        <w:rPr>
          <w:rFonts w:cs="Times New Roman" w:ascii="Times New Roman" w:hAnsi="Times New Roman"/>
          <w:sz w:val="22"/>
          <w:szCs w:val="22"/>
        </w:rPr>
        <w:t>13.4. Da execução da garantia contratual</w:t>
      </w:r>
    </w:p>
    <w:p>
      <w:pPr>
        <w:pStyle w:val="Normal"/>
        <w:jc w:val="both"/>
        <w:rPr>
          <w:sz w:val="22"/>
          <w:szCs w:val="22"/>
        </w:rPr>
      </w:pPr>
      <w:r>
        <w:rPr>
          <w:sz w:val="22"/>
          <w:szCs w:val="22"/>
        </w:rPr>
        <w:t xml:space="preserve">13.4.1. O valor da multa poderá ser descontado da garantia contratual, havendo. </w:t>
      </w:r>
    </w:p>
    <w:p>
      <w:pPr>
        <w:pStyle w:val="Normal"/>
        <w:jc w:val="both"/>
        <w:rPr>
          <w:sz w:val="22"/>
          <w:szCs w:val="22"/>
        </w:rPr>
      </w:pPr>
      <w:r>
        <w:rPr>
          <w:sz w:val="22"/>
          <w:szCs w:val="22"/>
        </w:rPr>
        <w:t>13.4.2. Se a multa for de valor superior ao da garantia prestada, além da perda desta, responderá o contratado pela sua diferença, a qual será descontada dos pagamentos eventualmente devidos pelo contratante.</w:t>
      </w:r>
    </w:p>
    <w:p>
      <w:pPr>
        <w:pStyle w:val="Normal"/>
        <w:rPr>
          <w:sz w:val="22"/>
          <w:szCs w:val="22"/>
        </w:rPr>
      </w:pPr>
      <w:r>
        <w:rPr>
          <w:sz w:val="22"/>
          <w:szCs w:val="22"/>
        </w:rPr>
        <w:t>13.4.3. Se os valores da garantia e das faturas forem insuficientes, fica o contratado obrigado a recolher a diferença devida, no prazo de 30 (trinta) dias, contados da comunicação oficial.</w:t>
      </w:r>
    </w:p>
    <w:p>
      <w:pPr>
        <w:pStyle w:val="Normal"/>
        <w:rPr>
          <w:sz w:val="22"/>
          <w:szCs w:val="22"/>
        </w:rPr>
      </w:pPr>
      <w:r>
        <w:rPr>
          <w:sz w:val="22"/>
          <w:szCs w:val="22"/>
        </w:rPr>
        <w:t>13.4.4. Esgotados o prazo elencado no item 13.4.3, para pagamento do valor devido, o débito será encaminhado para inscrição em dívida ativa tributária.</w:t>
      </w:r>
    </w:p>
    <w:p>
      <w:pPr>
        <w:pStyle w:val="Normal"/>
        <w:rPr>
          <w:sz w:val="22"/>
          <w:szCs w:val="22"/>
        </w:rPr>
      </w:pPr>
      <w:r>
        <w:rPr>
          <w:sz w:val="22"/>
          <w:szCs w:val="22"/>
        </w:rPr>
        <w:t xml:space="preserve">13.4.5. Não havendo garantia, a multa será cientificada ao contratado para pagamento nos mesmos prazos estipulados no item 13.4.3 sob pena de inscrição em dívida ativa, após o decurso deste prazo. </w:t>
      </w:r>
    </w:p>
    <w:p>
      <w:pPr>
        <w:pStyle w:val="Normal"/>
        <w:jc w:val="both"/>
        <w:rPr>
          <w:rFonts w:eastAsia="Calibri"/>
          <w:b/>
          <w:sz w:val="22"/>
          <w:szCs w:val="22"/>
        </w:rPr>
      </w:pPr>
      <w:r>
        <w:rPr>
          <w:rFonts w:eastAsia="Calibri"/>
          <w:b/>
          <w:sz w:val="22"/>
          <w:szCs w:val="22"/>
        </w:rPr>
      </w:r>
    </w:p>
    <w:p>
      <w:pPr>
        <w:pStyle w:val="Normal"/>
        <w:numPr>
          <w:ilvl w:val="0"/>
          <w:numId w:val="2"/>
        </w:numPr>
        <w:shd w:val="clear" w:color="auto" w:fill="FFFFFF"/>
        <w:suppressAutoHyphens w:val="false"/>
        <w:jc w:val="both"/>
        <w:rPr>
          <w:rFonts w:eastAsia="Calibri"/>
          <w:b/>
          <w:color w:val="000000"/>
          <w:sz w:val="22"/>
          <w:szCs w:val="22"/>
          <w:u w:val="single"/>
        </w:rPr>
      </w:pPr>
      <w:r>
        <w:rPr>
          <w:rFonts w:eastAsia="Calibri"/>
          <w:b/>
          <w:color w:val="000000"/>
          <w:sz w:val="22"/>
          <w:szCs w:val="22"/>
          <w:u w:val="single"/>
        </w:rPr>
        <w:t>ESTIMATIVA DE PREÇOS E PREÇOS REFERENCIAIS.</w:t>
      </w:r>
    </w:p>
    <w:p>
      <w:pPr>
        <w:pStyle w:val="Normal"/>
        <w:jc w:val="both"/>
        <w:rPr>
          <w:rFonts w:eastAsia="Calibri"/>
          <w:b/>
          <w:sz w:val="22"/>
          <w:szCs w:val="22"/>
          <w:highlight w:val="white"/>
        </w:rPr>
      </w:pPr>
      <w:r>
        <w:rPr>
          <w:rFonts w:eastAsia="Calibri"/>
          <w:b/>
          <w:sz w:val="22"/>
          <w:szCs w:val="22"/>
          <w:highlight w:val="white"/>
        </w:rPr>
      </w:r>
    </w:p>
    <w:p>
      <w:pPr>
        <w:pStyle w:val="Normal"/>
        <w:jc w:val="both"/>
        <w:rPr/>
      </w:pPr>
      <w:r>
        <w:rPr>
          <w:rFonts w:eastAsia="Calibri"/>
          <w:b/>
          <w:sz w:val="22"/>
          <w:szCs w:val="22"/>
          <w:highlight w:val="white"/>
        </w:rPr>
        <w:t xml:space="preserve">14.1 </w:t>
      </w:r>
      <w:r>
        <w:rPr>
          <w:rFonts w:eastAsia="Calibri"/>
          <w:sz w:val="22"/>
          <w:szCs w:val="22"/>
          <w:highlight w:val="white"/>
        </w:rPr>
        <w:t xml:space="preserve">O custo estimado da contratação é de </w:t>
      </w:r>
      <w:r>
        <w:rPr>
          <w:rFonts w:eastAsia="Calibri"/>
          <w:b/>
          <w:bCs/>
          <w:sz w:val="24"/>
          <w:szCs w:val="24"/>
          <w:highlight w:val="white"/>
        </w:rPr>
        <w:t>R$</w:t>
      </w:r>
      <w:r>
        <w:rPr>
          <w:rFonts w:eastAsia="Calibri"/>
          <w:b/>
          <w:bCs/>
          <w:sz w:val="22"/>
          <w:szCs w:val="22"/>
          <w:highlight w:val="white"/>
        </w:rPr>
        <w:t xml:space="preserve"> 449</w:t>
      </w:r>
      <w:r>
        <w:rPr>
          <w:rFonts w:eastAsia="Calibri"/>
          <w:b/>
          <w:bCs/>
          <w:color w:val="1F1F1F"/>
          <w:sz w:val="22"/>
          <w:szCs w:val="22"/>
          <w:highlight w:val="white"/>
        </w:rPr>
        <w:t xml:space="preserve">.000,00 </w:t>
      </w:r>
      <w:r>
        <w:rPr>
          <w:rFonts w:eastAsia="Calibri"/>
          <w:color w:val="1F1F1F"/>
          <w:sz w:val="22"/>
          <w:szCs w:val="22"/>
          <w:highlight w:val="white"/>
        </w:rPr>
        <w:t>(quatrocentos e quarenta e nove mil reais).</w:t>
      </w:r>
    </w:p>
    <w:p>
      <w:pPr>
        <w:pStyle w:val="Normal"/>
        <w:jc w:val="both"/>
        <w:rPr>
          <w:rFonts w:eastAsia="Calibri"/>
          <w:b/>
          <w:bCs/>
          <w:sz w:val="24"/>
          <w:szCs w:val="24"/>
          <w:highlight w:val="white"/>
        </w:rPr>
      </w:pPr>
      <w:r>
        <w:rPr>
          <w:rFonts w:eastAsia="Calibri"/>
          <w:b/>
          <w:bCs/>
          <w:sz w:val="24"/>
          <w:szCs w:val="24"/>
          <w:highlight w:val="white"/>
        </w:rPr>
      </w:r>
    </w:p>
    <w:p>
      <w:pPr>
        <w:pStyle w:val="Normal"/>
        <w:keepNext w:val="true"/>
        <w:keepLines/>
        <w:numPr>
          <w:ilvl w:val="0"/>
          <w:numId w:val="2"/>
        </w:numPr>
        <w:shd w:val="clear" w:color="auto" w:fill="FFFFFF"/>
        <w:suppressAutoHyphens w:val="false"/>
        <w:ind w:hanging="405" w:left="405" w:right="-30"/>
        <w:jc w:val="both"/>
        <w:rPr>
          <w:rFonts w:eastAsia="Calibri"/>
          <w:b/>
          <w:color w:val="000000"/>
          <w:sz w:val="22"/>
          <w:szCs w:val="22"/>
          <w:u w:val="single"/>
        </w:rPr>
      </w:pPr>
      <w:r>
        <w:rPr>
          <w:rFonts w:eastAsia="Calibri"/>
          <w:b/>
          <w:color w:val="000000"/>
          <w:sz w:val="22"/>
          <w:szCs w:val="22"/>
          <w:u w:val="single"/>
        </w:rPr>
        <w:t>DOS RECURSOS ORÇAMENTÁRIOS.</w:t>
      </w:r>
    </w:p>
    <w:p>
      <w:pPr>
        <w:pStyle w:val="Normal"/>
        <w:tabs>
          <w:tab w:val="clear" w:pos="708"/>
          <w:tab w:val="left" w:pos="567" w:leader="none"/>
        </w:tabs>
        <w:ind w:right="-30"/>
        <w:jc w:val="both"/>
        <w:rPr>
          <w:rFonts w:eastAsia="Calibri"/>
          <w:b/>
          <w:color w:val="000000"/>
          <w:sz w:val="22"/>
          <w:szCs w:val="22"/>
        </w:rPr>
      </w:pPr>
      <w:r>
        <w:rPr>
          <w:rFonts w:eastAsia="Calibri"/>
          <w:b/>
          <w:color w:val="000000"/>
          <w:sz w:val="22"/>
          <w:szCs w:val="22"/>
        </w:rPr>
      </w:r>
    </w:p>
    <w:p>
      <w:pPr>
        <w:pStyle w:val="Normal"/>
        <w:numPr>
          <w:ilvl w:val="1"/>
          <w:numId w:val="3"/>
        </w:numPr>
        <w:suppressAutoHyphens w:val="false"/>
        <w:ind w:hanging="432" w:left="432"/>
        <w:jc w:val="both"/>
        <w:rPr>
          <w:rFonts w:eastAsia="Calibri"/>
          <w:sz w:val="22"/>
          <w:szCs w:val="22"/>
        </w:rPr>
      </w:pPr>
      <w:r>
        <w:rPr>
          <w:rFonts w:eastAsia="Calibri"/>
          <w:sz w:val="22"/>
          <w:szCs w:val="22"/>
        </w:rPr>
        <w:t xml:space="preserve">As despesas para atender a esta licitação estão programadas em dotação orçamentária própria, prevista no orçamento, conforme parecer contábil. </w:t>
      </w:r>
    </w:p>
    <w:p>
      <w:pPr>
        <w:pStyle w:val="Normal"/>
        <w:suppressAutoHyphens w:val="false"/>
        <w:jc w:val="both"/>
        <w:rPr/>
      </w:pPr>
      <w:r>
        <w:rPr>
          <w:rFonts w:cs="Calibri"/>
          <w:b/>
          <w:bCs/>
          <w:sz w:val="22"/>
          <w:highlight w:val="white"/>
        </w:rPr>
        <w:t>Ação 1.139 - Aquisição de Máquinas e Equipamentos</w:t>
      </w:r>
    </w:p>
    <w:p>
      <w:pPr>
        <w:pStyle w:val="Normal"/>
        <w:suppressAutoHyphens w:val="false"/>
        <w:jc w:val="both"/>
        <w:rPr/>
      </w:pPr>
      <w:r>
        <w:rPr>
          <w:rFonts w:cs="Calibri"/>
          <w:b/>
          <w:bCs/>
          <w:sz w:val="22"/>
          <w:highlight w:val="white"/>
        </w:rPr>
        <w:t xml:space="preserve">Ficha 679 – Transf. Ministério Agricultura e Pecuária Convênio ° 992524/2026 – </w:t>
      </w:r>
      <w:r>
        <w:rPr>
          <w:rFonts w:cs="Calibri"/>
          <w:b/>
          <w:bCs/>
          <w:sz w:val="22"/>
          <w:highlight w:val="white"/>
          <w:u w:val="single"/>
        </w:rPr>
        <w:t xml:space="preserve">Emenda Senador Paulo Paim </w:t>
      </w:r>
      <w:r>
        <w:rPr>
          <w:rFonts w:cs="Calibri"/>
          <w:b/>
          <w:bCs/>
          <w:sz w:val="22"/>
          <w:highlight w:val="white"/>
        </w:rPr>
        <w:t>- Plano de trabalho n° 1037/2026 valor R$ 286.500,00</w:t>
      </w:r>
    </w:p>
    <w:p>
      <w:pPr>
        <w:pStyle w:val="Normal"/>
        <w:suppressAutoHyphens w:val="false"/>
        <w:jc w:val="both"/>
        <w:rPr>
          <w:rFonts w:cs="Calibri"/>
          <w:b/>
          <w:bCs/>
          <w:sz w:val="22"/>
          <w:highlight w:val="white"/>
        </w:rPr>
      </w:pPr>
      <w:r>
        <w:rPr>
          <w:rFonts w:cs="Calibri"/>
          <w:b/>
          <w:bCs/>
          <w:sz w:val="22"/>
          <w:highlight w:val="white"/>
        </w:rPr>
      </w:r>
    </w:p>
    <w:p>
      <w:pPr>
        <w:pStyle w:val="Normal"/>
        <w:suppressAutoHyphens w:val="false"/>
        <w:jc w:val="both"/>
        <w:rPr/>
      </w:pPr>
      <w:r>
        <w:rPr>
          <w:rFonts w:cs="Calibri"/>
          <w:b/>
          <w:bCs/>
          <w:sz w:val="22"/>
          <w:highlight w:val="white"/>
          <w:u w:val="single"/>
        </w:rPr>
        <w:t>Contrapartida municipal -</w:t>
      </w:r>
      <w:r>
        <w:rPr>
          <w:rFonts w:cs="Calibri"/>
          <w:b/>
          <w:bCs/>
          <w:sz w:val="22"/>
          <w:highlight w:val="white"/>
        </w:rPr>
        <w:t xml:space="preserve"> Ação 1.139 - Ficha: 679 - Recursos de Alienação de bens/ativos valor R$ 127.500,00</w:t>
      </w:r>
    </w:p>
    <w:p>
      <w:pPr>
        <w:pStyle w:val="Normal"/>
        <w:suppressAutoHyphens w:val="false"/>
        <w:jc w:val="both"/>
        <w:rPr>
          <w:rFonts w:cs="Calibri"/>
          <w:b/>
          <w:bCs/>
          <w:sz w:val="22"/>
          <w:highlight w:val="white"/>
        </w:rPr>
      </w:pPr>
      <w:r>
        <w:rPr>
          <w:rFonts w:cs="Calibri"/>
          <w:b/>
          <w:bCs/>
          <w:sz w:val="22"/>
          <w:highlight w:val="white"/>
        </w:rPr>
      </w:r>
    </w:p>
    <w:p>
      <w:pPr>
        <w:pStyle w:val="Normal"/>
        <w:suppressAutoHyphens w:val="false"/>
        <w:jc w:val="both"/>
        <w:rPr>
          <w:rFonts w:cs="Calibri"/>
          <w:b/>
          <w:bCs/>
          <w:sz w:val="22"/>
          <w:highlight w:val="white"/>
        </w:rPr>
      </w:pPr>
      <w:r>
        <w:rPr>
          <w:rFonts w:cs="Calibri"/>
          <w:b/>
          <w:bCs/>
          <w:sz w:val="22"/>
          <w:highlight w:val="white"/>
          <w:u w:val="single"/>
        </w:rPr>
        <w:t>Abertura de suplementação</w:t>
      </w:r>
      <w:r>
        <w:rPr>
          <w:rFonts w:cs="Calibri"/>
          <w:b/>
          <w:bCs/>
          <w:sz w:val="22"/>
          <w:highlight w:val="white"/>
        </w:rPr>
        <w:t xml:space="preserve"> no valor de R$ 35.000,00</w:t>
      </w:r>
    </w:p>
    <w:p>
      <w:pPr>
        <w:pStyle w:val="Normal"/>
        <w:suppressAutoHyphens w:val="false"/>
        <w:jc w:val="both"/>
        <w:rPr>
          <w:rFonts w:cs="Calibri"/>
          <w:b/>
          <w:bCs/>
          <w:sz w:val="22"/>
          <w:highlight w:val="white"/>
        </w:rPr>
      </w:pPr>
      <w:r>
        <w:rPr>
          <w:rFonts w:cs="Calibri"/>
          <w:b/>
          <w:bCs/>
          <w:sz w:val="22"/>
          <w:highlight w:val="white"/>
        </w:rPr>
      </w:r>
    </w:p>
    <w:p>
      <w:pPr>
        <w:pStyle w:val="Normal"/>
        <w:ind w:left="1134"/>
        <w:jc w:val="both"/>
        <w:rPr>
          <w:rFonts w:eastAsia="Calibri"/>
          <w:sz w:val="22"/>
          <w:szCs w:val="22"/>
        </w:rPr>
      </w:pPr>
      <w:r>
        <w:rPr>
          <w:rFonts w:eastAsia="Calibri"/>
          <w:sz w:val="22"/>
          <w:szCs w:val="22"/>
        </w:rPr>
      </w:r>
    </w:p>
    <w:p>
      <w:pPr>
        <w:pStyle w:val="Normal"/>
        <w:ind w:left="1134"/>
        <w:jc w:val="both"/>
        <w:rPr>
          <w:rFonts w:eastAsia="Calibri"/>
          <w:sz w:val="22"/>
          <w:szCs w:val="22"/>
        </w:rPr>
      </w:pPr>
      <w:r>
        <w:rPr>
          <w:rFonts w:eastAsia="Calibri"/>
          <w:sz w:val="22"/>
          <w:szCs w:val="22"/>
        </w:rPr>
      </w:r>
    </w:p>
    <w:p>
      <w:pPr>
        <w:pStyle w:val="Normal"/>
        <w:ind w:left="1134"/>
        <w:jc w:val="both"/>
        <w:rPr>
          <w:rFonts w:eastAsia="Calibri"/>
          <w:sz w:val="22"/>
          <w:szCs w:val="22"/>
        </w:rPr>
      </w:pPr>
      <w:r>
        <w:rPr>
          <w:rFonts w:eastAsia="Calibri"/>
          <w:sz w:val="22"/>
          <w:szCs w:val="22"/>
        </w:rPr>
      </w:r>
    </w:p>
    <w:p>
      <w:pPr>
        <w:pStyle w:val="Normal"/>
        <w:shd w:val="clear" w:color="auto" w:fill="FFFFFF"/>
        <w:jc w:val="center"/>
        <w:rPr>
          <w:rFonts w:eastAsia="Calibri"/>
          <w:sz w:val="22"/>
          <w:szCs w:val="22"/>
          <w:highlight w:val="yellow"/>
        </w:rPr>
      </w:pPr>
      <w:r>
        <w:rPr>
          <w:rFonts w:eastAsia="Calibri"/>
          <w:sz w:val="22"/>
          <w:szCs w:val="22"/>
          <w:highlight w:val="yellow"/>
        </w:rPr>
      </w:r>
    </w:p>
    <w:p>
      <w:pPr>
        <w:pStyle w:val="Normal"/>
        <w:shd w:val="clear" w:color="auto" w:fill="FFFFFF"/>
        <w:jc w:val="right"/>
        <w:rPr/>
      </w:pPr>
      <w:r>
        <w:rPr>
          <w:rFonts w:eastAsia="Calibri"/>
          <w:color w:val="000000"/>
          <w:sz w:val="22"/>
          <w:szCs w:val="22"/>
        </w:rPr>
        <w:t>Três Passos, 16 de julho de 2026.</w:t>
      </w:r>
    </w:p>
    <w:p>
      <w:pPr>
        <w:pStyle w:val="Normal"/>
        <w:rPr>
          <w:rFonts w:eastAsia="Calibri"/>
          <w:sz w:val="22"/>
          <w:szCs w:val="22"/>
        </w:rPr>
      </w:pPr>
      <w:r>
        <w:rPr>
          <w:rFonts w:eastAsia="Calibri"/>
          <w:sz w:val="22"/>
          <w:szCs w:val="22"/>
        </w:rPr>
      </w:r>
    </w:p>
    <w:p>
      <w:pPr>
        <w:pStyle w:val="Normal"/>
        <w:ind w:left="360"/>
        <w:jc w:val="center"/>
        <w:rPr>
          <w:rFonts w:eastAsia="Calibri"/>
          <w:b/>
          <w:bCs/>
          <w:sz w:val="22"/>
          <w:szCs w:val="22"/>
        </w:rPr>
      </w:pPr>
      <w:r>
        <w:rPr>
          <w:rFonts w:eastAsia="Calibri"/>
          <w:b/>
          <w:bCs/>
          <w:sz w:val="22"/>
          <w:szCs w:val="22"/>
        </w:rPr>
      </w:r>
    </w:p>
    <w:p>
      <w:pPr>
        <w:pStyle w:val="Normal"/>
        <w:ind w:left="360"/>
        <w:jc w:val="center"/>
        <w:rPr>
          <w:rFonts w:eastAsia="Calibri"/>
          <w:b/>
          <w:bCs/>
          <w:sz w:val="22"/>
          <w:szCs w:val="22"/>
        </w:rPr>
      </w:pPr>
      <w:r>
        <w:rPr>
          <w:rFonts w:eastAsia="Calibri"/>
          <w:b/>
          <w:bCs/>
          <w:sz w:val="22"/>
          <w:szCs w:val="22"/>
        </w:rPr>
      </w:r>
    </w:p>
    <w:p>
      <w:pPr>
        <w:pStyle w:val="Normal"/>
        <w:ind w:left="360"/>
        <w:jc w:val="center"/>
        <w:rPr/>
      </w:pPr>
      <w:r>
        <w:rPr>
          <w:rFonts w:eastAsia="Calibri"/>
          <w:b/>
          <w:bCs/>
          <w:sz w:val="22"/>
          <w:szCs w:val="22"/>
        </w:rPr>
        <w:t>__________________________________</w:t>
      </w:r>
    </w:p>
    <w:p>
      <w:pPr>
        <w:pStyle w:val="Normal"/>
        <w:ind w:left="360"/>
        <w:jc w:val="center"/>
        <w:rPr>
          <w:rFonts w:eastAsia="Calibri"/>
          <w:sz w:val="22"/>
          <w:szCs w:val="22"/>
        </w:rPr>
      </w:pPr>
      <w:r>
        <w:rPr>
          <w:rFonts w:eastAsia="Calibri"/>
          <w:sz w:val="22"/>
          <w:szCs w:val="22"/>
        </w:rPr>
      </w:r>
    </w:p>
    <w:p>
      <w:pPr>
        <w:pStyle w:val="Normal"/>
        <w:ind w:left="360"/>
        <w:jc w:val="center"/>
        <w:rPr/>
      </w:pPr>
      <w:r>
        <w:rPr>
          <w:rFonts w:eastAsia="Calibri"/>
          <w:sz w:val="22"/>
          <w:szCs w:val="22"/>
        </w:rPr>
        <w:t xml:space="preserve">João Roque Boll </w:t>
      </w:r>
    </w:p>
    <w:p>
      <w:pPr>
        <w:pStyle w:val="Normal"/>
        <w:ind w:left="360"/>
        <w:jc w:val="center"/>
        <w:rPr/>
      </w:pPr>
      <w:r>
        <w:rPr>
          <w:rFonts w:eastAsia="Calibri"/>
          <w:sz w:val="22"/>
          <w:szCs w:val="22"/>
        </w:rPr>
        <w:t>Secretário Municipal de Agricultura</w:t>
      </w:r>
    </w:p>
    <w:p>
      <w:pPr>
        <w:pStyle w:val="Normal"/>
        <w:ind w:left="360"/>
        <w:jc w:val="center"/>
        <w:rPr>
          <w:rFonts w:eastAsia="Calibri"/>
          <w:b/>
          <w:bCs/>
          <w:sz w:val="22"/>
          <w:szCs w:val="22"/>
        </w:rPr>
      </w:pPr>
      <w:r>
        <w:rPr>
          <w:rFonts w:eastAsia="Calibri"/>
          <w:b/>
          <w:bCs/>
          <w:sz w:val="22"/>
          <w:szCs w:val="22"/>
        </w:rPr>
      </w:r>
    </w:p>
    <w:p>
      <w:pPr>
        <w:pStyle w:val="Normal"/>
        <w:ind w:left="360"/>
        <w:jc w:val="center"/>
        <w:rPr>
          <w:rFonts w:eastAsia="Calibri"/>
          <w:b/>
          <w:bCs/>
          <w:sz w:val="22"/>
          <w:szCs w:val="22"/>
        </w:rPr>
      </w:pPr>
      <w:r>
        <w:rPr>
          <w:rFonts w:eastAsia="Calibri"/>
          <w:b/>
          <w:bCs/>
          <w:sz w:val="22"/>
          <w:szCs w:val="22"/>
        </w:rPr>
      </w:r>
    </w:p>
    <w:p>
      <w:pPr>
        <w:pStyle w:val="Normal"/>
        <w:ind w:left="360"/>
        <w:jc w:val="center"/>
        <w:rPr>
          <w:rFonts w:eastAsia="Calibri"/>
          <w:b/>
          <w:bCs/>
          <w:sz w:val="22"/>
          <w:szCs w:val="22"/>
        </w:rPr>
      </w:pPr>
      <w:r>
        <w:rPr>
          <w:rFonts w:eastAsia="Calibri"/>
          <w:b/>
          <w:bCs/>
          <w:sz w:val="22"/>
          <w:szCs w:val="22"/>
        </w:rPr>
      </w:r>
    </w:p>
    <w:p>
      <w:pPr>
        <w:pStyle w:val="Normal"/>
        <w:ind w:left="360"/>
        <w:jc w:val="center"/>
        <w:rPr>
          <w:rFonts w:eastAsia="Calibri"/>
          <w:b/>
          <w:bCs/>
          <w:sz w:val="22"/>
          <w:szCs w:val="22"/>
        </w:rPr>
      </w:pPr>
      <w:r>
        <w:rPr>
          <w:rFonts w:eastAsia="Calibri"/>
          <w:b/>
          <w:bCs/>
          <w:sz w:val="22"/>
          <w:szCs w:val="22"/>
        </w:rPr>
      </w:r>
    </w:p>
    <w:tbl>
      <w:tblPr>
        <w:tblW w:w="5000" w:type="pct"/>
        <w:jc w:val="left"/>
        <w:tblInd w:w="55" w:type="dxa"/>
        <w:tblLayout w:type="fixed"/>
        <w:tblCellMar>
          <w:top w:w="55" w:type="dxa"/>
          <w:left w:w="55" w:type="dxa"/>
          <w:bottom w:w="55" w:type="dxa"/>
          <w:right w:w="55" w:type="dxa"/>
        </w:tblCellMar>
        <w:tblLook w:val="04a0" w:firstRow="1" w:noVBand="1" w:lastRow="0" w:firstColumn="1" w:lastColumn="0" w:noHBand="0"/>
      </w:tblPr>
      <w:tblGrid>
        <w:gridCol w:w="4251"/>
        <w:gridCol w:w="4253"/>
      </w:tblGrid>
      <w:tr>
        <w:trPr/>
        <w:tc>
          <w:tcPr>
            <w:tcW w:w="4251" w:type="dxa"/>
            <w:tcBorders/>
          </w:tcPr>
          <w:p>
            <w:pPr>
              <w:pStyle w:val="Contedodatabelauser"/>
              <w:jc w:val="center"/>
              <w:rPr>
                <w:sz w:val="22"/>
              </w:rPr>
            </w:pPr>
            <w:r>
              <w:rPr>
                <w:sz w:val="22"/>
              </w:rPr>
              <w:t>Marcos Roberto Rache</w:t>
            </w:r>
          </w:p>
          <w:p>
            <w:pPr>
              <w:pStyle w:val="Contedodatabelauser"/>
              <w:jc w:val="center"/>
              <w:rPr>
                <w:sz w:val="22"/>
              </w:rPr>
            </w:pPr>
            <w:r>
              <w:rPr>
                <w:sz w:val="22"/>
              </w:rPr>
              <w:t>Técnico Agrícola</w:t>
            </w:r>
          </w:p>
          <w:p>
            <w:pPr>
              <w:pStyle w:val="Contedodatabelauser"/>
              <w:jc w:val="center"/>
              <w:rPr>
                <w:sz w:val="22"/>
              </w:rPr>
            </w:pPr>
            <w:r>
              <w:rPr>
                <w:sz w:val="22"/>
              </w:rPr>
              <w:t>Fiscal do Contrato</w:t>
            </w:r>
          </w:p>
        </w:tc>
        <w:tc>
          <w:tcPr>
            <w:tcW w:w="4253" w:type="dxa"/>
            <w:tcBorders/>
          </w:tcPr>
          <w:p>
            <w:pPr>
              <w:pStyle w:val="Contedodatabelauser"/>
              <w:jc w:val="center"/>
              <w:rPr>
                <w:sz w:val="22"/>
              </w:rPr>
            </w:pPr>
            <w:r>
              <w:rPr>
                <w:sz w:val="22"/>
              </w:rPr>
              <w:t>Felipe Diel</w:t>
            </w:r>
          </w:p>
          <w:p>
            <w:pPr>
              <w:pStyle w:val="Contedodatabelauser"/>
              <w:jc w:val="center"/>
              <w:rPr>
                <w:sz w:val="22"/>
              </w:rPr>
            </w:pPr>
            <w:r>
              <w:rPr>
                <w:sz w:val="22"/>
              </w:rPr>
              <w:t>Mecânico</w:t>
            </w:r>
          </w:p>
          <w:p>
            <w:pPr>
              <w:pStyle w:val="Contedodatabelauser"/>
              <w:jc w:val="center"/>
              <w:rPr>
                <w:sz w:val="22"/>
              </w:rPr>
            </w:pPr>
            <w:r>
              <w:rPr>
                <w:sz w:val="22"/>
              </w:rPr>
              <w:t>Fiscal do Contrato</w:t>
            </w:r>
          </w:p>
        </w:tc>
      </w:tr>
    </w:tbl>
    <w:p>
      <w:pPr>
        <w:pStyle w:val="Normal"/>
        <w:ind w:left="360"/>
        <w:jc w:val="center"/>
        <w:rPr>
          <w:rFonts w:eastAsia="Calibri"/>
          <w:b/>
          <w:bCs/>
          <w:sz w:val="22"/>
          <w:szCs w:val="22"/>
        </w:rPr>
      </w:pPr>
      <w:r>
        <w:rPr>
          <w:rFonts w:eastAsia="Calibri"/>
          <w:b/>
          <w:bCs/>
          <w:sz w:val="22"/>
          <w:szCs w:val="22"/>
        </w:rPr>
      </w:r>
    </w:p>
    <w:p>
      <w:pPr>
        <w:pStyle w:val="Normal"/>
        <w:ind w:left="360"/>
        <w:jc w:val="center"/>
        <w:rPr/>
      </w:pPr>
      <w:r>
        <w:rPr/>
      </w:r>
    </w:p>
    <w:sectPr>
      <w:headerReference w:type="even" r:id="rId3"/>
      <w:headerReference w:type="default" r:id="rId4"/>
      <w:headerReference w:type="first" r:id="rId5"/>
      <w:footerReference w:type="even" r:id="rId6"/>
      <w:footerReference w:type="default" r:id="rId7"/>
      <w:footerReference w:type="first" r:id="rId8"/>
      <w:type w:val="nextPage"/>
      <w:pgSz w:w="11906" w:h="16838"/>
      <w:pgMar w:left="1701" w:right="1701" w:gutter="0" w:header="708" w:top="1417" w:footer="708" w:bottom="1417"/>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swiss"/>
    <w:pitch w:val="variable"/>
  </w:font>
  <w:font w:name="Liberation Sans">
    <w:altName w:val="Arial"/>
    <w:charset w:val="00"/>
    <w:family w:val="swiss"/>
    <w:pitch w:val="variable"/>
  </w:font>
  <w:font w:name="Google Sans Text">
    <w:altName w:val="sans-serif"/>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18"/>
        <w:szCs w:val="18"/>
      </w:rPr>
    </w:pPr>
    <w:r>
      <w:rPr>
        <w:sz w:val="18"/>
        <w:szCs w:val="18"/>
      </w:rPr>
      <w:t>Secretaria Municipal de Agricultura</w:t>
    </w:r>
  </w:p>
  <w:p>
    <w:pPr>
      <w:pStyle w:val="Footer"/>
      <w:jc w:val="center"/>
      <w:rPr>
        <w:sz w:val="18"/>
        <w:szCs w:val="18"/>
      </w:rPr>
    </w:pPr>
    <w:r>
      <w:rPr>
        <w:sz w:val="18"/>
        <w:szCs w:val="18"/>
      </w:rPr>
      <w:t>Rua General Osório, 161 – Centro – Três Passos – RS – CEP 98600-000</w:t>
    </w:r>
  </w:p>
  <w:p>
    <w:pPr>
      <w:pStyle w:val="Footer"/>
      <w:jc w:val="center"/>
      <w:rPr/>
    </w:pPr>
    <w:hyperlink r:id="rId1">
      <w:r>
        <w:rPr>
          <w:rStyle w:val="Style8"/>
          <w:sz w:val="18"/>
          <w:szCs w:val="18"/>
        </w:rPr>
        <w:t>www.trespassos-rs.com.br</w:t>
      </w:r>
    </w:hyperlink>
    <w:r>
      <w:rPr>
        <w:sz w:val="18"/>
        <w:szCs w:val="18"/>
      </w:rPr>
      <w:t xml:space="preserve"> -Telefone: (55) 3522-0406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sz w:val="18"/>
        <w:szCs w:val="18"/>
      </w:rPr>
    </w:pPr>
    <w:r>
      <w:rPr>
        <w:sz w:val="18"/>
        <w:szCs w:val="18"/>
      </w:rPr>
      <w:t>Secretaria Municipal de Agricultura</w:t>
    </w:r>
  </w:p>
  <w:p>
    <w:pPr>
      <w:pStyle w:val="Footer"/>
      <w:jc w:val="center"/>
      <w:rPr>
        <w:sz w:val="18"/>
        <w:szCs w:val="18"/>
      </w:rPr>
    </w:pPr>
    <w:r>
      <w:rPr>
        <w:sz w:val="18"/>
        <w:szCs w:val="18"/>
      </w:rPr>
      <w:t>Rua General Osório, 161 – Centro – Três Passos – RS – CEP 98600-000</w:t>
    </w:r>
  </w:p>
  <w:p>
    <w:pPr>
      <w:pStyle w:val="Footer"/>
      <w:jc w:val="center"/>
      <w:rPr/>
    </w:pPr>
    <w:hyperlink r:id="rId1">
      <w:r>
        <w:rPr>
          <w:rStyle w:val="Style8"/>
          <w:sz w:val="18"/>
          <w:szCs w:val="18"/>
        </w:rPr>
        <w:t>www.trespassos-rs.com.br</w:t>
      </w:r>
    </w:hyperlink>
    <w:r>
      <w:rPr>
        <w:sz w:val="18"/>
        <w:szCs w:val="18"/>
      </w:rPr>
      <w:t xml:space="preserve"> -Telefone: (55) 3522-0406</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518160" cy="6280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63" t="-43" r="-63" b="-43"/>
                  <a:stretch>
                    <a:fillRect/>
                  </a:stretch>
                </pic:blipFill>
                <pic:spPr bwMode="auto">
                  <a:xfrm>
                    <a:off x="0" y="0"/>
                    <a:ext cx="518160" cy="628015"/>
                  </a:xfrm>
                  <a:prstGeom prst="rect">
                    <a:avLst/>
                  </a:prstGeom>
                  <a:noFill/>
                </pic:spPr>
              </pic:pic>
            </a:graphicData>
          </a:graphic>
        </wp:inline>
      </w:drawing>
    </w:r>
  </w:p>
  <w:p>
    <w:pPr>
      <w:pStyle w:val="Header"/>
      <w:jc w:val="center"/>
      <w:rPr/>
    </w:pPr>
    <w:r>
      <w:rPr/>
      <w:t>Estado do Rio Grande do Sul</w:t>
    </w:r>
  </w:p>
  <w:p>
    <w:pPr>
      <w:pStyle w:val="Header"/>
      <w:jc w:val="center"/>
      <w:rPr>
        <w:b/>
      </w:rPr>
    </w:pPr>
    <w:r>
      <w:rPr>
        <w:b/>
      </w:rPr>
      <w:t>Município de Três Passos</w:t>
    </w:r>
  </w:p>
  <w:p>
    <w:pPr>
      <w:pStyle w:val="Header"/>
      <w:jc w:val="center"/>
      <w:rPr/>
    </w:pPr>
    <w:r>
      <w:rPr/>
      <w:t>Poder Executivo</w:t>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518160" cy="628015"/>
          <wp:effectExtent l="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pic:cNvPicPr>
                    <a:picLocks noChangeAspect="1" noChangeArrowheads="1"/>
                  </pic:cNvPicPr>
                </pic:nvPicPr>
                <pic:blipFill>
                  <a:blip r:embed="rId1"/>
                  <a:srcRect l="-63" t="-43" r="-63" b="-43"/>
                  <a:stretch>
                    <a:fillRect/>
                  </a:stretch>
                </pic:blipFill>
                <pic:spPr bwMode="auto">
                  <a:xfrm>
                    <a:off x="0" y="0"/>
                    <a:ext cx="518160" cy="628015"/>
                  </a:xfrm>
                  <a:prstGeom prst="rect">
                    <a:avLst/>
                  </a:prstGeom>
                  <a:noFill/>
                </pic:spPr>
              </pic:pic>
            </a:graphicData>
          </a:graphic>
        </wp:inline>
      </w:drawing>
    </w:r>
  </w:p>
  <w:p>
    <w:pPr>
      <w:pStyle w:val="Header"/>
      <w:jc w:val="center"/>
      <w:rPr/>
    </w:pPr>
    <w:r>
      <w:rPr/>
      <w:t>Estado do Rio Grande do Sul</w:t>
    </w:r>
  </w:p>
  <w:p>
    <w:pPr>
      <w:pStyle w:val="Header"/>
      <w:jc w:val="center"/>
      <w:rPr>
        <w:b/>
      </w:rPr>
    </w:pPr>
    <w:r>
      <w:rPr>
        <w:b/>
      </w:rPr>
      <w:t>Município de Três Passos</w:t>
    </w:r>
  </w:p>
  <w:p>
    <w:pPr>
      <w:pStyle w:val="Header"/>
      <w:jc w:val="center"/>
      <w:rPr/>
    </w:pPr>
    <w:r>
      <w:rPr/>
      <w:t>Poder Executivo</w:t>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405" w:hanging="405"/>
      </w:pPr>
      <w:rPr>
        <w:rFonts w:eastAsia="Calibri" w:cs="Calibri"/>
        <w:b/>
        <w:sz w:val="22"/>
        <w:szCs w:val="22"/>
      </w:rPr>
    </w:lvl>
    <w:lvl w:ilvl="1">
      <w:start w:val="1"/>
      <w:numFmt w:val="decimal"/>
      <w:lvlText w:val="%1.%2."/>
      <w:lvlJc w:val="left"/>
      <w:pPr>
        <w:tabs>
          <w:tab w:val="num" w:pos="0"/>
        </w:tabs>
        <w:ind w:left="405" w:hanging="405"/>
      </w:pPr>
      <w:rPr>
        <w:rFonts w:ascii="Times New Roman" w:hAnsi="Times New Roman" w:eastAsia="Calibri" w:cs="Calibri"/>
        <w:b/>
        <w:color w:val="000000"/>
        <w:sz w:val="22"/>
        <w:szCs w:val="22"/>
      </w:rPr>
    </w:lvl>
    <w:lvl w:ilvl="2">
      <w:start w:val="1"/>
      <w:numFmt w:val="decimal"/>
      <w:lvlText w:val="%1.%2.%3."/>
      <w:lvlJc w:val="left"/>
      <w:pPr>
        <w:tabs>
          <w:tab w:val="num" w:pos="0"/>
        </w:tabs>
        <w:ind w:left="720" w:hanging="720"/>
      </w:pPr>
      <w:rPr>
        <w:rFonts w:eastAsia="Calibri" w:cs="Calibri"/>
        <w:b/>
        <w:color w:val="000000"/>
        <w:sz w:val="22"/>
        <w:szCs w:val="22"/>
      </w:rPr>
    </w:lvl>
    <w:lvl w:ilvl="3">
      <w:start w:val="1"/>
      <w:numFmt w:val="decimal"/>
      <w:lvlText w:val="%1.%2.%3.%4."/>
      <w:lvlJc w:val="left"/>
      <w:pPr>
        <w:tabs>
          <w:tab w:val="num" w:pos="0"/>
        </w:tabs>
        <w:ind w:left="720" w:hanging="720"/>
      </w:pPr>
      <w:rPr>
        <w:rFonts w:eastAsia="Calibri" w:cs="Calibri"/>
        <w:b/>
        <w:sz w:val="22"/>
        <w:szCs w:val="22"/>
      </w:rPr>
    </w:lvl>
    <w:lvl w:ilvl="4">
      <w:start w:val="1"/>
      <w:numFmt w:val="decimal"/>
      <w:lvlText w:val="%1.%2.%3.%4.%5."/>
      <w:lvlJc w:val="left"/>
      <w:pPr>
        <w:tabs>
          <w:tab w:val="num" w:pos="0"/>
        </w:tabs>
        <w:ind w:left="1080" w:hanging="1080"/>
      </w:pPr>
      <w:rPr>
        <w:rFonts w:eastAsia="Calibri" w:cs="Calibri"/>
        <w:b/>
        <w:sz w:val="22"/>
        <w:szCs w:val="22"/>
      </w:rPr>
    </w:lvl>
    <w:lvl w:ilvl="5">
      <w:start w:val="1"/>
      <w:numFmt w:val="decimal"/>
      <w:lvlText w:val="%1.%2.%3.%4.%5.%6."/>
      <w:lvlJc w:val="left"/>
      <w:pPr>
        <w:tabs>
          <w:tab w:val="num" w:pos="0"/>
        </w:tabs>
        <w:ind w:left="1080" w:hanging="1080"/>
      </w:pPr>
      <w:rPr>
        <w:rFonts w:eastAsia="Calibri" w:cs="Calibri"/>
        <w:b/>
        <w:sz w:val="22"/>
        <w:szCs w:val="22"/>
      </w:rPr>
    </w:lvl>
    <w:lvl w:ilvl="6">
      <w:start w:val="1"/>
      <w:numFmt w:val="decimal"/>
      <w:lvlText w:val="%1.%2.%3.%4.%5.%6.%7."/>
      <w:lvlJc w:val="left"/>
      <w:pPr>
        <w:tabs>
          <w:tab w:val="num" w:pos="0"/>
        </w:tabs>
        <w:ind w:left="1440" w:hanging="1440"/>
      </w:pPr>
      <w:rPr>
        <w:rFonts w:eastAsia="Calibri" w:cs="Calibri"/>
        <w:b/>
        <w:sz w:val="22"/>
        <w:szCs w:val="22"/>
      </w:rPr>
    </w:lvl>
    <w:lvl w:ilvl="7">
      <w:start w:val="1"/>
      <w:numFmt w:val="decimal"/>
      <w:lvlText w:val="%1.%2.%3.%4.%5.%6.%7.%8."/>
      <w:lvlJc w:val="left"/>
      <w:pPr>
        <w:tabs>
          <w:tab w:val="num" w:pos="0"/>
        </w:tabs>
        <w:ind w:left="1440" w:hanging="1440"/>
      </w:pPr>
      <w:rPr>
        <w:rFonts w:eastAsia="Calibri" w:cs="Calibri"/>
        <w:b/>
        <w:sz w:val="22"/>
        <w:szCs w:val="22"/>
      </w:rPr>
    </w:lvl>
    <w:lvl w:ilvl="8">
      <w:start w:val="1"/>
      <w:numFmt w:val="decimal"/>
      <w:lvlText w:val="%1.%2.%3.%4.%5.%6.%7.%8.%9."/>
      <w:lvlJc w:val="left"/>
      <w:pPr>
        <w:tabs>
          <w:tab w:val="num" w:pos="0"/>
        </w:tabs>
        <w:ind w:left="1800" w:hanging="1800"/>
      </w:pPr>
      <w:rPr>
        <w:rFonts w:eastAsia="Calibri" w:cs="Calibri"/>
        <w:b/>
        <w:sz w:val="22"/>
        <w:szCs w:val="22"/>
      </w:rPr>
    </w:lvl>
  </w:abstractNum>
  <w:abstractNum w:abstractNumId="3">
    <w:lvl w:ilvl="0">
      <w:start w:val="1"/>
      <w:numFmt w:val="decimal"/>
      <w:lvlText w:val="%1."/>
      <w:lvlJc w:val="left"/>
      <w:pPr>
        <w:tabs>
          <w:tab w:val="num" w:pos="0"/>
        </w:tabs>
        <w:ind w:left="360" w:hanging="360"/>
      </w:pPr>
      <w:rPr>
        <w:rFonts w:eastAsia="Calibri" w:cs="Calibri"/>
        <w:b/>
      </w:rPr>
    </w:lvl>
    <w:lvl w:ilvl="1">
      <w:start w:val="1"/>
      <w:numFmt w:val="decimal"/>
      <w:lvlText w:val="%1.%2."/>
      <w:lvlJc w:val="left"/>
      <w:pPr>
        <w:tabs>
          <w:tab w:val="num" w:pos="0"/>
        </w:tabs>
        <w:ind w:left="574" w:hanging="432"/>
      </w:pPr>
      <w:rPr>
        <w:rFonts w:eastAsia="Calibri" w:cs="Calibri"/>
        <w:b/>
        <w:color w:val="000000"/>
        <w:sz w:val="22"/>
        <w:szCs w:val="22"/>
      </w:rPr>
    </w:lvl>
    <w:lvl w:ilvl="2">
      <w:start w:val="1"/>
      <w:numFmt w:val="decimal"/>
      <w:lvlText w:val="%1.%2.%3."/>
      <w:lvlJc w:val="left"/>
      <w:pPr>
        <w:tabs>
          <w:tab w:val="num" w:pos="0"/>
        </w:tabs>
        <w:ind w:left="646" w:hanging="504"/>
      </w:pPr>
      <w:rPr>
        <w:rFonts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eastAsia="zh-CN" w:val="pt-BR" w:bidi="ar-SA"/>
    </w:rPr>
  </w:style>
  <w:style w:type="paragraph" w:styleId="Heading6">
    <w:name w:val="heading 6"/>
    <w:basedOn w:val="Normal"/>
    <w:next w:val="Normal"/>
    <w:uiPriority w:val="9"/>
    <w:unhideWhenUsed/>
    <w:qFormat/>
    <w:pPr>
      <w:spacing w:before="240" w:after="60"/>
      <w:outlineLvl w:val="5"/>
    </w:pPr>
    <w:rPr>
      <w:rFonts w:ascii="Calibri" w:hAnsi="Calibri" w:cs="Calibri"/>
      <w:b/>
      <w:bCs/>
    </w:rPr>
  </w:style>
  <w:style w:type="character" w:styleId="DefaultParagraphFont" w:default="1">
    <w:name w:val="Default Paragraph Font"/>
    <w:uiPriority w:val="1"/>
    <w:semiHidden/>
    <w:unhideWhenUsed/>
    <w:qFormat/>
    <w:rPr/>
  </w:style>
  <w:style w:type="character" w:styleId="Ttulo6Char" w:customStyle="1">
    <w:name w:val="Título 6 Char"/>
    <w:basedOn w:val="DefaultParagraphFont"/>
    <w:qFormat/>
    <w:rPr>
      <w:rFonts w:ascii="Calibri" w:hAnsi="Calibri" w:eastAsia="Times New Roman" w:cs="Calibri"/>
      <w:b/>
      <w:bCs/>
      <w:sz w:val="20"/>
      <w:szCs w:val="20"/>
      <w:lang w:eastAsia="zh-CN"/>
    </w:rPr>
  </w:style>
  <w:style w:type="character" w:styleId="Hyperlink1" w:customStyle="1">
    <w:name w:val="Hyperlink1"/>
    <w:qFormat/>
    <w:rPr>
      <w:color w:val="000080"/>
      <w:u w:val="single"/>
    </w:rPr>
  </w:style>
  <w:style w:type="character" w:styleId="CorpodetextoChar" w:customStyle="1">
    <w:name w:val="Corpo de texto Char"/>
    <w:basedOn w:val="DefaultParagraphFont"/>
    <w:qFormat/>
    <w:rPr>
      <w:rFonts w:ascii="Times New Roman" w:hAnsi="Times New Roman" w:eastAsia="Times New Roman" w:cs="Times New Roman"/>
      <w:sz w:val="20"/>
      <w:szCs w:val="20"/>
      <w:lang w:eastAsia="zh-CN"/>
    </w:rPr>
  </w:style>
  <w:style w:type="character" w:styleId="CabealhoChar" w:customStyle="1">
    <w:name w:val="Cabeçalho Char"/>
    <w:basedOn w:val="DefaultParagraphFont"/>
    <w:qFormat/>
    <w:rPr>
      <w:rFonts w:ascii="Times New Roman" w:hAnsi="Times New Roman" w:eastAsia="Times New Roman" w:cs="Times New Roman"/>
      <w:sz w:val="20"/>
      <w:szCs w:val="20"/>
      <w:lang w:eastAsia="zh-CN"/>
    </w:rPr>
  </w:style>
  <w:style w:type="character" w:styleId="RodapChar" w:customStyle="1">
    <w:name w:val="Rodapé Char"/>
    <w:basedOn w:val="DefaultParagraphFont"/>
    <w:qFormat/>
    <w:rPr>
      <w:rFonts w:ascii="Times New Roman" w:hAnsi="Times New Roman" w:eastAsia="Times New Roman" w:cs="Times New Roman"/>
      <w:sz w:val="20"/>
      <w:szCs w:val="20"/>
      <w:lang w:eastAsia="zh-CN"/>
    </w:rPr>
  </w:style>
  <w:style w:type="character" w:styleId="Smbolosdenumeraouser" w:customStyle="1">
    <w:name w:val="Símbolos de numeração (user)"/>
    <w:qFormat/>
    <w:rPr/>
  </w:style>
  <w:style w:type="character" w:styleId="Strong">
    <w:name w:val="Strong"/>
    <w:qFormat/>
    <w:rPr>
      <w:b/>
      <w:bCs/>
    </w:rPr>
  </w:style>
  <w:style w:type="character" w:styleId="RodapChar1" w:customStyle="1">
    <w:name w:val="Rodapé Char1"/>
    <w:basedOn w:val="DefaultParagraphFont"/>
    <w:uiPriority w:val="99"/>
    <w:qFormat/>
    <w:rsid w:val="000f1792"/>
    <w:rPr>
      <w:rFonts w:ascii="Times New Roman" w:hAnsi="Times New Roman" w:eastAsia="Times New Roman" w:cs="Times New Roman"/>
      <w:szCs w:val="20"/>
      <w:lang w:eastAsia="zh-CN"/>
    </w:rPr>
  </w:style>
  <w:style w:type="character" w:styleId="Emphasis">
    <w:name w:val="Emphasis"/>
    <w:qFormat/>
    <w:rPr>
      <w:i/>
      <w:iCs/>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Lucida Sans"/>
    </w:rPr>
  </w:style>
  <w:style w:type="paragraph" w:styleId="Title">
    <w:name w:val="Title"/>
    <w:basedOn w:val="Normal"/>
    <w:next w:val="BodyText"/>
    <w:uiPriority w:val="10"/>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Arial"/>
    </w:rPr>
  </w:style>
  <w:style w:type="paragraph" w:styleId="CabealhoeRodap" w:customStyle="1">
    <w:name w:val="Cabeçalho e Rodapé"/>
    <w:basedOn w:val="Normal"/>
    <w:qFormat/>
    <w:pPr/>
    <w:rPr/>
  </w:style>
  <w:style w:type="paragraph" w:styleId="Cabealhoerodap1" w:customStyle="1">
    <w:name w:val="Cabeçalho e rodapé1"/>
    <w:basedOn w:val="Normal"/>
    <w:qFormat/>
    <w:pPr/>
    <w:rPr/>
  </w:style>
  <w:style w:type="paragraph" w:styleId="Cabealhoerodap2" w:customStyle="1">
    <w:name w:val="Cabeçalho e rodapé2"/>
    <w:basedOn w:val="Normal"/>
    <w:qFormat/>
    <w:pPr/>
    <w:rPr/>
  </w:style>
  <w:style w:type="paragraph" w:styleId="Cabealhoerodap3">
    <w:name w:val="Cabeçalho e rodapé3"/>
    <w:basedOn w:val="Normal"/>
    <w:qFormat/>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link w:val="RodapChar1"/>
    <w:uiPriority w:val="99"/>
    <w:pPr>
      <w:tabs>
        <w:tab w:val="clear" w:pos="708"/>
        <w:tab w:val="center" w:pos="4252" w:leader="none"/>
        <w:tab w:val="right" w:pos="8504" w:leader="none"/>
      </w:tabs>
    </w:pPr>
    <w:rPr/>
  </w:style>
  <w:style w:type="paragraph" w:styleId="Contedodatabelauser" w:customStyle="1">
    <w:name w:val="Conteúdo da tabela (user)"/>
    <w:basedOn w:val="Normal"/>
    <w:qFormat/>
    <w:pPr>
      <w:suppressLineNumbers/>
    </w:pPr>
    <w:rPr/>
  </w:style>
  <w:style w:type="paragraph" w:styleId="Contedodoquadrouser" w:customStyle="1">
    <w:name w:val="Conteúdo do quadro (user)"/>
    <w:basedOn w:val="Normal"/>
    <w:qFormat/>
    <w:pPr/>
    <w:rPr/>
  </w:style>
  <w:style w:type="paragraph" w:styleId="ListParagraph">
    <w:name w:val="List Paragraph"/>
    <w:basedOn w:val="Normal"/>
    <w:qFormat/>
    <w:pPr>
      <w:spacing w:before="0" w:after="0"/>
      <w:ind w:left="720"/>
      <w:contextualSpacing/>
    </w:pPr>
    <w:rPr/>
  </w:style>
  <w:style w:type="paragraph" w:styleId="Ttulodetabelauser" w:customStyle="1">
    <w:name w:val="Título de tabela (user)"/>
    <w:basedOn w:val="Contedodatabelauser"/>
    <w:qFormat/>
    <w:pPr>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trespassos.rs.gov.br/" TargetMode="Externa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www.trespassos-rs.com.br/" TargetMode="External"/>
</Relationships>
</file>

<file path=word/_rels/footer3.xml.rels><?xml version="1.0" encoding="UTF-8"?>
<Relationships xmlns="http://schemas.openxmlformats.org/package/2006/relationships"><Relationship Id="rId1" Type="http://schemas.openxmlformats.org/officeDocument/2006/relationships/hyperlink" Target="http://www.trespassos-rs.com.br/" TargetMode="Externa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1358</TotalTime>
  <Application>LibreOffice/26.2.4.2$Windows_X86_64 LibreOffice_project/0229ac93fcf0d7cbc6376066c6f35021cef002dc</Application>
  <AppVersion>15.0000</AppVersion>
  <Pages>9</Pages>
  <Words>3410</Words>
  <Characters>19358</Characters>
  <CharactersWithSpaces>22581</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2024-07-22T19:48:00Z</dcterms:created>
  <dc:creator>Conta da Microsoft</dc:creator>
  <dc:description/>
  <dc:language>pt-BR</dc:language>
  <cp:lastModifiedBy/>
  <cp:lastPrinted>2026-04-15T14:00:00Z</cp:lastPrinted>
  <dcterms:modified xsi:type="dcterms:W3CDTF">2026-07-14T09:33:25Z</dcterms:modified>
  <cp:revision>47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