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4"/>
        </w:numPr>
        <w:pBdr>
          <w:top w:val="single" w:sz="4" w:space="1" w:color="000000"/>
          <w:bottom w:val="single" w:sz="4" w:space="1" w:color="000000"/>
        </w:pBdr>
        <w:shd w:val="clear" w:color="auto" w:fill="FFFFFF" w:themeFill="background1"/>
        <w:jc w:val="center"/>
        <w:rPr>
          <w:rFonts w:eastAsia="Calibri"/>
          <w:b/>
          <w:b/>
          <w:sz w:val="22"/>
          <w:szCs w:val="22"/>
          <w:highlight w:val="yellow"/>
        </w:rPr>
      </w:pPr>
      <w:r>
        <w:rPr>
          <w:rFonts w:eastAsia="Calibri"/>
          <w:b/>
          <w:sz w:val="22"/>
          <w:szCs w:val="22"/>
          <w:shd w:fill="FFFFFF" w:val="clear"/>
        </w:rPr>
        <w:t xml:space="preserve">ANEXO I – </w:t>
      </w:r>
      <w:r>
        <w:rPr>
          <w:rFonts w:eastAsia="Calibri"/>
          <w:b/>
          <w:sz w:val="22"/>
          <w:szCs w:val="22"/>
          <w:highlight w:val="white"/>
        </w:rPr>
        <w:t>TERMO DE REFERÊNCIA</w:t>
      </w:r>
    </w:p>
    <w:p>
      <w:pPr>
        <w:pStyle w:val="Normal"/>
        <w:ind w:left="720" w:hanging="0"/>
        <w:jc w:val="right"/>
        <w:rPr>
          <w:rFonts w:eastAsia="Calibri"/>
          <w:sz w:val="22"/>
          <w:szCs w:val="22"/>
        </w:rPr>
      </w:pPr>
      <w:r>
        <w:rPr>
          <w:rFonts w:eastAsia="Calibri"/>
          <w:sz w:val="22"/>
          <w:szCs w:val="22"/>
        </w:rPr>
      </w:r>
    </w:p>
    <w:p>
      <w:pPr>
        <w:pStyle w:val="Normal"/>
        <w:numPr>
          <w:ilvl w:val="0"/>
          <w:numId w:val="2"/>
        </w:numPr>
        <w:shd w:val="clear" w:color="auto" w:fill="FFFFFF" w:themeFill="background1"/>
        <w:tabs>
          <w:tab w:val="clear" w:pos="708"/>
          <w:tab w:val="left" w:pos="284" w:leader="none"/>
        </w:tabs>
        <w:suppressAutoHyphens w:val="false"/>
        <w:jc w:val="both"/>
        <w:rPr/>
      </w:pPr>
      <w:r>
        <w:rPr>
          <w:rFonts w:eastAsia="Calibri"/>
          <w:b/>
          <w:color w:val="000000"/>
          <w:sz w:val="22"/>
          <w:szCs w:val="22"/>
          <w:u w:val="single"/>
        </w:rPr>
        <w:t>OBJETO:</w:t>
      </w:r>
    </w:p>
    <w:p>
      <w:pPr>
        <w:pStyle w:val="Normal"/>
        <w:shd w:val="clear" w:color="auto" w:fill="FFFFFF" w:themeFill="background1"/>
        <w:tabs>
          <w:tab w:val="clear" w:pos="708"/>
          <w:tab w:val="left" w:pos="284" w:leader="none"/>
        </w:tabs>
        <w:suppressAutoHyphens w:val="false"/>
        <w:ind w:left="405" w:hanging="0"/>
        <w:jc w:val="both"/>
        <w:rPr>
          <w:rFonts w:eastAsia="Calibri"/>
          <w:b/>
          <w:b/>
          <w:sz w:val="22"/>
          <w:szCs w:val="22"/>
        </w:rPr>
      </w:pPr>
      <w:r>
        <w:rPr>
          <w:rFonts w:eastAsia="Calibri"/>
          <w:b/>
          <w:sz w:val="22"/>
          <w:szCs w:val="22"/>
        </w:rPr>
        <w:t xml:space="preserve"> </w:t>
      </w:r>
    </w:p>
    <w:p>
      <w:pPr>
        <w:pStyle w:val="Normal"/>
        <w:numPr>
          <w:ilvl w:val="1"/>
          <w:numId w:val="2"/>
        </w:numPr>
        <w:tabs>
          <w:tab w:val="clear" w:pos="708"/>
          <w:tab w:val="left" w:pos="426" w:leader="none"/>
        </w:tabs>
        <w:suppressAutoHyphens w:val="false"/>
        <w:ind w:left="0" w:hanging="0"/>
        <w:jc w:val="both"/>
        <w:rPr/>
      </w:pPr>
      <w:r>
        <w:rPr>
          <w:rFonts w:eastAsia="Calibri"/>
          <w:color w:val="000000"/>
          <w:sz w:val="22"/>
          <w:szCs w:val="22"/>
        </w:rPr>
        <w:t>Aquisição de uma unidade de</w:t>
      </w:r>
      <w:bookmarkStart w:id="0" w:name="__DdeLink__2569_930514575"/>
      <w:r>
        <w:rPr>
          <w:rFonts w:eastAsia="Calibri"/>
          <w:color w:val="000000"/>
          <w:sz w:val="22"/>
          <w:szCs w:val="22"/>
        </w:rPr>
        <w:t xml:space="preserve"> </w:t>
      </w:r>
      <w:bookmarkStart w:id="1" w:name="__DdeLink__4200_20709395"/>
      <w:r>
        <w:rPr>
          <w:rFonts w:eastAsia="Calibri"/>
          <w:color w:val="000000"/>
          <w:sz w:val="22"/>
          <w:szCs w:val="22"/>
        </w:rPr>
        <w:t>Motoniveladora, por meio de processo de Adesão à Ata de Registro de Preços (Consórcio CIRAU/RS), a fim de integrar a frota de máquinas rodoviárias da Secretaria Municipal de Transportes</w:t>
      </w:r>
      <w:bookmarkEnd w:id="0"/>
      <w:bookmarkEnd w:id="1"/>
      <w:r>
        <w:rPr>
          <w:rFonts w:eastAsia="Calibri" w:cs="Arial"/>
          <w:color w:val="000000"/>
          <w:sz w:val="22"/>
          <w:szCs w:val="22"/>
          <w:highlight w:val="white"/>
        </w:rPr>
        <w:t xml:space="preserve">, </w:t>
      </w:r>
      <w:r>
        <w:rPr>
          <w:rFonts w:eastAsia="Calibri"/>
          <w:color w:val="000000"/>
          <w:sz w:val="22"/>
          <w:szCs w:val="22"/>
        </w:rPr>
        <w:t>conforme natureza, condições, quantidades e exigências estabelecidas neste instrumento:</w:t>
      </w:r>
    </w:p>
    <w:p>
      <w:pPr>
        <w:pStyle w:val="Normal"/>
        <w:numPr>
          <w:ilvl w:val="0"/>
          <w:numId w:val="0"/>
        </w:numPr>
        <w:tabs>
          <w:tab w:val="clear" w:pos="708"/>
          <w:tab w:val="left" w:pos="426" w:leader="none"/>
        </w:tabs>
        <w:suppressAutoHyphens w:val="false"/>
        <w:ind w:left="405" w:hanging="0"/>
        <w:jc w:val="both"/>
        <w:rPr>
          <w:rFonts w:eastAsia="Calibri"/>
          <w:color w:val="000000"/>
          <w:sz w:val="22"/>
          <w:szCs w:val="22"/>
        </w:rPr>
      </w:pPr>
      <w:r>
        <w:rPr>
          <w:rFonts w:eastAsia="Calibri"/>
          <w:color w:val="000000"/>
          <w:sz w:val="22"/>
          <w:szCs w:val="22"/>
        </w:rPr>
      </w:r>
    </w:p>
    <w:p>
      <w:pPr>
        <w:pStyle w:val="Normal"/>
        <w:numPr>
          <w:ilvl w:val="0"/>
          <w:numId w:val="0"/>
        </w:numPr>
        <w:tabs>
          <w:tab w:val="clear" w:pos="708"/>
          <w:tab w:val="left" w:pos="426" w:leader="none"/>
        </w:tabs>
        <w:suppressAutoHyphens w:val="false"/>
        <w:ind w:left="405" w:hanging="0"/>
        <w:jc w:val="both"/>
        <w:rPr>
          <w:rFonts w:eastAsia="Calibri"/>
          <w:color w:val="000000"/>
          <w:sz w:val="22"/>
          <w:szCs w:val="22"/>
        </w:rPr>
      </w:pPr>
      <w:r>
        <w:rPr>
          <w:rFonts w:eastAsia="Calibri"/>
          <w:color w:val="000000"/>
          <w:sz w:val="22"/>
          <w:szCs w:val="22"/>
        </w:rPr>
      </w:r>
    </w:p>
    <w:tbl>
      <w:tblPr>
        <w:tblW w:w="10374" w:type="dxa"/>
        <w:jc w:val="left"/>
        <w:tblInd w:w="-1101" w:type="dxa"/>
        <w:tblCellMar>
          <w:top w:w="10" w:type="dxa"/>
          <w:left w:w="2" w:type="dxa"/>
          <w:bottom w:w="0" w:type="dxa"/>
          <w:right w:w="17" w:type="dxa"/>
        </w:tblCellMar>
      </w:tblPr>
      <w:tblGrid>
        <w:gridCol w:w="786"/>
        <w:gridCol w:w="5905"/>
        <w:gridCol w:w="1007"/>
        <w:gridCol w:w="1357"/>
        <w:gridCol w:w="1319"/>
      </w:tblGrid>
      <w:tr>
        <w:trPr>
          <w:trHeight w:val="468" w:hRule="atLeast"/>
        </w:trPr>
        <w:tc>
          <w:tcPr>
            <w:tcW w:w="786" w:type="dxa"/>
            <w:tcBorders>
              <w:top w:val="single" w:sz="2" w:space="0" w:color="000000"/>
              <w:left w:val="single" w:sz="2" w:space="0" w:color="000000"/>
              <w:bottom w:val="single" w:sz="2" w:space="0" w:color="000000"/>
            </w:tcBorders>
            <w:shd w:fill="auto" w:val="clear"/>
            <w:vAlign w:val="center"/>
          </w:tcPr>
          <w:p>
            <w:pPr>
              <w:pStyle w:val="Normal"/>
              <w:ind w:left="100" w:right="0" w:hanging="0"/>
              <w:jc w:val="both"/>
              <w:rPr/>
            </w:pPr>
            <w:r>
              <w:rPr>
                <w:b/>
              </w:rPr>
              <w:t xml:space="preserve">ITEM </w:t>
            </w:r>
          </w:p>
        </w:tc>
        <w:tc>
          <w:tcPr>
            <w:tcW w:w="5905" w:type="dxa"/>
            <w:tcBorders>
              <w:top w:val="single" w:sz="2" w:space="0" w:color="000000"/>
              <w:left w:val="single" w:sz="2" w:space="0" w:color="000000"/>
              <w:bottom w:val="single" w:sz="2" w:space="0" w:color="000000"/>
            </w:tcBorders>
            <w:shd w:fill="auto" w:val="clear"/>
            <w:vAlign w:val="center"/>
          </w:tcPr>
          <w:p>
            <w:pPr>
              <w:pStyle w:val="Normal"/>
              <w:ind w:left="15" w:right="0" w:hanging="0"/>
              <w:jc w:val="center"/>
              <w:rPr>
                <w:b/>
                <w:b/>
              </w:rPr>
            </w:pPr>
            <w:r>
              <w:rPr>
                <w:b/>
              </w:rPr>
            </w:r>
          </w:p>
          <w:p>
            <w:pPr>
              <w:pStyle w:val="Normal"/>
              <w:ind w:left="15" w:right="0" w:hanging="0"/>
              <w:jc w:val="center"/>
              <w:rPr>
                <w:b/>
                <w:b/>
              </w:rPr>
            </w:pPr>
            <w:r>
              <w:rPr>
                <w:b/>
              </w:rPr>
            </w:r>
          </w:p>
          <w:p>
            <w:pPr>
              <w:pStyle w:val="Normal"/>
              <w:ind w:right="0" w:hanging="0"/>
              <w:jc w:val="center"/>
              <w:rPr/>
            </w:pPr>
            <w:r>
              <w:rPr>
                <w:b/>
              </w:rPr>
              <w:t xml:space="preserve">DESCRIÇÃO </w:t>
            </w:r>
          </w:p>
          <w:p>
            <w:pPr>
              <w:pStyle w:val="Normal"/>
              <w:ind w:left="15" w:right="0" w:hanging="0"/>
              <w:jc w:val="center"/>
              <w:rPr>
                <w:b/>
                <w:b/>
              </w:rPr>
            </w:pPr>
            <w:r>
              <w:rPr>
                <w:b/>
              </w:rPr>
            </w:r>
          </w:p>
          <w:p>
            <w:pPr>
              <w:pStyle w:val="Normal"/>
              <w:suppressAutoHyphens w:val="false"/>
              <w:ind w:left="15" w:right="0" w:hanging="0"/>
              <w:jc w:val="center"/>
              <w:rPr/>
            </w:pPr>
            <w:r>
              <w:rPr>
                <w:rFonts w:eastAsia="Calibri" w:cs="Arial"/>
                <w:b w:val="false"/>
                <w:bCs w:val="false"/>
                <w:i/>
                <w:iCs/>
                <w:color w:val="000000"/>
                <w:sz w:val="18"/>
                <w:szCs w:val="18"/>
                <w:highlight w:val="white"/>
              </w:rPr>
              <w:t>ATA DE REGISTRO DE PREÇOS DO CONSÓRCIO CIRAU (PREGÃO ELETRÔNICO Nº 002/2025)</w:t>
            </w:r>
          </w:p>
          <w:p>
            <w:pPr>
              <w:pStyle w:val="Normal"/>
              <w:suppressAutoHyphens w:val="false"/>
              <w:ind w:left="15" w:right="0" w:hanging="0"/>
              <w:jc w:val="center"/>
              <w:rPr>
                <w:rFonts w:eastAsia="Calibri" w:cs="Arial"/>
                <w:color w:val="000000"/>
                <w:highlight w:val="white"/>
              </w:rPr>
            </w:pPr>
            <w:r>
              <w:rPr>
                <w:rFonts w:eastAsia="Calibri" w:cs="Arial"/>
                <w:color w:val="000000"/>
                <w:highlight w:val="white"/>
              </w:rPr>
            </w:r>
          </w:p>
        </w:tc>
        <w:tc>
          <w:tcPr>
            <w:tcW w:w="1007" w:type="dxa"/>
            <w:tcBorders>
              <w:top w:val="single" w:sz="2" w:space="0" w:color="000000"/>
              <w:left w:val="single" w:sz="2" w:space="0" w:color="000000"/>
              <w:bottom w:val="single" w:sz="2" w:space="0" w:color="000000"/>
            </w:tcBorders>
            <w:shd w:fill="auto" w:val="clear"/>
            <w:vAlign w:val="center"/>
          </w:tcPr>
          <w:p>
            <w:pPr>
              <w:pStyle w:val="Normal"/>
              <w:ind w:left="212" w:right="0" w:hanging="0"/>
              <w:rPr/>
            </w:pPr>
            <w:r>
              <w:rPr>
                <w:b/>
              </w:rPr>
              <w:t xml:space="preserve"> </w:t>
            </w:r>
            <w:r>
              <w:rPr>
                <w:b/>
              </w:rPr>
              <w:t xml:space="preserve">QTD </w:t>
            </w:r>
          </w:p>
        </w:tc>
        <w:tc>
          <w:tcPr>
            <w:tcW w:w="1357" w:type="dxa"/>
            <w:tcBorders>
              <w:top w:val="single" w:sz="2" w:space="0" w:color="000000"/>
              <w:left w:val="single" w:sz="2" w:space="0" w:color="000000"/>
              <w:bottom w:val="single" w:sz="2" w:space="0" w:color="000000"/>
            </w:tcBorders>
            <w:shd w:fill="auto" w:val="clear"/>
          </w:tcPr>
          <w:p>
            <w:pPr>
              <w:pStyle w:val="Normal"/>
              <w:jc w:val="center"/>
              <w:rPr>
                <w:b/>
                <w:b/>
              </w:rPr>
            </w:pPr>
            <w:r>
              <w:rPr>
                <w:b/>
              </w:rPr>
            </w:r>
          </w:p>
          <w:p>
            <w:pPr>
              <w:pStyle w:val="Normal"/>
              <w:jc w:val="center"/>
              <w:rPr>
                <w:b/>
                <w:b/>
              </w:rPr>
            </w:pPr>
            <w:r>
              <w:rPr>
                <w:b/>
              </w:rPr>
            </w:r>
          </w:p>
          <w:p>
            <w:pPr>
              <w:pStyle w:val="Normal"/>
              <w:jc w:val="center"/>
              <w:rPr/>
            </w:pPr>
            <w:r>
              <w:rPr>
                <w:b/>
              </w:rPr>
              <w:t xml:space="preserve">VALOR UNITÁRIO  </w:t>
            </w:r>
          </w:p>
        </w:tc>
        <w:tc>
          <w:tcPr>
            <w:tcW w:w="1319" w:type="dxa"/>
            <w:tcBorders>
              <w:top w:val="single" w:sz="2" w:space="0" w:color="000000"/>
              <w:left w:val="single" w:sz="2" w:space="0" w:color="000000"/>
              <w:bottom w:val="single" w:sz="2" w:space="0" w:color="000000"/>
              <w:right w:val="single" w:sz="2" w:space="0" w:color="000000"/>
            </w:tcBorders>
            <w:shd w:fill="auto" w:val="clear"/>
          </w:tcPr>
          <w:p>
            <w:pPr>
              <w:pStyle w:val="Normal"/>
              <w:jc w:val="center"/>
              <w:rPr>
                <w:b/>
                <w:b/>
              </w:rPr>
            </w:pPr>
            <w:r>
              <w:rPr>
                <w:b/>
              </w:rPr>
            </w:r>
          </w:p>
          <w:p>
            <w:pPr>
              <w:pStyle w:val="Normal"/>
              <w:jc w:val="center"/>
              <w:rPr>
                <w:b/>
                <w:b/>
              </w:rPr>
            </w:pPr>
            <w:r>
              <w:rPr>
                <w:b/>
              </w:rPr>
            </w:r>
          </w:p>
          <w:p>
            <w:pPr>
              <w:pStyle w:val="Normal"/>
              <w:jc w:val="center"/>
              <w:rPr/>
            </w:pPr>
            <w:r>
              <w:rPr>
                <w:b/>
              </w:rPr>
              <w:t xml:space="preserve">VALOR TOTAL </w:t>
            </w:r>
          </w:p>
        </w:tc>
      </w:tr>
      <w:tr>
        <w:trPr>
          <w:trHeight w:val="700" w:hRule="atLeast"/>
        </w:trPr>
        <w:tc>
          <w:tcPr>
            <w:tcW w:w="786" w:type="dxa"/>
            <w:tcBorders>
              <w:top w:val="single" w:sz="2" w:space="0" w:color="000000"/>
              <w:left w:val="single" w:sz="2" w:space="0" w:color="000000"/>
              <w:bottom w:val="single" w:sz="2" w:space="0" w:color="000000"/>
            </w:tcBorders>
            <w:shd w:fill="auto" w:val="clear"/>
            <w:vAlign w:val="center"/>
          </w:tcPr>
          <w:p>
            <w:pPr>
              <w:pStyle w:val="Normal"/>
              <w:ind w:left="21" w:right="0" w:hanging="0"/>
              <w:jc w:val="center"/>
              <w:rPr/>
            </w:pPr>
            <w:r>
              <w:rPr/>
            </w:r>
          </w:p>
          <w:p>
            <w:pPr>
              <w:pStyle w:val="Normal"/>
              <w:ind w:left="21" w:right="0" w:hanging="0"/>
              <w:jc w:val="center"/>
              <w:rPr/>
            </w:pPr>
            <w:r>
              <w:rPr/>
            </w:r>
          </w:p>
          <w:p>
            <w:pPr>
              <w:pStyle w:val="Normal"/>
              <w:ind w:left="21" w:right="0" w:hanging="0"/>
              <w:jc w:val="center"/>
              <w:rPr/>
            </w:pPr>
            <w:r>
              <w:rPr/>
            </w:r>
          </w:p>
          <w:p>
            <w:pPr>
              <w:pStyle w:val="Normal"/>
              <w:ind w:right="0" w:hanging="0"/>
              <w:jc w:val="center"/>
              <w:rPr/>
            </w:pPr>
            <w:r>
              <w:rPr/>
            </w:r>
          </w:p>
          <w:p>
            <w:pPr>
              <w:pStyle w:val="Normal"/>
              <w:ind w:left="21" w:right="0" w:hanging="0"/>
              <w:jc w:val="center"/>
              <w:rPr/>
            </w:pPr>
            <w:r>
              <w:rPr/>
              <w:t>1</w:t>
            </w:r>
          </w:p>
        </w:tc>
        <w:tc>
          <w:tcPr>
            <w:tcW w:w="5905" w:type="dxa"/>
            <w:tcBorders>
              <w:top w:val="single" w:sz="2" w:space="0" w:color="000000"/>
              <w:left w:val="single" w:sz="2" w:space="0" w:color="000000"/>
              <w:bottom w:val="single" w:sz="2" w:space="0" w:color="000000"/>
            </w:tcBorders>
            <w:shd w:fill="auto" w:val="clear"/>
          </w:tcPr>
          <w:p>
            <w:pPr>
              <w:pStyle w:val="Normal"/>
              <w:widowControl/>
              <w:shd w:val="clear" w:fill="auto"/>
              <w:suppressAutoHyphens w:val="true"/>
              <w:overflowPunct w:val="false"/>
              <w:bidi w:val="0"/>
              <w:ind w:left="454" w:right="340" w:hanging="0"/>
              <w:jc w:val="both"/>
              <w:rPr/>
            </w:pPr>
            <w:r>
              <w:rPr>
                <w:b w:val="false"/>
                <w:bCs w:val="false"/>
              </w:rPr>
              <w:t>MOTONIVELADORA, NOVA, ZERO HORA, DE FABRICAÇÃO NACIONAL, MARCA NEW HOLLAND, MODELO RG140.B EVO, COR PREDOMINANTEMENTE AMARELA, ANO DE FABRICAÇÃO/MODELO 2025. PESO OPERACIONAL: 15.353 KG. MOTOR A DIESEL MODELO 6.7 L TIER III FPT DA MESMA MARCA DA FABRICANTE OU GRUPO DA FABRICANTE DO EQUIPAMENTO, 4 TEMPOS, INJEÇÃO DIRETA, 6 CILINDROS (EM LINHA), POTÊNCIA BRUTA (HP) (SAE J1995) A 2.200 RPM: 153/ 173/220 HP - POTÊNCIA LÍQUIDA (HP) (SAE J1349) A 2.200 RPM: 140/ 160 HP, ASPIRAÇÃO: TURBOALIMENTADO, CERTIFICAÇÃO MAR-1/TIER III DE EMISSÃO DE POLUENTES E AFTERCOOLER. TANQUE DE COMBUSTÍVEL COM CAPACIDADE PARA 360 LITROS. TRANSMISSÃO AUTOMÁTICA TIPO “POWERSHIFT” COM CONVERSOR DE TORQUE EQUIPADO COM LOCK-UP (BLOQUEIO DO CONVERSOR DE TORQUE TORNANDO A TRANSMISSÃO TIPO DIRECT DRIVE). CONTROLE ELETRÔNICO COM 6 VELOCIDADES À FRENTE E 3 À RÉ. PROTEÇÃO CONTRA REVERSÃO DE SENTIDO, SOBREVELOCIDADE E REDUÇÃO DE MARCHAS. MONITORAMENTO ELETRÔNICO DE FALHAS E SISTEMA AUXILIAR DE DESLOCAMENTO EM CASO DE FALHA (GO HOME). MARCHA VELOCIDADES (KM/H) AVANTE RÉ 1ª 5,0 5,3 2ª 7,7 12,6 3ª 11,9 29,2 4ª 18,4 5ª 27,7 6ª 42,8 LÂMINA CENTRAL COM CONTROLE HIDRÁULICO DE DESLOCAMENTO ANGULAR E LATERAL, EXCLUSIVO PERFIL EVOLVENTE ROLL AWAY, COM FACAS E BORDAS CORTANTES SUBSTITUÍVEIS. CONTROLE DE DESLOCAMENTO LATERAL E ANGULAR OPERADO HIDRAULICAMENTE. DIMENSÕES (COMPRIMENTO X ALTURA X ESPESSURA) 3.658 X 622 X 22 (STD), ELEVAÇÃO MÁXIMA DO SOLO 444 MM, ÂNGULO MÁXIMO DO TALUDE (AMBOS OS LADOS) 90º, ÂNGULO DE INCLINAÇÃO DA LÂMINA 40º À FRENTE 5º PARA TRÁS, PROFUNDIDADE DE CORTE 711 MM, DESLOCAMENTO LATERAL DA LÂMINA ESQUERDA 533 MM, DIREITA 686 MM, ALCANCE LATERAL MÁXIMO FORA DOS PNEUS COM DESLOCAMENTO DO CÍRCULO E SELA GIRADA NA ÚLTIMA POSIÇÃO DIREITA 1.912. MM, ESQUERDA 1.715 MM. PNEUS NOVOS 14X24 – 12L – G2 – SEM CÂMARA, CONDIZENTES COM AS DIMENSÕES DO EQUIPAMENTO E ESPECIFICAÇÕES/CATALOGO DO MODELO. ALARME SONORO DE DESLOCAMENTO A RÉ. CABINE FECHADA DE FÁBRICA COM AR CONDICIONADO ORIGINAL DE FÁBRICA, PROTEÇÕES DE TIPO ROPS/FOPS, ASSENTO DO OPERADOR ERGONÔMICO AJUSTÁVEL, COM APOIO PARA OS BRAÇOS, CINTO DE SEGURANÇA 3”, SUSPENSÃO MECÂNICA, PAINEL DE INSTRUMENTOS COM SISTEMA DE MONITORAMENTO ELETRÔNICO E.D.M (ELETRONIC DATA MONITOR), ACELERADOR MANUAL, ACELERADOR DE PEDAL, CHAVE GERAL, COLUNA DE DIREÇÃO AJUSTÁVEL, ESCADA DE ACESSO EM AMBOS OS LADOS, LIMPADOR DE PARA BRISA DIANTEIRO, LUZ DE TETO, RETROVISORES INTERNO E EXTERNOS, TOMADA DE 12 VOLTS, PORTA-COPOS E PREDISPOSIÇÃO PARA RÁDIO COM ALTO-FALANTES, LIMPADORES FRONTAIS INFERIORES E LIMPADOR TRASEIRO, GANCHO PARA PENDURAR CASACO. TODAS AS CABINES ROPS/FOPS SÃO CERTIFICADAS CONFORME AS NORMAS SAE J1040 (ROPS) E SAE J231 (FOPS). DIREÇÃO TIPO HIDROSTÁTICA, BOMBA ENGRENAGENS, 2 CILINDROS, ÂNGULO DE GIRO 42º, DIREÇÃO SUPLEMENTAR INTEGRADA AO SISTEMA DE DIREÇÃO. ÂNGULO DE ARTICULAÇÃO (PARA DIREITA E ESQUERDA) 25º, RAIO DE GIRO (MEDIDO POR FORA DOS PNEUS) 7.250 MM. EQUIPADA COM ESCARIFICADOR TRASEIRO 5 DENTES, RIPPER TRASEIRO 3 DENTES E CONTRAPESO DIANTEIRO. COMPRIMENTO TOTAL: 8.957 MM. LARGURA, MEDIDA EXTERNAMENTE AO PNEU: 2.495 MM. ALTURA ATÉ O TOPO DA CABINE: 3.400 MM. SISTEMA HIDRÁULICO: CONTROLES TOTALMENTE HIDRÁULICOS TIPO LOAD AND FLOW SENSE. CIRCUITOS DE CENTRO FECHADOS, BOMBA: PISTÕES AXIAIS DE FLUXO VARIÁVEL. EQUIPADA COM TODOS OS ITENS DE SÉRIE, CONFORME CATALOGO COMERCIAL DO PRODUTO E COM TODOS OS DEMAIS EQUIPAMENTOS E ITENS EXIGIDOS PELA LEGISLAÇÃO. GARANTIA TOTAL DO EQUIPAMENTO PELO PERÍODO DE 12 (DOZE) MESES SEM LIMITE DE HORAS, A CONTAR DO RECEBIMENTO DEFINITIVO DA MÁQUINA PELO CONTRATANTE. DURANTE O PERÍODO DE GARANTIA DA MÁQUINA DE, NO MÍNIMO, 12 (DOZE) MESES, SEM LIMITE DE HORAS A CONTAR DE EFETIVO RECEBIMENTO DA MÁQUINA PELO CONTRATANTE, A EMPRESA SHARK MAQUINAS RESPONSABILIZARÁ PELAS MANUTENÇÕES PERIÓDICAS E CORRETIVAS DOS EQUIPAMENTOS RODOVIÁRIOS QUE APRESENTAREM DEFEITOS (REVISÕES, INSPEÇÕES E MANUTENÇÕES PREVENTIVAS, CORRETIVAS E PREDITIVAS DE FÁBRICA), DEVENDO A MANUTENÇÃO SER REALIZADA NO TERRITÓRIO DO CONTRATANTE, EM LOCAL INDICADO POR ESTE, ARCANDO COM AS PEÇAS DE REPOSIÇÃO NECESSÁRIAS, ALÉM DO DESLOCAMENTO, MÃO DE OBRA, FILTROS, ÓLEO DO MOTOR, HIDRÁULICO E OUTROS. ASSISTÊNCIA TÉCNICA AUTORIZADA PELA FABRICANTE EM PASSO FUNDO – RS, DISTÂNCIA INFERIOR A 400 QUILÔMETROS DE TODOS OS MUNICÍPIOS INTEGRANTES DO CONSÓRCIO.</w:t>
            </w:r>
          </w:p>
        </w:tc>
        <w:tc>
          <w:tcPr>
            <w:tcW w:w="1007" w:type="dxa"/>
            <w:tcBorders>
              <w:top w:val="single" w:sz="2" w:space="0" w:color="000000"/>
              <w:left w:val="single" w:sz="2" w:space="0" w:color="000000"/>
              <w:bottom w:val="single" w:sz="2" w:space="0" w:color="000000"/>
            </w:tcBorders>
            <w:shd w:fill="auto" w:val="clear"/>
            <w:vAlign w:val="center"/>
          </w:tcPr>
          <w:p>
            <w:pPr>
              <w:pStyle w:val="Normal"/>
              <w:snapToGrid w:val="false"/>
              <w:ind w:left="23" w:right="0" w:hanging="0"/>
              <w:jc w:val="center"/>
              <w:rPr>
                <w:b/>
                <w:b/>
                <w:bCs/>
              </w:rPr>
            </w:pPr>
            <w:r>
              <w:rPr>
                <w:b/>
                <w:bCs/>
              </w:rPr>
            </w:r>
          </w:p>
          <w:p>
            <w:pPr>
              <w:pStyle w:val="Normal"/>
              <w:ind w:left="23" w:right="0" w:hanging="0"/>
              <w:jc w:val="center"/>
              <w:rPr>
                <w:b/>
                <w:b/>
                <w:bCs/>
              </w:rPr>
            </w:pPr>
            <w:r>
              <w:rPr>
                <w:b/>
                <w:bCs/>
              </w:rPr>
            </w:r>
          </w:p>
          <w:p>
            <w:pPr>
              <w:pStyle w:val="Normal"/>
              <w:ind w:left="23" w:right="0" w:hanging="0"/>
              <w:jc w:val="center"/>
              <w:rPr>
                <w:b/>
                <w:b/>
                <w:bCs/>
              </w:rPr>
            </w:pPr>
            <w:r>
              <w:rPr>
                <w:b/>
                <w:bCs/>
              </w:rPr>
            </w:r>
          </w:p>
          <w:p>
            <w:pPr>
              <w:pStyle w:val="Normal"/>
              <w:ind w:right="0" w:hanging="0"/>
              <w:jc w:val="center"/>
              <w:rPr>
                <w:b/>
                <w:b/>
                <w:bCs/>
              </w:rPr>
            </w:pPr>
            <w:r>
              <w:rPr>
                <w:b/>
                <w:bCs/>
              </w:rPr>
            </w:r>
          </w:p>
          <w:p>
            <w:pPr>
              <w:pStyle w:val="Normal"/>
              <w:ind w:left="0" w:right="0" w:hanging="0"/>
              <w:jc w:val="center"/>
              <w:rPr/>
            </w:pPr>
            <w:r>
              <w:rPr>
                <w:b/>
                <w:bCs/>
              </w:rPr>
              <w:t>01</w:t>
            </w:r>
          </w:p>
          <w:p>
            <w:pPr>
              <w:pStyle w:val="Normal"/>
              <w:ind w:left="23" w:right="0" w:hanging="0"/>
              <w:jc w:val="center"/>
              <w:rPr/>
            </w:pPr>
            <w:r>
              <w:rPr>
                <w:b/>
                <w:bCs/>
              </w:rPr>
              <w:t>Un.</w:t>
            </w:r>
          </w:p>
        </w:tc>
        <w:tc>
          <w:tcPr>
            <w:tcW w:w="1357" w:type="dxa"/>
            <w:tcBorders>
              <w:top w:val="single" w:sz="2" w:space="0" w:color="000000"/>
              <w:left w:val="single" w:sz="2" w:space="0" w:color="000000"/>
              <w:bottom w:val="single" w:sz="2" w:space="0" w:color="000000"/>
            </w:tcBorders>
            <w:shd w:fill="auto" w:val="clear"/>
            <w:vAlign w:val="center"/>
          </w:tcPr>
          <w:p>
            <w:pPr>
              <w:pStyle w:val="Normal"/>
              <w:snapToGrid w:val="false"/>
              <w:ind w:left="144" w:right="0" w:hanging="0"/>
              <w:jc w:val="center"/>
              <w:rPr>
                <w:highlight w:val="white"/>
              </w:rPr>
            </w:pPr>
            <w:r>
              <w:rPr>
                <w:highlight w:val="white"/>
              </w:rPr>
            </w:r>
          </w:p>
          <w:p>
            <w:pPr>
              <w:pStyle w:val="Normal"/>
              <w:ind w:left="144" w:right="0" w:hanging="0"/>
              <w:jc w:val="center"/>
              <w:rPr>
                <w:b/>
                <w:b/>
                <w:bCs/>
                <w:highlight w:val="white"/>
              </w:rPr>
            </w:pPr>
            <w:r>
              <w:rPr>
                <w:b/>
                <w:bCs/>
                <w:highlight w:val="white"/>
              </w:rPr>
            </w:r>
          </w:p>
          <w:p>
            <w:pPr>
              <w:pStyle w:val="Normal"/>
              <w:ind w:left="144" w:right="0" w:hanging="0"/>
              <w:jc w:val="center"/>
              <w:rPr>
                <w:b/>
                <w:b/>
                <w:bCs/>
                <w:highlight w:val="white"/>
              </w:rPr>
            </w:pPr>
            <w:r>
              <w:rPr>
                <w:b/>
                <w:bCs/>
                <w:highlight w:val="white"/>
              </w:rPr>
            </w:r>
          </w:p>
          <w:p>
            <w:pPr>
              <w:pStyle w:val="Normal"/>
              <w:ind w:left="144" w:right="0" w:hanging="0"/>
              <w:jc w:val="center"/>
              <w:rPr>
                <w:b/>
                <w:b/>
                <w:bCs/>
                <w:highlight w:val="white"/>
              </w:rPr>
            </w:pPr>
            <w:r>
              <w:rPr>
                <w:b/>
                <w:bCs/>
                <w:highlight w:val="white"/>
              </w:rPr>
            </w:r>
          </w:p>
          <w:p>
            <w:pPr>
              <w:pStyle w:val="Normal"/>
              <w:ind w:left="144" w:right="0" w:hanging="0"/>
              <w:jc w:val="center"/>
              <w:rPr/>
            </w:pPr>
            <w:r>
              <w:rPr>
                <w:b/>
                <w:bCs/>
                <w:highlight w:val="white"/>
              </w:rPr>
              <w:t xml:space="preserve">R$ </w:t>
            </w:r>
          </w:p>
          <w:p>
            <w:pPr>
              <w:pStyle w:val="Normal"/>
              <w:ind w:left="0" w:right="0" w:hanging="0"/>
              <w:jc w:val="center"/>
              <w:rPr/>
            </w:pPr>
            <w:r>
              <w:rPr>
                <w:highlight w:val="white"/>
              </w:rPr>
              <w:t xml:space="preserve">1.039.000,00 </w:t>
            </w:r>
          </w:p>
        </w:tc>
        <w:tc>
          <w:tcPr>
            <w:tcW w:w="1319" w:type="dxa"/>
            <w:tcBorders>
              <w:top w:val="single" w:sz="2" w:space="0" w:color="000000"/>
              <w:left w:val="single" w:sz="2" w:space="0" w:color="000000"/>
              <w:bottom w:val="single" w:sz="2" w:space="0" w:color="000000"/>
              <w:right w:val="single" w:sz="2" w:space="0" w:color="000000"/>
            </w:tcBorders>
            <w:shd w:fill="auto" w:val="clear"/>
            <w:vAlign w:val="center"/>
          </w:tcPr>
          <w:p>
            <w:pPr>
              <w:pStyle w:val="Normal"/>
              <w:snapToGrid w:val="false"/>
              <w:ind w:left="144" w:right="0" w:hanging="0"/>
              <w:jc w:val="center"/>
              <w:rPr>
                <w:highlight w:val="white"/>
              </w:rPr>
            </w:pPr>
            <w:r>
              <w:rPr>
                <w:highlight w:val="white"/>
              </w:rPr>
            </w:r>
          </w:p>
          <w:p>
            <w:pPr>
              <w:pStyle w:val="Normal"/>
              <w:ind w:left="144" w:right="0" w:hanging="0"/>
              <w:jc w:val="center"/>
              <w:rPr>
                <w:highlight w:val="white"/>
              </w:rPr>
            </w:pPr>
            <w:r>
              <w:rPr>
                <w:highlight w:val="white"/>
              </w:rPr>
            </w:r>
          </w:p>
          <w:p>
            <w:pPr>
              <w:pStyle w:val="Normal"/>
              <w:ind w:left="144" w:right="0" w:hanging="0"/>
              <w:jc w:val="center"/>
              <w:rPr>
                <w:highlight w:val="white"/>
              </w:rPr>
            </w:pPr>
            <w:r>
              <w:rPr>
                <w:highlight w:val="white"/>
              </w:rPr>
            </w:r>
          </w:p>
          <w:p>
            <w:pPr>
              <w:pStyle w:val="Normal"/>
              <w:ind w:left="144" w:right="0" w:hanging="0"/>
              <w:jc w:val="center"/>
              <w:rPr>
                <w:highlight w:val="white"/>
              </w:rPr>
            </w:pPr>
            <w:r>
              <w:rPr>
                <w:highlight w:val="white"/>
              </w:rPr>
            </w:r>
          </w:p>
          <w:p>
            <w:pPr>
              <w:pStyle w:val="Normal"/>
              <w:ind w:left="144" w:right="0" w:hanging="0"/>
              <w:jc w:val="center"/>
              <w:rPr>
                <w:highlight w:val="white"/>
              </w:rPr>
            </w:pPr>
            <w:r>
              <w:rPr>
                <w:highlight w:val="white"/>
              </w:rPr>
            </w:r>
          </w:p>
          <w:p>
            <w:pPr>
              <w:pStyle w:val="Normal"/>
              <w:ind w:right="0" w:hanging="0"/>
              <w:jc w:val="center"/>
              <w:rPr>
                <w:b/>
                <w:b/>
                <w:bCs/>
                <w:highlight w:val="white"/>
              </w:rPr>
            </w:pPr>
            <w:r>
              <w:rPr>
                <w:b/>
                <w:bCs/>
                <w:highlight w:val="white"/>
              </w:rPr>
            </w:r>
          </w:p>
          <w:p>
            <w:pPr>
              <w:pStyle w:val="Normal"/>
              <w:ind w:left="144" w:right="0" w:hanging="0"/>
              <w:jc w:val="center"/>
              <w:rPr/>
            </w:pPr>
            <w:r>
              <w:rPr>
                <w:b/>
                <w:bCs/>
                <w:highlight w:val="white"/>
              </w:rPr>
              <w:t xml:space="preserve">R$ </w:t>
            </w:r>
          </w:p>
          <w:p>
            <w:pPr>
              <w:pStyle w:val="Normal"/>
              <w:ind w:left="0" w:right="0" w:hanging="0"/>
              <w:jc w:val="center"/>
              <w:rPr/>
            </w:pPr>
            <w:r>
              <w:rPr>
                <w:highlight w:val="white"/>
              </w:rPr>
              <w:t>1.039.000,00</w:t>
            </w:r>
          </w:p>
          <w:p>
            <w:pPr>
              <w:pStyle w:val="Normal"/>
              <w:ind w:left="144" w:right="0" w:hanging="0"/>
              <w:jc w:val="center"/>
              <w:rPr>
                <w:highlight w:val="white"/>
              </w:rPr>
            </w:pPr>
            <w:r>
              <w:rPr>
                <w:highlight w:val="white"/>
              </w:rPr>
            </w:r>
          </w:p>
          <w:p>
            <w:pPr>
              <w:pStyle w:val="Normal"/>
              <w:ind w:left="144" w:right="0" w:hanging="0"/>
              <w:jc w:val="center"/>
              <w:rPr>
                <w:highlight w:val="white"/>
              </w:rPr>
            </w:pPr>
            <w:r>
              <w:rPr>
                <w:highlight w:val="white"/>
              </w:rPr>
            </w:r>
          </w:p>
        </w:tc>
      </w:tr>
    </w:tbl>
    <w:p>
      <w:pPr>
        <w:pStyle w:val="Normal"/>
        <w:numPr>
          <w:ilvl w:val="0"/>
          <w:numId w:val="0"/>
        </w:numPr>
        <w:tabs>
          <w:tab w:val="clear" w:pos="708"/>
          <w:tab w:val="left" w:pos="426" w:leader="none"/>
        </w:tabs>
        <w:suppressAutoHyphens w:val="false"/>
        <w:ind w:left="405" w:hanging="0"/>
        <w:jc w:val="both"/>
        <w:rPr>
          <w:rFonts w:eastAsia="Calibri"/>
          <w:color w:val="000000"/>
          <w:sz w:val="22"/>
          <w:szCs w:val="22"/>
        </w:rPr>
      </w:pPr>
      <w:r>
        <w:rPr>
          <w:rFonts w:eastAsia="Calibri"/>
          <w:color w:val="000000"/>
          <w:sz w:val="22"/>
          <w:szCs w:val="22"/>
        </w:rPr>
      </w:r>
    </w:p>
    <w:p>
      <w:pPr>
        <w:pStyle w:val="Normal"/>
        <w:numPr>
          <w:ilvl w:val="0"/>
          <w:numId w:val="0"/>
        </w:numPr>
        <w:tabs>
          <w:tab w:val="clear" w:pos="708"/>
          <w:tab w:val="left" w:pos="426" w:leader="none"/>
        </w:tabs>
        <w:suppressAutoHyphens w:val="false"/>
        <w:ind w:left="405" w:hanging="0"/>
        <w:jc w:val="both"/>
        <w:rPr>
          <w:rFonts w:ascii="Liberation Serif" w:hAnsi="Liberation Serif" w:eastAsia="NSimSun" w:cs="Arial"/>
          <w:color w:val="000000"/>
          <w:sz w:val="24"/>
          <w:szCs w:val="24"/>
          <w:lang w:bidi="hi-IN"/>
        </w:rPr>
      </w:pPr>
      <w:r>
        <w:rPr>
          <w:rFonts w:eastAsia="NSimSun" w:cs="Arial" w:ascii="Liberation Serif" w:hAnsi="Liberation Serif"/>
          <w:color w:val="000000"/>
          <w:sz w:val="24"/>
          <w:szCs w:val="24"/>
          <w:lang w:bidi="hi-IN"/>
        </w:rPr>
      </w:r>
    </w:p>
    <w:p>
      <w:pPr>
        <w:pStyle w:val="Normal"/>
        <w:numPr>
          <w:ilvl w:val="1"/>
          <w:numId w:val="2"/>
        </w:numPr>
        <w:suppressAutoHyphens w:val="false"/>
        <w:jc w:val="both"/>
        <w:rPr/>
      </w:pPr>
      <w:r>
        <w:rPr>
          <w:rFonts w:eastAsia="Calibri"/>
          <w:color w:val="000000"/>
          <w:sz w:val="22"/>
          <w:szCs w:val="22"/>
          <w:highlight w:val="white"/>
        </w:rPr>
        <w:t xml:space="preserve">Os documentos auxiliares e os parâmetros utilizados para a obtenção dos preços de referência, nos termos do artigo 23 da Lei nº 14.133/2021, constam no processo administrativo </w:t>
      </w:r>
      <w:r>
        <w:rPr>
          <w:rFonts w:eastAsia="Calibri" w:cs="Times New Roman"/>
          <w:color w:val="000000"/>
          <w:kern w:val="0"/>
          <w:sz w:val="22"/>
          <w:szCs w:val="22"/>
          <w:highlight w:val="white"/>
          <w:lang w:val="pt-BR" w:eastAsia="zh-CN" w:bidi="ar-SA"/>
        </w:rPr>
        <w:t xml:space="preserve">da referida adesão. </w:t>
      </w:r>
    </w:p>
    <w:p>
      <w:pPr>
        <w:pStyle w:val="Normal"/>
        <w:numPr>
          <w:ilvl w:val="0"/>
          <w:numId w:val="0"/>
        </w:numPr>
        <w:suppressAutoHyphens w:val="false"/>
        <w:ind w:left="405" w:hanging="0"/>
        <w:jc w:val="both"/>
        <w:rPr>
          <w:rFonts w:eastAsia="Calibri"/>
          <w:color w:val="000000"/>
          <w:sz w:val="22"/>
          <w:szCs w:val="22"/>
        </w:rPr>
      </w:pPr>
      <w:r>
        <w:rPr>
          <w:rFonts w:eastAsia="Calibri"/>
          <w:color w:val="000000"/>
          <w:sz w:val="22"/>
          <w:szCs w:val="22"/>
        </w:rPr>
      </w:r>
    </w:p>
    <w:p>
      <w:pPr>
        <w:pStyle w:val="Normal"/>
        <w:numPr>
          <w:ilvl w:val="1"/>
          <w:numId w:val="2"/>
        </w:numPr>
        <w:suppressAutoHyphens w:val="false"/>
        <w:jc w:val="both"/>
        <w:rPr/>
      </w:pPr>
      <w:r>
        <w:rPr>
          <w:rFonts w:eastAsia="Calibri" w:cs="Arial"/>
          <w:color w:val="000000"/>
          <w:sz w:val="22"/>
          <w:szCs w:val="22"/>
          <w:highlight w:val="white"/>
        </w:rPr>
        <w:t xml:space="preserve">Após ampla pesquisa de mercado, com a coleta de orçamentos de empresas do ramo, bem como no site Licitacon, conforme documentos do </w:t>
      </w:r>
      <w:bookmarkStart w:id="2" w:name="__DdeLink__2868_2846979384"/>
      <w:r>
        <w:rPr>
          <w:rFonts w:eastAsia="Calibri" w:cs="Arial"/>
          <w:color w:val="000000"/>
          <w:sz w:val="22"/>
          <w:szCs w:val="22"/>
          <w:highlight w:val="white"/>
        </w:rPr>
        <w:t>processo administrativo</w:t>
      </w:r>
      <w:bookmarkEnd w:id="2"/>
      <w:r>
        <w:rPr>
          <w:rFonts w:eastAsia="Calibri" w:cs="Arial"/>
          <w:color w:val="000000"/>
          <w:sz w:val="22"/>
          <w:szCs w:val="22"/>
          <w:highlight w:val="white"/>
        </w:rPr>
        <w:t>, esta Secretaria entendeu ser mais benéfica e menos onerosa à Administração Municipal a adesão à Ata de Registro de Preços do Consórcio CIRAU (Pregão Eletrônico nº 002/2025)</w:t>
      </w:r>
      <w:bookmarkStart w:id="3" w:name="__DdeLink__2867_2846979384"/>
      <w:bookmarkEnd w:id="3"/>
      <w:r>
        <w:rPr>
          <w:rFonts w:eastAsia="Calibri" w:cs="Arial"/>
          <w:color w:val="000000"/>
          <w:sz w:val="22"/>
          <w:szCs w:val="22"/>
          <w:highlight w:val="white"/>
        </w:rPr>
        <w:t xml:space="preserve">, cujo valor da Motoniveladora (item 01) é menor do que os coletados em mercado. </w:t>
      </w:r>
    </w:p>
    <w:p>
      <w:pPr>
        <w:pStyle w:val="Normal"/>
        <w:numPr>
          <w:ilvl w:val="0"/>
          <w:numId w:val="0"/>
        </w:numPr>
        <w:suppressAutoHyphens w:val="false"/>
        <w:ind w:left="405" w:hanging="0"/>
        <w:jc w:val="both"/>
        <w:rPr>
          <w:rFonts w:eastAsia="Calibri" w:cs="Arial"/>
          <w:color w:val="000000"/>
          <w:sz w:val="22"/>
          <w:szCs w:val="22"/>
          <w:highlight w:val="white"/>
        </w:rPr>
      </w:pPr>
      <w:r>
        <w:rPr>
          <w:rFonts w:eastAsia="Calibri" w:cs="Arial"/>
          <w:color w:val="000000"/>
          <w:sz w:val="22"/>
          <w:szCs w:val="22"/>
          <w:highlight w:val="white"/>
        </w:rPr>
      </w:r>
    </w:p>
    <w:p>
      <w:pPr>
        <w:pStyle w:val="Normal"/>
        <w:numPr>
          <w:ilvl w:val="1"/>
          <w:numId w:val="2"/>
        </w:numPr>
        <w:suppressAutoHyphens w:val="false"/>
        <w:jc w:val="both"/>
        <w:rPr/>
      </w:pPr>
      <w:r>
        <w:rPr>
          <w:rFonts w:eastAsia="Calibri" w:cs="Arial"/>
          <w:color w:val="000000"/>
          <w:sz w:val="22"/>
          <w:szCs w:val="22"/>
          <w:highlight w:val="white"/>
        </w:rPr>
        <w:t xml:space="preserve">O consórcio CIRAU (11.074.898/0001-69) foi devidamente oficiado, e deferiu a solicitação de adesão, após iniciaram-se os procedimentos para a efetivação da aquisição, em contante observância ao ordenamento jurídico vigente. </w:t>
      </w:r>
    </w:p>
    <w:p>
      <w:pPr>
        <w:pStyle w:val="Normal"/>
        <w:numPr>
          <w:ilvl w:val="0"/>
          <w:numId w:val="0"/>
        </w:numPr>
        <w:suppressAutoHyphens w:val="false"/>
        <w:ind w:left="405" w:hanging="0"/>
        <w:jc w:val="both"/>
        <w:rPr>
          <w:rFonts w:eastAsia="Calibri" w:cs="Arial"/>
          <w:color w:val="000000"/>
          <w:sz w:val="22"/>
          <w:szCs w:val="22"/>
          <w:highlight w:val="white"/>
        </w:rPr>
      </w:pPr>
      <w:r>
        <w:rPr>
          <w:rFonts w:eastAsia="Calibri" w:cs="Arial"/>
          <w:color w:val="000000"/>
          <w:sz w:val="22"/>
          <w:szCs w:val="22"/>
          <w:highlight w:val="white"/>
        </w:rPr>
      </w:r>
    </w:p>
    <w:p>
      <w:pPr>
        <w:pStyle w:val="Normal"/>
        <w:numPr>
          <w:ilvl w:val="1"/>
          <w:numId w:val="2"/>
        </w:numPr>
        <w:suppressAutoHyphens w:val="false"/>
        <w:jc w:val="both"/>
        <w:rPr/>
      </w:pPr>
      <w:r>
        <w:rPr>
          <w:rFonts w:eastAsia="Calibri" w:cs="Arial"/>
          <w:color w:val="000000"/>
          <w:sz w:val="22"/>
          <w:szCs w:val="22"/>
          <w:highlight w:val="white"/>
        </w:rPr>
        <w:t>O fornecedor da Motoniveladora item 01 é a empresa Shark Máquinas LTDA (CNPJ 06.224.121./0008-70), que foi devidamente oficiada e deferiu a solicitação de adesão, conforme documentos do  processo administrativo.</w:t>
      </w:r>
    </w:p>
    <w:p>
      <w:pPr>
        <w:pStyle w:val="Normal"/>
        <w:numPr>
          <w:ilvl w:val="0"/>
          <w:numId w:val="0"/>
        </w:numPr>
        <w:suppressAutoHyphens w:val="false"/>
        <w:ind w:left="405" w:hanging="0"/>
        <w:jc w:val="both"/>
        <w:rPr>
          <w:rFonts w:eastAsia="Calibri" w:cs="Arial"/>
          <w:color w:val="000000"/>
          <w:sz w:val="22"/>
          <w:szCs w:val="22"/>
          <w:highlight w:val="white"/>
        </w:rPr>
      </w:pPr>
      <w:r>
        <w:rPr>
          <w:rFonts w:eastAsia="Calibri" w:cs="Arial"/>
          <w:color w:val="000000"/>
          <w:sz w:val="22"/>
          <w:szCs w:val="22"/>
          <w:highlight w:val="white"/>
        </w:rPr>
      </w:r>
    </w:p>
    <w:p>
      <w:pPr>
        <w:pStyle w:val="Normal"/>
        <w:numPr>
          <w:ilvl w:val="1"/>
          <w:numId w:val="2"/>
        </w:numPr>
        <w:suppressAutoHyphens w:val="false"/>
        <w:rPr>
          <w:sz w:val="22"/>
          <w:szCs w:val="22"/>
        </w:rPr>
      </w:pPr>
      <w:r>
        <w:rPr>
          <w:rFonts w:eastAsia="Calibri"/>
          <w:color w:val="000000"/>
          <w:sz w:val="22"/>
          <w:szCs w:val="22"/>
        </w:rPr>
        <w:t>O objeto a ser contratado é de natureza comum, nos termos do artigo 6º, inciso XIII da Lei nº 14.133/2021.</w:t>
      </w:r>
    </w:p>
    <w:p>
      <w:pPr>
        <w:pStyle w:val="Normal"/>
        <w:ind w:left="405" w:hanging="0"/>
        <w:rPr>
          <w:rFonts w:eastAsia="Calibri"/>
          <w:color w:val="000000"/>
          <w:sz w:val="22"/>
          <w:szCs w:val="22"/>
        </w:rPr>
      </w:pPr>
      <w:r>
        <w:rPr>
          <w:rFonts w:eastAsia="Calibri"/>
          <w:color w:val="000000"/>
          <w:sz w:val="22"/>
          <w:szCs w:val="22"/>
        </w:rPr>
      </w:r>
    </w:p>
    <w:p>
      <w:pPr>
        <w:pStyle w:val="Normal"/>
        <w:suppressAutoHyphens w:val="false"/>
        <w:ind w:left="405" w:hanging="0"/>
        <w:jc w:val="both"/>
        <w:rPr>
          <w:rFonts w:eastAsia="Calibri"/>
          <w:color w:val="000000"/>
          <w:sz w:val="22"/>
          <w:szCs w:val="22"/>
        </w:rPr>
      </w:pPr>
      <w:r>
        <w:rPr>
          <w:rFonts w:eastAsia="Calibri"/>
          <w:color w:val="000000"/>
          <w:sz w:val="22"/>
          <w:szCs w:val="22"/>
        </w:rPr>
      </w:r>
    </w:p>
    <w:p>
      <w:pPr>
        <w:pStyle w:val="Normal"/>
        <w:numPr>
          <w:ilvl w:val="1"/>
          <w:numId w:val="2"/>
        </w:numPr>
        <w:suppressAutoHyphens w:val="false"/>
        <w:jc w:val="both"/>
        <w:rPr/>
      </w:pPr>
      <w:r>
        <w:rPr>
          <w:rFonts w:eastAsia="Calibri"/>
          <w:color w:val="000000"/>
          <w:sz w:val="22"/>
          <w:szCs w:val="22"/>
        </w:rPr>
        <w:t xml:space="preserve"> </w:t>
      </w:r>
      <w:r>
        <w:rPr>
          <w:rFonts w:eastAsia="Calibri"/>
          <w:color w:val="000000"/>
          <w:sz w:val="22"/>
          <w:szCs w:val="22"/>
        </w:rPr>
        <w:t xml:space="preserve">A garantia e assistência deverá ser efetivada conforme o descritivo da Ata de Registro de Preços. </w:t>
      </w:r>
    </w:p>
    <w:p>
      <w:pPr>
        <w:pStyle w:val="Normal"/>
        <w:numPr>
          <w:ilvl w:val="0"/>
          <w:numId w:val="0"/>
        </w:numPr>
        <w:suppressAutoHyphens w:val="false"/>
        <w:ind w:left="405" w:hanging="0"/>
        <w:jc w:val="both"/>
        <w:rPr>
          <w:rFonts w:eastAsia="Calibri"/>
          <w:color w:val="000000"/>
          <w:sz w:val="22"/>
          <w:szCs w:val="22"/>
        </w:rPr>
      </w:pPr>
      <w:r>
        <w:rPr>
          <w:rFonts w:eastAsia="Calibri"/>
          <w:color w:val="000000"/>
          <w:sz w:val="22"/>
          <w:szCs w:val="22"/>
        </w:rPr>
      </w:r>
    </w:p>
    <w:p>
      <w:pPr>
        <w:pStyle w:val="Normal"/>
        <w:suppressAutoHyphens w:val="false"/>
        <w:jc w:val="both"/>
        <w:rPr>
          <w:rFonts w:eastAsia="Calibri"/>
          <w:b/>
          <w:b/>
          <w:sz w:val="22"/>
          <w:szCs w:val="22"/>
        </w:rPr>
      </w:pPr>
      <w:r>
        <w:rPr>
          <w:rFonts w:eastAsia="Calibri"/>
          <w:b/>
          <w:sz w:val="22"/>
          <w:szCs w:val="22"/>
        </w:rPr>
      </w:r>
    </w:p>
    <w:p>
      <w:pPr>
        <w:pStyle w:val="Normal"/>
        <w:numPr>
          <w:ilvl w:val="0"/>
          <w:numId w:val="2"/>
        </w:numPr>
        <w:shd w:val="clear" w:color="auto" w:fill="FFFFFF" w:themeFill="background1"/>
        <w:suppressAutoHyphens w:val="false"/>
        <w:ind w:left="284" w:hanging="284"/>
        <w:jc w:val="both"/>
        <w:rPr/>
      </w:pPr>
      <w:r>
        <w:rPr>
          <w:rFonts w:eastAsia="Calibri"/>
          <w:b/>
          <w:color w:val="000000"/>
          <w:sz w:val="22"/>
          <w:szCs w:val="22"/>
          <w:u w:val="single"/>
        </w:rPr>
        <w:t>JUSTIFICATIVA E OBJETIVO DA CONTRATAÇÃO.</w:t>
      </w:r>
    </w:p>
    <w:p>
      <w:pPr>
        <w:pStyle w:val="Normal"/>
        <w:numPr>
          <w:ilvl w:val="0"/>
          <w:numId w:val="0"/>
        </w:numPr>
        <w:shd w:val="clear" w:color="auto" w:fill="FFFFFF" w:themeFill="background1"/>
        <w:suppressAutoHyphens w:val="false"/>
        <w:ind w:left="405" w:hanging="0"/>
        <w:jc w:val="both"/>
        <w:rPr>
          <w:rFonts w:eastAsia="Calibri"/>
          <w:b/>
          <w:b/>
          <w:color w:val="000000"/>
          <w:sz w:val="22"/>
          <w:szCs w:val="22"/>
          <w:u w:val="single"/>
        </w:rPr>
      </w:pPr>
      <w:r>
        <w:rPr>
          <w:rFonts w:eastAsia="Calibri"/>
          <w:b/>
          <w:color w:val="000000"/>
          <w:sz w:val="22"/>
          <w:szCs w:val="22"/>
          <w:u w:val="single"/>
        </w:rPr>
      </w:r>
    </w:p>
    <w:p>
      <w:pPr>
        <w:pStyle w:val="Normal"/>
        <w:widowControl w:val="false"/>
        <w:suppressAutoHyphens w:val="false"/>
        <w:jc w:val="both"/>
        <w:rPr/>
      </w:pPr>
      <w:r>
        <w:rPr>
          <w:rFonts w:eastAsia="Calibri"/>
          <w:sz w:val="22"/>
          <w:szCs w:val="22"/>
        </w:rPr>
        <w:t>A Secretaria Municipal de Transportes desempenha papel fundamental no apoio às atividades produtivas do meio rural, bem como no trânsito de moradores de regiões interioranas, sendo responsável pela manutenção e melhoria da infraestrutura necessária ao desenvolvimento das estradas vicinais. Entre essas atribuições, destaca-se a conservação e adequação das estradas rurais, acessos às propriedades e áreas destinadas à implantação de novas estruturas produtivas. Nos últimos anos, observou-se um aumento significativo das demandas relacionadas à expansão das atividades agropecuárias no município, as quais exigem serviços constantes de reparação, manutenção e conservação de estradas, oportunidade em que são constantemente utilizadas máquinas rodoviárias como Motoniveladoras. A execução eficiente desses serviços depende diretamente da utilização de equipamentos adequados, especialmente da motoniveladora, equipamento essencial para o patrolamento, nivelamento, drenagem e manutenção das estradas vicinais. Diante desse cenário, torna-se imprescindível o reforço e a modernização da frota da Secretaria Municipal de Transportes por meio da aquisição de 1 (uma) motoniveladora nova, a qual permitirá maior eficiência operacional, redução do tempo de atendimento às demandas dos produtores rurais e moradores em geral, contribuindo diretamente para o desenvolvimento econômico e social do meio rural.</w:t>
      </w:r>
    </w:p>
    <w:p>
      <w:pPr>
        <w:pStyle w:val="Normal"/>
        <w:widowControl w:val="false"/>
        <w:suppressAutoHyphens w:val="false"/>
        <w:jc w:val="both"/>
        <w:rPr>
          <w:rFonts w:eastAsia="Calibri"/>
          <w:sz w:val="22"/>
          <w:szCs w:val="22"/>
        </w:rPr>
      </w:pPr>
      <w:r>
        <w:rPr>
          <w:rFonts w:eastAsia="Calibri"/>
          <w:sz w:val="22"/>
          <w:szCs w:val="22"/>
        </w:rPr>
      </w:r>
    </w:p>
    <w:p>
      <w:pPr>
        <w:pStyle w:val="Normal"/>
        <w:widowControl w:val="false"/>
        <w:suppressAutoHyphens w:val="false"/>
        <w:jc w:val="both"/>
        <w:rPr>
          <w:rFonts w:eastAsia="Calibri"/>
          <w:sz w:val="22"/>
          <w:szCs w:val="22"/>
        </w:rPr>
      </w:pPr>
      <w:r>
        <w:rPr>
          <w:rFonts w:eastAsia="Calibri"/>
          <w:sz w:val="22"/>
          <w:szCs w:val="22"/>
        </w:rPr>
      </w:r>
    </w:p>
    <w:p>
      <w:pPr>
        <w:pStyle w:val="Normal"/>
        <w:numPr>
          <w:ilvl w:val="0"/>
          <w:numId w:val="2"/>
        </w:numPr>
        <w:shd w:val="clear" w:color="auto" w:fill="FFFFFF" w:themeFill="background1"/>
        <w:suppressAutoHyphens w:val="false"/>
        <w:ind w:left="284" w:hanging="284"/>
        <w:jc w:val="both"/>
        <w:rPr>
          <w:color w:val="000000"/>
          <w:sz w:val="22"/>
          <w:szCs w:val="22"/>
          <w:u w:val="single"/>
        </w:rPr>
      </w:pPr>
      <w:r>
        <w:rPr>
          <w:rFonts w:eastAsia="Calibri"/>
          <w:b/>
          <w:color w:val="000000"/>
          <w:sz w:val="22"/>
          <w:szCs w:val="22"/>
          <w:u w:val="single"/>
        </w:rPr>
        <w:t>FORMA E CRITÉRIOS DE SELEÇÃO DO FORNECEDOR.</w:t>
      </w:r>
    </w:p>
    <w:p>
      <w:pPr>
        <w:pStyle w:val="Normal"/>
        <w:jc w:val="both"/>
        <w:rPr>
          <w:rFonts w:eastAsia="Calibri"/>
          <w:b/>
          <w:b/>
          <w:sz w:val="22"/>
          <w:szCs w:val="22"/>
        </w:rPr>
      </w:pPr>
      <w:r>
        <w:rPr>
          <w:rFonts w:eastAsia="Calibri"/>
          <w:b/>
          <w:sz w:val="22"/>
          <w:szCs w:val="22"/>
        </w:rPr>
      </w:r>
    </w:p>
    <w:p>
      <w:pPr>
        <w:pStyle w:val="Normal"/>
        <w:widowControl w:val="false"/>
        <w:numPr>
          <w:ilvl w:val="1"/>
          <w:numId w:val="2"/>
        </w:numPr>
        <w:suppressAutoHyphens w:val="false"/>
        <w:jc w:val="both"/>
        <w:rPr>
          <w:sz w:val="22"/>
          <w:szCs w:val="22"/>
        </w:rPr>
      </w:pPr>
      <w:r>
        <w:rPr>
          <w:rFonts w:eastAsia="Calibri"/>
          <w:color w:val="000000"/>
          <w:sz w:val="22"/>
          <w:szCs w:val="22"/>
        </w:rPr>
        <w:t>As exigências de habilitação jurídica e de regularidade fiscal, social e trabalhista são as usuais para a generalidade dos objetos, conforme disciplinado no edital.</w:t>
      </w:r>
    </w:p>
    <w:p>
      <w:pPr>
        <w:pStyle w:val="Normal"/>
        <w:widowControl w:val="false"/>
        <w:ind w:left="405" w:hanging="0"/>
        <w:jc w:val="both"/>
        <w:rPr>
          <w:rFonts w:eastAsia="Calibri"/>
          <w:color w:val="000000"/>
          <w:sz w:val="22"/>
          <w:szCs w:val="22"/>
        </w:rPr>
      </w:pPr>
      <w:r>
        <w:rPr>
          <w:rFonts w:eastAsia="Calibri"/>
          <w:color w:val="000000"/>
          <w:sz w:val="22"/>
          <w:szCs w:val="22"/>
        </w:rPr>
      </w:r>
    </w:p>
    <w:p>
      <w:pPr>
        <w:pStyle w:val="Normal"/>
        <w:widowControl w:val="false"/>
        <w:numPr>
          <w:ilvl w:val="1"/>
          <w:numId w:val="2"/>
        </w:numPr>
        <w:suppressAutoHyphens w:val="false"/>
        <w:jc w:val="both"/>
        <w:rPr/>
      </w:pPr>
      <w:r>
        <w:rPr>
          <w:rFonts w:eastAsia="Calibri"/>
          <w:color w:val="000000"/>
          <w:sz w:val="22"/>
          <w:szCs w:val="22"/>
        </w:rPr>
        <w:t>Os critérios de qualificação econômico-financeira a serem atendidos pelo fornecedor estão previstos no edital.</w:t>
      </w:r>
      <w:bookmarkStart w:id="4" w:name="_GoBack"/>
      <w:bookmarkEnd w:id="4"/>
    </w:p>
    <w:p>
      <w:pPr>
        <w:pStyle w:val="Normal"/>
        <w:widowControl w:val="false"/>
        <w:jc w:val="both"/>
        <w:rPr>
          <w:rFonts w:eastAsia="Calibri"/>
          <w:color w:val="000000"/>
          <w:sz w:val="22"/>
          <w:szCs w:val="22"/>
        </w:rPr>
      </w:pPr>
      <w:r>
        <w:rPr>
          <w:rFonts w:eastAsia="Calibri"/>
          <w:color w:val="000000"/>
          <w:sz w:val="22"/>
          <w:szCs w:val="22"/>
        </w:rPr>
      </w:r>
    </w:p>
    <w:p>
      <w:pPr>
        <w:pStyle w:val="Normal"/>
        <w:widowControl w:val="false"/>
        <w:jc w:val="both"/>
        <w:rPr>
          <w:rFonts w:eastAsia="Calibri"/>
          <w:color w:val="000000"/>
          <w:sz w:val="22"/>
          <w:szCs w:val="22"/>
        </w:rPr>
      </w:pPr>
      <w:r>
        <w:rPr>
          <w:rFonts w:eastAsia="Calibri"/>
          <w:color w:val="000000"/>
          <w:sz w:val="22"/>
          <w:szCs w:val="22"/>
        </w:rPr>
      </w:r>
    </w:p>
    <w:p>
      <w:pPr>
        <w:pStyle w:val="Normal"/>
        <w:numPr>
          <w:ilvl w:val="0"/>
          <w:numId w:val="2"/>
        </w:numPr>
        <w:shd w:val="clear" w:color="auto" w:fill="FFFFFF" w:themeFill="background1"/>
        <w:suppressAutoHyphens w:val="false"/>
        <w:ind w:left="284" w:hanging="263"/>
        <w:jc w:val="both"/>
        <w:rPr>
          <w:color w:val="000000"/>
          <w:sz w:val="22"/>
          <w:szCs w:val="22"/>
          <w:u w:val="single"/>
        </w:rPr>
      </w:pPr>
      <w:r>
        <w:rPr>
          <w:rFonts w:eastAsia="Calibri"/>
          <w:b/>
          <w:color w:val="000000"/>
          <w:sz w:val="22"/>
          <w:szCs w:val="22"/>
          <w:u w:val="single"/>
        </w:rPr>
        <w:t>ENTREGA E CRITÉRIO DE ACEITAÇÃO DO OBJETO.</w:t>
      </w:r>
    </w:p>
    <w:p>
      <w:pPr>
        <w:pStyle w:val="Normal"/>
        <w:jc w:val="both"/>
        <w:rPr>
          <w:rFonts w:eastAsia="Calibri"/>
          <w:sz w:val="22"/>
          <w:szCs w:val="22"/>
        </w:rPr>
      </w:pPr>
      <w:r>
        <w:rPr>
          <w:rFonts w:eastAsia="Calibri"/>
          <w:sz w:val="22"/>
          <w:szCs w:val="22"/>
        </w:rPr>
      </w:r>
    </w:p>
    <w:p>
      <w:pPr>
        <w:pStyle w:val="Normal"/>
        <w:numPr>
          <w:ilvl w:val="1"/>
          <w:numId w:val="2"/>
        </w:numPr>
        <w:shd w:val="clear" w:color="auto" w:fill="FFFFFF"/>
        <w:tabs>
          <w:tab w:val="clear" w:pos="708"/>
          <w:tab w:val="left" w:pos="426" w:leader="none"/>
        </w:tabs>
        <w:suppressAutoHyphens w:val="false"/>
        <w:ind w:left="0" w:hanging="0"/>
        <w:jc w:val="both"/>
        <w:rPr/>
      </w:pPr>
      <w:r>
        <w:rPr>
          <w:rFonts w:eastAsia="Calibri"/>
          <w:color w:val="000000"/>
          <w:sz w:val="22"/>
          <w:szCs w:val="22"/>
          <w:highlight w:val="white"/>
        </w:rPr>
        <w:t>O prazo de entrega do objeto é de até 60 (sessenta) dias úteis a contar do recebimento do empenho pelo contratado.</w:t>
      </w:r>
    </w:p>
    <w:p>
      <w:pPr>
        <w:pStyle w:val="Normal"/>
        <w:shd w:val="clear" w:color="auto" w:fill="FFFFFF"/>
        <w:tabs>
          <w:tab w:val="clear" w:pos="708"/>
          <w:tab w:val="left" w:pos="426" w:leader="none"/>
        </w:tabs>
        <w:jc w:val="both"/>
        <w:rPr>
          <w:rFonts w:eastAsia="Calibri"/>
          <w:color w:val="000000"/>
          <w:sz w:val="22"/>
          <w:szCs w:val="22"/>
        </w:rPr>
      </w:pPr>
      <w:r>
        <w:rPr>
          <w:rFonts w:eastAsia="Calibri"/>
          <w:color w:val="000000"/>
          <w:sz w:val="22"/>
          <w:szCs w:val="22"/>
        </w:rPr>
      </w:r>
    </w:p>
    <w:p>
      <w:pPr>
        <w:pStyle w:val="Normal"/>
        <w:numPr>
          <w:ilvl w:val="1"/>
          <w:numId w:val="2"/>
        </w:numPr>
        <w:shd w:val="clear" w:color="auto" w:fill="FFFFFF"/>
        <w:tabs>
          <w:tab w:val="clear" w:pos="708"/>
          <w:tab w:val="left" w:pos="426" w:leader="none"/>
        </w:tabs>
        <w:suppressAutoHyphens w:val="false"/>
        <w:ind w:left="0" w:hanging="0"/>
        <w:jc w:val="both"/>
        <w:rPr/>
      </w:pPr>
      <w:r>
        <w:rPr>
          <w:rFonts w:eastAsia="Calibri"/>
          <w:color w:val="000000"/>
          <w:sz w:val="22"/>
          <w:szCs w:val="22"/>
        </w:rPr>
        <w:t xml:space="preserve">A entrega do item será realizada no seguinte endereço: </w:t>
      </w:r>
      <w:r>
        <w:rPr>
          <w:rFonts w:eastAsia="Calibri" w:eastAsiaTheme="minorHAnsi"/>
          <w:color w:val="000000"/>
          <w:sz w:val="22"/>
          <w:szCs w:val="22"/>
          <w:lang w:eastAsia="en-US"/>
        </w:rPr>
        <w:t>Av. Ijuí, 1800 – Parque de Máquinas (TP/RS) das 08h às 11h30 e das 13h30 às 17h30.</w:t>
      </w:r>
    </w:p>
    <w:p>
      <w:pPr>
        <w:pStyle w:val="Normal"/>
        <w:ind w:left="720" w:hanging="0"/>
        <w:rPr>
          <w:rFonts w:eastAsia="Calibri"/>
          <w:color w:val="000000"/>
          <w:sz w:val="22"/>
          <w:szCs w:val="22"/>
        </w:rPr>
      </w:pPr>
      <w:r>
        <w:rPr>
          <w:rFonts w:eastAsia="Calibri"/>
          <w:color w:val="000000"/>
          <w:sz w:val="22"/>
          <w:szCs w:val="22"/>
        </w:rPr>
      </w:r>
    </w:p>
    <w:p>
      <w:pPr>
        <w:pStyle w:val="Normal"/>
        <w:numPr>
          <w:ilvl w:val="1"/>
          <w:numId w:val="2"/>
        </w:numPr>
        <w:tabs>
          <w:tab w:val="clear" w:pos="708"/>
          <w:tab w:val="left" w:pos="567" w:leader="none"/>
        </w:tabs>
        <w:suppressAutoHyphens w:val="false"/>
        <w:ind w:left="0" w:hanging="0"/>
        <w:jc w:val="both"/>
        <w:rPr/>
      </w:pPr>
      <w:r>
        <w:rPr>
          <w:rFonts w:eastAsia="Calibri"/>
          <w:color w:val="000000"/>
          <w:sz w:val="22"/>
          <w:szCs w:val="22"/>
        </w:rPr>
        <w:t xml:space="preserve">O recebimento será realizado pelo fiscal do contrato, Claudemir Elísio Senker, ou por quem vier </w:t>
      </w:r>
      <w:r>
        <w:rPr>
          <w:rFonts w:eastAsia="Calibri" w:eastAsiaTheme="minorHAnsi"/>
          <w:color w:val="000000"/>
          <w:sz w:val="22"/>
          <w:szCs w:val="22"/>
          <w:lang w:eastAsia="en-US"/>
        </w:rPr>
        <w:t xml:space="preserve">a substituí-lo, ou realizado pelo mecânico Felipe Diel, </w:t>
      </w:r>
      <w:r>
        <w:rPr>
          <w:rFonts w:eastAsia="Calibri"/>
          <w:color w:val="000000"/>
          <w:sz w:val="22"/>
          <w:szCs w:val="22"/>
        </w:rPr>
        <w:t>que verificará se o objeto está de acordo com o descritivo do edital e sendo necessário emitirá relatório com as ocorrências da execução do contrato e demais documentos que julgarem necessários, devendo encaminhá-los ao gestor do contrato para recebimento definitivo.</w:t>
      </w:r>
    </w:p>
    <w:p>
      <w:pPr>
        <w:pStyle w:val="Normal"/>
        <w:ind w:left="720" w:hanging="0"/>
        <w:rPr>
          <w:rFonts w:eastAsia="Calibri"/>
          <w:color w:val="000000"/>
          <w:sz w:val="22"/>
          <w:szCs w:val="22"/>
        </w:rPr>
      </w:pPr>
      <w:r>
        <w:rPr>
          <w:rFonts w:eastAsia="Calibri"/>
          <w:color w:val="000000"/>
          <w:sz w:val="22"/>
          <w:szCs w:val="22"/>
        </w:rPr>
      </w:r>
    </w:p>
    <w:p>
      <w:pPr>
        <w:pStyle w:val="Normal"/>
        <w:numPr>
          <w:ilvl w:val="1"/>
          <w:numId w:val="2"/>
        </w:numPr>
        <w:suppressAutoHyphens w:val="false"/>
        <w:ind w:left="0" w:hanging="0"/>
        <w:jc w:val="both"/>
        <w:rPr>
          <w:sz w:val="22"/>
          <w:szCs w:val="22"/>
        </w:rPr>
      </w:pPr>
      <w:r>
        <w:rPr>
          <w:rFonts w:eastAsia="Calibri"/>
          <w:color w:val="000000"/>
          <w:sz w:val="22"/>
          <w:szCs w:val="22"/>
        </w:rPr>
        <w:t>O recebimento provisório ou definitivo do objeto não exclui a responsabilidade da Contratada pelos prejuízos resultantes da incorreta execução do contrato, ou, em qualquer época, das garantias concedidas e das responsabilidades assumidas em contrato e por força das disposições legais em vigor.</w:t>
      </w:r>
    </w:p>
    <w:p>
      <w:pPr>
        <w:pStyle w:val="Normal"/>
        <w:shd w:val="clear" w:color="auto" w:fill="FFFFFF"/>
        <w:tabs>
          <w:tab w:val="clear" w:pos="708"/>
          <w:tab w:val="left" w:pos="426" w:leader="none"/>
        </w:tabs>
        <w:jc w:val="both"/>
        <w:rPr>
          <w:rFonts w:eastAsia="Calibri"/>
          <w:color w:val="000000"/>
          <w:sz w:val="22"/>
          <w:szCs w:val="22"/>
        </w:rPr>
      </w:pPr>
      <w:r>
        <w:rPr>
          <w:rFonts w:eastAsia="Calibri"/>
          <w:color w:val="000000"/>
          <w:sz w:val="22"/>
          <w:szCs w:val="22"/>
        </w:rPr>
      </w:r>
    </w:p>
    <w:p>
      <w:pPr>
        <w:pStyle w:val="Normal"/>
        <w:numPr>
          <w:ilvl w:val="1"/>
          <w:numId w:val="2"/>
        </w:numPr>
        <w:tabs>
          <w:tab w:val="clear" w:pos="708"/>
          <w:tab w:val="left" w:pos="426" w:leader="none"/>
        </w:tabs>
        <w:suppressAutoHyphens w:val="false"/>
        <w:ind w:left="0" w:hanging="0"/>
        <w:jc w:val="both"/>
        <w:rPr>
          <w:sz w:val="22"/>
          <w:szCs w:val="22"/>
        </w:rPr>
      </w:pPr>
      <w:r>
        <w:rPr>
          <w:rFonts w:eastAsia="Calibri"/>
          <w:color w:val="000000"/>
          <w:sz w:val="22"/>
          <w:szCs w:val="22"/>
        </w:rPr>
        <w:t>Os bens poderão ser rejeitados, no todo ou em parte, quando em desacordo com as especificações constantes neste Termo de Referência, no edital ou no contrato, devendo ser substituídos no prazo de até cinco dias</w:t>
      </w:r>
      <w:r>
        <w:rPr>
          <w:rFonts w:eastAsia="Calibri"/>
          <w:b/>
          <w:color w:val="000000"/>
          <w:sz w:val="22"/>
          <w:szCs w:val="22"/>
        </w:rPr>
        <w:t>,</w:t>
      </w:r>
      <w:r>
        <w:rPr>
          <w:rFonts w:eastAsia="Calibri"/>
          <w:color w:val="000000"/>
          <w:sz w:val="22"/>
          <w:szCs w:val="22"/>
        </w:rPr>
        <w:t xml:space="preserve"> a contar da notificação da contratada, às suas custas, sem prejuízo da aplicação das penalidades.</w:t>
      </w:r>
    </w:p>
    <w:p>
      <w:pPr>
        <w:pStyle w:val="Normal"/>
        <w:tabs>
          <w:tab w:val="clear" w:pos="708"/>
          <w:tab w:val="left" w:pos="426" w:leader="none"/>
        </w:tabs>
        <w:jc w:val="both"/>
        <w:rPr>
          <w:rFonts w:eastAsia="Calibri"/>
          <w:color w:val="000000"/>
          <w:sz w:val="22"/>
          <w:szCs w:val="22"/>
        </w:rPr>
      </w:pPr>
      <w:r>
        <w:rPr>
          <w:rFonts w:eastAsia="Calibri"/>
          <w:color w:val="000000"/>
          <w:sz w:val="22"/>
          <w:szCs w:val="22"/>
        </w:rPr>
      </w:r>
    </w:p>
    <w:p>
      <w:pPr>
        <w:pStyle w:val="Normal"/>
        <w:numPr>
          <w:ilvl w:val="1"/>
          <w:numId w:val="2"/>
        </w:numPr>
        <w:tabs>
          <w:tab w:val="clear" w:pos="708"/>
          <w:tab w:val="left" w:pos="426" w:leader="none"/>
        </w:tabs>
        <w:suppressAutoHyphens w:val="false"/>
        <w:ind w:left="0" w:hanging="0"/>
        <w:jc w:val="both"/>
        <w:rPr>
          <w:sz w:val="22"/>
          <w:szCs w:val="22"/>
        </w:rPr>
      </w:pPr>
      <w:r>
        <w:rPr>
          <w:rFonts w:eastAsia="Calibri"/>
          <w:color w:val="000000"/>
          <w:sz w:val="22"/>
          <w:szCs w:val="22"/>
        </w:rPr>
        <w:t>O recebimento do objeto não exclui a responsabilidade da contratada pelos prejuízos resultantes da incorreta execução do contrato.</w:t>
      </w:r>
    </w:p>
    <w:p>
      <w:pPr>
        <w:pStyle w:val="Normal"/>
        <w:tabs>
          <w:tab w:val="clear" w:pos="708"/>
          <w:tab w:val="left" w:pos="426" w:leader="none"/>
        </w:tabs>
        <w:jc w:val="both"/>
        <w:rPr>
          <w:rFonts w:eastAsia="Calibri"/>
          <w:color w:val="000000"/>
          <w:sz w:val="22"/>
          <w:szCs w:val="22"/>
        </w:rPr>
      </w:pPr>
      <w:r>
        <w:rPr>
          <w:rFonts w:eastAsia="Calibri"/>
          <w:color w:val="000000"/>
          <w:sz w:val="22"/>
          <w:szCs w:val="22"/>
        </w:rPr>
      </w:r>
    </w:p>
    <w:p>
      <w:pPr>
        <w:pStyle w:val="Normal"/>
        <w:numPr>
          <w:ilvl w:val="0"/>
          <w:numId w:val="2"/>
        </w:numPr>
        <w:shd w:val="clear" w:color="auto" w:fill="FFFFFF" w:themeFill="background1"/>
        <w:suppressAutoHyphens w:val="false"/>
        <w:ind w:left="284" w:hanging="284"/>
        <w:jc w:val="both"/>
        <w:rPr>
          <w:color w:val="000000"/>
          <w:sz w:val="22"/>
          <w:szCs w:val="22"/>
          <w:u w:val="single"/>
        </w:rPr>
      </w:pPr>
      <w:r>
        <w:rPr>
          <w:rFonts w:eastAsia="Calibri"/>
          <w:b/>
          <w:color w:val="000000"/>
          <w:sz w:val="22"/>
          <w:szCs w:val="22"/>
          <w:u w:val="single"/>
        </w:rPr>
        <w:t>OBRIGAÇÕES DA CONTRATANTE.</w:t>
      </w:r>
    </w:p>
    <w:p>
      <w:pPr>
        <w:pStyle w:val="Normal"/>
        <w:jc w:val="both"/>
        <w:rPr>
          <w:rFonts w:eastAsia="Calibri"/>
          <w:sz w:val="22"/>
          <w:szCs w:val="22"/>
        </w:rPr>
      </w:pPr>
      <w:r>
        <w:rPr>
          <w:rFonts w:eastAsia="Calibri"/>
          <w:sz w:val="22"/>
          <w:szCs w:val="22"/>
        </w:rPr>
      </w:r>
    </w:p>
    <w:p>
      <w:pPr>
        <w:pStyle w:val="Normal"/>
        <w:numPr>
          <w:ilvl w:val="1"/>
          <w:numId w:val="2"/>
        </w:numPr>
        <w:suppressAutoHyphens w:val="false"/>
        <w:jc w:val="both"/>
        <w:rPr>
          <w:sz w:val="22"/>
          <w:szCs w:val="22"/>
        </w:rPr>
      </w:pPr>
      <w:r>
        <w:rPr>
          <w:rFonts w:eastAsia="Calibri"/>
          <w:color w:val="000000"/>
          <w:sz w:val="22"/>
          <w:szCs w:val="22"/>
        </w:rPr>
        <w:t>São obrigações da Contratante:</w:t>
      </w:r>
    </w:p>
    <w:p>
      <w:pPr>
        <w:pStyle w:val="Normal"/>
        <w:ind w:left="405" w:hanging="0"/>
        <w:jc w:val="both"/>
        <w:rPr>
          <w:rFonts w:eastAsia="Calibri"/>
          <w:b/>
          <w:b/>
          <w:color w:val="000000"/>
          <w:sz w:val="22"/>
          <w:szCs w:val="22"/>
        </w:rPr>
      </w:pPr>
      <w:r>
        <w:rPr>
          <w:rFonts w:eastAsia="Calibri"/>
          <w:b/>
          <w:color w:val="000000"/>
          <w:sz w:val="22"/>
          <w:szCs w:val="22"/>
        </w:rPr>
      </w:r>
    </w:p>
    <w:p>
      <w:pPr>
        <w:pStyle w:val="Normal"/>
        <w:numPr>
          <w:ilvl w:val="2"/>
          <w:numId w:val="2"/>
        </w:numPr>
        <w:tabs>
          <w:tab w:val="clear" w:pos="708"/>
          <w:tab w:val="left" w:pos="851" w:leader="none"/>
        </w:tabs>
        <w:suppressAutoHyphens w:val="false"/>
        <w:ind w:left="284" w:hanging="0"/>
        <w:jc w:val="both"/>
        <w:rPr>
          <w:sz w:val="22"/>
          <w:szCs w:val="22"/>
        </w:rPr>
      </w:pPr>
      <w:r>
        <w:rPr>
          <w:rFonts w:eastAsia="Calibri"/>
          <w:color w:val="000000"/>
          <w:sz w:val="22"/>
          <w:szCs w:val="22"/>
        </w:rPr>
        <w:t>Receber o objeto no prazo e condições estabelecidas no Edital e seus anexos;</w:t>
      </w:r>
    </w:p>
    <w:p>
      <w:pPr>
        <w:pStyle w:val="Normal"/>
        <w:tabs>
          <w:tab w:val="clear" w:pos="708"/>
          <w:tab w:val="left" w:pos="851" w:leader="none"/>
        </w:tabs>
        <w:ind w:left="284" w:hanging="0"/>
        <w:jc w:val="both"/>
        <w:rPr>
          <w:rFonts w:eastAsia="Calibri"/>
          <w:b/>
          <w:b/>
          <w:color w:val="000000"/>
          <w:sz w:val="22"/>
          <w:szCs w:val="22"/>
        </w:rPr>
      </w:pPr>
      <w:r>
        <w:rPr>
          <w:rFonts w:eastAsia="Calibri"/>
          <w:b/>
          <w:color w:val="000000"/>
          <w:sz w:val="22"/>
          <w:szCs w:val="22"/>
        </w:rPr>
      </w:r>
    </w:p>
    <w:p>
      <w:pPr>
        <w:pStyle w:val="Normal"/>
        <w:numPr>
          <w:ilvl w:val="2"/>
          <w:numId w:val="2"/>
        </w:numPr>
        <w:tabs>
          <w:tab w:val="clear" w:pos="708"/>
          <w:tab w:val="left" w:pos="851" w:leader="none"/>
        </w:tabs>
        <w:suppressAutoHyphens w:val="false"/>
        <w:ind w:left="284" w:hanging="0"/>
        <w:jc w:val="both"/>
        <w:rPr>
          <w:sz w:val="22"/>
          <w:szCs w:val="22"/>
        </w:rPr>
      </w:pPr>
      <w:r>
        <w:rPr>
          <w:rFonts w:eastAsia="Calibri"/>
          <w:sz w:val="22"/>
          <w:szCs w:val="22"/>
        </w:rPr>
        <w:t>Verificar minuciosamente, no prazo fixado, a conformidade dos bens recebidos provisoriamente com as especificações constantes do Edital e da proposta, para fins de aceitação e recebimento definitivo;</w:t>
      </w:r>
    </w:p>
    <w:p>
      <w:pPr>
        <w:pStyle w:val="Normal"/>
        <w:tabs>
          <w:tab w:val="clear" w:pos="708"/>
          <w:tab w:val="left" w:pos="851" w:leader="none"/>
        </w:tabs>
        <w:jc w:val="both"/>
        <w:rPr>
          <w:rFonts w:eastAsia="Calibri"/>
          <w:b/>
          <w:b/>
          <w:color w:val="000000"/>
          <w:sz w:val="22"/>
          <w:szCs w:val="22"/>
        </w:rPr>
      </w:pPr>
      <w:r>
        <w:rPr>
          <w:rFonts w:eastAsia="Calibri"/>
          <w:b/>
          <w:color w:val="000000"/>
          <w:sz w:val="22"/>
          <w:szCs w:val="22"/>
        </w:rPr>
      </w:r>
    </w:p>
    <w:p>
      <w:pPr>
        <w:pStyle w:val="Normal"/>
        <w:numPr>
          <w:ilvl w:val="2"/>
          <w:numId w:val="2"/>
        </w:numPr>
        <w:tabs>
          <w:tab w:val="clear" w:pos="708"/>
          <w:tab w:val="left" w:pos="851" w:leader="none"/>
        </w:tabs>
        <w:suppressAutoHyphens w:val="false"/>
        <w:ind w:left="284" w:hanging="0"/>
        <w:jc w:val="both"/>
        <w:rPr>
          <w:sz w:val="22"/>
          <w:szCs w:val="22"/>
        </w:rPr>
      </w:pPr>
      <w:r>
        <w:rPr>
          <w:rFonts w:eastAsia="Calibri"/>
          <w:sz w:val="22"/>
          <w:szCs w:val="22"/>
        </w:rPr>
        <w:t>Comunicar à Contratada, por escrito, sobre imperfeições, falhas ou irregularidades verificadas no objeto fornecido, para que seja substituído, reparado ou corrigido;</w:t>
      </w:r>
    </w:p>
    <w:p>
      <w:pPr>
        <w:pStyle w:val="Normal"/>
        <w:tabs>
          <w:tab w:val="clear" w:pos="708"/>
          <w:tab w:val="left" w:pos="851" w:leader="none"/>
        </w:tabs>
        <w:jc w:val="both"/>
        <w:rPr>
          <w:rFonts w:eastAsia="Calibri"/>
          <w:b/>
          <w:b/>
          <w:color w:val="000000"/>
          <w:sz w:val="22"/>
          <w:szCs w:val="22"/>
        </w:rPr>
      </w:pPr>
      <w:r>
        <w:rPr>
          <w:rFonts w:eastAsia="Calibri"/>
          <w:b/>
          <w:color w:val="000000"/>
          <w:sz w:val="22"/>
          <w:szCs w:val="22"/>
        </w:rPr>
      </w:r>
    </w:p>
    <w:p>
      <w:pPr>
        <w:pStyle w:val="Normal"/>
        <w:numPr>
          <w:ilvl w:val="2"/>
          <w:numId w:val="2"/>
        </w:numPr>
        <w:tabs>
          <w:tab w:val="clear" w:pos="708"/>
          <w:tab w:val="left" w:pos="851" w:leader="none"/>
        </w:tabs>
        <w:suppressAutoHyphens w:val="false"/>
        <w:ind w:left="284" w:hanging="0"/>
        <w:jc w:val="both"/>
        <w:rPr>
          <w:sz w:val="22"/>
          <w:szCs w:val="22"/>
        </w:rPr>
      </w:pPr>
      <w:r>
        <w:rPr>
          <w:rFonts w:eastAsia="Calibri"/>
          <w:sz w:val="22"/>
          <w:szCs w:val="22"/>
        </w:rPr>
        <w:t>Acompanhar e fiscalizar o cumprimento das obrigações da Contratada, através de comissão/servidor especialmente designado;</w:t>
      </w:r>
    </w:p>
    <w:p>
      <w:pPr>
        <w:pStyle w:val="Normal"/>
        <w:tabs>
          <w:tab w:val="clear" w:pos="708"/>
          <w:tab w:val="left" w:pos="851" w:leader="none"/>
        </w:tabs>
        <w:jc w:val="both"/>
        <w:rPr>
          <w:rFonts w:eastAsia="Calibri"/>
          <w:b/>
          <w:b/>
          <w:color w:val="000000"/>
          <w:sz w:val="22"/>
          <w:szCs w:val="22"/>
        </w:rPr>
      </w:pPr>
      <w:r>
        <w:rPr>
          <w:rFonts w:eastAsia="Calibri"/>
          <w:b/>
          <w:color w:val="000000"/>
          <w:sz w:val="22"/>
          <w:szCs w:val="22"/>
        </w:rPr>
      </w:r>
    </w:p>
    <w:p>
      <w:pPr>
        <w:pStyle w:val="Normal"/>
        <w:numPr>
          <w:ilvl w:val="2"/>
          <w:numId w:val="2"/>
        </w:numPr>
        <w:tabs>
          <w:tab w:val="clear" w:pos="708"/>
          <w:tab w:val="left" w:pos="851" w:leader="none"/>
        </w:tabs>
        <w:suppressAutoHyphens w:val="false"/>
        <w:ind w:left="284" w:hanging="0"/>
        <w:jc w:val="both"/>
        <w:rPr>
          <w:sz w:val="22"/>
          <w:szCs w:val="22"/>
        </w:rPr>
      </w:pPr>
      <w:r>
        <w:rPr>
          <w:rFonts w:eastAsia="Calibri"/>
          <w:sz w:val="22"/>
          <w:szCs w:val="22"/>
        </w:rPr>
        <w:t>Efetuar o pagamento à Contratada</w:t>
      </w:r>
      <w:r>
        <w:rPr>
          <w:rFonts w:eastAsia="Calibri"/>
          <w:b/>
          <w:sz w:val="22"/>
          <w:szCs w:val="22"/>
        </w:rPr>
        <w:t xml:space="preserve"> </w:t>
      </w:r>
      <w:r>
        <w:rPr>
          <w:rFonts w:eastAsia="Calibri"/>
          <w:sz w:val="22"/>
          <w:szCs w:val="22"/>
        </w:rPr>
        <w:t>no valor correspondente ao fornecimento do objeto, no prazo e forma estabelecidos no Edital e seus anexos, observada a ordem cronológica para cada fonte diferenciada de recursos, nos termos do art. 141 da Lei nº 14.133/2021;</w:t>
      </w:r>
    </w:p>
    <w:p>
      <w:pPr>
        <w:pStyle w:val="Normal"/>
        <w:tabs>
          <w:tab w:val="clear" w:pos="708"/>
          <w:tab w:val="left" w:pos="851" w:leader="none"/>
        </w:tabs>
        <w:jc w:val="both"/>
        <w:rPr>
          <w:rFonts w:eastAsia="Calibri"/>
          <w:b/>
          <w:b/>
          <w:color w:val="000000"/>
          <w:sz w:val="22"/>
          <w:szCs w:val="22"/>
        </w:rPr>
      </w:pPr>
      <w:r>
        <w:rPr>
          <w:rFonts w:eastAsia="Calibri"/>
          <w:b/>
          <w:color w:val="000000"/>
          <w:sz w:val="22"/>
          <w:szCs w:val="22"/>
        </w:rPr>
      </w:r>
    </w:p>
    <w:p>
      <w:pPr>
        <w:pStyle w:val="Normal"/>
        <w:numPr>
          <w:ilvl w:val="1"/>
          <w:numId w:val="2"/>
        </w:numPr>
        <w:tabs>
          <w:tab w:val="clear" w:pos="708"/>
          <w:tab w:val="left" w:pos="426" w:leader="none"/>
        </w:tabs>
        <w:suppressAutoHyphens w:val="false"/>
        <w:ind w:left="0" w:hanging="0"/>
        <w:jc w:val="both"/>
        <w:rPr/>
      </w:pPr>
      <w:r>
        <w:rPr>
          <w:rFonts w:eastAsia="Calibri"/>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Normal"/>
        <w:tabs>
          <w:tab w:val="clear" w:pos="708"/>
          <w:tab w:val="left" w:pos="426" w:leader="none"/>
        </w:tabs>
        <w:suppressAutoHyphens w:val="false"/>
        <w:ind w:left="0" w:hanging="0"/>
        <w:jc w:val="both"/>
        <w:rPr>
          <w:rFonts w:eastAsia="Calibri"/>
          <w:sz w:val="22"/>
          <w:szCs w:val="22"/>
        </w:rPr>
      </w:pPr>
      <w:r>
        <w:rPr>
          <w:rFonts w:eastAsia="Calibri"/>
          <w:sz w:val="22"/>
          <w:szCs w:val="22"/>
        </w:rPr>
      </w:r>
    </w:p>
    <w:p>
      <w:pPr>
        <w:pStyle w:val="Normal"/>
        <w:tabs>
          <w:tab w:val="clear" w:pos="708"/>
          <w:tab w:val="left" w:pos="426" w:leader="none"/>
        </w:tabs>
        <w:suppressAutoHyphens w:val="false"/>
        <w:ind w:left="0" w:hanging="0"/>
        <w:jc w:val="both"/>
        <w:rPr>
          <w:rFonts w:eastAsia="Calibri"/>
          <w:sz w:val="22"/>
          <w:szCs w:val="22"/>
        </w:rPr>
      </w:pPr>
      <w:r>
        <w:rPr>
          <w:rFonts w:eastAsia="Calibri"/>
          <w:sz w:val="22"/>
          <w:szCs w:val="22"/>
        </w:rPr>
      </w:r>
    </w:p>
    <w:p>
      <w:pPr>
        <w:pStyle w:val="Normal"/>
        <w:tabs>
          <w:tab w:val="clear" w:pos="708"/>
          <w:tab w:val="left" w:pos="2070" w:leader="none"/>
        </w:tabs>
        <w:jc w:val="both"/>
        <w:rPr>
          <w:rFonts w:eastAsia="Calibri"/>
          <w:sz w:val="22"/>
          <w:szCs w:val="22"/>
        </w:rPr>
      </w:pPr>
      <w:r>
        <w:rPr>
          <w:rFonts w:eastAsia="Calibri"/>
          <w:sz w:val="22"/>
          <w:szCs w:val="22"/>
        </w:rPr>
        <w:tab/>
      </w:r>
    </w:p>
    <w:p>
      <w:pPr>
        <w:pStyle w:val="Normal"/>
        <w:numPr>
          <w:ilvl w:val="0"/>
          <w:numId w:val="2"/>
        </w:numPr>
        <w:shd w:val="clear" w:color="auto" w:fill="FFFFFF" w:themeFill="background1"/>
        <w:suppressAutoHyphens w:val="false"/>
        <w:ind w:left="284" w:hanging="284"/>
        <w:jc w:val="both"/>
        <w:rPr>
          <w:color w:val="000000"/>
          <w:sz w:val="22"/>
          <w:szCs w:val="22"/>
          <w:u w:val="single"/>
        </w:rPr>
      </w:pPr>
      <w:r>
        <w:rPr>
          <w:rFonts w:eastAsia="Calibri"/>
          <w:b/>
          <w:color w:val="000000"/>
          <w:sz w:val="22"/>
          <w:szCs w:val="22"/>
          <w:u w:val="single"/>
        </w:rPr>
        <w:t>OBRIGAÇÕES DA CONTRATADA.</w:t>
      </w:r>
    </w:p>
    <w:p>
      <w:pPr>
        <w:pStyle w:val="Normal"/>
        <w:jc w:val="both"/>
        <w:rPr>
          <w:rFonts w:eastAsia="Calibri"/>
          <w:sz w:val="22"/>
          <w:szCs w:val="22"/>
        </w:rPr>
      </w:pPr>
      <w:r>
        <w:rPr>
          <w:rFonts w:eastAsia="Calibri"/>
          <w:sz w:val="22"/>
          <w:szCs w:val="22"/>
        </w:rPr>
      </w:r>
    </w:p>
    <w:p>
      <w:pPr>
        <w:pStyle w:val="Normal"/>
        <w:numPr>
          <w:ilvl w:val="1"/>
          <w:numId w:val="2"/>
        </w:numPr>
        <w:tabs>
          <w:tab w:val="clear" w:pos="708"/>
          <w:tab w:val="left" w:pos="426" w:leader="none"/>
        </w:tabs>
        <w:suppressAutoHyphens w:val="false"/>
        <w:ind w:left="0" w:hanging="0"/>
        <w:jc w:val="both"/>
        <w:rPr>
          <w:sz w:val="22"/>
          <w:szCs w:val="22"/>
        </w:rPr>
      </w:pPr>
      <w:r>
        <w:rPr>
          <w:rFonts w:eastAsia="Calibri"/>
          <w:color w:val="000000"/>
          <w:sz w:val="22"/>
          <w:szCs w:val="22"/>
        </w:rPr>
        <w:t>A Contratada deve cumprir todas as obrigações constantes no Edital, seus anexos e sua proposta, assumindo como exclusivamente seus os riscos e as despesas decorrentes da boa e perfeita execução do objeto e, ainda:</w:t>
      </w:r>
    </w:p>
    <w:p>
      <w:pPr>
        <w:pStyle w:val="Normal"/>
        <w:ind w:left="405" w:hanging="0"/>
        <w:jc w:val="both"/>
        <w:rPr>
          <w:rFonts w:eastAsia="Calibri"/>
          <w:b/>
          <w:b/>
          <w:color w:val="000000"/>
          <w:sz w:val="22"/>
          <w:szCs w:val="22"/>
        </w:rPr>
      </w:pPr>
      <w:r>
        <w:rPr>
          <w:rFonts w:eastAsia="Calibri"/>
          <w:b/>
          <w:color w:val="000000"/>
          <w:sz w:val="22"/>
          <w:szCs w:val="22"/>
        </w:rPr>
      </w:r>
    </w:p>
    <w:p>
      <w:pPr>
        <w:pStyle w:val="Normal"/>
        <w:numPr>
          <w:ilvl w:val="2"/>
          <w:numId w:val="2"/>
        </w:numPr>
        <w:tabs>
          <w:tab w:val="clear" w:pos="708"/>
          <w:tab w:val="left" w:pos="851" w:leader="none"/>
        </w:tabs>
        <w:suppressAutoHyphens w:val="false"/>
        <w:ind w:left="284" w:hanging="0"/>
        <w:jc w:val="both"/>
        <w:rPr>
          <w:sz w:val="22"/>
          <w:szCs w:val="22"/>
        </w:rPr>
      </w:pPr>
      <w:r>
        <w:rPr>
          <w:rFonts w:eastAsia="Calibri"/>
          <w:color w:val="000000"/>
          <w:sz w:val="22"/>
          <w:szCs w:val="22"/>
        </w:rPr>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pPr>
        <w:pStyle w:val="Normal"/>
        <w:ind w:left="567" w:hanging="0"/>
        <w:jc w:val="both"/>
        <w:rPr>
          <w:rFonts w:eastAsia="Calibri"/>
          <w:color w:val="FF0000"/>
          <w:sz w:val="22"/>
          <w:szCs w:val="22"/>
        </w:rPr>
      </w:pPr>
      <w:r>
        <w:rPr>
          <w:rFonts w:eastAsia="Calibri"/>
          <w:color w:val="FF0000"/>
          <w:sz w:val="22"/>
          <w:szCs w:val="22"/>
        </w:rPr>
      </w:r>
    </w:p>
    <w:p>
      <w:pPr>
        <w:pStyle w:val="Normal"/>
        <w:numPr>
          <w:ilvl w:val="2"/>
          <w:numId w:val="2"/>
        </w:numPr>
        <w:tabs>
          <w:tab w:val="clear" w:pos="708"/>
          <w:tab w:val="left" w:pos="851" w:leader="none"/>
        </w:tabs>
        <w:suppressAutoHyphens w:val="false"/>
        <w:ind w:left="284" w:hanging="0"/>
        <w:jc w:val="both"/>
        <w:rPr>
          <w:sz w:val="22"/>
          <w:szCs w:val="22"/>
        </w:rPr>
      </w:pPr>
      <w:r>
        <w:rPr>
          <w:rFonts w:eastAsia="Calibri"/>
          <w:sz w:val="22"/>
          <w:szCs w:val="22"/>
        </w:rPr>
        <w:t>Responsabilizar-se pelos vícios e danos decorrentes do objeto, de acordo com os artigos 12, 13 e 17 a 27, do Código de Defesa do Consumidor (Lei nº 8.078, de 1990);</w:t>
      </w:r>
    </w:p>
    <w:p>
      <w:pPr>
        <w:pStyle w:val="Normal"/>
        <w:ind w:left="720" w:hanging="0"/>
        <w:rPr>
          <w:rFonts w:eastAsia="Calibri"/>
          <w:color w:val="000000"/>
          <w:sz w:val="22"/>
          <w:szCs w:val="22"/>
        </w:rPr>
      </w:pPr>
      <w:r>
        <w:rPr>
          <w:rFonts w:eastAsia="Calibri"/>
          <w:color w:val="000000"/>
          <w:sz w:val="22"/>
          <w:szCs w:val="22"/>
        </w:rPr>
      </w:r>
    </w:p>
    <w:p>
      <w:pPr>
        <w:pStyle w:val="Normal"/>
        <w:numPr>
          <w:ilvl w:val="2"/>
          <w:numId w:val="2"/>
        </w:numPr>
        <w:tabs>
          <w:tab w:val="clear" w:pos="708"/>
          <w:tab w:val="left" w:pos="851" w:leader="none"/>
        </w:tabs>
        <w:suppressAutoHyphens w:val="false"/>
        <w:ind w:left="284" w:hanging="0"/>
        <w:jc w:val="both"/>
        <w:rPr>
          <w:sz w:val="22"/>
          <w:szCs w:val="22"/>
        </w:rPr>
      </w:pPr>
      <w:r>
        <w:rPr>
          <w:rFonts w:eastAsia="Calibri"/>
          <w:sz w:val="22"/>
          <w:szCs w:val="22"/>
        </w:rPr>
        <w:t>Responsabilizar-se pelos danos causados diretamente à Administração ou a terceiros em razão da execução do contrato;</w:t>
      </w:r>
    </w:p>
    <w:p>
      <w:pPr>
        <w:pStyle w:val="Normal"/>
        <w:tabs>
          <w:tab w:val="clear" w:pos="708"/>
          <w:tab w:val="left" w:pos="851" w:leader="none"/>
        </w:tabs>
        <w:suppressAutoHyphens w:val="false"/>
        <w:jc w:val="both"/>
        <w:rPr>
          <w:sz w:val="22"/>
          <w:szCs w:val="22"/>
        </w:rPr>
      </w:pPr>
      <w:r>
        <w:rPr>
          <w:sz w:val="22"/>
          <w:szCs w:val="22"/>
        </w:rPr>
      </w:r>
    </w:p>
    <w:p>
      <w:pPr>
        <w:pStyle w:val="Normal"/>
        <w:numPr>
          <w:ilvl w:val="2"/>
          <w:numId w:val="2"/>
        </w:numPr>
        <w:tabs>
          <w:tab w:val="clear" w:pos="708"/>
          <w:tab w:val="left" w:pos="851" w:leader="none"/>
        </w:tabs>
        <w:suppressAutoHyphens w:val="false"/>
        <w:ind w:left="284" w:hanging="0"/>
        <w:jc w:val="both"/>
        <w:rPr>
          <w:sz w:val="22"/>
          <w:szCs w:val="22"/>
        </w:rPr>
      </w:pPr>
      <w:r>
        <w:rPr>
          <w:rFonts w:eastAsia="Calibri"/>
          <w:sz w:val="22"/>
          <w:szCs w:val="22"/>
        </w:rPr>
        <w:t>Reparar, corrigir, remover, reconstruir ou substituir, a suas expensas, no total ou em parte, o objeto do contrato em que se verificarem vícios, defeitos ou incorreções resultantes de sua execução ou de materiais nela empregados;</w:t>
      </w:r>
    </w:p>
    <w:p>
      <w:pPr>
        <w:pStyle w:val="Normal"/>
        <w:tabs>
          <w:tab w:val="clear" w:pos="708"/>
          <w:tab w:val="left" w:pos="851" w:leader="none"/>
        </w:tabs>
        <w:suppressAutoHyphens w:val="false"/>
        <w:jc w:val="both"/>
        <w:rPr>
          <w:sz w:val="22"/>
          <w:szCs w:val="22"/>
        </w:rPr>
      </w:pPr>
      <w:r>
        <w:rPr>
          <w:sz w:val="22"/>
          <w:szCs w:val="22"/>
        </w:rPr>
      </w:r>
    </w:p>
    <w:p>
      <w:pPr>
        <w:pStyle w:val="Normal"/>
        <w:numPr>
          <w:ilvl w:val="2"/>
          <w:numId w:val="2"/>
        </w:numPr>
        <w:tabs>
          <w:tab w:val="clear" w:pos="708"/>
          <w:tab w:val="left" w:pos="851" w:leader="none"/>
        </w:tabs>
        <w:suppressAutoHyphens w:val="false"/>
        <w:ind w:left="284" w:hanging="0"/>
        <w:jc w:val="both"/>
        <w:rPr>
          <w:sz w:val="22"/>
          <w:szCs w:val="22"/>
        </w:rPr>
      </w:pPr>
      <w:r>
        <w:rPr>
          <w:rFonts w:eastAsia="Calibri"/>
          <w:sz w:val="22"/>
          <w:szCs w:val="22"/>
        </w:rPr>
        <w:t>Comunicar à Contratante, no prazo máximo de 24 (vinte e quatro) horas que antecede a data da entrega, os motivos que impossibilitem o cumprimento do prazo previsto, com a devida comprovação;</w:t>
      </w:r>
    </w:p>
    <w:p>
      <w:pPr>
        <w:pStyle w:val="Normal"/>
        <w:tabs>
          <w:tab w:val="clear" w:pos="708"/>
          <w:tab w:val="left" w:pos="851" w:leader="none"/>
        </w:tabs>
        <w:jc w:val="both"/>
        <w:rPr>
          <w:rFonts w:eastAsia="Calibri"/>
          <w:sz w:val="22"/>
          <w:szCs w:val="22"/>
        </w:rPr>
      </w:pPr>
      <w:r>
        <w:rPr>
          <w:rFonts w:eastAsia="Calibri"/>
          <w:sz w:val="22"/>
          <w:szCs w:val="22"/>
        </w:rPr>
      </w:r>
    </w:p>
    <w:p>
      <w:pPr>
        <w:pStyle w:val="Normal"/>
        <w:numPr>
          <w:ilvl w:val="2"/>
          <w:numId w:val="2"/>
        </w:numPr>
        <w:tabs>
          <w:tab w:val="clear" w:pos="708"/>
          <w:tab w:val="left" w:pos="851" w:leader="none"/>
        </w:tabs>
        <w:suppressAutoHyphens w:val="false"/>
        <w:ind w:left="284" w:hanging="0"/>
        <w:jc w:val="both"/>
        <w:rPr>
          <w:sz w:val="22"/>
          <w:szCs w:val="22"/>
        </w:rPr>
      </w:pPr>
      <w:r>
        <w:rPr>
          <w:rFonts w:eastAsia="Calibri"/>
          <w:sz w:val="22"/>
          <w:szCs w:val="22"/>
        </w:rPr>
        <w:t>Manter, durante toda a execução do contrato, em compatibilidade com as obrigações assumidas, todas as condições de habilitação e qualificação exigidas na licitação;</w:t>
      </w:r>
    </w:p>
    <w:p>
      <w:pPr>
        <w:pStyle w:val="Normal"/>
        <w:tabs>
          <w:tab w:val="clear" w:pos="708"/>
          <w:tab w:val="left" w:pos="851" w:leader="none"/>
        </w:tabs>
        <w:ind w:left="284" w:hanging="0"/>
        <w:jc w:val="both"/>
        <w:rPr>
          <w:rFonts w:eastAsia="Calibri"/>
          <w:sz w:val="22"/>
          <w:szCs w:val="22"/>
        </w:rPr>
      </w:pPr>
      <w:r>
        <w:rPr>
          <w:rFonts w:eastAsia="Calibri"/>
          <w:sz w:val="22"/>
          <w:szCs w:val="22"/>
        </w:rPr>
      </w:r>
    </w:p>
    <w:p>
      <w:pPr>
        <w:pStyle w:val="Normal"/>
        <w:numPr>
          <w:ilvl w:val="2"/>
          <w:numId w:val="2"/>
        </w:numPr>
        <w:tabs>
          <w:tab w:val="clear" w:pos="708"/>
          <w:tab w:val="left" w:pos="851" w:leader="none"/>
        </w:tabs>
        <w:suppressAutoHyphens w:val="false"/>
        <w:ind w:left="284" w:hanging="0"/>
        <w:jc w:val="both"/>
        <w:rPr>
          <w:sz w:val="22"/>
          <w:szCs w:val="22"/>
        </w:rPr>
      </w:pPr>
      <w:r>
        <w:rPr>
          <w:rFonts w:eastAsia="Calibri"/>
          <w:sz w:val="22"/>
          <w:szCs w:val="22"/>
        </w:rPr>
        <w:t>Indicar preposto para representá-la durante a execução do contrato;</w:t>
      </w:r>
    </w:p>
    <w:p>
      <w:pPr>
        <w:pStyle w:val="Normal"/>
        <w:ind w:left="720" w:hanging="0"/>
        <w:rPr>
          <w:rFonts w:eastAsia="Calibri"/>
          <w:color w:val="000000"/>
          <w:sz w:val="22"/>
          <w:szCs w:val="22"/>
        </w:rPr>
      </w:pPr>
      <w:r>
        <w:rPr>
          <w:rFonts w:eastAsia="Calibri"/>
          <w:color w:val="000000"/>
          <w:sz w:val="22"/>
          <w:szCs w:val="22"/>
        </w:rPr>
      </w:r>
    </w:p>
    <w:p>
      <w:pPr>
        <w:pStyle w:val="Normal"/>
        <w:numPr>
          <w:ilvl w:val="2"/>
          <w:numId w:val="2"/>
        </w:numPr>
        <w:tabs>
          <w:tab w:val="clear" w:pos="708"/>
          <w:tab w:val="left" w:pos="851" w:leader="none"/>
        </w:tabs>
        <w:suppressAutoHyphens w:val="false"/>
        <w:ind w:left="284" w:hanging="0"/>
        <w:jc w:val="both"/>
        <w:rPr>
          <w:sz w:val="22"/>
          <w:szCs w:val="22"/>
        </w:rPr>
      </w:pPr>
      <w:r>
        <w:rPr>
          <w:rFonts w:eastAsia="Calibri"/>
          <w:sz w:val="22"/>
          <w:szCs w:val="22"/>
        </w:rPr>
        <w:t>Implantação de programa de integridade pelo licitante vencedor, no prazo de 6 (seis) meses, em caso de licitação de grande vulto, nos termos do artigo 25, §4º da Lei nº 14.133/2021;</w:t>
      </w:r>
    </w:p>
    <w:p>
      <w:pPr>
        <w:pStyle w:val="Normal"/>
        <w:ind w:left="720" w:hanging="0"/>
        <w:rPr>
          <w:rFonts w:eastAsia="Calibri"/>
          <w:color w:val="000000"/>
          <w:sz w:val="22"/>
          <w:szCs w:val="22"/>
        </w:rPr>
      </w:pPr>
      <w:r>
        <w:rPr>
          <w:rFonts w:eastAsia="Calibri"/>
          <w:color w:val="000000"/>
          <w:sz w:val="22"/>
          <w:szCs w:val="22"/>
        </w:rPr>
      </w:r>
    </w:p>
    <w:p>
      <w:pPr>
        <w:pStyle w:val="Normal"/>
        <w:numPr>
          <w:ilvl w:val="2"/>
          <w:numId w:val="2"/>
        </w:numPr>
        <w:tabs>
          <w:tab w:val="clear" w:pos="708"/>
          <w:tab w:val="left" w:pos="851" w:leader="none"/>
        </w:tabs>
        <w:suppressAutoHyphens w:val="false"/>
        <w:ind w:left="284" w:hanging="0"/>
        <w:jc w:val="both"/>
        <w:rPr>
          <w:sz w:val="22"/>
          <w:szCs w:val="22"/>
        </w:rPr>
      </w:pPr>
      <w:r>
        <w:rPr>
          <w:rFonts w:eastAsia="Calibri"/>
          <w:sz w:val="22"/>
          <w:szCs w:val="22"/>
        </w:rPr>
        <w:t xml:space="preserve"> </w:t>
      </w:r>
      <w:r>
        <w:rPr>
          <w:rFonts w:eastAsia="Calibri"/>
          <w:sz w:val="22"/>
          <w:szCs w:val="22"/>
        </w:rPr>
        <w:t>Cumprir com a reserva de cargos prevista em lei para pessoa com deficiência ou para reabilitado da Previdência Social e para aprendiz, além de atender às regras de acessibilidade previstas na legislação, conforme disposto no art. 93 da Lei nº 8.213/1991.</w:t>
      </w:r>
    </w:p>
    <w:p>
      <w:pPr>
        <w:pStyle w:val="Normal"/>
        <w:tabs>
          <w:tab w:val="clear" w:pos="708"/>
          <w:tab w:val="left" w:pos="851" w:leader="none"/>
        </w:tabs>
        <w:ind w:left="284" w:hanging="0"/>
        <w:jc w:val="both"/>
        <w:rPr>
          <w:rFonts w:eastAsia="Calibri"/>
          <w:sz w:val="22"/>
          <w:szCs w:val="22"/>
        </w:rPr>
      </w:pPr>
      <w:r>
        <w:rPr>
          <w:rFonts w:eastAsia="Calibri"/>
          <w:sz w:val="22"/>
          <w:szCs w:val="22"/>
        </w:rPr>
      </w:r>
    </w:p>
    <w:p>
      <w:pPr>
        <w:pStyle w:val="Normal"/>
        <w:tabs>
          <w:tab w:val="clear" w:pos="708"/>
          <w:tab w:val="left" w:pos="851" w:leader="none"/>
        </w:tabs>
        <w:ind w:left="284" w:hanging="0"/>
        <w:jc w:val="both"/>
        <w:rPr>
          <w:rFonts w:eastAsia="Calibri"/>
          <w:sz w:val="22"/>
          <w:szCs w:val="22"/>
        </w:rPr>
      </w:pPr>
      <w:r>
        <w:rPr>
          <w:rFonts w:eastAsia="Calibri"/>
          <w:sz w:val="22"/>
          <w:szCs w:val="22"/>
        </w:rPr>
      </w:r>
    </w:p>
    <w:p>
      <w:pPr>
        <w:pStyle w:val="Normal"/>
        <w:numPr>
          <w:ilvl w:val="0"/>
          <w:numId w:val="2"/>
        </w:numPr>
        <w:shd w:val="clear" w:color="auto" w:fill="FFFFFF" w:themeFill="background1"/>
        <w:suppressAutoHyphens w:val="false"/>
        <w:ind w:left="284" w:hanging="284"/>
        <w:jc w:val="both"/>
        <w:rPr>
          <w:color w:val="000000"/>
          <w:sz w:val="22"/>
          <w:szCs w:val="22"/>
          <w:u w:val="single"/>
        </w:rPr>
      </w:pPr>
      <w:r>
        <w:rPr>
          <w:rFonts w:eastAsia="Calibri"/>
          <w:b/>
          <w:color w:val="000000"/>
          <w:sz w:val="22"/>
          <w:szCs w:val="22"/>
          <w:u w:val="single"/>
        </w:rPr>
        <w:t>DA SUBCONTRATAÇÃO.</w:t>
      </w:r>
    </w:p>
    <w:p>
      <w:pPr>
        <w:pStyle w:val="Normal"/>
        <w:ind w:left="405" w:hanging="0"/>
        <w:jc w:val="both"/>
        <w:rPr>
          <w:rFonts w:eastAsia="Calibri"/>
          <w:color w:val="000000"/>
          <w:sz w:val="22"/>
          <w:szCs w:val="22"/>
        </w:rPr>
      </w:pPr>
      <w:r>
        <w:rPr>
          <w:rFonts w:eastAsia="Calibri"/>
          <w:color w:val="000000"/>
          <w:sz w:val="22"/>
          <w:szCs w:val="22"/>
        </w:rPr>
      </w:r>
    </w:p>
    <w:p>
      <w:pPr>
        <w:pStyle w:val="Normal"/>
        <w:numPr>
          <w:ilvl w:val="1"/>
          <w:numId w:val="2"/>
        </w:numPr>
        <w:suppressAutoHyphens w:val="false"/>
        <w:jc w:val="both"/>
        <w:rPr/>
      </w:pPr>
      <w:r>
        <w:rPr>
          <w:rFonts w:eastAsia="Calibri"/>
          <w:color w:val="000000"/>
          <w:sz w:val="22"/>
          <w:szCs w:val="22"/>
        </w:rPr>
        <w:t>Não será admitida a subcontratação do objeto licitatório.</w:t>
      </w:r>
    </w:p>
    <w:p>
      <w:pPr>
        <w:pStyle w:val="Normal"/>
        <w:suppressAutoHyphens w:val="false"/>
        <w:jc w:val="both"/>
        <w:rPr>
          <w:rFonts w:eastAsia="Calibri"/>
          <w:i/>
          <w:i/>
          <w:color w:val="FF0000"/>
          <w:sz w:val="22"/>
          <w:szCs w:val="22"/>
        </w:rPr>
      </w:pPr>
      <w:r>
        <w:rPr>
          <w:rFonts w:eastAsia="Calibri"/>
          <w:i/>
          <w:color w:val="FF0000"/>
          <w:sz w:val="22"/>
          <w:szCs w:val="22"/>
        </w:rPr>
      </w:r>
    </w:p>
    <w:p>
      <w:pPr>
        <w:pStyle w:val="Normal"/>
        <w:suppressAutoHyphens w:val="false"/>
        <w:jc w:val="both"/>
        <w:rPr>
          <w:rFonts w:eastAsia="Calibri"/>
          <w:sz w:val="22"/>
          <w:szCs w:val="22"/>
        </w:rPr>
      </w:pPr>
      <w:r>
        <w:rPr>
          <w:rFonts w:eastAsia="Calibri"/>
          <w:sz w:val="22"/>
          <w:szCs w:val="22"/>
        </w:rPr>
      </w:r>
    </w:p>
    <w:p>
      <w:pPr>
        <w:pStyle w:val="Normal"/>
        <w:numPr>
          <w:ilvl w:val="0"/>
          <w:numId w:val="2"/>
        </w:numPr>
        <w:shd w:val="clear" w:color="auto" w:fill="FFFFFF" w:themeFill="background1"/>
        <w:suppressAutoHyphens w:val="false"/>
        <w:ind w:left="284" w:hanging="284"/>
        <w:jc w:val="both"/>
        <w:rPr>
          <w:color w:val="000000"/>
          <w:sz w:val="22"/>
          <w:szCs w:val="22"/>
          <w:u w:val="single"/>
        </w:rPr>
      </w:pPr>
      <w:r>
        <w:rPr>
          <w:rFonts w:eastAsia="Calibri"/>
          <w:b/>
          <w:color w:val="000000"/>
          <w:sz w:val="22"/>
          <w:szCs w:val="22"/>
          <w:u w:val="single"/>
        </w:rPr>
        <w:t>DA ALTERAÇÃO SUBJETIVA.</w:t>
      </w:r>
    </w:p>
    <w:p>
      <w:pPr>
        <w:pStyle w:val="Normal"/>
        <w:tabs>
          <w:tab w:val="clear" w:pos="708"/>
          <w:tab w:val="left" w:pos="426" w:leader="none"/>
        </w:tabs>
        <w:jc w:val="both"/>
        <w:rPr>
          <w:rFonts w:eastAsia="Calibri"/>
          <w:color w:val="0000FF"/>
          <w:sz w:val="22"/>
          <w:szCs w:val="22"/>
        </w:rPr>
      </w:pPr>
      <w:r>
        <w:rPr>
          <w:rFonts w:eastAsia="Calibri"/>
          <w:color w:val="0000FF"/>
          <w:sz w:val="22"/>
          <w:szCs w:val="22"/>
        </w:rPr>
      </w:r>
    </w:p>
    <w:p>
      <w:pPr>
        <w:pStyle w:val="Normal"/>
        <w:numPr>
          <w:ilvl w:val="1"/>
          <w:numId w:val="2"/>
        </w:numPr>
        <w:tabs>
          <w:tab w:val="clear" w:pos="708"/>
          <w:tab w:val="left" w:pos="426" w:leader="none"/>
        </w:tabs>
        <w:suppressAutoHyphens w:val="false"/>
        <w:ind w:left="0" w:hanging="0"/>
        <w:jc w:val="both"/>
        <w:rPr>
          <w:sz w:val="22"/>
          <w:szCs w:val="22"/>
        </w:rPr>
      </w:pPr>
      <w:r>
        <w:rPr>
          <w:rFonts w:eastAsia="Calibri"/>
          <w:sz w:val="22"/>
          <w:szCs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pPr>
        <w:pStyle w:val="Normal"/>
        <w:tabs>
          <w:tab w:val="clear" w:pos="708"/>
          <w:tab w:val="left" w:pos="426" w:leader="none"/>
        </w:tabs>
        <w:jc w:val="both"/>
        <w:rPr>
          <w:rFonts w:eastAsia="Calibri"/>
          <w:color w:val="0000FF"/>
          <w:sz w:val="22"/>
          <w:szCs w:val="22"/>
        </w:rPr>
      </w:pPr>
      <w:r>
        <w:rPr>
          <w:rFonts w:eastAsia="Calibri"/>
          <w:color w:val="0000FF"/>
          <w:sz w:val="22"/>
          <w:szCs w:val="22"/>
        </w:rPr>
      </w:r>
    </w:p>
    <w:p>
      <w:pPr>
        <w:pStyle w:val="Normal"/>
        <w:numPr>
          <w:ilvl w:val="0"/>
          <w:numId w:val="2"/>
        </w:numPr>
        <w:shd w:val="clear" w:color="auto" w:fill="FFFFFF" w:themeFill="background1"/>
        <w:suppressAutoHyphens w:val="false"/>
        <w:ind w:left="284" w:hanging="284"/>
        <w:jc w:val="both"/>
        <w:rPr>
          <w:color w:val="000000"/>
          <w:sz w:val="22"/>
          <w:szCs w:val="22"/>
          <w:u w:val="single"/>
        </w:rPr>
      </w:pPr>
      <w:r>
        <w:rPr>
          <w:rFonts w:eastAsia="Calibri"/>
          <w:b/>
          <w:color w:val="000000"/>
          <w:sz w:val="22"/>
          <w:szCs w:val="22"/>
          <w:u w:val="single"/>
        </w:rPr>
        <w:t>DO CONTROLE E FISCALIZAÇÃO DA EXECUÇÃO.</w:t>
      </w:r>
    </w:p>
    <w:p>
      <w:pPr>
        <w:pStyle w:val="Normal"/>
        <w:jc w:val="both"/>
        <w:rPr>
          <w:rFonts w:eastAsia="Calibri"/>
          <w:b/>
          <w:b/>
          <w:sz w:val="22"/>
          <w:szCs w:val="22"/>
        </w:rPr>
      </w:pPr>
      <w:r>
        <w:rPr>
          <w:rFonts w:eastAsia="Calibri"/>
          <w:b/>
          <w:sz w:val="22"/>
          <w:szCs w:val="22"/>
        </w:rPr>
      </w:r>
    </w:p>
    <w:p>
      <w:pPr>
        <w:pStyle w:val="Normal"/>
        <w:numPr>
          <w:ilvl w:val="1"/>
          <w:numId w:val="2"/>
        </w:numPr>
        <w:tabs>
          <w:tab w:val="clear" w:pos="708"/>
          <w:tab w:val="left" w:pos="426" w:leader="none"/>
        </w:tabs>
        <w:suppressAutoHyphens w:val="false"/>
        <w:ind w:left="0" w:hanging="0"/>
        <w:jc w:val="both"/>
        <w:rPr>
          <w:sz w:val="22"/>
          <w:szCs w:val="22"/>
        </w:rPr>
      </w:pPr>
      <w:r>
        <w:rPr>
          <w:rFonts w:eastAsia="Calibri"/>
          <w:color w:val="000000"/>
          <w:sz w:val="22"/>
          <w:szCs w:val="22"/>
        </w:rPr>
        <w:t>Nos termos do art. 117 Lei nº 14.133/2021, o fiscal designado acompanhará e fiscalizará a entrega dos bens, anotando em registro próprio todas as ocorrências relacionadas com a execução e determinando o que for necessário à regularização de falhas ou defeitos observados.</w:t>
      </w:r>
    </w:p>
    <w:p>
      <w:pPr>
        <w:pStyle w:val="Normal"/>
        <w:tabs>
          <w:tab w:val="clear" w:pos="708"/>
          <w:tab w:val="left" w:pos="426" w:leader="none"/>
        </w:tabs>
        <w:jc w:val="both"/>
        <w:rPr>
          <w:rFonts w:eastAsia="Calibri"/>
          <w:color w:val="000000"/>
          <w:sz w:val="22"/>
          <w:szCs w:val="22"/>
        </w:rPr>
      </w:pPr>
      <w:r>
        <w:rPr>
          <w:rFonts w:eastAsia="Calibri"/>
          <w:color w:val="000000"/>
          <w:sz w:val="22"/>
          <w:szCs w:val="22"/>
        </w:rPr>
      </w:r>
    </w:p>
    <w:p>
      <w:pPr>
        <w:pStyle w:val="Normal"/>
        <w:numPr>
          <w:ilvl w:val="1"/>
          <w:numId w:val="2"/>
        </w:numPr>
        <w:tabs>
          <w:tab w:val="clear" w:pos="708"/>
          <w:tab w:val="left" w:pos="426" w:leader="none"/>
        </w:tabs>
        <w:suppressAutoHyphens w:val="false"/>
        <w:ind w:left="0" w:hanging="0"/>
        <w:jc w:val="both"/>
        <w:rPr>
          <w:sz w:val="22"/>
          <w:szCs w:val="22"/>
        </w:rPr>
      </w:pPr>
      <w:r>
        <w:rPr>
          <w:rFonts w:eastAsia="Calibri"/>
          <w:color w:val="000000"/>
          <w:sz w:val="22"/>
          <w:szCs w:val="22"/>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Lei nº 14.133/2021.</w:t>
      </w:r>
    </w:p>
    <w:p>
      <w:pPr>
        <w:pStyle w:val="Normal"/>
        <w:tabs>
          <w:tab w:val="clear" w:pos="708"/>
          <w:tab w:val="left" w:pos="426" w:leader="none"/>
        </w:tabs>
        <w:jc w:val="both"/>
        <w:rPr>
          <w:rFonts w:eastAsia="Calibri"/>
          <w:color w:val="000000"/>
          <w:sz w:val="22"/>
          <w:szCs w:val="22"/>
        </w:rPr>
      </w:pPr>
      <w:r>
        <w:rPr>
          <w:rFonts w:eastAsia="Calibri"/>
          <w:color w:val="000000"/>
          <w:sz w:val="22"/>
          <w:szCs w:val="22"/>
        </w:rPr>
      </w:r>
    </w:p>
    <w:p>
      <w:pPr>
        <w:pStyle w:val="Normal"/>
        <w:numPr>
          <w:ilvl w:val="1"/>
          <w:numId w:val="2"/>
        </w:numPr>
        <w:tabs>
          <w:tab w:val="clear" w:pos="708"/>
          <w:tab w:val="left" w:pos="426" w:leader="none"/>
        </w:tabs>
        <w:suppressAutoHyphens w:val="false"/>
        <w:ind w:left="0" w:hanging="0"/>
        <w:jc w:val="both"/>
        <w:rPr>
          <w:sz w:val="22"/>
          <w:szCs w:val="22"/>
        </w:rPr>
      </w:pPr>
      <w:r>
        <w:rPr>
          <w:rFonts w:eastAsia="Calibri"/>
          <w:color w:val="000000"/>
          <w:sz w:val="22"/>
          <w:szCs w:val="22"/>
        </w:rPr>
        <w:t>O fiscal designado pela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ao gestor do contrato ou secretário para as providências cabíveis.</w:t>
      </w:r>
    </w:p>
    <w:p>
      <w:pPr>
        <w:pStyle w:val="Normal"/>
        <w:ind w:left="720" w:hanging="0"/>
        <w:rPr>
          <w:rFonts w:eastAsia="Calibri"/>
          <w:color w:val="000000"/>
          <w:sz w:val="22"/>
          <w:szCs w:val="22"/>
        </w:rPr>
      </w:pPr>
      <w:r>
        <w:rPr>
          <w:rFonts w:eastAsia="Calibri"/>
          <w:color w:val="000000"/>
          <w:sz w:val="22"/>
          <w:szCs w:val="22"/>
        </w:rPr>
      </w:r>
    </w:p>
    <w:p>
      <w:pPr>
        <w:pStyle w:val="Normal"/>
        <w:numPr>
          <w:ilvl w:val="1"/>
          <w:numId w:val="2"/>
        </w:numPr>
        <w:tabs>
          <w:tab w:val="clear" w:pos="708"/>
          <w:tab w:val="left" w:pos="426" w:leader="none"/>
        </w:tabs>
        <w:suppressAutoHyphens w:val="false"/>
        <w:ind w:left="0" w:hanging="0"/>
        <w:jc w:val="both"/>
        <w:rPr>
          <w:sz w:val="22"/>
          <w:szCs w:val="22"/>
        </w:rPr>
      </w:pPr>
      <w:r>
        <w:rPr>
          <w:rFonts w:eastAsia="Calibri"/>
          <w:color w:val="000000"/>
          <w:sz w:val="22"/>
          <w:szCs w:val="22"/>
        </w:rPr>
        <w:t xml:space="preserve">O fiscal do contrato será auxiliado pelos órgãos de assessoramento jurídico e de controle interno da Administração. </w:t>
      </w:r>
    </w:p>
    <w:p>
      <w:pPr>
        <w:pStyle w:val="Normal"/>
        <w:ind w:left="720" w:hanging="0"/>
        <w:rPr>
          <w:rFonts w:eastAsia="Calibri"/>
          <w:color w:val="000000"/>
          <w:sz w:val="22"/>
          <w:szCs w:val="22"/>
        </w:rPr>
      </w:pPr>
      <w:r>
        <w:rPr>
          <w:rFonts w:eastAsia="Calibri"/>
          <w:color w:val="000000"/>
          <w:sz w:val="22"/>
          <w:szCs w:val="22"/>
        </w:rPr>
      </w:r>
    </w:p>
    <w:p>
      <w:pPr>
        <w:pStyle w:val="Normal"/>
        <w:numPr>
          <w:ilvl w:val="1"/>
          <w:numId w:val="2"/>
        </w:numPr>
        <w:suppressAutoHyphens w:val="false"/>
        <w:ind w:left="0" w:hanging="0"/>
        <w:jc w:val="both"/>
        <w:rPr/>
      </w:pPr>
      <w:r>
        <w:rPr>
          <w:rFonts w:eastAsia="Calibri"/>
          <w:color w:val="000000"/>
          <w:sz w:val="22"/>
          <w:szCs w:val="22"/>
        </w:rPr>
        <w:t xml:space="preserve">O fiscal designado não exerceu a função de </w:t>
      </w:r>
      <w:r>
        <w:rPr>
          <w:rFonts w:eastAsia="Calibri"/>
          <w:sz w:val="22"/>
          <w:szCs w:val="22"/>
        </w:rPr>
        <w:t>Pregoeiro</w:t>
      </w:r>
      <w:r>
        <w:rPr>
          <w:rFonts w:eastAsia="Calibri"/>
          <w:color w:val="000000"/>
          <w:sz w:val="22"/>
          <w:szCs w:val="22"/>
        </w:rPr>
        <w:t xml:space="preserve"> na licitação que antecedeu o contrato, a fim de preservar a segregação de funções (TCU, acórdão 1375/2015 - Plenário e, TCU, acórdão 2146/2011, Segunda Câmara).</w:t>
      </w:r>
    </w:p>
    <w:p>
      <w:pPr>
        <w:pStyle w:val="Normal"/>
        <w:suppressAutoHyphens w:val="false"/>
        <w:ind w:left="0" w:hanging="0"/>
        <w:jc w:val="both"/>
        <w:rPr>
          <w:rFonts w:eastAsia="Calibri"/>
          <w:color w:val="000000"/>
          <w:sz w:val="22"/>
          <w:szCs w:val="22"/>
        </w:rPr>
      </w:pPr>
      <w:r>
        <w:rPr>
          <w:rFonts w:eastAsia="Calibri"/>
          <w:color w:val="000000"/>
          <w:sz w:val="22"/>
          <w:szCs w:val="22"/>
        </w:rPr>
      </w:r>
    </w:p>
    <w:p>
      <w:pPr>
        <w:pStyle w:val="Normal"/>
        <w:jc w:val="both"/>
        <w:rPr>
          <w:rFonts w:eastAsia="Calibri"/>
          <w:sz w:val="22"/>
          <w:szCs w:val="22"/>
        </w:rPr>
      </w:pPr>
      <w:r>
        <w:rPr>
          <w:rFonts w:eastAsia="Calibri"/>
          <w:sz w:val="22"/>
          <w:szCs w:val="22"/>
        </w:rPr>
      </w:r>
    </w:p>
    <w:p>
      <w:pPr>
        <w:pStyle w:val="Normal"/>
        <w:numPr>
          <w:ilvl w:val="0"/>
          <w:numId w:val="2"/>
        </w:numPr>
        <w:shd w:val="clear" w:color="auto" w:fill="FFFFFF" w:themeFill="background1"/>
        <w:suppressAutoHyphens w:val="false"/>
        <w:jc w:val="both"/>
        <w:rPr/>
      </w:pPr>
      <w:r>
        <w:rPr>
          <w:rFonts w:eastAsia="Calibri"/>
          <w:b/>
          <w:color w:val="000000"/>
          <w:sz w:val="22"/>
          <w:szCs w:val="22"/>
          <w:u w:val="single"/>
        </w:rPr>
        <w:t>DO PAGAMENTO.</w:t>
      </w:r>
    </w:p>
    <w:p>
      <w:pPr>
        <w:pStyle w:val="Normal"/>
        <w:jc w:val="both"/>
        <w:rPr>
          <w:rFonts w:eastAsia="Calibri"/>
          <w:b/>
          <w:b/>
          <w:sz w:val="22"/>
          <w:szCs w:val="22"/>
        </w:rPr>
      </w:pPr>
      <w:r>
        <w:rPr>
          <w:rFonts w:eastAsia="Calibri"/>
          <w:b/>
          <w:sz w:val="22"/>
          <w:szCs w:val="22"/>
        </w:rPr>
      </w:r>
    </w:p>
    <w:p>
      <w:pPr>
        <w:pStyle w:val="Normal"/>
        <w:numPr>
          <w:ilvl w:val="1"/>
          <w:numId w:val="2"/>
        </w:numPr>
        <w:tabs>
          <w:tab w:val="clear" w:pos="708"/>
          <w:tab w:val="left" w:pos="567" w:leader="none"/>
        </w:tabs>
        <w:suppressAutoHyphens w:val="false"/>
        <w:ind w:left="0" w:hanging="0"/>
        <w:jc w:val="both"/>
        <w:rPr/>
      </w:pPr>
      <w:r>
        <w:rPr>
          <w:rFonts w:eastAsia="Calibri"/>
          <w:color w:val="000000"/>
          <w:sz w:val="22"/>
          <w:szCs w:val="22"/>
        </w:rPr>
        <w:t>O pagamento será realizado em até 15 (quinze) dias após a emissão da nota ou conforme parecer contábil, priorizando-se o prazo estipulado neste, contados a partir do recebimento da Nota Fiscal ou Fatura, através de ordem bancária, para crédito em banco, agência e conta corrente indicadas pelo contratado, sempre após a realização das entregas.</w:t>
      </w:r>
    </w:p>
    <w:p>
      <w:pPr>
        <w:pStyle w:val="Normal"/>
        <w:tabs>
          <w:tab w:val="clear" w:pos="708"/>
          <w:tab w:val="left" w:pos="567" w:leader="none"/>
        </w:tabs>
        <w:jc w:val="both"/>
        <w:rPr>
          <w:rFonts w:eastAsia="Calibri"/>
          <w:color w:val="000000"/>
          <w:sz w:val="22"/>
          <w:szCs w:val="22"/>
        </w:rPr>
      </w:pPr>
      <w:r>
        <w:rPr>
          <w:rFonts w:eastAsia="Calibri"/>
          <w:color w:val="000000"/>
          <w:sz w:val="22"/>
          <w:szCs w:val="22"/>
        </w:rPr>
      </w:r>
    </w:p>
    <w:p>
      <w:pPr>
        <w:pStyle w:val="Normal"/>
        <w:numPr>
          <w:ilvl w:val="1"/>
          <w:numId w:val="2"/>
        </w:numPr>
        <w:tabs>
          <w:tab w:val="clear" w:pos="708"/>
          <w:tab w:val="left" w:pos="567" w:leader="none"/>
        </w:tabs>
        <w:suppressAutoHyphens w:val="false"/>
        <w:ind w:left="0" w:hanging="0"/>
        <w:jc w:val="both"/>
        <w:rPr>
          <w:sz w:val="22"/>
          <w:szCs w:val="22"/>
        </w:rPr>
      </w:pPr>
      <w:r>
        <w:rPr>
          <w:rFonts w:eastAsia="Calibri"/>
          <w:color w:val="000000"/>
          <w:sz w:val="22"/>
          <w:szCs w:val="22"/>
        </w:rPr>
        <w:t>Considera-se ocorrido o recebimento da nota fiscal ou fatura no momento em que o órgão contratante atestar a execução do objeto do contrato.</w:t>
      </w:r>
    </w:p>
    <w:p>
      <w:pPr>
        <w:pStyle w:val="Normal"/>
        <w:tabs>
          <w:tab w:val="clear" w:pos="708"/>
          <w:tab w:val="left" w:pos="993" w:leader="none"/>
        </w:tabs>
        <w:jc w:val="both"/>
        <w:rPr>
          <w:rFonts w:eastAsia="Calibri"/>
          <w:color w:val="000000"/>
          <w:sz w:val="22"/>
          <w:szCs w:val="22"/>
        </w:rPr>
      </w:pPr>
      <w:r>
        <w:rPr>
          <w:rFonts w:eastAsia="Calibri"/>
          <w:color w:val="000000"/>
          <w:sz w:val="22"/>
          <w:szCs w:val="22"/>
        </w:rPr>
      </w:r>
    </w:p>
    <w:p>
      <w:pPr>
        <w:pStyle w:val="Normal"/>
        <w:numPr>
          <w:ilvl w:val="1"/>
          <w:numId w:val="2"/>
        </w:numPr>
        <w:tabs>
          <w:tab w:val="clear" w:pos="708"/>
          <w:tab w:val="left" w:pos="567" w:leader="none"/>
        </w:tabs>
        <w:suppressAutoHyphens w:val="false"/>
        <w:ind w:left="0" w:hanging="0"/>
        <w:jc w:val="both"/>
        <w:rPr>
          <w:sz w:val="22"/>
          <w:szCs w:val="22"/>
        </w:rPr>
      </w:pPr>
      <w:r>
        <w:rPr>
          <w:rFonts w:eastAsia="Calibri"/>
          <w:color w:val="000000"/>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pPr>
        <w:pStyle w:val="Normal"/>
        <w:tabs>
          <w:tab w:val="clear" w:pos="708"/>
          <w:tab w:val="left" w:pos="567" w:leader="none"/>
          <w:tab w:val="left" w:pos="709" w:leader="none"/>
        </w:tabs>
        <w:jc w:val="both"/>
        <w:rPr>
          <w:rFonts w:eastAsia="Calibri"/>
          <w:sz w:val="22"/>
          <w:szCs w:val="22"/>
        </w:rPr>
      </w:pPr>
      <w:r>
        <w:rPr>
          <w:rFonts w:eastAsia="Calibri"/>
          <w:sz w:val="22"/>
          <w:szCs w:val="22"/>
        </w:rPr>
      </w:r>
    </w:p>
    <w:p>
      <w:pPr>
        <w:pStyle w:val="Normal"/>
        <w:numPr>
          <w:ilvl w:val="1"/>
          <w:numId w:val="2"/>
        </w:numPr>
        <w:tabs>
          <w:tab w:val="clear" w:pos="708"/>
          <w:tab w:val="left" w:pos="709" w:leader="none"/>
        </w:tabs>
        <w:suppressAutoHyphens w:val="false"/>
        <w:ind w:left="0" w:hanging="0"/>
        <w:jc w:val="both"/>
        <w:rPr>
          <w:sz w:val="22"/>
          <w:szCs w:val="22"/>
        </w:rPr>
      </w:pPr>
      <w:r>
        <w:rPr>
          <w:rFonts w:eastAsia="Calibri"/>
          <w:color w:val="000000"/>
          <w:sz w:val="22"/>
          <w:szCs w:val="22"/>
        </w:rPr>
        <w:t>Quando do pagamento, será efetuada a retenção tributária prevista na legislação aplicável.</w:t>
      </w:r>
    </w:p>
    <w:p>
      <w:pPr>
        <w:pStyle w:val="Normal"/>
        <w:jc w:val="both"/>
        <w:rPr>
          <w:rFonts w:eastAsia="Calibri"/>
          <w:color w:val="000000"/>
          <w:sz w:val="22"/>
          <w:szCs w:val="22"/>
        </w:rPr>
      </w:pPr>
      <w:r>
        <w:rPr>
          <w:rFonts w:eastAsia="Calibri"/>
          <w:color w:val="000000"/>
          <w:sz w:val="22"/>
          <w:szCs w:val="22"/>
        </w:rPr>
      </w:r>
    </w:p>
    <w:p>
      <w:pPr>
        <w:pStyle w:val="Normal"/>
        <w:numPr>
          <w:ilvl w:val="2"/>
          <w:numId w:val="2"/>
        </w:numPr>
        <w:tabs>
          <w:tab w:val="clear" w:pos="708"/>
          <w:tab w:val="left" w:pos="851" w:leader="none"/>
          <w:tab w:val="left" w:pos="1134" w:leader="none"/>
        </w:tabs>
        <w:suppressAutoHyphens w:val="false"/>
        <w:ind w:left="284" w:hanging="0"/>
        <w:jc w:val="both"/>
        <w:rPr/>
      </w:pPr>
      <w:r>
        <w:rPr>
          <w:rFonts w:eastAsia="Calibri"/>
          <w:color w:val="000000"/>
          <w:sz w:val="22"/>
          <w:szCs w:val="22"/>
        </w:rPr>
        <w:t xml:space="preserve">A Contratada regularmente optante pelo Simples Nacional, nos termos da Lei Complementar nº 123/2006, não sofrerá a retenção tributária quanto aos impostos e contribuições abrangidos por aquele regime. </w:t>
      </w:r>
    </w:p>
    <w:p>
      <w:pPr>
        <w:pStyle w:val="Normal"/>
        <w:tabs>
          <w:tab w:val="clear" w:pos="708"/>
          <w:tab w:val="left" w:pos="851" w:leader="none"/>
          <w:tab w:val="left" w:pos="1134" w:leader="none"/>
        </w:tabs>
        <w:suppressAutoHyphens w:val="false"/>
        <w:ind w:left="1004" w:hanging="0"/>
        <w:jc w:val="both"/>
        <w:rPr>
          <w:rFonts w:eastAsia="Calibri"/>
          <w:color w:val="000000"/>
          <w:sz w:val="22"/>
          <w:szCs w:val="22"/>
        </w:rPr>
      </w:pPr>
      <w:r>
        <w:rPr>
          <w:rFonts w:eastAsia="Calibri"/>
          <w:color w:val="000000"/>
          <w:sz w:val="22"/>
          <w:szCs w:val="22"/>
        </w:rPr>
      </w:r>
    </w:p>
    <w:p>
      <w:pPr>
        <w:pStyle w:val="Normal"/>
        <w:numPr>
          <w:ilvl w:val="1"/>
          <w:numId w:val="2"/>
        </w:numPr>
        <w:suppressAutoHyphens w:val="false"/>
        <w:ind w:left="0" w:hanging="0"/>
        <w:jc w:val="both"/>
        <w:rPr>
          <w:rFonts w:eastAsia="Calibri"/>
          <w:sz w:val="22"/>
          <w:szCs w:val="22"/>
        </w:rPr>
      </w:pPr>
      <w:r>
        <w:rPr>
          <w:rFonts w:eastAsia="Calibri"/>
          <w:color w:val="000000"/>
          <w:sz w:val="22"/>
          <w:szCs w:val="22"/>
        </w:rPr>
        <w:t xml:space="preserve">Nos casos de eventuais atrasos de pagamento, desde que a Contratada não tenha concorrido, de alguma forma, para tanto, fica convencionado que os valores serão atualizados pelo INPC do período. </w:t>
      </w:r>
    </w:p>
    <w:p>
      <w:pPr>
        <w:pStyle w:val="Normal"/>
        <w:suppressAutoHyphens w:val="false"/>
        <w:jc w:val="both"/>
        <w:rPr>
          <w:rFonts w:eastAsia="Calibri"/>
          <w:sz w:val="22"/>
          <w:szCs w:val="22"/>
        </w:rPr>
      </w:pPr>
      <w:r>
        <w:rPr>
          <w:rFonts w:eastAsia="Calibri"/>
          <w:sz w:val="22"/>
          <w:szCs w:val="22"/>
        </w:rPr>
      </w:r>
    </w:p>
    <w:p>
      <w:pPr>
        <w:pStyle w:val="Normal"/>
        <w:numPr>
          <w:ilvl w:val="0"/>
          <w:numId w:val="2"/>
        </w:numPr>
        <w:shd w:val="clear" w:color="auto" w:fill="FFFFFF" w:themeFill="background1"/>
        <w:suppressAutoHyphens w:val="false"/>
        <w:jc w:val="both"/>
        <w:rPr>
          <w:color w:val="000000"/>
          <w:sz w:val="22"/>
          <w:szCs w:val="22"/>
          <w:u w:val="single"/>
        </w:rPr>
      </w:pPr>
      <w:r>
        <w:rPr>
          <w:rFonts w:eastAsia="Calibri"/>
          <w:b/>
          <w:color w:val="000000"/>
          <w:sz w:val="22"/>
          <w:szCs w:val="22"/>
          <w:u w:val="single"/>
        </w:rPr>
        <w:t>DO REAJUSTE.</w:t>
      </w:r>
    </w:p>
    <w:p>
      <w:pPr>
        <w:pStyle w:val="Normal"/>
        <w:rPr>
          <w:rFonts w:eastAsia="Calibri"/>
          <w:sz w:val="22"/>
          <w:szCs w:val="22"/>
        </w:rPr>
      </w:pPr>
      <w:r>
        <w:rPr>
          <w:rFonts w:eastAsia="Calibri"/>
          <w:sz w:val="22"/>
          <w:szCs w:val="22"/>
        </w:rPr>
      </w:r>
    </w:p>
    <w:p>
      <w:pPr>
        <w:pStyle w:val="Normal"/>
        <w:numPr>
          <w:ilvl w:val="1"/>
          <w:numId w:val="2"/>
        </w:numPr>
        <w:tabs>
          <w:tab w:val="clear" w:pos="708"/>
          <w:tab w:val="left" w:pos="567" w:leader="none"/>
        </w:tabs>
        <w:suppressAutoHyphens w:val="false"/>
        <w:ind w:left="0" w:hanging="0"/>
        <w:jc w:val="both"/>
        <w:rPr>
          <w:sz w:val="22"/>
          <w:szCs w:val="22"/>
        </w:rPr>
      </w:pPr>
      <w:r>
        <w:rPr>
          <w:rFonts w:eastAsia="Calibri"/>
          <w:color w:val="000000"/>
          <w:sz w:val="22"/>
          <w:szCs w:val="22"/>
        </w:rPr>
        <w:t xml:space="preserve">Os preços contratados poderão sofrer reajuste, conforme previsto no edital  e nos termos do art. 25, §7º da Lei nº 14.133/2021. </w:t>
      </w:r>
    </w:p>
    <w:p>
      <w:pPr>
        <w:pStyle w:val="Normal"/>
        <w:jc w:val="both"/>
        <w:rPr>
          <w:rFonts w:eastAsia="Calibri"/>
          <w:color w:val="000000"/>
          <w:sz w:val="22"/>
          <w:szCs w:val="22"/>
        </w:rPr>
      </w:pPr>
      <w:r>
        <w:rPr>
          <w:rFonts w:eastAsia="Calibri"/>
          <w:color w:val="000000"/>
          <w:sz w:val="22"/>
          <w:szCs w:val="22"/>
        </w:rPr>
      </w:r>
    </w:p>
    <w:p>
      <w:pPr>
        <w:pStyle w:val="Normal"/>
        <w:numPr>
          <w:ilvl w:val="1"/>
          <w:numId w:val="2"/>
        </w:numPr>
        <w:tabs>
          <w:tab w:val="clear" w:pos="708"/>
          <w:tab w:val="left" w:pos="567" w:leader="none"/>
        </w:tabs>
        <w:suppressAutoHyphens w:val="false"/>
        <w:ind w:left="0" w:hanging="0"/>
        <w:jc w:val="both"/>
        <w:rPr>
          <w:sz w:val="22"/>
          <w:szCs w:val="22"/>
        </w:rPr>
      </w:pPr>
      <w:r>
        <w:rPr>
          <w:rFonts w:eastAsia="Calibri"/>
          <w:color w:val="000000"/>
          <w:sz w:val="22"/>
          <w:szCs w:val="22"/>
        </w:rPr>
        <w:t>Caso o índice estabelecido para reajustamento venha a ser extinto ou de qualquer forma não possa mais ser utilizado, será adotado, em substituição, o que vier a ser determinado pela legislação então em vigor.</w:t>
      </w:r>
    </w:p>
    <w:p>
      <w:pPr>
        <w:pStyle w:val="Normal"/>
        <w:tabs>
          <w:tab w:val="clear" w:pos="708"/>
          <w:tab w:val="left" w:pos="567" w:leader="none"/>
        </w:tabs>
        <w:jc w:val="both"/>
        <w:rPr>
          <w:rFonts w:eastAsia="Calibri"/>
          <w:color w:val="000000"/>
          <w:sz w:val="22"/>
          <w:szCs w:val="22"/>
        </w:rPr>
      </w:pPr>
      <w:r>
        <w:rPr>
          <w:rFonts w:eastAsia="Calibri"/>
          <w:color w:val="000000"/>
          <w:sz w:val="22"/>
          <w:szCs w:val="22"/>
        </w:rPr>
      </w:r>
    </w:p>
    <w:p>
      <w:pPr>
        <w:pStyle w:val="Normal"/>
        <w:numPr>
          <w:ilvl w:val="1"/>
          <w:numId w:val="2"/>
        </w:numPr>
        <w:tabs>
          <w:tab w:val="clear" w:pos="708"/>
          <w:tab w:val="left" w:pos="567" w:leader="none"/>
        </w:tabs>
        <w:suppressAutoHyphens w:val="false"/>
        <w:ind w:left="0" w:hanging="0"/>
        <w:jc w:val="both"/>
        <w:rPr>
          <w:sz w:val="22"/>
          <w:szCs w:val="22"/>
        </w:rPr>
      </w:pPr>
      <w:r>
        <w:rPr>
          <w:rFonts w:eastAsia="Calibri"/>
          <w:color w:val="000000"/>
          <w:sz w:val="22"/>
          <w:szCs w:val="22"/>
        </w:rPr>
        <w:t>Na ausência de previsão legal quanto ao índice substituto, as partes elegerão novo índice oficial, para reajustamento do preço do valor remanescente, por meio de termo aditivo.</w:t>
      </w:r>
    </w:p>
    <w:p>
      <w:pPr>
        <w:pStyle w:val="Normal"/>
        <w:tabs>
          <w:tab w:val="clear" w:pos="708"/>
          <w:tab w:val="left" w:pos="567" w:leader="none"/>
        </w:tabs>
        <w:jc w:val="both"/>
        <w:rPr>
          <w:rFonts w:eastAsia="Calibri"/>
          <w:color w:val="000000"/>
          <w:sz w:val="22"/>
          <w:szCs w:val="22"/>
        </w:rPr>
      </w:pPr>
      <w:r>
        <w:rPr>
          <w:rFonts w:eastAsia="Calibri"/>
          <w:color w:val="000000"/>
          <w:sz w:val="22"/>
          <w:szCs w:val="22"/>
        </w:rPr>
      </w:r>
    </w:p>
    <w:p>
      <w:pPr>
        <w:pStyle w:val="Normal"/>
        <w:numPr>
          <w:ilvl w:val="1"/>
          <w:numId w:val="2"/>
        </w:numPr>
        <w:tabs>
          <w:tab w:val="clear" w:pos="708"/>
          <w:tab w:val="left" w:pos="567" w:leader="none"/>
        </w:tabs>
        <w:suppressAutoHyphens w:val="false"/>
        <w:ind w:left="0" w:hanging="0"/>
        <w:jc w:val="both"/>
        <w:rPr>
          <w:sz w:val="22"/>
          <w:szCs w:val="22"/>
        </w:rPr>
      </w:pPr>
      <w:r>
        <w:rPr>
          <w:rFonts w:eastAsia="Calibri"/>
          <w:color w:val="000000"/>
          <w:sz w:val="22"/>
          <w:szCs w:val="22"/>
        </w:rPr>
        <w:t>O reajuste poderá ser realizado por apostilamento.</w:t>
      </w:r>
    </w:p>
    <w:p>
      <w:pPr>
        <w:pStyle w:val="Normal"/>
        <w:jc w:val="both"/>
        <w:rPr>
          <w:rFonts w:eastAsia="Calibri"/>
          <w:sz w:val="22"/>
          <w:szCs w:val="22"/>
        </w:rPr>
      </w:pPr>
      <w:r>
        <w:rPr>
          <w:rFonts w:eastAsia="Calibri"/>
          <w:sz w:val="22"/>
          <w:szCs w:val="22"/>
        </w:rPr>
      </w:r>
    </w:p>
    <w:p>
      <w:pPr>
        <w:pStyle w:val="Normal"/>
        <w:numPr>
          <w:ilvl w:val="0"/>
          <w:numId w:val="2"/>
        </w:numPr>
        <w:shd w:val="clear" w:color="auto" w:fill="FFFFFF" w:themeFill="background1"/>
        <w:suppressAutoHyphens w:val="false"/>
        <w:jc w:val="both"/>
        <w:rPr/>
      </w:pPr>
      <w:r>
        <w:rPr>
          <w:rFonts w:eastAsia="Calibri"/>
          <w:b/>
          <w:color w:val="000000"/>
          <w:sz w:val="22"/>
          <w:szCs w:val="22"/>
          <w:u w:val="single"/>
        </w:rPr>
        <w:t>DA GARANTIA.</w:t>
      </w:r>
    </w:p>
    <w:p>
      <w:pPr>
        <w:pStyle w:val="Normal"/>
        <w:jc w:val="both"/>
        <w:rPr>
          <w:rFonts w:eastAsia="Calibri"/>
          <w:sz w:val="22"/>
          <w:szCs w:val="22"/>
        </w:rPr>
      </w:pPr>
      <w:r>
        <w:rPr>
          <w:rFonts w:eastAsia="Calibri"/>
          <w:sz w:val="22"/>
          <w:szCs w:val="22"/>
        </w:rPr>
      </w:r>
    </w:p>
    <w:p>
      <w:pPr>
        <w:pStyle w:val="Normal"/>
        <w:numPr>
          <w:ilvl w:val="1"/>
          <w:numId w:val="2"/>
        </w:numPr>
        <w:tabs>
          <w:tab w:val="clear" w:pos="708"/>
          <w:tab w:val="left" w:pos="567" w:leader="none"/>
        </w:tabs>
        <w:suppressAutoHyphens w:val="false"/>
        <w:ind w:left="0" w:hanging="0"/>
        <w:jc w:val="both"/>
        <w:rPr/>
      </w:pPr>
      <w:r>
        <w:rPr>
          <w:rFonts w:eastAsia="Calibri"/>
          <w:color w:val="000000"/>
          <w:sz w:val="22"/>
          <w:szCs w:val="22"/>
          <w:highlight w:val="white"/>
        </w:rPr>
        <w:t xml:space="preserve">O maquinário deverá seguir fielmente a descrição da Ata de Registro de Preços, possuindo garantia de no mínimo 12 (doze) meses, contados a partir da data de entrega do objeto e aceite pelo fiscal. </w:t>
      </w:r>
    </w:p>
    <w:p>
      <w:pPr>
        <w:pStyle w:val="Normal"/>
        <w:numPr>
          <w:ilvl w:val="0"/>
          <w:numId w:val="0"/>
        </w:numPr>
        <w:tabs>
          <w:tab w:val="clear" w:pos="708"/>
          <w:tab w:val="left" w:pos="567" w:leader="none"/>
        </w:tabs>
        <w:suppressAutoHyphens w:val="false"/>
        <w:ind w:left="405" w:hanging="0"/>
        <w:jc w:val="both"/>
        <w:rPr>
          <w:rFonts w:eastAsia="Calibri"/>
          <w:color w:val="000000"/>
          <w:sz w:val="22"/>
          <w:szCs w:val="22"/>
          <w:highlight w:val="white"/>
        </w:rPr>
      </w:pPr>
      <w:r>
        <w:rPr>
          <w:rFonts w:eastAsia="Calibri"/>
          <w:color w:val="000000"/>
          <w:sz w:val="22"/>
          <w:szCs w:val="22"/>
          <w:highlight w:val="white"/>
        </w:rPr>
      </w:r>
    </w:p>
    <w:p>
      <w:pPr>
        <w:pStyle w:val="Normal"/>
        <w:ind w:left="405" w:hanging="0"/>
        <w:jc w:val="both"/>
        <w:rPr>
          <w:rFonts w:eastAsia="Calibri"/>
          <w:i/>
          <w:i/>
          <w:color w:val="FF0000"/>
          <w:sz w:val="22"/>
          <w:szCs w:val="22"/>
        </w:rPr>
      </w:pPr>
      <w:r>
        <w:rPr>
          <w:rFonts w:eastAsia="Calibri"/>
          <w:i/>
          <w:color w:val="FF0000"/>
          <w:sz w:val="22"/>
          <w:szCs w:val="22"/>
        </w:rPr>
      </w:r>
    </w:p>
    <w:p>
      <w:pPr>
        <w:pStyle w:val="Normal"/>
        <w:jc w:val="both"/>
        <w:rPr>
          <w:rFonts w:eastAsia="Calibri"/>
          <w:i/>
          <w:i/>
          <w:color w:val="FF0000"/>
          <w:sz w:val="22"/>
          <w:szCs w:val="22"/>
        </w:rPr>
      </w:pPr>
      <w:r>
        <w:rPr>
          <w:rFonts w:eastAsia="Calibri"/>
          <w:i/>
          <w:color w:val="FF0000"/>
          <w:sz w:val="22"/>
          <w:szCs w:val="22"/>
        </w:rPr>
      </w:r>
    </w:p>
    <w:p>
      <w:pPr>
        <w:pStyle w:val="Normal"/>
        <w:numPr>
          <w:ilvl w:val="0"/>
          <w:numId w:val="2"/>
        </w:numPr>
        <w:shd w:val="clear" w:color="auto" w:fill="FFFFFF" w:themeFill="background1"/>
        <w:suppressAutoHyphens w:val="false"/>
        <w:jc w:val="both"/>
        <w:rPr>
          <w:color w:val="000000"/>
          <w:sz w:val="22"/>
          <w:szCs w:val="22"/>
          <w:u w:val="single"/>
        </w:rPr>
      </w:pPr>
      <w:r>
        <w:rPr>
          <w:rFonts w:eastAsia="Calibri"/>
          <w:b/>
          <w:color w:val="000000"/>
          <w:sz w:val="22"/>
          <w:szCs w:val="22"/>
          <w:u w:val="single"/>
        </w:rPr>
        <w:t>DAS INFRAÇÕES E SANÇÕES ADMINISTRATIVAS.</w:t>
      </w:r>
    </w:p>
    <w:p>
      <w:pPr>
        <w:pStyle w:val="Normal"/>
        <w:numPr>
          <w:ilvl w:val="1"/>
          <w:numId w:val="2"/>
        </w:numPr>
        <w:spacing w:before="0" w:after="120"/>
        <w:jc w:val="both"/>
        <w:rPr>
          <w:b/>
          <w:b/>
          <w:bCs/>
          <w:sz w:val="22"/>
          <w:szCs w:val="22"/>
        </w:rPr>
      </w:pPr>
      <w:r>
        <w:rPr>
          <w:b/>
          <w:bCs/>
          <w:sz w:val="22"/>
          <w:szCs w:val="22"/>
        </w:rPr>
        <w:t>Das Infrações Administrativas</w:t>
      </w:r>
    </w:p>
    <w:p>
      <w:pPr>
        <w:pStyle w:val="Normal"/>
        <w:spacing w:before="0" w:after="120"/>
        <w:jc w:val="both"/>
        <w:rPr>
          <w:b/>
          <w:b/>
          <w:color w:val="FFC000"/>
          <w:sz w:val="22"/>
          <w:szCs w:val="22"/>
          <w:u w:val="single"/>
        </w:rPr>
      </w:pPr>
      <w:r>
        <w:rPr>
          <w:sz w:val="22"/>
          <w:szCs w:val="22"/>
        </w:rPr>
        <w:t>13.1.1. Comete infração administrativa, nos termos da Lei Federal nº 14.133/2021, o licitante ou o contratado que:</w:t>
      </w:r>
    </w:p>
    <w:p>
      <w:pPr>
        <w:pStyle w:val="Normal"/>
        <w:spacing w:before="0" w:after="120"/>
        <w:jc w:val="both"/>
        <w:rPr>
          <w:sz w:val="22"/>
          <w:szCs w:val="22"/>
        </w:rPr>
      </w:pPr>
      <w:r>
        <w:rPr>
          <w:sz w:val="22"/>
          <w:szCs w:val="22"/>
        </w:rPr>
        <w:t xml:space="preserve">13.1.1.1. der causa à inexecução parcial do contrato; </w:t>
      </w:r>
    </w:p>
    <w:p>
      <w:pPr>
        <w:pStyle w:val="Normal"/>
        <w:spacing w:before="0" w:after="120"/>
        <w:jc w:val="both"/>
        <w:rPr>
          <w:color w:val="000000"/>
          <w:sz w:val="22"/>
          <w:szCs w:val="22"/>
        </w:rPr>
      </w:pPr>
      <w:r>
        <w:rPr>
          <w:sz w:val="22"/>
          <w:szCs w:val="22"/>
        </w:rPr>
        <w:t xml:space="preserve">13.1.1.2. der causa à inexecução parcial do contrato que cause grave dano à Administração, ao funcionamento dos serviços públicos ou ao interesse coletivo; </w:t>
      </w:r>
    </w:p>
    <w:p>
      <w:pPr>
        <w:pStyle w:val="Normal"/>
        <w:spacing w:before="0" w:after="120"/>
        <w:jc w:val="both"/>
        <w:rPr>
          <w:color w:val="000000"/>
          <w:sz w:val="22"/>
          <w:szCs w:val="22"/>
        </w:rPr>
      </w:pPr>
      <w:r>
        <w:rPr>
          <w:sz w:val="22"/>
          <w:szCs w:val="22"/>
        </w:rPr>
        <w:t xml:space="preserve">13.1.1.3. der causa à inexecução total do contrato; </w:t>
      </w:r>
    </w:p>
    <w:p>
      <w:pPr>
        <w:pStyle w:val="Normal"/>
        <w:spacing w:before="0" w:after="120"/>
        <w:jc w:val="both"/>
        <w:rPr>
          <w:sz w:val="22"/>
          <w:szCs w:val="22"/>
        </w:rPr>
      </w:pPr>
      <w:r>
        <w:rPr>
          <w:sz w:val="22"/>
          <w:szCs w:val="22"/>
        </w:rPr>
        <w:t>13.1.1.4. deixar de entregar a documentação exigida para o certame;</w:t>
      </w:r>
    </w:p>
    <w:p>
      <w:pPr>
        <w:pStyle w:val="Normal"/>
        <w:spacing w:before="0" w:after="120"/>
        <w:jc w:val="both"/>
        <w:rPr>
          <w:sz w:val="22"/>
          <w:szCs w:val="22"/>
        </w:rPr>
      </w:pPr>
      <w:r>
        <w:rPr>
          <w:sz w:val="22"/>
          <w:szCs w:val="22"/>
        </w:rPr>
        <w:t>13.1.1.5. não mantenha a proposta, salvo em decorrência de fato superveniente devidamente justificado;</w:t>
      </w:r>
    </w:p>
    <w:p>
      <w:pPr>
        <w:pStyle w:val="Normal"/>
        <w:spacing w:before="0" w:after="120"/>
        <w:jc w:val="both"/>
        <w:rPr>
          <w:color w:val="000000"/>
          <w:sz w:val="22"/>
          <w:szCs w:val="22"/>
        </w:rPr>
      </w:pPr>
      <w:r>
        <w:rPr>
          <w:sz w:val="22"/>
          <w:szCs w:val="22"/>
        </w:rPr>
        <w:t xml:space="preserve">13.1.1.6. não celebre o contrato ou não entregue a documentação exigida para a contratação, quando convocado dentro do prazo de validade de sua proposta; </w:t>
      </w:r>
    </w:p>
    <w:p>
      <w:pPr>
        <w:pStyle w:val="Normal"/>
        <w:spacing w:before="0" w:after="120"/>
        <w:jc w:val="both"/>
        <w:rPr>
          <w:color w:val="000000"/>
          <w:sz w:val="22"/>
          <w:szCs w:val="22"/>
        </w:rPr>
      </w:pPr>
      <w:r>
        <w:rPr>
          <w:sz w:val="22"/>
          <w:szCs w:val="22"/>
        </w:rPr>
        <w:t xml:space="preserve">13.1.1.7. enseje o retardamento da execução ou da entrega do objeto da licitação, sem motivo justificado; </w:t>
      </w:r>
    </w:p>
    <w:p>
      <w:pPr>
        <w:pStyle w:val="Normal"/>
        <w:spacing w:before="0" w:after="120"/>
        <w:jc w:val="both"/>
        <w:rPr>
          <w:color w:val="000000"/>
          <w:sz w:val="22"/>
          <w:szCs w:val="22"/>
        </w:rPr>
      </w:pPr>
      <w:r>
        <w:rPr>
          <w:sz w:val="22"/>
          <w:szCs w:val="22"/>
        </w:rPr>
        <w:t xml:space="preserve">13.1.1.8. apresente declaração ou documentação falsa exigida para o certame ou preste declaração falsa durante a licitação ou a execução do contrato; </w:t>
      </w:r>
    </w:p>
    <w:p>
      <w:pPr>
        <w:pStyle w:val="Normal"/>
        <w:spacing w:before="0" w:after="120"/>
        <w:jc w:val="both"/>
        <w:rPr>
          <w:color w:val="000000"/>
          <w:sz w:val="22"/>
          <w:szCs w:val="22"/>
        </w:rPr>
      </w:pPr>
      <w:r>
        <w:rPr>
          <w:sz w:val="22"/>
          <w:szCs w:val="22"/>
        </w:rPr>
        <w:t xml:space="preserve">13.1.1.9. fraude a licitação ou pratique ato fraudulento na execução do contrato; </w:t>
      </w:r>
    </w:p>
    <w:p>
      <w:pPr>
        <w:pStyle w:val="Normal"/>
        <w:spacing w:before="0" w:after="120"/>
        <w:jc w:val="both"/>
        <w:rPr>
          <w:sz w:val="22"/>
          <w:szCs w:val="22"/>
        </w:rPr>
      </w:pPr>
      <w:r>
        <w:rPr>
          <w:sz w:val="22"/>
          <w:szCs w:val="22"/>
        </w:rPr>
        <w:t>13.1.1.10. comporte-se de modo inidôneo ou cometa fraude de qualquer natureza;</w:t>
      </w:r>
    </w:p>
    <w:p>
      <w:pPr>
        <w:pStyle w:val="Normal"/>
        <w:spacing w:before="0" w:after="120"/>
        <w:jc w:val="both"/>
        <w:rPr>
          <w:color w:val="000000"/>
          <w:sz w:val="22"/>
          <w:szCs w:val="22"/>
        </w:rPr>
      </w:pPr>
      <w:r>
        <w:rPr>
          <w:sz w:val="22"/>
          <w:szCs w:val="22"/>
        </w:rPr>
        <w:t xml:space="preserve">13.1.1.11. pratique atos ilícitos com vistas a frustrar os objetivos da licitação; </w:t>
      </w:r>
    </w:p>
    <w:p>
      <w:pPr>
        <w:pStyle w:val="Normal"/>
        <w:spacing w:before="0" w:after="120"/>
        <w:jc w:val="both"/>
        <w:rPr>
          <w:color w:val="000000"/>
          <w:sz w:val="22"/>
          <w:szCs w:val="22"/>
        </w:rPr>
      </w:pPr>
      <w:r>
        <w:rPr>
          <w:sz w:val="22"/>
          <w:szCs w:val="22"/>
        </w:rPr>
        <w:t xml:space="preserve">13.1.1.12. pratique ato lesivo previsto no art. 5º da Lei nº 12.846, de 1º de agosto de 2013. </w:t>
      </w:r>
    </w:p>
    <w:p>
      <w:pPr>
        <w:pStyle w:val="Normal"/>
        <w:spacing w:before="0" w:after="120"/>
        <w:rPr>
          <w:b/>
          <w:b/>
          <w:bCs/>
          <w:sz w:val="22"/>
          <w:szCs w:val="22"/>
        </w:rPr>
      </w:pPr>
      <w:r>
        <w:rPr>
          <w:b/>
          <w:bCs/>
          <w:sz w:val="22"/>
          <w:szCs w:val="22"/>
        </w:rPr>
        <w:t>13.2. Do Processo Administrativo e das Sanções Administrativas</w:t>
      </w:r>
    </w:p>
    <w:p>
      <w:pPr>
        <w:pStyle w:val="Normal"/>
        <w:spacing w:before="0" w:after="120"/>
        <w:jc w:val="both"/>
        <w:rPr>
          <w:sz w:val="22"/>
          <w:szCs w:val="22"/>
        </w:rPr>
      </w:pPr>
      <w:r>
        <w:rPr>
          <w:sz w:val="22"/>
          <w:szCs w:val="22"/>
        </w:rPr>
        <w:t>13.2.1. A aplicação de quaisquer das penalidades aqui previstas realizar-se-á em processo administrativo, assegurado o contraditório e a ampla defesa, observando-se o procedimento previsto na Lei Federal nº 14.133/2021.</w:t>
      </w:r>
    </w:p>
    <w:p>
      <w:pPr>
        <w:pStyle w:val="Normal"/>
        <w:spacing w:before="0" w:after="120"/>
        <w:jc w:val="both"/>
        <w:rPr>
          <w:sz w:val="22"/>
          <w:szCs w:val="22"/>
        </w:rPr>
      </w:pPr>
      <w:r>
        <w:rPr>
          <w:sz w:val="22"/>
          <w:szCs w:val="22"/>
        </w:rPr>
        <w:t xml:space="preserve">13.2.2. Serão aplicadas ao responsável pelas infrações administrativas, as seguintes sanções: </w:t>
      </w:r>
    </w:p>
    <w:p>
      <w:pPr>
        <w:pStyle w:val="Normal"/>
        <w:spacing w:before="0" w:after="120"/>
        <w:jc w:val="both"/>
        <w:rPr>
          <w:sz w:val="22"/>
          <w:szCs w:val="22"/>
        </w:rPr>
      </w:pPr>
      <w:r>
        <w:rPr>
          <w:sz w:val="22"/>
          <w:szCs w:val="22"/>
        </w:rPr>
        <w:t xml:space="preserve">13.2.2.1. advertência, para a infração prevista no item subitem 13.1.1.1., </w:t>
      </w:r>
      <w:r>
        <w:rPr>
          <w:rFonts w:eastAsia="Arial"/>
          <w:color w:val="000000"/>
          <w:sz w:val="22"/>
          <w:szCs w:val="22"/>
        </w:rPr>
        <w:t>quando não se justificar a imposição de penalidade mais grave</w:t>
      </w:r>
      <w:r>
        <w:rPr>
          <w:sz w:val="22"/>
          <w:szCs w:val="22"/>
        </w:rPr>
        <w:t>;</w:t>
      </w:r>
    </w:p>
    <w:p>
      <w:pPr>
        <w:pStyle w:val="Normal"/>
        <w:spacing w:before="0" w:after="120"/>
        <w:jc w:val="both"/>
        <w:rPr>
          <w:sz w:val="22"/>
          <w:szCs w:val="22"/>
        </w:rPr>
      </w:pPr>
      <w:r>
        <w:rPr>
          <w:sz w:val="22"/>
          <w:szCs w:val="22"/>
        </w:rPr>
        <w:t>13.2.2.2. multa, nas modalidades:</w:t>
      </w:r>
    </w:p>
    <w:p>
      <w:pPr>
        <w:pStyle w:val="Normal"/>
        <w:spacing w:before="0" w:after="120"/>
        <w:jc w:val="both"/>
        <w:rPr>
          <w:sz w:val="22"/>
          <w:szCs w:val="22"/>
        </w:rPr>
      </w:pPr>
      <w:r>
        <w:rPr>
          <w:sz w:val="22"/>
          <w:szCs w:val="22"/>
        </w:rPr>
        <w:t xml:space="preserve">13.2.2.2.1. </w:t>
      </w:r>
      <w:r>
        <w:rPr>
          <w:color w:val="000000"/>
          <w:sz w:val="22"/>
          <w:szCs w:val="22"/>
        </w:rPr>
        <w:t xml:space="preserve">compensatória, de até 10% sobre o valor da parcela inadimplida, para quaisquer das infrações previstas nos </w:t>
      </w:r>
      <w:r>
        <w:rPr>
          <w:sz w:val="22"/>
          <w:szCs w:val="22"/>
        </w:rPr>
        <w:t xml:space="preserve">itens 13.1.1.1. a 13.1.1.12 </w:t>
      </w:r>
    </w:p>
    <w:p>
      <w:pPr>
        <w:pStyle w:val="Normal"/>
        <w:spacing w:before="0" w:after="120"/>
        <w:jc w:val="both"/>
        <w:rPr>
          <w:sz w:val="22"/>
          <w:szCs w:val="22"/>
        </w:rPr>
      </w:pPr>
      <w:r>
        <w:rPr>
          <w:sz w:val="22"/>
          <w:szCs w:val="22"/>
        </w:rPr>
        <w:t>13.2.2.2.2. moratória, pelo atraso injustificado na execução do contrato, de até 0,5% (meio por cento) por dia de atraso injustificado sobre o valor da parcela inadimplida, até o limite de 30 (trinta) dias;</w:t>
      </w:r>
    </w:p>
    <w:p>
      <w:pPr>
        <w:pStyle w:val="Normal"/>
        <w:spacing w:before="0" w:after="120"/>
        <w:jc w:val="both"/>
        <w:rPr>
          <w:color w:val="000000"/>
          <w:sz w:val="22"/>
          <w:szCs w:val="22"/>
        </w:rPr>
      </w:pPr>
      <w:r>
        <w:rPr>
          <w:color w:val="000000"/>
          <w:sz w:val="22"/>
          <w:szCs w:val="22"/>
        </w:rPr>
        <w:t xml:space="preserve">13.2.2.3. Impedimento de licitar e contratar, para as infrações previstas nos itens 13.1.1.2. a 22.1.1.7., </w:t>
      </w:r>
      <w:r>
        <w:rPr>
          <w:rFonts w:eastAsia="Arial"/>
          <w:color w:val="000000"/>
          <w:sz w:val="22"/>
          <w:szCs w:val="22"/>
        </w:rPr>
        <w:t>quando não se justificar a imposição de penalidade mais grave;</w:t>
      </w:r>
    </w:p>
    <w:p>
      <w:pPr>
        <w:pStyle w:val="Normal"/>
        <w:spacing w:before="0" w:after="120"/>
        <w:jc w:val="both"/>
        <w:rPr>
          <w:color w:val="000000"/>
          <w:sz w:val="22"/>
          <w:szCs w:val="22"/>
        </w:rPr>
      </w:pPr>
      <w:r>
        <w:rPr>
          <w:color w:val="000000"/>
          <w:sz w:val="22"/>
          <w:szCs w:val="22"/>
        </w:rPr>
        <w:t>13.2.2.4. declaração de inidoneidade para licitar e contratar, para as infrações previstas nos itens 13.1.1.8. a 13.1.1.12.</w:t>
      </w:r>
    </w:p>
    <w:p>
      <w:pPr>
        <w:pStyle w:val="Normal"/>
        <w:rPr>
          <w:b/>
          <w:b/>
          <w:bCs/>
          <w:color w:val="000000"/>
          <w:sz w:val="22"/>
          <w:szCs w:val="22"/>
        </w:rPr>
      </w:pPr>
      <w:r>
        <w:rPr>
          <w:b/>
          <w:bCs/>
          <w:color w:val="000000"/>
          <w:sz w:val="22"/>
          <w:szCs w:val="22"/>
        </w:rPr>
        <w:t>13.3.  Da Aplicação das Sanções</w:t>
      </w:r>
    </w:p>
    <w:p>
      <w:pPr>
        <w:pStyle w:val="Normal"/>
        <w:rPr>
          <w:sz w:val="22"/>
          <w:szCs w:val="22"/>
        </w:rPr>
      </w:pPr>
      <w:r>
        <w:rPr>
          <w:sz w:val="22"/>
          <w:szCs w:val="22"/>
        </w:rPr>
        <w:t>13.3.1. As sanções aqui previstas são independentes entre si, podendo ser aplicadas isoladas ou, no caso das multas, cumulativamente, sem prejuízo de outras medidas cabíveis.</w:t>
      </w:r>
    </w:p>
    <w:p>
      <w:pPr>
        <w:pStyle w:val="Normal"/>
        <w:rPr>
          <w:sz w:val="22"/>
          <w:szCs w:val="22"/>
        </w:rPr>
      </w:pPr>
      <w:r>
        <w:rPr>
          <w:sz w:val="22"/>
          <w:szCs w:val="22"/>
        </w:rPr>
        <w:t>13.3.2. A aplicação de sanções não exime o licitante ou o contratado da obrigação de reparar os danos, perdas ou prejuízos que venha a causar ao ente público.</w:t>
      </w:r>
    </w:p>
    <w:p>
      <w:pPr>
        <w:pStyle w:val="Normal"/>
        <w:jc w:val="both"/>
        <w:rPr>
          <w:sz w:val="22"/>
          <w:szCs w:val="22"/>
        </w:rPr>
      </w:pPr>
      <w:r>
        <w:rPr>
          <w:sz w:val="22"/>
          <w:szCs w:val="22"/>
        </w:rPr>
        <w:t>13.3.2.1. O valor previsto a título de multa compensatória será tido como mínimo da indenização devida à título de perdas e danos, competindo ao contratante provar o prejuízo excedente, nos termos do art. 416 do Código Civil - Lei nº 10.406/2002.</w:t>
      </w:r>
    </w:p>
    <w:p>
      <w:pPr>
        <w:pStyle w:val="Normal"/>
        <w:jc w:val="both"/>
        <w:rPr>
          <w:rFonts w:eastAsia="Arial"/>
          <w:sz w:val="22"/>
          <w:szCs w:val="22"/>
        </w:rPr>
      </w:pPr>
      <w:r>
        <w:rPr>
          <w:sz w:val="22"/>
          <w:szCs w:val="22"/>
        </w:rPr>
        <w:t xml:space="preserve">13.3.3. </w:t>
      </w:r>
      <w:r>
        <w:rPr>
          <w:rFonts w:eastAsia="Arial"/>
          <w:sz w:val="22"/>
          <w:szCs w:val="22"/>
        </w:rPr>
        <w:t>A multa de mora poderá ser convertida em multa compensatória, com a aplicação cumulada de outras sanções previstas neste Edital.</w:t>
      </w:r>
    </w:p>
    <w:p>
      <w:pPr>
        <w:pStyle w:val="Normal"/>
        <w:jc w:val="both"/>
        <w:rPr>
          <w:sz w:val="22"/>
          <w:szCs w:val="22"/>
        </w:rPr>
      </w:pPr>
      <w:r>
        <w:rPr>
          <w:sz w:val="22"/>
          <w:szCs w:val="22"/>
        </w:rPr>
        <w:t>13.3.4 As penalidades de multa decorrentes de fatos diversos serão consideradas independentes entre si.</w:t>
      </w:r>
    </w:p>
    <w:p>
      <w:pPr>
        <w:pStyle w:val="Normal"/>
        <w:jc w:val="both"/>
        <w:rPr>
          <w:sz w:val="22"/>
          <w:szCs w:val="22"/>
        </w:rPr>
      </w:pPr>
      <w:r>
        <w:rPr>
          <w:sz w:val="22"/>
          <w:szCs w:val="22"/>
        </w:rPr>
        <w:t xml:space="preserve">13.3.5. O contrato, sem prejuízo das multas e demais cominações legais previstas no instrumento, poderá ser rescindido unilateralmente, por ato formal da Administração, nos casos enumerados nos incisos do </w:t>
      </w:r>
      <w:r>
        <w:rPr>
          <w:i/>
          <w:iCs/>
          <w:sz w:val="22"/>
          <w:szCs w:val="22"/>
        </w:rPr>
        <w:t>caput</w:t>
      </w:r>
      <w:r>
        <w:rPr>
          <w:sz w:val="22"/>
          <w:szCs w:val="22"/>
        </w:rPr>
        <w:t xml:space="preserve"> do art. 137 da Lei Federal nº 14.133/2021.</w:t>
      </w:r>
    </w:p>
    <w:p>
      <w:pPr>
        <w:pStyle w:val="Normal"/>
        <w:jc w:val="both"/>
        <w:rPr>
          <w:sz w:val="22"/>
          <w:szCs w:val="22"/>
        </w:rPr>
      </w:pPr>
      <w:r>
        <w:rPr>
          <w:sz w:val="22"/>
          <w:szCs w:val="22"/>
        </w:rPr>
        <w:t>13.3.6.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pPr>
        <w:pStyle w:val="Normal"/>
        <w:jc w:val="both"/>
        <w:rPr>
          <w:sz w:val="22"/>
          <w:szCs w:val="22"/>
        </w:rPr>
      </w:pPr>
      <w:r>
        <w:rPr>
          <w:sz w:val="22"/>
          <w:szCs w:val="22"/>
        </w:rPr>
        <w:t>13.3.7. Serão reputados como inidôneos atos como os descritos nos arts.337-F, 337-I, 337-J, 337-K, 337-L e no art. 337-M, §§ 1º e 2º, do Capítulo II-B, do Título XI da Parte Especial do Decreto-Lei nº 2.848, de 7 de dezembro de 1940 (Código Penal).</w:t>
      </w:r>
    </w:p>
    <w:p>
      <w:pPr>
        <w:pStyle w:val="Normal"/>
        <w:jc w:val="both"/>
        <w:rPr/>
      </w:pPr>
      <w:r>
        <w:rPr>
          <w:sz w:val="22"/>
          <w:szCs w:val="22"/>
        </w:rPr>
        <w:t>13.3.8. As sanções de impedimento de licitar e contratar e de declaração de inidoneidade serão publicadas no site o Município (</w:t>
      </w:r>
      <w:hyperlink r:id="rId2">
        <w:r>
          <w:rPr>
            <w:rStyle w:val="LinkdaInternet"/>
            <w:sz w:val="22"/>
            <w:szCs w:val="22"/>
          </w:rPr>
          <w:t>www.trespassos.rs.gov.br</w:t>
        </w:r>
      </w:hyperlink>
      <w:r>
        <w:rPr>
          <w:sz w:val="22"/>
          <w:szCs w:val="22"/>
        </w:rPr>
        <w:t xml:space="preserve">) em ícone próprio. </w:t>
      </w:r>
    </w:p>
    <w:p>
      <w:pPr>
        <w:pStyle w:val="Ttulo6"/>
        <w:numPr>
          <w:ilvl w:val="5"/>
          <w:numId w:val="1"/>
        </w:numPr>
        <w:rPr>
          <w:rFonts w:ascii="Times New Roman" w:hAnsi="Times New Roman" w:cs="Times New Roman"/>
          <w:sz w:val="22"/>
          <w:szCs w:val="22"/>
        </w:rPr>
      </w:pPr>
      <w:r>
        <w:rPr>
          <w:rFonts w:cs="Times New Roman" w:ascii="Times New Roman" w:hAnsi="Times New Roman"/>
          <w:sz w:val="22"/>
          <w:szCs w:val="22"/>
        </w:rPr>
        <w:t>13.4. Da execução da garantia contratual</w:t>
      </w:r>
    </w:p>
    <w:p>
      <w:pPr>
        <w:pStyle w:val="Normal"/>
        <w:jc w:val="both"/>
        <w:rPr>
          <w:sz w:val="22"/>
          <w:szCs w:val="22"/>
        </w:rPr>
      </w:pPr>
      <w:r>
        <w:rPr>
          <w:sz w:val="22"/>
          <w:szCs w:val="22"/>
        </w:rPr>
        <w:t xml:space="preserve">13.4.1. O valor da multa poderá ser descontado da garantia contratual, havendo. </w:t>
      </w:r>
    </w:p>
    <w:p>
      <w:pPr>
        <w:pStyle w:val="Normal"/>
        <w:jc w:val="both"/>
        <w:rPr>
          <w:sz w:val="22"/>
          <w:szCs w:val="22"/>
        </w:rPr>
      </w:pPr>
      <w:r>
        <w:rPr>
          <w:sz w:val="22"/>
          <w:szCs w:val="22"/>
        </w:rPr>
        <w:t>13.4.2. Se a multa for de valor superior ao da garantia prestada, além da perda desta, responderá o contratado pela sua diferença, a qual será descontada dos pagamentos eventualmente devidos pelo contratante.</w:t>
      </w:r>
    </w:p>
    <w:p>
      <w:pPr>
        <w:pStyle w:val="Normal"/>
        <w:rPr>
          <w:sz w:val="22"/>
          <w:szCs w:val="22"/>
        </w:rPr>
      </w:pPr>
      <w:r>
        <w:rPr>
          <w:sz w:val="22"/>
          <w:szCs w:val="22"/>
        </w:rPr>
        <w:t>13.4.3. Se os valores da garantia e das faturas forem insuficientes, fica o contratado obrigado a recolher a diferença devida, no prazo de 30 (trinta) dias, contados da comunicação oficial.</w:t>
      </w:r>
    </w:p>
    <w:p>
      <w:pPr>
        <w:pStyle w:val="Normal"/>
        <w:rPr>
          <w:sz w:val="22"/>
          <w:szCs w:val="22"/>
        </w:rPr>
      </w:pPr>
      <w:r>
        <w:rPr>
          <w:sz w:val="22"/>
          <w:szCs w:val="22"/>
        </w:rPr>
        <w:t>13.4.4. Esgotados o prazo elencado no item 13.4.3, para pagamento do valor devido, o débito será encaminhado para inscrição em dívida ativa tributária.</w:t>
      </w:r>
    </w:p>
    <w:p>
      <w:pPr>
        <w:pStyle w:val="Normal"/>
        <w:rPr>
          <w:sz w:val="22"/>
          <w:szCs w:val="22"/>
        </w:rPr>
      </w:pPr>
      <w:r>
        <w:rPr>
          <w:sz w:val="22"/>
          <w:szCs w:val="22"/>
        </w:rPr>
        <w:t xml:space="preserve">13.4.5. Não havendo garantia, a multa será cientificada ao contratado para pagamento nos mesmos prazos estipulados no item 13.4.3 sob pena de inscrição em dívida ativa, após o decurso deste prazo. </w:t>
      </w:r>
    </w:p>
    <w:p>
      <w:pPr>
        <w:pStyle w:val="Normal"/>
        <w:jc w:val="both"/>
        <w:rPr>
          <w:rFonts w:eastAsia="Calibri"/>
          <w:b/>
          <w:b/>
          <w:sz w:val="22"/>
          <w:szCs w:val="22"/>
        </w:rPr>
      </w:pPr>
      <w:r>
        <w:rPr>
          <w:rFonts w:eastAsia="Calibri"/>
          <w:b/>
          <w:sz w:val="22"/>
          <w:szCs w:val="22"/>
        </w:rPr>
      </w:r>
    </w:p>
    <w:p>
      <w:pPr>
        <w:pStyle w:val="Normal"/>
        <w:numPr>
          <w:ilvl w:val="0"/>
          <w:numId w:val="2"/>
        </w:numPr>
        <w:shd w:val="clear" w:color="auto" w:fill="FFFFFF" w:themeFill="background1"/>
        <w:suppressAutoHyphens w:val="false"/>
        <w:jc w:val="both"/>
        <w:rPr>
          <w:color w:val="000000"/>
          <w:sz w:val="22"/>
          <w:szCs w:val="22"/>
          <w:u w:val="single"/>
        </w:rPr>
      </w:pPr>
      <w:r>
        <w:rPr>
          <w:rFonts w:eastAsia="Calibri"/>
          <w:b/>
          <w:color w:val="000000"/>
          <w:sz w:val="22"/>
          <w:szCs w:val="22"/>
          <w:u w:val="single"/>
        </w:rPr>
        <w:t>ESTIMATIVA DE PREÇOS E PREÇOS REFERENCIAIS.</w:t>
      </w:r>
    </w:p>
    <w:p>
      <w:pPr>
        <w:pStyle w:val="Normal"/>
        <w:jc w:val="both"/>
        <w:rPr>
          <w:rFonts w:eastAsia="Calibri"/>
          <w:b/>
          <w:b/>
          <w:sz w:val="22"/>
          <w:szCs w:val="22"/>
          <w:highlight w:val="white"/>
        </w:rPr>
      </w:pPr>
      <w:r>
        <w:rPr>
          <w:rFonts w:eastAsia="Calibri"/>
          <w:b/>
          <w:sz w:val="22"/>
          <w:szCs w:val="22"/>
          <w:highlight w:val="white"/>
        </w:rPr>
      </w:r>
    </w:p>
    <w:p>
      <w:pPr>
        <w:pStyle w:val="Normal"/>
        <w:jc w:val="both"/>
        <w:rPr/>
      </w:pPr>
      <w:r>
        <w:rPr>
          <w:rFonts w:eastAsia="Calibri"/>
          <w:b/>
          <w:sz w:val="22"/>
          <w:szCs w:val="22"/>
          <w:highlight w:val="white"/>
        </w:rPr>
        <w:t xml:space="preserve">14.1 </w:t>
      </w:r>
      <w:r>
        <w:rPr>
          <w:rFonts w:eastAsia="Calibri"/>
          <w:sz w:val="22"/>
          <w:szCs w:val="22"/>
          <w:highlight w:val="white"/>
        </w:rPr>
        <w:t xml:space="preserve">O custo estimado da contratação é de </w:t>
      </w:r>
      <w:r>
        <w:rPr>
          <w:rFonts w:eastAsia="Calibri"/>
          <w:b/>
          <w:bCs/>
          <w:sz w:val="24"/>
          <w:szCs w:val="24"/>
          <w:highlight w:val="white"/>
        </w:rPr>
        <w:t xml:space="preserve">R$ 1.039.000,00 (valor da </w:t>
      </w:r>
      <w:r>
        <w:rPr>
          <w:rFonts w:eastAsia="Calibri" w:cs="Arial"/>
          <w:b/>
          <w:bCs/>
          <w:color w:val="000000"/>
          <w:sz w:val="22"/>
          <w:szCs w:val="22"/>
          <w:highlight w:val="white"/>
        </w:rPr>
        <w:t xml:space="preserve">Ata de Registro de Preços do </w:t>
      </w:r>
      <w:bookmarkStart w:id="5" w:name="__DdeLink__3158_2846979384"/>
      <w:r>
        <w:rPr>
          <w:rFonts w:eastAsia="Calibri" w:cs="Arial"/>
          <w:b/>
          <w:bCs/>
          <w:color w:val="000000"/>
          <w:sz w:val="22"/>
          <w:szCs w:val="22"/>
          <w:highlight w:val="white"/>
        </w:rPr>
        <w:t>Consórcio CIRAU (Pregão Eletrônico nº 002/2025)</w:t>
      </w:r>
      <w:bookmarkEnd w:id="5"/>
      <w:r>
        <w:rPr>
          <w:rFonts w:eastAsia="Calibri" w:cs="Arial"/>
          <w:b/>
          <w:bCs/>
          <w:color w:val="000000"/>
          <w:sz w:val="22"/>
          <w:szCs w:val="22"/>
          <w:highlight w:val="white"/>
        </w:rPr>
        <w:t>.</w:t>
      </w:r>
    </w:p>
    <w:p>
      <w:pPr>
        <w:pStyle w:val="Normal"/>
        <w:jc w:val="both"/>
        <w:rPr>
          <w:rFonts w:eastAsia="Calibri"/>
          <w:b/>
          <w:b/>
          <w:bCs/>
          <w:sz w:val="24"/>
          <w:szCs w:val="24"/>
          <w:highlight w:val="white"/>
        </w:rPr>
      </w:pPr>
      <w:r>
        <w:rPr>
          <w:rFonts w:eastAsia="Calibri"/>
          <w:b/>
          <w:bCs/>
          <w:sz w:val="24"/>
          <w:szCs w:val="24"/>
          <w:highlight w:val="white"/>
        </w:rPr>
      </w:r>
    </w:p>
    <w:p>
      <w:pPr>
        <w:pStyle w:val="Normal"/>
        <w:keepNext w:val="true"/>
        <w:keepLines/>
        <w:tabs>
          <w:tab w:val="clear" w:pos="708"/>
          <w:tab w:val="left" w:pos="0" w:leader="none"/>
          <w:tab w:val="left" w:pos="567" w:leader="none"/>
        </w:tabs>
        <w:ind w:right="-30" w:hanging="0"/>
        <w:jc w:val="both"/>
        <w:rPr>
          <w:rFonts w:eastAsia="Calibri"/>
          <w:b/>
          <w:b/>
          <w:color w:val="000000"/>
          <w:sz w:val="22"/>
          <w:szCs w:val="22"/>
          <w:highlight w:val="yellow"/>
          <w:u w:val="single"/>
        </w:rPr>
      </w:pPr>
      <w:r>
        <w:rPr>
          <w:rFonts w:eastAsia="Calibri"/>
          <w:b/>
          <w:color w:val="000000"/>
          <w:sz w:val="22"/>
          <w:szCs w:val="22"/>
          <w:highlight w:val="yellow"/>
          <w:u w:val="single"/>
        </w:rPr>
      </w:r>
    </w:p>
    <w:p>
      <w:pPr>
        <w:pStyle w:val="Normal"/>
        <w:keepNext w:val="true"/>
        <w:keepLines/>
        <w:numPr>
          <w:ilvl w:val="0"/>
          <w:numId w:val="2"/>
        </w:numPr>
        <w:shd w:val="clear" w:color="auto" w:fill="FFFFFF" w:themeFill="background1"/>
        <w:suppressAutoHyphens w:val="false"/>
        <w:ind w:left="405" w:right="-30" w:hanging="405"/>
        <w:jc w:val="both"/>
        <w:rPr>
          <w:color w:val="000000"/>
          <w:sz w:val="22"/>
          <w:szCs w:val="22"/>
          <w:u w:val="single"/>
        </w:rPr>
      </w:pPr>
      <w:r>
        <w:rPr>
          <w:rFonts w:eastAsia="Calibri"/>
          <w:b/>
          <w:color w:val="000000"/>
          <w:sz w:val="22"/>
          <w:szCs w:val="22"/>
          <w:u w:val="single"/>
        </w:rPr>
        <w:t>DOS RECURSOS ORÇAMENTÁRIOS.</w:t>
      </w:r>
    </w:p>
    <w:p>
      <w:pPr>
        <w:pStyle w:val="Normal"/>
        <w:tabs>
          <w:tab w:val="clear" w:pos="708"/>
          <w:tab w:val="left" w:pos="567" w:leader="none"/>
        </w:tabs>
        <w:ind w:right="-30" w:hanging="0"/>
        <w:jc w:val="both"/>
        <w:rPr>
          <w:rFonts w:eastAsia="Calibri"/>
          <w:b/>
          <w:b/>
          <w:color w:val="000000"/>
          <w:sz w:val="22"/>
          <w:szCs w:val="22"/>
        </w:rPr>
      </w:pPr>
      <w:r>
        <w:rPr>
          <w:rFonts w:eastAsia="Calibri"/>
          <w:b/>
          <w:color w:val="000000"/>
          <w:sz w:val="22"/>
          <w:szCs w:val="22"/>
        </w:rPr>
      </w:r>
    </w:p>
    <w:p>
      <w:pPr>
        <w:pStyle w:val="Normal"/>
        <w:numPr>
          <w:ilvl w:val="1"/>
          <w:numId w:val="3"/>
        </w:numPr>
        <w:suppressAutoHyphens w:val="false"/>
        <w:ind w:left="432" w:hanging="432"/>
        <w:jc w:val="both"/>
        <w:rPr/>
      </w:pPr>
      <w:r>
        <w:rPr>
          <w:rFonts w:eastAsia="Calibri"/>
          <w:sz w:val="22"/>
          <w:szCs w:val="22"/>
        </w:rPr>
        <w:t xml:space="preserve">As despesas para atender a esta licitação estão programadas em dotação orçamentária própria, prevista no orçamento, conforme parecer contábil. </w:t>
      </w:r>
    </w:p>
    <w:p>
      <w:pPr>
        <w:pStyle w:val="Normal"/>
        <w:suppressAutoHyphens w:val="false"/>
        <w:ind w:left="574" w:hanging="0"/>
        <w:jc w:val="both"/>
        <w:rPr/>
      </w:pPr>
      <w:r>
        <w:rPr>
          <w:rFonts w:eastAsia="Calibri" w:cs="Calibri" w:ascii="Calibri" w:hAnsi="Calibri"/>
          <w:b/>
          <w:sz w:val="22"/>
          <w:szCs w:val="22"/>
        </w:rPr>
        <w:t xml:space="preserve"> </w:t>
      </w:r>
    </w:p>
    <w:p>
      <w:pPr>
        <w:pStyle w:val="Normal"/>
        <w:ind w:left="1134" w:hanging="0"/>
        <w:jc w:val="both"/>
        <w:rPr>
          <w:rFonts w:eastAsia="Calibri"/>
          <w:sz w:val="22"/>
          <w:szCs w:val="22"/>
        </w:rPr>
      </w:pPr>
      <w:r>
        <w:rPr>
          <w:rFonts w:eastAsia="Calibri"/>
          <w:sz w:val="22"/>
          <w:szCs w:val="22"/>
        </w:rPr>
      </w:r>
    </w:p>
    <w:p>
      <w:pPr>
        <w:pStyle w:val="Normal"/>
        <w:ind w:left="1134" w:hanging="0"/>
        <w:jc w:val="both"/>
        <w:rPr>
          <w:rFonts w:eastAsia="Calibri"/>
          <w:sz w:val="22"/>
          <w:szCs w:val="22"/>
        </w:rPr>
      </w:pPr>
      <w:r>
        <w:rPr>
          <w:rFonts w:eastAsia="Calibri"/>
          <w:sz w:val="22"/>
          <w:szCs w:val="22"/>
        </w:rPr>
      </w:r>
    </w:p>
    <w:p>
      <w:pPr>
        <w:pStyle w:val="Normal"/>
        <w:ind w:left="1134" w:hanging="0"/>
        <w:jc w:val="both"/>
        <w:rPr>
          <w:rFonts w:eastAsia="Calibri"/>
          <w:sz w:val="22"/>
          <w:szCs w:val="22"/>
        </w:rPr>
      </w:pPr>
      <w:r>
        <w:rPr>
          <w:rFonts w:eastAsia="Calibri"/>
          <w:sz w:val="22"/>
          <w:szCs w:val="22"/>
        </w:rPr>
      </w:r>
    </w:p>
    <w:p>
      <w:pPr>
        <w:pStyle w:val="Normal"/>
        <w:shd w:val="clear" w:color="auto" w:fill="FFFFFF"/>
        <w:jc w:val="center"/>
        <w:rPr>
          <w:rFonts w:eastAsia="Calibri"/>
          <w:sz w:val="22"/>
          <w:szCs w:val="22"/>
          <w:highlight w:val="yellow"/>
        </w:rPr>
      </w:pPr>
      <w:r>
        <w:rPr>
          <w:rFonts w:eastAsia="Calibri"/>
          <w:sz w:val="22"/>
          <w:szCs w:val="22"/>
          <w:highlight w:val="yellow"/>
        </w:rPr>
      </w:r>
    </w:p>
    <w:p>
      <w:pPr>
        <w:pStyle w:val="Normal"/>
        <w:shd w:val="clear" w:color="auto" w:fill="FFFFFF"/>
        <w:jc w:val="center"/>
        <w:rPr/>
      </w:pPr>
      <w:r>
        <w:rPr>
          <w:rFonts w:eastAsia="Calibri"/>
          <w:color w:val="000000"/>
          <w:sz w:val="22"/>
          <w:szCs w:val="22"/>
        </w:rPr>
        <w:t>Três Passos, dia 1</w:t>
      </w:r>
      <w:r>
        <w:rPr>
          <w:rFonts w:eastAsia="Calibri"/>
          <w:color w:val="000000"/>
          <w:sz w:val="22"/>
          <w:szCs w:val="22"/>
        </w:rPr>
        <w:t>3</w:t>
      </w:r>
      <w:r>
        <w:rPr>
          <w:rFonts w:eastAsia="Calibri"/>
          <w:color w:val="000000"/>
          <w:sz w:val="22"/>
          <w:szCs w:val="22"/>
        </w:rPr>
        <w:t xml:space="preserve"> de </w:t>
      </w:r>
      <w:r>
        <w:rPr>
          <w:rFonts w:eastAsia="Calibri"/>
          <w:color w:val="000000"/>
          <w:sz w:val="22"/>
          <w:szCs w:val="22"/>
        </w:rPr>
        <w:t>janeiro</w:t>
      </w:r>
      <w:r>
        <w:rPr>
          <w:rFonts w:eastAsia="Calibri"/>
          <w:color w:val="000000"/>
          <w:sz w:val="22"/>
          <w:szCs w:val="22"/>
        </w:rPr>
        <w:t xml:space="preserve"> de 202</w:t>
      </w:r>
      <w:r>
        <w:rPr>
          <w:rFonts w:eastAsia="Calibri"/>
          <w:color w:val="000000"/>
          <w:sz w:val="22"/>
          <w:szCs w:val="22"/>
        </w:rPr>
        <w:t>6.</w:t>
      </w:r>
      <w:bookmarkStart w:id="6" w:name="__UnoMark__4988_299260816"/>
      <w:bookmarkEnd w:id="6"/>
    </w:p>
    <w:p>
      <w:pPr>
        <w:pStyle w:val="Normal"/>
        <w:rPr>
          <w:rFonts w:eastAsia="Calibri"/>
          <w:sz w:val="22"/>
          <w:szCs w:val="22"/>
        </w:rPr>
      </w:pPr>
      <w:r>
        <w:rPr>
          <w:rFonts w:eastAsia="Calibri"/>
          <w:sz w:val="22"/>
          <w:szCs w:val="22"/>
        </w:rPr>
      </w:r>
    </w:p>
    <w:p>
      <w:pPr>
        <w:pStyle w:val="Normal"/>
        <w:rPr>
          <w:rFonts w:eastAsia="Calibri"/>
          <w:sz w:val="22"/>
          <w:szCs w:val="22"/>
        </w:rPr>
      </w:pPr>
      <w:r>
        <w:rPr>
          <w:rFonts w:eastAsia="Calibri"/>
          <w:sz w:val="22"/>
          <w:szCs w:val="22"/>
        </w:rPr>
      </w:r>
    </w:p>
    <w:p>
      <w:pPr>
        <w:pStyle w:val="Normal"/>
        <w:rPr>
          <w:rFonts w:eastAsia="Calibri"/>
          <w:sz w:val="22"/>
          <w:szCs w:val="22"/>
        </w:rPr>
      </w:pPr>
      <w:r>
        <w:rPr>
          <w:rFonts w:eastAsia="Calibri"/>
          <w:sz w:val="22"/>
          <w:szCs w:val="22"/>
        </w:rPr>
      </w:r>
    </w:p>
    <w:p>
      <w:pPr>
        <w:pStyle w:val="Normal"/>
        <w:rPr>
          <w:rFonts w:eastAsia="Calibri"/>
          <w:sz w:val="22"/>
          <w:szCs w:val="22"/>
        </w:rPr>
      </w:pPr>
      <w:r>
        <w:rPr>
          <w:rFonts w:eastAsia="Calibri"/>
          <w:sz w:val="22"/>
          <w:szCs w:val="22"/>
        </w:rPr>
      </w:r>
    </w:p>
    <w:p>
      <w:pPr>
        <w:pStyle w:val="Normal"/>
        <w:rPr>
          <w:rFonts w:eastAsia="Calibri"/>
          <w:sz w:val="22"/>
          <w:szCs w:val="22"/>
        </w:rPr>
      </w:pPr>
      <w:r>
        <w:rPr>
          <w:rFonts w:eastAsia="Calibri"/>
          <w:sz w:val="22"/>
          <w:szCs w:val="22"/>
        </w:rPr>
      </w:r>
    </w:p>
    <w:p>
      <w:pPr>
        <w:pStyle w:val="Normal"/>
        <w:ind w:left="360" w:hanging="0"/>
        <w:jc w:val="center"/>
        <w:rPr>
          <w:rFonts w:eastAsia="Calibri"/>
          <w:sz w:val="22"/>
          <w:szCs w:val="22"/>
        </w:rPr>
      </w:pPr>
      <w:r>
        <w:rPr>
          <w:rFonts w:eastAsia="Calibri"/>
          <w:sz w:val="22"/>
          <w:szCs w:val="22"/>
        </w:rPr>
        <w:t>__________________________________</w:t>
      </w:r>
    </w:p>
    <w:p>
      <w:pPr>
        <w:pStyle w:val="Normal"/>
        <w:ind w:left="360" w:hanging="0"/>
        <w:jc w:val="center"/>
        <w:rPr>
          <w:rFonts w:eastAsia="Calibri"/>
          <w:sz w:val="22"/>
          <w:szCs w:val="22"/>
        </w:rPr>
      </w:pPr>
      <w:r>
        <w:rPr>
          <w:rFonts w:eastAsia="Calibri"/>
          <w:sz w:val="22"/>
          <w:szCs w:val="22"/>
        </w:rPr>
      </w:r>
    </w:p>
    <w:p>
      <w:pPr>
        <w:pStyle w:val="Normal"/>
        <w:ind w:left="360" w:hanging="0"/>
        <w:jc w:val="center"/>
        <w:rPr/>
      </w:pPr>
      <w:r>
        <w:rPr>
          <w:rFonts w:eastAsia="Calibri"/>
          <w:sz w:val="22"/>
          <w:szCs w:val="22"/>
        </w:rPr>
        <w:t>Claudemir Elísio Senker</w:t>
      </w:r>
    </w:p>
    <w:p>
      <w:pPr>
        <w:pStyle w:val="Normal"/>
        <w:ind w:left="360" w:hanging="0"/>
        <w:jc w:val="center"/>
        <w:rPr/>
      </w:pPr>
      <w:r>
        <w:rPr>
          <w:rFonts w:eastAsia="Calibri"/>
          <w:b/>
          <w:bCs/>
          <w:sz w:val="22"/>
          <w:szCs w:val="22"/>
        </w:rPr>
        <w:t>Secretário Municipal de Transportes</w:t>
      </w:r>
    </w:p>
    <w:p>
      <w:pPr>
        <w:pStyle w:val="Normal"/>
        <w:ind w:left="360" w:hanging="0"/>
        <w:jc w:val="center"/>
        <w:rPr/>
      </w:pPr>
      <w:r>
        <w:rPr>
          <w:rFonts w:eastAsia="Calibri"/>
          <w:b/>
          <w:bCs/>
          <w:sz w:val="22"/>
          <w:szCs w:val="22"/>
        </w:rPr>
        <w:t>Portaria 1.679/2025</w:t>
      </w:r>
    </w:p>
    <w:sectPr>
      <w:headerReference w:type="default" r:id="rId3"/>
      <w:footerReference w:type="default" r:id="rId4"/>
      <w:type w:val="nextPage"/>
      <w:pgSz w:w="11906" w:h="16838"/>
      <w:pgMar w:left="1701" w:right="1701" w:header="708" w:top="1417" w:footer="708" w:bottom="1417" w:gutter="0"/>
      <w:pgNumType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t>Secretaria Municipal de Transportes – Fone 3522-0424</w:t>
    </w:r>
  </w:p>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jc w:val="center"/>
      <w:rPr/>
    </w:pPr>
    <w:r>
      <w:rPr/>
      <w:drawing>
        <wp:inline distT="0" distB="0" distL="0" distR="0">
          <wp:extent cx="518160" cy="628015"/>
          <wp:effectExtent l="0" t="0" r="0" b="0"/>
          <wp:docPr id="1"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
                  <pic:cNvPicPr>
                    <a:picLocks noChangeAspect="1" noChangeArrowheads="1"/>
                  </pic:cNvPicPr>
                </pic:nvPicPr>
                <pic:blipFill>
                  <a:blip r:embed="rId1"/>
                  <a:srcRect l="-63" t="-43" r="-63" b="-43"/>
                  <a:stretch>
                    <a:fillRect/>
                  </a:stretch>
                </pic:blipFill>
                <pic:spPr bwMode="auto">
                  <a:xfrm>
                    <a:off x="0" y="0"/>
                    <a:ext cx="518160" cy="628015"/>
                  </a:xfrm>
                  <a:prstGeom prst="rect">
                    <a:avLst/>
                  </a:prstGeom>
                </pic:spPr>
              </pic:pic>
            </a:graphicData>
          </a:graphic>
        </wp:inline>
      </w:drawing>
    </w:r>
  </w:p>
  <w:p>
    <w:pPr>
      <w:pStyle w:val="Cabealho"/>
      <w:jc w:val="center"/>
      <w:rPr/>
    </w:pPr>
    <w:r>
      <w:rPr/>
      <w:t>Estado do Rio Grande do Sul</w:t>
    </w:r>
  </w:p>
  <w:p>
    <w:pPr>
      <w:pStyle w:val="Cabealho"/>
      <w:jc w:val="center"/>
      <w:rPr/>
    </w:pPr>
    <w:r>
      <w:rPr>
        <w:b/>
      </w:rPr>
      <w:t>Município de Três Passos</w:t>
    </w:r>
  </w:p>
  <w:p>
    <w:pPr>
      <w:pStyle w:val="Cabealho"/>
      <w:jc w:val="center"/>
      <w:rPr/>
    </w:pPr>
    <w:r>
      <w:rPr/>
      <w:t>Poder Executivo</w:t>
    </w:r>
  </w:p>
  <w:p>
    <w:pPr>
      <w:pStyle w:val="Cabealho"/>
      <w:rPr/>
    </w:pPr>
    <w:r>
      <w:rPr/>
    </w:r>
  </w:p>
  <w:p>
    <w:pPr>
      <w:pStyle w:val="Cabealho"/>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ind w:left="405" w:hanging="405"/>
      </w:pPr>
      <w:rPr>
        <w:sz w:val="22"/>
        <w:b/>
        <w:szCs w:val="22"/>
        <w:rFonts w:eastAsia="Calibri" w:cs="Calibri"/>
      </w:rPr>
    </w:lvl>
    <w:lvl w:ilvl="1">
      <w:start w:val="1"/>
      <w:numFmt w:val="decimal"/>
      <w:lvlText w:val="%1.%2."/>
      <w:lvlJc w:val="left"/>
      <w:pPr>
        <w:ind w:left="405" w:hanging="405"/>
      </w:pPr>
      <w:rPr>
        <w:sz w:val="22"/>
        <w:b/>
        <w:szCs w:val="22"/>
        <w:rFonts w:eastAsia="Calibri" w:cs="Calibri"/>
        <w:color w:val="000000"/>
      </w:rPr>
    </w:lvl>
    <w:lvl w:ilvl="2">
      <w:start w:val="1"/>
      <w:numFmt w:val="decimal"/>
      <w:lvlText w:val="%1.%2.%3."/>
      <w:lvlJc w:val="left"/>
      <w:pPr>
        <w:ind w:left="720" w:hanging="720"/>
      </w:pPr>
      <w:rPr>
        <w:sz w:val="22"/>
        <w:b/>
        <w:szCs w:val="22"/>
        <w:rFonts w:eastAsia="Calibri" w:cs="Calibri"/>
        <w:color w:val="000000"/>
      </w:rPr>
    </w:lvl>
    <w:lvl w:ilvl="3">
      <w:start w:val="1"/>
      <w:numFmt w:val="decimal"/>
      <w:lvlText w:val="%1.%2.%3.%4."/>
      <w:lvlJc w:val="left"/>
      <w:pPr>
        <w:ind w:left="720" w:hanging="720"/>
      </w:pPr>
      <w:rPr>
        <w:sz w:val="22"/>
        <w:b/>
        <w:szCs w:val="22"/>
        <w:rFonts w:eastAsia="Calibri" w:cs="Calibri"/>
      </w:rPr>
    </w:lvl>
    <w:lvl w:ilvl="4">
      <w:start w:val="1"/>
      <w:numFmt w:val="decimal"/>
      <w:lvlText w:val="%1.%2.%3.%4.%5."/>
      <w:lvlJc w:val="left"/>
      <w:pPr>
        <w:ind w:left="1080" w:hanging="1080"/>
      </w:pPr>
      <w:rPr>
        <w:sz w:val="22"/>
        <w:b/>
        <w:szCs w:val="22"/>
        <w:rFonts w:eastAsia="Calibri" w:cs="Calibri"/>
      </w:rPr>
    </w:lvl>
    <w:lvl w:ilvl="5">
      <w:start w:val="1"/>
      <w:numFmt w:val="decimal"/>
      <w:lvlText w:val="%1.%2.%3.%4.%5.%6."/>
      <w:lvlJc w:val="left"/>
      <w:pPr>
        <w:ind w:left="1080" w:hanging="1080"/>
      </w:pPr>
      <w:rPr>
        <w:sz w:val="22"/>
        <w:b/>
        <w:szCs w:val="22"/>
        <w:rFonts w:eastAsia="Calibri" w:cs="Calibri"/>
      </w:rPr>
    </w:lvl>
    <w:lvl w:ilvl="6">
      <w:start w:val="1"/>
      <w:numFmt w:val="decimal"/>
      <w:lvlText w:val="%1.%2.%3.%4.%5.%6.%7."/>
      <w:lvlJc w:val="left"/>
      <w:pPr>
        <w:ind w:left="1440" w:hanging="1440"/>
      </w:pPr>
      <w:rPr>
        <w:sz w:val="22"/>
        <w:b/>
        <w:szCs w:val="22"/>
        <w:rFonts w:eastAsia="Calibri" w:cs="Calibri"/>
      </w:rPr>
    </w:lvl>
    <w:lvl w:ilvl="7">
      <w:start w:val="1"/>
      <w:numFmt w:val="decimal"/>
      <w:lvlText w:val="%1.%2.%3.%4.%5.%6.%7.%8."/>
      <w:lvlJc w:val="left"/>
      <w:pPr>
        <w:ind w:left="1440" w:hanging="1440"/>
      </w:pPr>
      <w:rPr>
        <w:sz w:val="22"/>
        <w:b/>
        <w:szCs w:val="22"/>
        <w:rFonts w:eastAsia="Calibri" w:cs="Calibri"/>
      </w:rPr>
    </w:lvl>
    <w:lvl w:ilvl="8">
      <w:start w:val="1"/>
      <w:numFmt w:val="decimal"/>
      <w:lvlText w:val="%1.%2.%3.%4.%5.%6.%7.%8.%9."/>
      <w:lvlJc w:val="left"/>
      <w:pPr>
        <w:ind w:left="1800" w:hanging="1800"/>
      </w:pPr>
      <w:rPr>
        <w:sz w:val="22"/>
        <w:b/>
        <w:szCs w:val="22"/>
        <w:rFonts w:eastAsia="Calibri" w:cs="Calibri"/>
      </w:rPr>
    </w:lvl>
  </w:abstractNum>
  <w:abstractNum w:abstractNumId="3">
    <w:lvl w:ilvl="0">
      <w:start w:val="1"/>
      <w:numFmt w:val="decimal"/>
      <w:lvlText w:val="%1."/>
      <w:lvlJc w:val="left"/>
      <w:pPr>
        <w:ind w:left="360" w:hanging="360"/>
      </w:pPr>
      <w:rPr>
        <w:b/>
        <w:rFonts w:eastAsia="Calibri" w:cs="Calibri"/>
      </w:rPr>
    </w:lvl>
    <w:lvl w:ilvl="1">
      <w:start w:val="1"/>
      <w:numFmt w:val="decimal"/>
      <w:lvlText w:val="%1.%2."/>
      <w:lvlJc w:val="left"/>
      <w:pPr>
        <w:ind w:left="574" w:hanging="432"/>
      </w:pPr>
      <w:rPr>
        <w:sz w:val="22"/>
        <w:b/>
        <w:szCs w:val="22"/>
        <w:rFonts w:eastAsia="Calibri" w:cs="Calibri"/>
        <w:color w:val="000000"/>
      </w:rPr>
    </w:lvl>
    <w:lvl w:ilvl="2">
      <w:start w:val="1"/>
      <w:numFmt w:val="decimal"/>
      <w:lvlText w:val="%1.%2.%3."/>
      <w:lvlJc w:val="left"/>
      <w:pPr>
        <w:ind w:left="646" w:hanging="504"/>
      </w:pPr>
      <w:rPr>
        <w:dstrike w:val="false"/>
        <w:strike w:val="false"/>
        <w:sz w:val="22"/>
        <w:i w:val="false"/>
        <w:b/>
        <w:szCs w:val="22"/>
        <w:rFonts w:eastAsia="Calibri" w:cs="Calibri"/>
        <w:color w:val="000000"/>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10"/>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t-BR"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0"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c32bd0"/>
    <w:pPr>
      <w:widowControl/>
      <w:suppressAutoHyphens w:val="true"/>
      <w:bidi w:val="0"/>
      <w:jc w:val="left"/>
    </w:pPr>
    <w:rPr>
      <w:rFonts w:ascii="Times New Roman" w:hAnsi="Times New Roman" w:eastAsia="Times New Roman" w:cs="Times New Roman"/>
      <w:color w:val="auto"/>
      <w:kern w:val="0"/>
      <w:sz w:val="20"/>
      <w:szCs w:val="20"/>
      <w:lang w:val="pt-BR" w:eastAsia="zh-CN" w:bidi="ar-SA"/>
    </w:rPr>
  </w:style>
  <w:style w:type="paragraph" w:styleId="Ttulo6">
    <w:name w:val="Heading 6"/>
    <w:basedOn w:val="Normal"/>
    <w:next w:val="Normal"/>
    <w:link w:val="Ttulo6Char"/>
    <w:qFormat/>
    <w:rsid w:val="00c32bd0"/>
    <w:pPr>
      <w:spacing w:before="240" w:after="60"/>
      <w:outlineLvl w:val="5"/>
    </w:pPr>
    <w:rPr>
      <w:rFonts w:ascii="Calibri" w:hAnsi="Calibri" w:cs="Calibri"/>
      <w:b/>
      <w:bCs/>
    </w:rPr>
  </w:style>
  <w:style w:type="character" w:styleId="DefaultParagraphFont" w:default="1">
    <w:name w:val="Default Paragraph Font"/>
    <w:uiPriority w:val="1"/>
    <w:semiHidden/>
    <w:unhideWhenUsed/>
    <w:qFormat/>
    <w:rPr/>
  </w:style>
  <w:style w:type="character" w:styleId="Ttulo6Char" w:customStyle="1">
    <w:name w:val="Título 6 Char"/>
    <w:basedOn w:val="DefaultParagraphFont"/>
    <w:link w:val="Ttulo6"/>
    <w:qFormat/>
    <w:rsid w:val="00c32bd0"/>
    <w:rPr>
      <w:rFonts w:ascii="Calibri" w:hAnsi="Calibri" w:eastAsia="Times New Roman" w:cs="Calibri"/>
      <w:b/>
      <w:bCs/>
      <w:sz w:val="20"/>
      <w:szCs w:val="20"/>
      <w:lang w:eastAsia="zh-CN"/>
    </w:rPr>
  </w:style>
  <w:style w:type="character" w:styleId="LinkdaInternet" w:customStyle="1">
    <w:name w:val="Link da Internet"/>
    <w:rsid w:val="00c32bd0"/>
    <w:rPr>
      <w:color w:val="0000FF"/>
      <w:u w:val="single"/>
    </w:rPr>
  </w:style>
  <w:style w:type="character" w:styleId="CorpodetextoChar" w:customStyle="1">
    <w:name w:val="Corpo de texto Char"/>
    <w:basedOn w:val="DefaultParagraphFont"/>
    <w:link w:val="Corpodetexto"/>
    <w:qFormat/>
    <w:rsid w:val="00c32bd0"/>
    <w:rPr>
      <w:rFonts w:ascii="Times New Roman" w:hAnsi="Times New Roman" w:eastAsia="Times New Roman" w:cs="Times New Roman"/>
      <w:sz w:val="20"/>
      <w:szCs w:val="20"/>
      <w:lang w:eastAsia="zh-CN"/>
    </w:rPr>
  </w:style>
  <w:style w:type="character" w:styleId="CabealhoChar" w:customStyle="1">
    <w:name w:val="Cabeçalho Char"/>
    <w:basedOn w:val="DefaultParagraphFont"/>
    <w:link w:val="Cabealho"/>
    <w:uiPriority w:val="99"/>
    <w:qFormat/>
    <w:rsid w:val="00c32bd0"/>
    <w:rPr>
      <w:rFonts w:ascii="Times New Roman" w:hAnsi="Times New Roman" w:eastAsia="Times New Roman" w:cs="Times New Roman"/>
      <w:sz w:val="20"/>
      <w:szCs w:val="20"/>
      <w:lang w:eastAsia="zh-CN"/>
    </w:rPr>
  </w:style>
  <w:style w:type="character" w:styleId="RodapChar" w:customStyle="1">
    <w:name w:val="Rodapé Char"/>
    <w:basedOn w:val="DefaultParagraphFont"/>
    <w:link w:val="Rodap"/>
    <w:uiPriority w:val="99"/>
    <w:qFormat/>
    <w:rsid w:val="00c32bd0"/>
    <w:rPr>
      <w:rFonts w:ascii="Times New Roman" w:hAnsi="Times New Roman" w:eastAsia="Times New Roman" w:cs="Times New Roman"/>
      <w:sz w:val="20"/>
      <w:szCs w:val="20"/>
      <w:lang w:eastAsia="zh-CN"/>
    </w:rPr>
  </w:style>
  <w:style w:type="character" w:styleId="Smbolosdenumerao" w:customStyle="1">
    <w:name w:val="Símbolos de numeração"/>
    <w:qFormat/>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link w:val="CorpodetextoChar"/>
    <w:rsid w:val="00c32bd0"/>
    <w:pPr>
      <w:jc w:val="both"/>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Arial"/>
    </w:rPr>
  </w:style>
  <w:style w:type="paragraph" w:styleId="Ttulododocumento">
    <w:name w:val="Title"/>
    <w:basedOn w:val="Normal"/>
    <w:next w:val="Corpodotexto"/>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sz w:val="24"/>
      <w:szCs w:val="24"/>
    </w:rPr>
  </w:style>
  <w:style w:type="paragraph" w:styleId="CabealhoeRodap" w:customStyle="1">
    <w:name w:val="Cabeçalho e Rodapé"/>
    <w:basedOn w:val="Normal"/>
    <w:qFormat/>
    <w:pPr/>
    <w:rPr/>
  </w:style>
  <w:style w:type="paragraph" w:styleId="Cabealho">
    <w:name w:val="Header"/>
    <w:basedOn w:val="Normal"/>
    <w:link w:val="CabealhoChar"/>
    <w:unhideWhenUsed/>
    <w:rsid w:val="00c32bd0"/>
    <w:pPr>
      <w:tabs>
        <w:tab w:val="clear" w:pos="708"/>
        <w:tab w:val="center" w:pos="4252" w:leader="none"/>
        <w:tab w:val="right" w:pos="8504" w:leader="none"/>
      </w:tabs>
    </w:pPr>
    <w:rPr/>
  </w:style>
  <w:style w:type="paragraph" w:styleId="Rodap">
    <w:name w:val="Footer"/>
    <w:basedOn w:val="Normal"/>
    <w:link w:val="RodapChar"/>
    <w:uiPriority w:val="99"/>
    <w:unhideWhenUsed/>
    <w:rsid w:val="00c32bd0"/>
    <w:pPr>
      <w:tabs>
        <w:tab w:val="clear" w:pos="708"/>
        <w:tab w:val="center" w:pos="4252" w:leader="none"/>
        <w:tab w:val="right" w:pos="8504" w:leader="none"/>
      </w:tabs>
    </w:pPr>
    <w:rPr/>
  </w:style>
  <w:style w:type="paragraph" w:styleId="Contedodatabela" w:customStyle="1">
    <w:name w:val="Conteúdo da tabela"/>
    <w:basedOn w:val="Normal"/>
    <w:qFormat/>
    <w:pPr>
      <w:suppressLineNumbers/>
    </w:pPr>
    <w:rPr/>
  </w:style>
  <w:style w:type="paragraph" w:styleId="Contedodoquadro" w:customStyle="1">
    <w:name w:val="Conteúdo do quadro"/>
    <w:basedOn w:val="Normal"/>
    <w:qFormat/>
    <w:pPr/>
    <w:rPr/>
  </w:style>
  <w:style w:type="paragraph" w:styleId="ListParagraph">
    <w:name w:val="List Paragraph"/>
    <w:basedOn w:val="Normal"/>
    <w:uiPriority w:val="34"/>
    <w:qFormat/>
    <w:rsid w:val="000e59b1"/>
    <w:pPr>
      <w:spacing w:before="0" w:after="0"/>
      <w:ind w:left="720" w:hanging="0"/>
      <w:contextualSpacing/>
    </w:pPr>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trespassos.rs.gov.br/"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1254</TotalTime>
  <Application>LibreOffice/6.3.0.4$Windows_X86_64 LibreOffice_project/057fc023c990d676a43019934386b85b21a9ee99</Application>
  <Pages>10</Pages>
  <Words>3412</Words>
  <Characters>19363</Characters>
  <CharactersWithSpaces>22625</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2024-07-22T19:48:00Z</dcterms:created>
  <dc:creator>Conta da Microsoft</dc:creator>
  <dc:description/>
  <dc:language>pt-BR</dc:language>
  <cp:lastModifiedBy/>
  <cp:lastPrinted>2026-01-13T07:50:15Z</cp:lastPrinted>
  <dcterms:modified xsi:type="dcterms:W3CDTF">2026-01-13T07:50:16Z</dcterms:modified>
  <cp:revision>29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