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40" w:before="140"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ESTUDO TÉCNICO PRELIMINAR</w:t>
      </w:r>
    </w:p>
    <w:p w:rsidR="00000000" w:rsidDel="00000000" w:rsidP="00000000" w:rsidRDefault="00000000" w:rsidRPr="00000000" w14:paraId="00000002">
      <w:pPr>
        <w:spacing w:after="140" w:before="140" w:line="276" w:lineRule="auto"/>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3">
      <w:pPr>
        <w:numPr>
          <w:ilvl w:val="0"/>
          <w:numId w:val="1"/>
        </w:numPr>
        <w:spacing w:after="140" w:before="140" w:line="276" w:lineRule="auto"/>
        <w:ind w:left="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Descrição da necessidade da contratação, considerado o problema a ser resolvido sob a perspectiva do interesse público:</w:t>
      </w:r>
    </w:p>
    <w:p w:rsidR="00000000" w:rsidDel="00000000" w:rsidP="00000000" w:rsidRDefault="00000000" w:rsidRPr="00000000" w14:paraId="00000004">
      <w:pPr>
        <w:spacing w:after="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presente contratação tem por objetivo a aquisição de materiais de expediente, armarinho e artesanato destinados à estruturação, manutenção e ao pleno funcionamento das oficinas terapêuticas vinculadas ao Núcleo de Apoio à Atenção Primária (NAAB) da Secretaria Municipal de Saúde de Ajuricaba/RS.</w:t>
      </w:r>
    </w:p>
    <w:p w:rsidR="00000000" w:rsidDel="00000000" w:rsidP="00000000" w:rsidRDefault="00000000" w:rsidRPr="00000000" w14:paraId="00000005">
      <w:pPr>
        <w:spacing w:after="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oficinas terapêuticas constituem uma ferramenta estratégica, clínica e pedagógica fundamental no escopo do cuidado em saúde mental e na atenção primária do município. Estes espaços promovem a reabilitação psicossocial, a inclusão social, a geração de renda e o desenvolvimento de habilidades motoras e cognitivas, além de atuarem como um fator de proteção e prevenção de agravos emocionais e psicológicos para os pacientes atendidos pelo Sistema Único de Saúde (SUS).</w:t>
      </w:r>
    </w:p>
    <w:p w:rsidR="00000000" w:rsidDel="00000000" w:rsidP="00000000" w:rsidRDefault="00000000" w:rsidRPr="00000000" w14:paraId="00000006">
      <w:pPr>
        <w:spacing w:after="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que os grupos operativos continuem operando de forma contínua e qualificada, é imprescindível o provimento regular de insumos diversificados que dão suporte às atividades manuais propostas pelas equipes multiprofissionais (psicólogos, assistentes sociais, terapeutas ocupacionais e oficineiros). A demanda atual contempla a reposição do estoque de materiais para trabalhos em pintura, costura, tricô, crochê e colagem, englobando itens como:</w:t>
      </w:r>
    </w:p>
    <w:p w:rsidR="00000000" w:rsidDel="00000000" w:rsidP="00000000" w:rsidRDefault="00000000" w:rsidRPr="00000000" w14:paraId="00000007">
      <w:pPr>
        <w:numPr>
          <w:ilvl w:val="0"/>
          <w:numId w:val="2"/>
        </w:numPr>
        <w:spacing w:after="0" w:afterAutospacing="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Fios, barbantes e linhas (ex: linhas de crochê, soutache e barbantes 100% algodão);</w:t>
      </w:r>
    </w:p>
    <w:p w:rsidR="00000000" w:rsidDel="00000000" w:rsidP="00000000" w:rsidRDefault="00000000" w:rsidRPr="00000000" w14:paraId="00000008">
      <w:pPr>
        <w:numPr>
          <w:ilvl w:val="0"/>
          <w:numId w:val="2"/>
        </w:numPr>
        <w:spacing w:after="0" w:afterAutospacing="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Instrumentos de confecção e pintura (agulhas diversas, pincéis, estênceis e telas de madeira);</w:t>
      </w:r>
    </w:p>
    <w:p w:rsidR="00000000" w:rsidDel="00000000" w:rsidP="00000000" w:rsidRDefault="00000000" w:rsidRPr="00000000" w14:paraId="00000009">
      <w:pPr>
        <w:numPr>
          <w:ilvl w:val="0"/>
          <w:numId w:val="2"/>
        </w:numPr>
        <w:spacing w:after="0" w:afterAutospacing="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Aviamentos e decorações (fitas de cetim, rendas de nylon, meias pérolas e recortes em MDF);</w:t>
      </w:r>
    </w:p>
    <w:p w:rsidR="00000000" w:rsidDel="00000000" w:rsidP="00000000" w:rsidRDefault="00000000" w:rsidRPr="00000000" w14:paraId="0000000A">
      <w:pPr>
        <w:numPr>
          <w:ilvl w:val="0"/>
          <w:numId w:val="2"/>
        </w:numPr>
        <w:spacing w:after="240" w:lineRule="auto"/>
        <w:ind w:left="720"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Insumos de modelagem e fixação (tintas PVA, massas de biscuit, massas de modelar, cola quente e verniz).</w:t>
      </w:r>
    </w:p>
    <w:p w:rsidR="00000000" w:rsidDel="00000000" w:rsidP="00000000" w:rsidRDefault="00000000" w:rsidRPr="00000000" w14:paraId="0000000B">
      <w:pPr>
        <w:spacing w:after="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ausência ou a interrupção no fornecimento destes materiais inviabilizaria a execução do cronograma anual do NAAB, prejudicando diretamente o plano terapêutico dos usuários que dependem desse espaço de acolhimento, expressão subjetiva e convívio social. Portanto, a presente aquisição revela-se não apenas uma necessidade administrativa de suprimento, mas uma demanda assistencial inadiável e prioritária para a manutenção e o fortalecimento das políticas públicas de saúde e assistência do município.</w:t>
      </w:r>
    </w:p>
    <w:p w:rsidR="00000000" w:rsidDel="00000000" w:rsidP="00000000" w:rsidRDefault="00000000" w:rsidRPr="00000000" w14:paraId="0000000C">
      <w:pPr>
        <w:spacing w:after="240" w:before="2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Sob a ótica do interesse público e do princípio da continuidade dos serviços públicos, a não realização deste procedimento licitatório acarretará severo prejuízo ao tratamento dos usuários, culminando na paralisação das oficinas terapêuticas, no aumento de internações psiquiátricas evitáveis, na desarticulação da rede de apoio local e no descumprimento das diretrizes da Lei Federal nº 10.216/2001 (Lei da Reforma Psiquiátrica) e da Política Nacional de Atenção Básica (PNAB). Portanto, a contratação é imperiosa para garantir a dignidade humana dos assistidos e a eficiência da gestão pública municipal no setor de saúde mental.</w:t>
      </w:r>
    </w:p>
    <w:p w:rsidR="00000000" w:rsidDel="00000000" w:rsidP="00000000" w:rsidRDefault="00000000" w:rsidRPr="00000000" w14:paraId="0000000D">
      <w:pPr>
        <w:spacing w:after="140" w:before="140" w:lineRule="auto"/>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E">
      <w:pPr>
        <w:numPr>
          <w:ilvl w:val="0"/>
          <w:numId w:val="1"/>
        </w:numPr>
        <w:spacing w:after="140" w:before="140" w:line="276" w:lineRule="auto"/>
        <w:ind w:left="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Demonstração da contratação no plano de contratação anual:</w:t>
      </w:r>
    </w:p>
    <w:p w:rsidR="00000000" w:rsidDel="00000000" w:rsidP="00000000" w:rsidRDefault="00000000" w:rsidRPr="00000000" w14:paraId="0000000F">
      <w:pPr>
        <w:spacing w:after="240" w:before="240" w:line="36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pretendida está parcialmente prevista no Plano Anual de Contratações (PAC) do município de Ajuricaba/RS, estando assim, alinhada com o planejamento desta Administração. A indicação da contratação no PAC será informada na planilha de pesquisa de preços anexa a este processo.</w:t>
      </w:r>
    </w:p>
    <w:p w:rsidR="00000000" w:rsidDel="00000000" w:rsidP="00000000" w:rsidRDefault="00000000" w:rsidRPr="00000000" w14:paraId="00000010">
      <w:pPr>
        <w:spacing w:after="140" w:before="140" w:lineRule="auto"/>
        <w:ind w:firstLine="141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numPr>
          <w:ilvl w:val="0"/>
          <w:numId w:val="1"/>
        </w:numPr>
        <w:spacing w:after="140" w:before="140" w:line="276" w:lineRule="auto"/>
        <w:ind w:left="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Possíveis soluções para atender à necessidade:</w:t>
      </w:r>
      <w:r w:rsidDel="00000000" w:rsidR="00000000" w:rsidRPr="00000000">
        <w:rPr>
          <w:rtl w:val="0"/>
        </w:rPr>
      </w:r>
    </w:p>
    <w:p w:rsidR="00000000" w:rsidDel="00000000" w:rsidP="00000000" w:rsidRDefault="00000000" w:rsidRPr="00000000" w14:paraId="00000012">
      <w:pPr>
        <w:spacing w:after="140" w:before="14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3">
      <w:pPr>
        <w:numPr>
          <w:ilvl w:val="1"/>
          <w:numId w:val="1"/>
        </w:numPr>
        <w:spacing w:after="140" w:before="140" w:line="276" w:lineRule="auto"/>
        <w:ind w:left="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Alternativas disponíveis no mercado:</w:t>
      </w:r>
    </w:p>
    <w:p w:rsidR="00000000" w:rsidDel="00000000" w:rsidP="00000000" w:rsidRDefault="00000000" w:rsidRPr="00000000" w14:paraId="00000014">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o atendimento da necessidade descrita, a Administração Municipal analisou as seguintes alternativas disponíveis no mercado:</w:t>
      </w:r>
    </w:p>
    <w:p w:rsidR="00000000" w:rsidDel="00000000" w:rsidP="00000000" w:rsidRDefault="00000000" w:rsidRPr="00000000" w14:paraId="00000015">
      <w:pPr>
        <w:spacing w:after="140" w:before="140" w:line="276"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Alternativa 1:</w:t>
      </w:r>
      <w:r w:rsidDel="00000000" w:rsidR="00000000" w:rsidRPr="00000000">
        <w:rPr>
          <w:rFonts w:ascii="Calibri" w:cs="Calibri" w:eastAsia="Calibri" w:hAnsi="Calibri"/>
          <w:sz w:val="24"/>
          <w:szCs w:val="24"/>
          <w:rtl w:val="0"/>
        </w:rPr>
        <w:t xml:space="preserve"> Contratação de serviços terceirizados (Fornecimento de oficinas completas).</w:t>
      </w:r>
    </w:p>
    <w:p w:rsidR="00000000" w:rsidDel="00000000" w:rsidP="00000000" w:rsidRDefault="00000000" w:rsidRPr="00000000" w14:paraId="00000017">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Esta alternativa consistiria na contratação de uma empresa ou clínica especializada para executar as oficinas terapêuticas de forma terceirizada, englobando o fornecimento de profissionais e de todos os materiais necessários.</w:t>
      </w:r>
    </w:p>
    <w:p w:rsidR="00000000" w:rsidDel="00000000" w:rsidP="00000000" w:rsidRDefault="00000000" w:rsidRPr="00000000" w14:paraId="00000018">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Análise:</w:t>
      </w:r>
      <w:r w:rsidDel="00000000" w:rsidR="00000000" w:rsidRPr="00000000">
        <w:rPr>
          <w:rFonts w:ascii="Calibri" w:cs="Calibri" w:eastAsia="Calibri" w:hAnsi="Calibri"/>
          <w:sz w:val="24"/>
          <w:szCs w:val="24"/>
          <w:rtl w:val="0"/>
        </w:rPr>
        <w:t xml:space="preserve"> Esta opção foi descartada. O município de Ajuricaba já dispõe de equipe multidisciplinar própria lotada no NAAB (psicólogos, assistentes sociais e oficineiros) devidamente capacitada para a condução dos grupos. A terceirização geraria duplicidade de esforços, aumento injustificado e exorbitante dos custos para os cofres públicos, além de romper o vínculo terapêutico já estabelecido entre os profissionais do SUS municipal e os pacientes.</w:t>
      </w:r>
    </w:p>
    <w:p w:rsidR="00000000" w:rsidDel="00000000" w:rsidP="00000000" w:rsidRDefault="00000000" w:rsidRPr="00000000" w14:paraId="00000019">
      <w:pPr>
        <w:spacing w:after="140" w:before="140" w:line="276"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Alternativa 2:</w:t>
      </w:r>
      <w:r w:rsidDel="00000000" w:rsidR="00000000" w:rsidRPr="00000000">
        <w:rPr>
          <w:rFonts w:ascii="Calibri" w:cs="Calibri" w:eastAsia="Calibri" w:hAnsi="Calibri"/>
          <w:sz w:val="24"/>
          <w:szCs w:val="24"/>
          <w:rtl w:val="0"/>
        </w:rPr>
        <w:t xml:space="preserve"> Aquisição de produtos artesanais prontos.</w:t>
      </w:r>
    </w:p>
    <w:p w:rsidR="00000000" w:rsidDel="00000000" w:rsidP="00000000" w:rsidRDefault="00000000" w:rsidRPr="00000000" w14:paraId="0000001B">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Consistiria em adquirir os itens já finalizados (telas pintadas, tapetes de crochê, potes decorados, etc.) para distribuição aos usuários.</w:t>
      </w:r>
    </w:p>
    <w:p w:rsidR="00000000" w:rsidDel="00000000" w:rsidP="00000000" w:rsidRDefault="00000000" w:rsidRPr="00000000" w14:paraId="0000001C">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Análise: </w:t>
      </w:r>
      <w:r w:rsidDel="00000000" w:rsidR="00000000" w:rsidRPr="00000000">
        <w:rPr>
          <w:rFonts w:ascii="Calibri" w:cs="Calibri" w:eastAsia="Calibri" w:hAnsi="Calibri"/>
          <w:sz w:val="24"/>
          <w:szCs w:val="24"/>
          <w:rtl w:val="0"/>
        </w:rPr>
        <w:t xml:space="preserve">Esta opção foi descartada por contrariar o próprio objeto da política pública de saúde mental. O valor terapêutico das oficinas do NAAB não reside no produto final em si, mas sim no processo de confecção. É o trabalho manual continuado com fios, agulhas, tintas e massas de modelar que promove a reabilitação cognitiva, a coordenação motora fina, a diminuição da ansiedade e a reinserção social dos pacientes.</w:t>
      </w:r>
    </w:p>
    <w:p w:rsidR="00000000" w:rsidDel="00000000" w:rsidP="00000000" w:rsidRDefault="00000000" w:rsidRPr="00000000" w14:paraId="0000001D">
      <w:pPr>
        <w:spacing w:after="140" w:before="140" w:line="276"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Alternativa 3:</w:t>
      </w:r>
      <w:r w:rsidDel="00000000" w:rsidR="00000000" w:rsidRPr="00000000">
        <w:rPr>
          <w:rFonts w:ascii="Calibri" w:cs="Calibri" w:eastAsia="Calibri" w:hAnsi="Calibri"/>
          <w:sz w:val="24"/>
          <w:szCs w:val="24"/>
          <w:rtl w:val="0"/>
        </w:rPr>
        <w:t xml:space="preserve"> Aquisição direta de insumos e matérias-primas de artesanato (Alternativa Escolhida).</w:t>
      </w:r>
    </w:p>
    <w:p w:rsidR="00000000" w:rsidDel="00000000" w:rsidP="00000000" w:rsidRDefault="00000000" w:rsidRPr="00000000" w14:paraId="0000001F">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Consiste na aquisição parcelada e sob demanda de materiais de consumo diversos (linhas, agulhas, tintas, aviamentos, telas, etc.) por meio de processo licitatório, para utilização pelos pacientes sob a supervisão da equipe técnica do município.</w:t>
      </w:r>
    </w:p>
    <w:p w:rsidR="00000000" w:rsidDel="00000000" w:rsidP="00000000" w:rsidRDefault="00000000" w:rsidRPr="00000000" w14:paraId="00000020">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Análise:</w:t>
      </w:r>
      <w:r w:rsidDel="00000000" w:rsidR="00000000" w:rsidRPr="00000000">
        <w:rPr>
          <w:rFonts w:ascii="Calibri" w:cs="Calibri" w:eastAsia="Calibri" w:hAnsi="Calibri"/>
          <w:sz w:val="24"/>
          <w:szCs w:val="24"/>
          <w:rtl w:val="0"/>
        </w:rPr>
        <w:t xml:space="preserve"> Esta é a opção viável e adotada. Mostra-se a solução mais econômica, eficiente e alinhada às diretrizes do Ministério da Saúde. Ao adquirir as matérias-primas (como fios de crochê, molduras em MDF, tintas PVA e colas), a Administração otimiza o uso da sua força de trabalho atual (equipe do NAAB) e garante a execução plena das atividades laborais e terapêuticas projetadas para o exercício, garantindo o melhor custo-benefício para a Secretaria de Saúde.</w:t>
      </w:r>
    </w:p>
    <w:p w:rsidR="00000000" w:rsidDel="00000000" w:rsidP="00000000" w:rsidRDefault="00000000" w:rsidRPr="00000000" w14:paraId="00000021">
      <w:pPr>
        <w:spacing w:after="140" w:before="140" w:line="276" w:lineRule="auto"/>
        <w:ind w:left="216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spacing w:after="140" w:before="140" w:line="276" w:lineRule="auto"/>
        <w:ind w:left="216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spacing w:after="140" w:before="140" w:line="276" w:lineRule="auto"/>
        <w:ind w:left="216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spacing w:after="140" w:before="140" w:line="276" w:lineRule="auto"/>
        <w:ind w:left="0"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5">
      <w:pPr>
        <w:numPr>
          <w:ilvl w:val="1"/>
          <w:numId w:val="1"/>
        </w:numPr>
        <w:spacing w:after="140" w:before="140" w:line="276" w:lineRule="auto"/>
        <w:ind w:left="0"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Análise e comparação das soluções existentes:</w:t>
      </w:r>
    </w:p>
    <w:p w:rsidR="00000000" w:rsidDel="00000000" w:rsidP="00000000" w:rsidRDefault="00000000" w:rsidRPr="00000000" w14:paraId="00000026">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análise comparativa das soluções identificadas baseia-se em três critérios fundamentais: viabilidade técnica (impacto terapêutico), viabilidade económica (custo-benefício para a Administração) e eficiência operacional.</w:t>
      </w:r>
    </w:p>
    <w:p w:rsidR="00000000" w:rsidDel="00000000" w:rsidP="00000000" w:rsidRDefault="00000000" w:rsidRPr="00000000" w14:paraId="00000027">
      <w:pPr>
        <w:spacing w:after="140" w:before="140" w:line="276" w:lineRule="auto"/>
        <w:ind w:firstLine="1417.3228346456694"/>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8">
      <w:pPr>
        <w:spacing w:after="140" w:before="140" w:line="276" w:lineRule="auto"/>
        <w:ind w:firstLine="1417.3228346456694"/>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Critério Técnico e Terapêutico (Eficácia Clínica):</w:t>
      </w:r>
    </w:p>
    <w:p w:rsidR="00000000" w:rsidDel="00000000" w:rsidP="00000000" w:rsidRDefault="00000000" w:rsidRPr="00000000" w14:paraId="00000029">
      <w:pPr>
        <w:spacing w:after="140" w:before="140" w:line="276" w:lineRule="auto"/>
        <w:ind w:firstLine="1417.3228346456694"/>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A">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essência das oficinas do NAAB reside no processo ativo de criação manual. A opção de adquirir produtos de artesanato já acabados anularia por completo o objetivo clínico da intervenção, uma vez que retira do paciente a oportunidade de exercitar a cognição e a coordenação motora fina. De igual modo, a terceirização integral do serviço entregaria a condução dos grupos a profissionais externos, quebrando o vínculo de confiança fundamental já estabelecido com a equipa multidisciplinar local. A aquisição direta dos materiais em bruto — como agulhas, barbantes e linhas, adornos para colagem, além de colas, massas e tintas — é a única via que garante a aplicação prática e efetiva das terapias ocupacionais planeadas.   </w:t>
      </w:r>
    </w:p>
    <w:p w:rsidR="00000000" w:rsidDel="00000000" w:rsidP="00000000" w:rsidRDefault="00000000" w:rsidRPr="00000000" w14:paraId="0000002B">
      <w:pPr>
        <w:spacing w:after="140" w:before="140" w:line="276"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spacing w:after="140" w:before="140" w:line="276" w:lineRule="auto"/>
        <w:ind w:firstLine="1417.3228346456694"/>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Critério Económico (Custo-Benefício):</w:t>
      </w:r>
    </w:p>
    <w:p w:rsidR="00000000" w:rsidDel="00000000" w:rsidP="00000000" w:rsidRDefault="00000000" w:rsidRPr="00000000" w14:paraId="0000002D">
      <w:pPr>
        <w:spacing w:after="140" w:before="140" w:line="276"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de uma entidade terceira para fornecer o serviço completo implicaria o pagamento de encargos laborais, custos de deslocação, taxas de administração e margens de lucro empresarial. Em contrapartida, a aquisição exclusiva dos insumos permite que o município rentabilize a força de trabalho que já integra o seu quadro de pessoal permanente (psicólogos, assistentes sociais e oficineiros). Assim, a despesa pública fica estritamente limitada ao custo real de mercado das matérias-primas (como telas, pincéis, tecidos e vernizes), representando uma poupança substancial e assegurando o princípio da economicidade.   </w:t>
      </w:r>
    </w:p>
    <w:p w:rsidR="00000000" w:rsidDel="00000000" w:rsidP="00000000" w:rsidRDefault="00000000" w:rsidRPr="00000000" w14:paraId="0000002F">
      <w:pPr>
        <w:spacing w:after="140" w:before="140" w:line="276"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spacing w:after="140" w:before="140" w:line="276"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1">
      <w:pPr>
        <w:spacing w:after="140" w:before="140" w:line="276"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spacing w:after="140" w:before="140" w:line="276"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spacing w:after="140" w:before="140" w:line="276" w:lineRule="auto"/>
        <w:ind w:firstLine="1417.3228346456694"/>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Critério Operacional (Flexibilidade Logística):</w:t>
      </w:r>
    </w:p>
    <w:p w:rsidR="00000000" w:rsidDel="00000000" w:rsidP="00000000" w:rsidRDefault="00000000" w:rsidRPr="00000000" w14:paraId="00000034">
      <w:pPr>
        <w:spacing w:after="140" w:before="140" w:line="276"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compra direta dos materiais confere total flexibilidade à equipe de saúde mental. Ao dispor de um inventário diversificado de insumos (desde molduras em MDF a fitas de cetim e fios de crochê), os oficineiros possuem autonomia para adaptar as atividades de forma dinâmica. Isto permite ajustar o grau de dificuldade e o tipo de artesanato consoante o perfil, as limitações físicas e as necessidades emocionais específicas dos utentes presentes em cada sessão.   </w:t>
      </w:r>
    </w:p>
    <w:p w:rsidR="00000000" w:rsidDel="00000000" w:rsidP="00000000" w:rsidRDefault="00000000" w:rsidRPr="00000000" w14:paraId="00000036">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Por conseguinte, constata-se que a aquisição direta dos materiais de expediente e artesanato sobressai como a solução inequivocamente mais vantajosa. Esta via alia o rigor económico exigido pela legislação à máxima eficácia terapêutica exigida pelas diretrizes de saúde pública e assistência social do município.</w:t>
      </w:r>
    </w:p>
    <w:p w:rsidR="00000000" w:rsidDel="00000000" w:rsidP="00000000" w:rsidRDefault="00000000" w:rsidRPr="00000000" w14:paraId="00000037">
      <w:pPr>
        <w:spacing w:after="140" w:before="140" w:line="276"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8">
      <w:pPr>
        <w:numPr>
          <w:ilvl w:val="0"/>
          <w:numId w:val="1"/>
        </w:num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Requisitos da contratação:</w:t>
      </w:r>
    </w:p>
    <w:p w:rsidR="00000000" w:rsidDel="00000000" w:rsidP="00000000" w:rsidRDefault="00000000" w:rsidRPr="00000000" w14:paraId="00000039">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Os bens têm natureza de bens/serviços comuns, tendo em vista que seus padrões de desempenho e qualidade podem ser objetivamente definidos pelo edital, por meio de especificações usuais de mercado, nos termos do art. 6º, inciso XIII, da Lei Federal nº 14.133/2021.</w:t>
      </w:r>
    </w:p>
    <w:p w:rsidR="00000000" w:rsidDel="00000000" w:rsidP="00000000" w:rsidRDefault="00000000" w:rsidRPr="00000000" w14:paraId="0000003A">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será realizada por meio de </w:t>
      </w:r>
      <w:r w:rsidDel="00000000" w:rsidR="00000000" w:rsidRPr="00000000">
        <w:rPr>
          <w:rFonts w:ascii="Calibri" w:cs="Calibri" w:eastAsia="Calibri" w:hAnsi="Calibri"/>
          <w:b w:val="1"/>
          <w:bCs w:val="1"/>
          <w:sz w:val="24"/>
          <w:szCs w:val="24"/>
          <w:rtl w:val="0"/>
        </w:rPr>
        <w:t xml:space="preserve">Licitação</w:t>
      </w:r>
      <w:r w:rsidDel="00000000" w:rsidR="00000000" w:rsidRPr="00000000">
        <w:rPr>
          <w:rFonts w:ascii="Calibri" w:cs="Calibri" w:eastAsia="Calibri" w:hAnsi="Calibri"/>
          <w:sz w:val="24"/>
          <w:szCs w:val="24"/>
          <w:rtl w:val="0"/>
        </w:rPr>
        <w:t xml:space="preserve">, na modalidade </w:t>
      </w:r>
      <w:r w:rsidDel="00000000" w:rsidR="00000000" w:rsidRPr="00000000">
        <w:rPr>
          <w:rFonts w:ascii="Calibri" w:cs="Calibri" w:eastAsia="Calibri" w:hAnsi="Calibri"/>
          <w:b w:val="1"/>
          <w:bCs w:val="1"/>
          <w:sz w:val="24"/>
          <w:szCs w:val="24"/>
          <w:rtl w:val="0"/>
        </w:rPr>
        <w:t xml:space="preserve">Pregão Eletrônico</w:t>
      </w:r>
      <w:r w:rsidDel="00000000" w:rsidR="00000000" w:rsidRPr="00000000">
        <w:rPr>
          <w:rFonts w:ascii="Calibri" w:cs="Calibri" w:eastAsia="Calibri" w:hAnsi="Calibri"/>
          <w:sz w:val="24"/>
          <w:szCs w:val="24"/>
          <w:rtl w:val="0"/>
        </w:rPr>
        <w:t xml:space="preserve">, na sua forma eletrônica, com critério de julgamento por menor preço, nos termos dos artigos 6º, inciso XLI, 17, § 2º, e 34, todos da Lei Federal nº 14.133/2021.</w:t>
      </w:r>
    </w:p>
    <w:p w:rsidR="00000000" w:rsidDel="00000000" w:rsidP="00000000" w:rsidRDefault="00000000" w:rsidRPr="00000000" w14:paraId="0000003B">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Os requisitos de contratação serão pormenorizados de forma mais detalhada em termo de referência, caso se conclua pela viabilidade da contratação. </w:t>
      </w:r>
    </w:p>
    <w:p w:rsidR="00000000" w:rsidDel="00000000" w:rsidP="00000000" w:rsidRDefault="00000000" w:rsidRPr="00000000" w14:paraId="0000003C">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fornecimento/prestação dos serviços pretendidos os eventuais interessados deverão comprovar que atuam em ramo de atividade compatível com o objeto da licitação, bem como apresentar os seguintes documentos a título de habilitação, nos termos do art. 62 e 66, da Lei nº 14.133/2021.</w:t>
      </w:r>
    </w:p>
    <w:p w:rsidR="00000000" w:rsidDel="00000000" w:rsidP="00000000" w:rsidRDefault="00000000" w:rsidRPr="00000000" w14:paraId="0000003D">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Atendimento às Normas de Segurança e Toxicidade (ANVISA/INMETRO):</w:t>
      </w:r>
      <w:r w:rsidDel="00000000" w:rsidR="00000000" w:rsidRPr="00000000">
        <w:rPr>
          <w:rFonts w:ascii="Calibri" w:cs="Calibri" w:eastAsia="Calibri" w:hAnsi="Calibri"/>
          <w:sz w:val="24"/>
          <w:szCs w:val="24"/>
          <w:rtl w:val="0"/>
        </w:rPr>
        <w:t xml:space="preserve"> Todos os materiais de uso pedagógico, recreativo, de artes e de escrita devem ser rigorosamente atóxicos, livres de substâncias alergênicas, metais pesados ou componentes nocivos à saúde, comprovados mediante certificação do INMETRO e/ou registro/isenção junto à Agência Nacional de Vigilância Sanitária (ANVISA), conforme a natureza do produto.</w:t>
      </w:r>
    </w:p>
    <w:p w:rsidR="00000000" w:rsidDel="00000000" w:rsidP="00000000" w:rsidRDefault="00000000" w:rsidRPr="00000000" w14:paraId="0000003E">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Padronização e Conformidade Técnica (ABNT):</w:t>
      </w:r>
      <w:r w:rsidDel="00000000" w:rsidR="00000000" w:rsidRPr="00000000">
        <w:rPr>
          <w:rFonts w:ascii="Calibri" w:cs="Calibri" w:eastAsia="Calibri" w:hAnsi="Calibri"/>
          <w:sz w:val="24"/>
          <w:szCs w:val="24"/>
          <w:rtl w:val="0"/>
        </w:rPr>
        <w:t xml:space="preserve"> Os produtos fornecidos deverão atender estritamente às normas técnicas brasileiras vigentes aplicáveis da Associação Brasileira de Normas Técnicas (ABNT), tais como a ABNT NBR 15236 (para artigos escolares/escritório) e correlatas, garantindo a integridade física dos facilitadores e usuários do NAAB durante o manuseio.</w:t>
      </w:r>
    </w:p>
    <w:p w:rsidR="00000000" w:rsidDel="00000000" w:rsidP="00000000" w:rsidRDefault="00000000" w:rsidRPr="00000000" w14:paraId="0000003F">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Rotulagem e Identificação Legal:</w:t>
      </w:r>
      <w:r w:rsidDel="00000000" w:rsidR="00000000" w:rsidRPr="00000000">
        <w:rPr>
          <w:rFonts w:ascii="Calibri" w:cs="Calibri" w:eastAsia="Calibri" w:hAnsi="Calibri"/>
          <w:sz w:val="24"/>
          <w:szCs w:val="24"/>
          <w:rtl w:val="0"/>
        </w:rPr>
        <w:t xml:space="preserve"> As embalagens individuais e coletivas dos produtos entregues deverão conter informações claras e em língua portuguesa quanto à composição, instruções de uso, restrições de faixa etária (se houver), identificação do fabricante/importador, lote e prazo de validade (que não poderá ser inferior a 12 meses a contar da data de entrega).</w:t>
      </w:r>
    </w:p>
    <w:p w:rsidR="00000000" w:rsidDel="00000000" w:rsidP="00000000" w:rsidRDefault="00000000" w:rsidRPr="00000000" w14:paraId="00000040">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Controle de Qualidade por Amostragem:</w:t>
      </w:r>
      <w:r w:rsidDel="00000000" w:rsidR="00000000" w:rsidRPr="00000000">
        <w:rPr>
          <w:rFonts w:ascii="Calibri" w:cs="Calibri" w:eastAsia="Calibri" w:hAnsi="Calibri"/>
          <w:sz w:val="24"/>
          <w:szCs w:val="24"/>
          <w:rtl w:val="0"/>
        </w:rPr>
        <w:t xml:space="preserve"> A Administração reserva-se o direito de exigir, na fase de julgamento das propostas ou previamente à assinatura do contrato, a apresentação de amostras físicas dos itens de maior relevância ou complexidade para avaliação da compatibilidade com o termo de referência, acabamento, ergonomia e adequação prática às oficinas terapêuticas.</w:t>
      </w:r>
    </w:p>
    <w:p w:rsidR="00000000" w:rsidDel="00000000" w:rsidP="00000000" w:rsidRDefault="00000000" w:rsidRPr="00000000" w14:paraId="00000041">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Garantia Contra Vícios Ocultos e Defeitos de Fabricação:</w:t>
      </w:r>
      <w:r w:rsidDel="00000000" w:rsidR="00000000" w:rsidRPr="00000000">
        <w:rPr>
          <w:rFonts w:ascii="Calibri" w:cs="Calibri" w:eastAsia="Calibri" w:hAnsi="Calibri"/>
          <w:sz w:val="24"/>
          <w:szCs w:val="24"/>
          <w:rtl w:val="0"/>
        </w:rPr>
        <w:t xml:space="preserve"> O licitante vencedor deverá garantir a qualidade técnica dos materiais, comprometendo-se formalmente a </w:t>
      </w:r>
      <w:r w:rsidDel="00000000" w:rsidR="00000000" w:rsidRPr="00000000">
        <w:rPr>
          <w:rFonts w:ascii="Calibri" w:cs="Calibri" w:eastAsia="Calibri" w:hAnsi="Calibri"/>
          <w:b w:val="1"/>
          <w:bCs w:val="1"/>
          <w:sz w:val="24"/>
          <w:szCs w:val="24"/>
          <w:rtl w:val="0"/>
        </w:rPr>
        <w:t xml:space="preserve">substituir</w:t>
      </w:r>
      <w:r w:rsidDel="00000000" w:rsidR="00000000" w:rsidRPr="00000000">
        <w:rPr>
          <w:rFonts w:ascii="Calibri" w:cs="Calibri" w:eastAsia="Calibri" w:hAnsi="Calibri"/>
          <w:sz w:val="24"/>
          <w:szCs w:val="24"/>
          <w:rtl w:val="0"/>
        </w:rPr>
        <w:t xml:space="preserve">, sem custos adicionais para o Município, qualquer item que apresente defeito de fabricação, deterioração precoce ou </w:t>
      </w:r>
      <w:r w:rsidDel="00000000" w:rsidR="00000000" w:rsidRPr="00000000">
        <w:rPr>
          <w:rFonts w:ascii="Calibri" w:cs="Calibri" w:eastAsia="Calibri" w:hAnsi="Calibri"/>
          <w:b w:val="1"/>
          <w:bCs w:val="1"/>
          <w:sz w:val="24"/>
          <w:szCs w:val="24"/>
          <w:rtl w:val="0"/>
        </w:rPr>
        <w:t xml:space="preserve">desconformidade com a especificação técnica licitada, no prazo máximo de até 5 (cinco) dias úteis após a notificação formal pela fiscalização do contrato</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42">
      <w:pPr>
        <w:spacing w:after="140" w:before="140" w:lineRule="auto"/>
        <w:ind w:left="144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3">
      <w:pPr>
        <w:numPr>
          <w:ilvl w:val="0"/>
          <w:numId w:val="1"/>
        </w:num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Estimativas de quantidades e valores da contração:</w:t>
      </w:r>
    </w:p>
    <w:p w:rsidR="00000000" w:rsidDel="00000000" w:rsidP="00000000" w:rsidRDefault="00000000" w:rsidRPr="00000000" w14:paraId="00000044">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5">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estimativas das quantidades, juntamente com os valores unitários e totais para a contratação, serão indicadas por meio de instrumento de formalização da demanda/requisição e planilha de preços todos em anexo a este estudo técnico preliminar.</w:t>
      </w:r>
    </w:p>
    <w:p w:rsidR="00000000" w:rsidDel="00000000" w:rsidP="00000000" w:rsidRDefault="00000000" w:rsidRPr="00000000" w14:paraId="00000046">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cálculo dos valores unitários da contratação, será realizado por meio de planilha do Excel, contendo fórmulas predefinidas de média e mediana.</w:t>
      </w:r>
    </w:p>
    <w:p w:rsidR="00000000" w:rsidDel="00000000" w:rsidP="00000000" w:rsidRDefault="00000000" w:rsidRPr="00000000" w14:paraId="00000047">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o cálculo das estimativas de contratação será realizado, levantamento prévio das necessidades dos órgãos requerentes, considerando, inclusive, eventuais contratações do mesmo objeto em anos anteriores.</w:t>
      </w:r>
    </w:p>
    <w:p w:rsidR="00000000" w:rsidDel="00000000" w:rsidP="00000000" w:rsidRDefault="00000000" w:rsidRPr="00000000" w14:paraId="00000048">
      <w:pPr>
        <w:spacing w:after="140" w:before="140"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numPr>
          <w:ilvl w:val="0"/>
          <w:numId w:val="1"/>
        </w:num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Justificativa para o parcelamento ou não da contratação:</w:t>
      </w:r>
    </w:p>
    <w:p w:rsidR="00000000" w:rsidDel="00000000" w:rsidP="00000000" w:rsidRDefault="00000000" w:rsidRPr="00000000" w14:paraId="0000004A">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B">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w:t>
      </w:r>
      <w:r w:rsidDel="00000000" w:rsidR="00000000" w:rsidRPr="00000000">
        <w:rPr>
          <w:rFonts w:ascii="Calibri" w:cs="Calibri" w:eastAsia="Calibri" w:hAnsi="Calibri"/>
          <w:b w:val="1"/>
          <w:bCs w:val="1"/>
          <w:sz w:val="24"/>
          <w:szCs w:val="24"/>
          <w:rtl w:val="0"/>
        </w:rPr>
        <w:t xml:space="preserve">responsabilidade técnica</w:t>
      </w:r>
      <w:r w:rsidDel="00000000" w:rsidR="00000000" w:rsidRPr="00000000">
        <w:rPr>
          <w:rFonts w:ascii="Calibri" w:cs="Calibri" w:eastAsia="Calibri" w:hAnsi="Calibri"/>
          <w:sz w:val="24"/>
          <w:szCs w:val="24"/>
          <w:rtl w:val="0"/>
        </w:rPr>
        <w:t xml:space="preserve">, o custo para a Administração de vários contratos frente às vantagens da redução de custos, com divisão do objeto em itens, e o dever de buscar a ampliação da competição e de evitar a concentração de mercado.</w:t>
      </w:r>
    </w:p>
    <w:p w:rsidR="00000000" w:rsidDel="00000000" w:rsidP="00000000" w:rsidRDefault="00000000" w:rsidRPr="00000000" w14:paraId="0000004C">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 estrita observância ao princípio da ampla competitividade e do fomento ao desenvolvimento local, previstos no art. 40, § 2º, e no art. 47, inciso II, da Lei Federal nº 14.133/2021, bem como nas disposições da Lei Complementar nº 123/2006, opta-se pelo parcelamento do objeto em itens (lotes individuais).</w:t>
      </w:r>
    </w:p>
    <w:p w:rsidR="00000000" w:rsidDel="00000000" w:rsidP="00000000" w:rsidRDefault="00000000" w:rsidRPr="00000000" w14:paraId="0000004D">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justificativa técnica e econômica para o parcelamento fundamenta-se na diversidade da natureza dos materiais que compõem a demanda do NAAB 2026 (abrangendo desde papelaria especializada e armarinho até jogos terapêuticos e insumos de artes). A aglutinação desses itens em um lote único ou global restringiria indevidamente a participação de potenciais licitantes, visto que raramente uma única empresa detém em seu portfólio comercial a totalidade de bens tão heterogêneos. O parcelamento por itens viabiliza a participação de microempresas e empresas de pequeno porte locais e regionais, amplia a concorrência na sessão pública, evita o sobrepreço decorrente da subcontratação informal e garante a obtenção da proposta economicamente mais vantajosa para a Administração Pública, sem qualquer prejuízo à economia de escala ou ao gerenciamento administrativo dos contratos.</w:t>
      </w:r>
    </w:p>
    <w:p w:rsidR="00000000" w:rsidDel="00000000" w:rsidP="00000000" w:rsidRDefault="00000000" w:rsidRPr="00000000" w14:paraId="0000004E">
      <w:pPr>
        <w:spacing w:after="140" w:before="140" w:lineRule="auto"/>
        <w:ind w:firstLine="1417.3228346456694"/>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F">
      <w:pPr>
        <w:numPr>
          <w:ilvl w:val="0"/>
          <w:numId w:val="1"/>
        </w:num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Descrição da solução como um todo:</w:t>
      </w:r>
    </w:p>
    <w:p w:rsidR="00000000" w:rsidDel="00000000" w:rsidP="00000000" w:rsidRDefault="00000000" w:rsidRPr="00000000" w14:paraId="00000050">
      <w:pPr>
        <w:spacing w:after="240" w:before="240" w:lineRule="auto"/>
        <w:ind w:left="0"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solução pretendida consiste no fornecimento parcelado e contínuo de materiais de consumo diversos — compreendendo insumos pedagógicos, recreativos, de papelaria, armarinho e artesanato — destinados a subsidiar as atividades terapêuticas, sociais e administrativas do Núcleo de Apoio à Atenção Básica (NAAB) ao longo do ano de 2026 e 2027. </w:t>
      </w:r>
    </w:p>
    <w:p w:rsidR="00000000" w:rsidDel="00000000" w:rsidP="00000000" w:rsidRDefault="00000000" w:rsidRPr="00000000" w14:paraId="00000051">
      <w:pPr>
        <w:spacing w:after="240" w:before="240" w:lineRule="auto"/>
        <w:ind w:left="0"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será realizada por meio de processo licitatório na modalidade </w:t>
      </w:r>
      <w:r w:rsidDel="00000000" w:rsidR="00000000" w:rsidRPr="00000000">
        <w:rPr>
          <w:rFonts w:ascii="Calibri" w:cs="Calibri" w:eastAsia="Calibri" w:hAnsi="Calibri"/>
          <w:b w:val="1"/>
          <w:bCs w:val="1"/>
          <w:sz w:val="24"/>
          <w:szCs w:val="24"/>
          <w:rtl w:val="0"/>
        </w:rPr>
        <w:t xml:space="preserve">Pregão Eletrônico</w:t>
      </w:r>
      <w:r w:rsidDel="00000000" w:rsidR="00000000" w:rsidRPr="00000000">
        <w:rPr>
          <w:rFonts w:ascii="Calibri" w:cs="Calibri" w:eastAsia="Calibri" w:hAnsi="Calibri"/>
          <w:sz w:val="24"/>
          <w:szCs w:val="24"/>
          <w:rtl w:val="0"/>
        </w:rPr>
        <w:t xml:space="preserve">, utilizando o critério de julgamento por</w:t>
      </w:r>
      <w:r w:rsidDel="00000000" w:rsidR="00000000" w:rsidRPr="00000000">
        <w:rPr>
          <w:rFonts w:ascii="Calibri" w:cs="Calibri" w:eastAsia="Calibri" w:hAnsi="Calibri"/>
          <w:b w:val="1"/>
          <w:bCs w:val="1"/>
          <w:sz w:val="24"/>
          <w:szCs w:val="24"/>
          <w:rtl w:val="0"/>
        </w:rPr>
        <w:t xml:space="preserve"> menor preço por item</w:t>
      </w:r>
      <w:r w:rsidDel="00000000" w:rsidR="00000000" w:rsidRPr="00000000">
        <w:rPr>
          <w:rFonts w:ascii="Calibri" w:cs="Calibri" w:eastAsia="Calibri" w:hAnsi="Calibri"/>
          <w:sz w:val="24"/>
          <w:szCs w:val="24"/>
          <w:rtl w:val="0"/>
        </w:rPr>
        <w:t xml:space="preserve">. A entrega dos materiais será realizada de forma imediata e integral, diretamente nas dependências indicadas no Termo de Referência. A especificação dos materiais pauta-se exclusivamente por critérios objetivos de qualidade, desempenho, segurança e rendimento, abstendo-se de qualquer indicação de marcas, patentes ou especificações exclusivas que possam direcionar o certame, garantindo um processo transparente, isonômico e juridicamente hígido.</w:t>
      </w:r>
    </w:p>
    <w:p w:rsidR="00000000" w:rsidDel="00000000" w:rsidP="00000000" w:rsidRDefault="00000000" w:rsidRPr="00000000" w14:paraId="00000052">
      <w:pPr>
        <w:spacing w:after="140" w:before="140" w:lineRule="auto"/>
        <w:ind w:firstLine="70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numPr>
          <w:ilvl w:val="0"/>
          <w:numId w:val="1"/>
        </w:num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Resultados pretendidos:</w:t>
      </w:r>
    </w:p>
    <w:p w:rsidR="00000000" w:rsidDel="00000000" w:rsidP="00000000" w:rsidRDefault="00000000" w:rsidRPr="00000000" w14:paraId="00000054">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55">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Pretende-se, com o presente processo licitatório, assegurar a seleção da proposta apta a gerar a contratação mais vantajosa para o Município.</w:t>
      </w:r>
    </w:p>
    <w:p w:rsidR="00000000" w:rsidDel="00000000" w:rsidP="00000000" w:rsidRDefault="00000000" w:rsidRPr="00000000" w14:paraId="00000056">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Almeja-se, igualmente, assegurar tratamento isonômico entre os licitantes, bem como a justa competição, bem como evitar contratação com sobrepreço ou com preço manifestamente inexequível e superfaturamento na execução do contrato.</w:t>
      </w:r>
    </w:p>
    <w:p w:rsidR="00000000" w:rsidDel="00000000" w:rsidP="00000000" w:rsidRDefault="00000000" w:rsidRPr="00000000" w14:paraId="00000057">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w:t>
      </w:r>
    </w:p>
    <w:p w:rsidR="00000000" w:rsidDel="00000000" w:rsidP="00000000" w:rsidRDefault="00000000" w:rsidRPr="00000000" w14:paraId="00000058">
      <w:pPr>
        <w:spacing w:after="140" w:before="1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9">
      <w:pPr>
        <w:numPr>
          <w:ilvl w:val="0"/>
          <w:numId w:val="1"/>
        </w:num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Providências prévias ao contrato:</w:t>
      </w:r>
    </w:p>
    <w:p w:rsidR="00000000" w:rsidDel="00000000" w:rsidP="00000000" w:rsidRDefault="00000000" w:rsidRPr="00000000" w14:paraId="0000005A">
      <w:pPr>
        <w:spacing w:after="140" w:before="140" w:lineRule="auto"/>
        <w:ind w:firstLine="1417.3228346456694"/>
        <w:jc w:val="both"/>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Realizar a pesquisa de preços, análise de fornecedores e elaboração do Termo de Referência.</w:t>
      </w:r>
      <w:r w:rsidDel="00000000" w:rsidR="00000000" w:rsidRPr="00000000">
        <w:rPr>
          <w:rtl w:val="0"/>
        </w:rPr>
      </w:r>
    </w:p>
    <w:p w:rsidR="00000000" w:rsidDel="00000000" w:rsidP="00000000" w:rsidRDefault="00000000" w:rsidRPr="00000000" w14:paraId="0000005B">
      <w:pPr>
        <w:spacing w:after="140" w:before="140" w:lineRule="auto"/>
        <w:ind w:firstLine="70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5C">
      <w:pPr>
        <w:numPr>
          <w:ilvl w:val="0"/>
          <w:numId w:val="1"/>
        </w:num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Contratações correlatas e/ou interdependentes:</w:t>
      </w:r>
    </w:p>
    <w:p w:rsidR="00000000" w:rsidDel="00000000" w:rsidP="00000000" w:rsidRDefault="00000000" w:rsidRPr="00000000" w14:paraId="0000005D">
      <w:pPr>
        <w:spacing w:after="140" w:before="140" w:lineRule="auto"/>
        <w:ind w:firstLine="1417.3228346456694"/>
        <w:jc w:val="both"/>
        <w:rPr>
          <w:rFonts w:ascii="Calibri" w:cs="Calibri" w:eastAsia="Calibri" w:hAnsi="Calibri"/>
          <w:color w:val="ff0000"/>
          <w:sz w:val="24"/>
          <w:szCs w:val="24"/>
        </w:rPr>
      </w:pPr>
      <w:r w:rsidDel="00000000" w:rsidR="00000000" w:rsidRPr="00000000">
        <w:rPr>
          <w:rFonts w:ascii="Calibri" w:cs="Calibri" w:eastAsia="Calibri" w:hAnsi="Calibri"/>
          <w:sz w:val="24"/>
          <w:szCs w:val="24"/>
          <w:rtl w:val="0"/>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w:t>
      </w:r>
      <w:r w:rsidDel="00000000" w:rsidR="00000000" w:rsidRPr="00000000">
        <w:rPr>
          <w:rtl w:val="0"/>
        </w:rPr>
      </w:r>
    </w:p>
    <w:p w:rsidR="00000000" w:rsidDel="00000000" w:rsidP="00000000" w:rsidRDefault="00000000" w:rsidRPr="00000000" w14:paraId="0000005E">
      <w:pPr>
        <w:spacing w:after="140" w:before="140" w:lineRule="auto"/>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F">
      <w:pPr>
        <w:numPr>
          <w:ilvl w:val="0"/>
          <w:numId w:val="1"/>
        </w:num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Possíveis impactos ambientais:</w:t>
      </w:r>
      <w:r w:rsidDel="00000000" w:rsidR="00000000" w:rsidRPr="00000000">
        <w:rPr>
          <w:rtl w:val="0"/>
        </w:rPr>
      </w:r>
    </w:p>
    <w:p w:rsidR="00000000" w:rsidDel="00000000" w:rsidP="00000000" w:rsidRDefault="00000000" w:rsidRPr="00000000" w14:paraId="00000060">
      <w:pPr>
        <w:spacing w:after="140" w:before="140"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rsidR="00000000" w:rsidDel="00000000" w:rsidP="00000000" w:rsidRDefault="00000000" w:rsidRPr="00000000" w14:paraId="00000061">
      <w:pPr>
        <w:spacing w:after="140" w:before="140" w:lineRule="auto"/>
        <w:ind w:firstLine="700"/>
        <w:jc w:val="both"/>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62">
      <w:pPr>
        <w:numPr>
          <w:ilvl w:val="0"/>
          <w:numId w:val="1"/>
        </w:num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Declaração de viabilidade:</w:t>
      </w:r>
    </w:p>
    <w:p w:rsidR="00000000" w:rsidDel="00000000" w:rsidP="00000000" w:rsidRDefault="00000000" w:rsidRPr="00000000" w14:paraId="00000063">
      <w:p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64">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rsidR="00000000" w:rsidDel="00000000" w:rsidP="00000000" w:rsidRDefault="00000000" w:rsidRPr="00000000" w14:paraId="00000065">
      <w:pPr>
        <w:spacing w:after="140" w:before="140" w:line="276" w:lineRule="auto"/>
        <w:ind w:firstLine="1417.322834645669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Posteriormente após a elaboração do Estudo Técnico Preliminar, será remetido Instrumento de formalização da demanda/requisição para autorização da autoridade superior, para que esta decida sobre a viabilidade da contratação.</w:t>
      </w:r>
    </w:p>
    <w:p w:rsidR="00000000" w:rsidDel="00000000" w:rsidP="00000000" w:rsidRDefault="00000000" w:rsidRPr="00000000" w14:paraId="00000066">
      <w:pPr>
        <w:spacing w:after="140" w:before="14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67">
      <w:pPr>
        <w:spacing w:after="140" w:before="140" w:line="276"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68">
      <w:pPr>
        <w:spacing w:after="140" w:before="140" w:line="276" w:lineRule="auto"/>
        <w:jc w:val="righ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Ajuricaba, </w:t>
      </w:r>
      <w:r w:rsidDel="00000000" w:rsidR="00000000" w:rsidRPr="00000000">
        <w:rPr>
          <w:rFonts w:ascii="Calibri" w:cs="Calibri" w:eastAsia="Calibri" w:hAnsi="Calibri"/>
          <w:b w:val="1"/>
          <w:bCs w:val="1"/>
          <w:sz w:val="24"/>
          <w:szCs w:val="24"/>
          <w:rtl w:val="0"/>
        </w:rPr>
        <w:t xml:space="preserve">20 </w:t>
      </w:r>
      <w:r w:rsidDel="00000000" w:rsidR="00000000" w:rsidRPr="00000000">
        <w:rPr>
          <w:rFonts w:ascii="Calibri" w:cs="Calibri" w:eastAsia="Calibri" w:hAnsi="Calibri"/>
          <w:b w:val="1"/>
          <w:bCs w:val="1"/>
          <w:sz w:val="24"/>
          <w:szCs w:val="24"/>
          <w:rtl w:val="0"/>
        </w:rPr>
        <w:t xml:space="preserve">de </w:t>
      </w:r>
      <w:r w:rsidDel="00000000" w:rsidR="00000000" w:rsidRPr="00000000">
        <w:rPr>
          <w:rFonts w:ascii="Calibri" w:cs="Calibri" w:eastAsia="Calibri" w:hAnsi="Calibri"/>
          <w:b w:val="1"/>
          <w:bCs w:val="1"/>
          <w:sz w:val="24"/>
          <w:szCs w:val="24"/>
          <w:rtl w:val="0"/>
        </w:rPr>
        <w:t xml:space="preserve">Agosto </w:t>
      </w:r>
      <w:r w:rsidDel="00000000" w:rsidR="00000000" w:rsidRPr="00000000">
        <w:rPr>
          <w:rFonts w:ascii="Calibri" w:cs="Calibri" w:eastAsia="Calibri" w:hAnsi="Calibri"/>
          <w:b w:val="1"/>
          <w:bCs w:val="1"/>
          <w:sz w:val="24"/>
          <w:szCs w:val="24"/>
          <w:rtl w:val="0"/>
        </w:rPr>
        <w:t xml:space="preserve">de 2026</w:t>
      </w:r>
    </w:p>
    <w:p w:rsidR="00000000" w:rsidDel="00000000" w:rsidP="00000000" w:rsidRDefault="00000000" w:rsidRPr="00000000" w14:paraId="00000069">
      <w:pPr>
        <w:spacing w:after="140" w:before="14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A">
      <w:pPr>
        <w:spacing w:after="140" w:before="14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spacing w:after="140" w:before="140"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Felipe Orzechoski de Almeida</w:t>
      </w:r>
    </w:p>
    <w:p w:rsidR="00000000" w:rsidDel="00000000" w:rsidP="00000000" w:rsidRDefault="00000000" w:rsidRPr="00000000" w14:paraId="0000006C">
      <w:pPr>
        <w:spacing w:after="140" w:before="140"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Responsável pela elaboração do ETP</w:t>
      </w:r>
    </w:p>
    <w:p w:rsidR="00000000" w:rsidDel="00000000" w:rsidP="00000000" w:rsidRDefault="00000000" w:rsidRPr="00000000" w14:paraId="0000006D">
      <w:pPr>
        <w:spacing w:after="140" w:before="140"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E">
      <w:pPr>
        <w:spacing w:after="140" w:before="140" w:line="276"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F">
      <w:pPr>
        <w:spacing w:after="140" w:before="140"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Luana Carine Maron Torquetti</w:t>
      </w:r>
    </w:p>
    <w:p w:rsidR="00000000" w:rsidDel="00000000" w:rsidP="00000000" w:rsidRDefault="00000000" w:rsidRPr="00000000" w14:paraId="00000070">
      <w:pPr>
        <w:spacing w:after="140" w:before="140" w:line="276"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Secretária Municipal de Saúde</w:t>
      </w:r>
    </w:p>
    <w:p w:rsidR="00000000" w:rsidDel="00000000" w:rsidP="00000000" w:rsidRDefault="00000000" w:rsidRPr="00000000" w14:paraId="00000071">
      <w:pPr>
        <w:spacing w:after="140" w:before="140" w:line="276" w:lineRule="auto"/>
        <w:rPr>
          <w:rFonts w:ascii="Calibri" w:cs="Calibri" w:eastAsia="Calibri" w:hAnsi="Calibri"/>
          <w:sz w:val="24"/>
          <w:szCs w:val="24"/>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jc w:val="center"/>
      <w:rPr/>
    </w:pPr>
    <w:r w:rsidDel="00000000" w:rsidR="00000000" w:rsidRPr="00000000">
      <w:rPr/>
      <w:pict>
        <v:shape id="WordPictureWatermark1" style="position:absolute;width:451.27559055118115pt;height:451.27559055118115pt;rotation:0;z-index:-503316481;mso-position-horizontal-relative:margin;mso-position-horizontal:center;mso-position-vertical-relative:margin;mso-position-vertical:center;" alt="" type="#_x0000_t75">
          <v:imagedata blacklevel="22938f" cropbottom="0f" cropleft="0f" cropright="0f" croptop="0f" gain="19661f" r:id="rId1" o:title="image3.png"/>
        </v:shape>
      </w:pict>
    </w:r>
    <w:r w:rsidDel="00000000" w:rsidR="00000000" w:rsidRPr="00000000">
      <w:rPr/>
      <w:drawing>
        <wp:inline distB="114300" distT="114300" distL="114300" distR="114300">
          <wp:extent cx="1011075" cy="438132"/>
          <wp:effectExtent b="0" l="0" r="0" t="0"/>
          <wp:docPr id="3" name="image1.png"/>
          <a:graphic>
            <a:graphicData uri="http://schemas.openxmlformats.org/drawingml/2006/picture">
              <pic:pic>
                <pic:nvPicPr>
                  <pic:cNvPr id="0" name="image1.png"/>
                  <pic:cNvPicPr preferRelativeResize="0"/>
                </pic:nvPicPr>
                <pic:blipFill>
                  <a:blip r:embed="rId2">
                    <a:alphaModFix amt="50000"/>
                  </a:blip>
                  <a:srcRect b="0" l="0" r="0" t="0"/>
                  <a:stretch>
                    <a:fillRect/>
                  </a:stretch>
                </pic:blipFill>
                <pic:spPr>
                  <a:xfrm>
                    <a:off x="0" y="0"/>
                    <a:ext cx="1011075" cy="438132"/>
                  </a:xfrm>
                  <a:prstGeom prst="rect"/>
                  <a:ln/>
                </pic:spPr>
              </pic:pic>
            </a:graphicData>
          </a:graphic>
        </wp:inline>
      </w:drawing>
    </w:r>
    <w:r w:rsidDel="00000000" w:rsidR="00000000" w:rsidRPr="00000000">
      <w:rPr/>
      <w:drawing>
        <wp:inline distB="114300" distT="114300" distL="114300" distR="114300">
          <wp:extent cx="433388" cy="433388"/>
          <wp:effectExtent b="0" l="0" r="0" t="0"/>
          <wp:docPr id="2" name="image2.png"/>
          <a:graphic>
            <a:graphicData uri="http://schemas.openxmlformats.org/drawingml/2006/picture">
              <pic:pic>
                <pic:nvPicPr>
                  <pic:cNvPr id="0" name="image2.png"/>
                  <pic:cNvPicPr preferRelativeResize="0"/>
                </pic:nvPicPr>
                <pic:blipFill>
                  <a:blip r:embed="rId3">
                    <a:alphaModFix amt="50000"/>
                  </a:blip>
                  <a:srcRect b="0" l="0" r="0" t="0"/>
                  <a:stretch>
                    <a:fillRect/>
                  </a:stretch>
                </pic:blipFill>
                <pic:spPr>
                  <a:xfrm>
                    <a:off x="0" y="0"/>
                    <a:ext cx="433388" cy="433388"/>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-700087</wp:posOffset>
              </wp:positionH>
              <wp:positionV relativeFrom="paragraph">
                <wp:posOffset>-238124</wp:posOffset>
              </wp:positionV>
              <wp:extent cx="7129463" cy="10239375"/>
              <wp:effectExtent b="12700" l="12700" r="12700" t="12700"/>
              <wp:wrapNone/>
              <wp:docPr id="1" name=""/>
              <a:graphic>
                <a:graphicData uri="http://schemas.microsoft.com/office/word/2010/wordprocessingShape">
                  <wps:wsp>
                    <wps:cNvSpPr/>
                    <wps:cNvPr id="2" name="Shape 2"/>
                    <wps:spPr>
                      <a:xfrm>
                        <a:off x="2032225" y="347175"/>
                        <a:ext cx="2558100" cy="2892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114300" distT="114300" distL="114300" distR="114300" hidden="0" layoutInCell="1" locked="0" relativeHeight="0" simplePos="0">
              <wp:simplePos x="0" y="0"/>
              <wp:positionH relativeFrom="column">
                <wp:posOffset>-700087</wp:posOffset>
              </wp:positionH>
              <wp:positionV relativeFrom="paragraph">
                <wp:posOffset>-238124</wp:posOffset>
              </wp:positionV>
              <wp:extent cx="7129463" cy="10239375"/>
              <wp:effectExtent b="12700" l="12700" r="12700" t="12700"/>
              <wp:wrapNone/>
              <wp:docPr id="1" name="image4.png"/>
              <a:graphic>
                <a:graphicData uri="http://schemas.openxmlformats.org/drawingml/2006/picture">
                  <pic:pic>
                    <pic:nvPicPr>
                      <pic:cNvPr id="0" name="image4.png"/>
                      <pic:cNvPicPr preferRelativeResize="0"/>
                    </pic:nvPicPr>
                    <pic:blipFill>
                      <a:blip r:embed="rId4"/>
                      <a:srcRect/>
                      <a:stretch>
                        <a:fillRect/>
                      </a:stretch>
                    </pic:blipFill>
                    <pic:spPr>
                      <a:xfrm>
                        <a:off x="0" y="0"/>
                        <a:ext cx="7129463" cy="10239375"/>
                      </a:xfrm>
                      <a:prstGeom prst="rect"/>
                      <a:ln w="12700">
                        <a:solidFill>
                          <a:srgbClr val="434343"/>
                        </a:solidFill>
                        <a:prstDash val="solid"/>
                      </a:ln>
                    </pic:spPr>
                  </pic:pic>
                </a:graphicData>
              </a:graphic>
            </wp:anchor>
          </w:drawing>
        </mc:Fallback>
      </mc:AlternateContent>
    </w:r>
  </w:p>
  <w:p w:rsidR="00000000" w:rsidDel="00000000" w:rsidP="00000000" w:rsidRDefault="00000000" w:rsidRPr="00000000" w14:paraId="00000073">
    <w:pPr>
      <w:jc w:val="center"/>
      <w:rPr>
        <w:rFonts w:ascii="Calibri" w:cs="Calibri" w:eastAsia="Calibri" w:hAnsi="Calibri"/>
        <w:b w:val="1"/>
        <w:bCs w:val="1"/>
        <w:color w:val="999999"/>
        <w:sz w:val="20"/>
        <w:szCs w:val="20"/>
      </w:rPr>
    </w:pPr>
    <w:r w:rsidDel="00000000" w:rsidR="00000000" w:rsidRPr="00000000">
      <w:rPr>
        <w:rFonts w:ascii="Calibri" w:cs="Calibri" w:eastAsia="Calibri" w:hAnsi="Calibri"/>
        <w:b w:val="1"/>
        <w:bCs w:val="1"/>
        <w:color w:val="999999"/>
        <w:sz w:val="20"/>
        <w:szCs w:val="20"/>
        <w:rtl w:val="0"/>
      </w:rPr>
      <w:t xml:space="preserve">SECRETARIA DE SAÚDE</w:t>
    </w:r>
  </w:p>
  <w:p w:rsidR="00000000" w:rsidDel="00000000" w:rsidP="00000000" w:rsidRDefault="00000000" w:rsidRPr="00000000" w14:paraId="00000074">
    <w:pPr>
      <w:jc w:val="center"/>
      <w:rPr>
        <w:rFonts w:ascii="Calibri" w:cs="Calibri" w:eastAsia="Calibri" w:hAnsi="Calibri"/>
        <w:b w:val="1"/>
        <w:bCs w:val="1"/>
        <w:color w:val="999999"/>
        <w:sz w:val="20"/>
        <w:szCs w:val="20"/>
      </w:rPr>
    </w:pPr>
    <w:r w:rsidDel="00000000" w:rsidR="00000000" w:rsidRPr="00000000">
      <w:rPr>
        <w:rFonts w:ascii="Calibri" w:cs="Calibri" w:eastAsia="Calibri" w:hAnsi="Calibri"/>
        <w:b w:val="1"/>
        <w:bCs w:val="1"/>
        <w:color w:val="999999"/>
        <w:sz w:val="20"/>
        <w:szCs w:val="20"/>
        <w:rtl w:val="0"/>
      </w:rPr>
      <w:t xml:space="preserve">AJURICABA/RS</w:t>
    </w:r>
  </w:p>
  <w:p w:rsidR="00000000" w:rsidDel="00000000" w:rsidP="00000000" w:rsidRDefault="00000000" w:rsidRPr="00000000" w14:paraId="00000075">
    <w:pPr>
      <w:jc w:val="center"/>
      <w:rPr>
        <w:rFonts w:ascii="Calibri" w:cs="Calibri" w:eastAsia="Calibri" w:hAnsi="Calibri"/>
        <w:b w:val="1"/>
        <w:bCs w:val="1"/>
        <w:color w:val="999999"/>
        <w:sz w:val="20"/>
        <w:szCs w:val="20"/>
      </w:rPr>
    </w:pPr>
    <w:r w:rsidDel="00000000" w:rsidR="00000000" w:rsidRPr="00000000">
      <w:rPr>
        <w:rFonts w:ascii="Calibri" w:cs="Calibri" w:eastAsia="Calibri" w:hAnsi="Calibri"/>
        <w:b w:val="1"/>
        <w:bCs w:val="1"/>
        <w:color w:val="999999"/>
        <w:sz w:val="20"/>
        <w:szCs w:val="20"/>
        <w:rtl w:val="0"/>
      </w:rPr>
      <w:t xml:space="preserve">30/2026</w:t>
    </w:r>
  </w:p>
  <w:p w:rsidR="00000000" w:rsidDel="00000000" w:rsidP="00000000" w:rsidRDefault="00000000" w:rsidRPr="00000000" w14:paraId="00000076">
    <w:pPr>
      <w:jc w:val="center"/>
      <w:rPr>
        <w:rFonts w:ascii="Calibri" w:cs="Calibri" w:eastAsia="Calibri" w:hAnsi="Calibri"/>
        <w:b w:val="1"/>
        <w:bCs w:val="1"/>
        <w:color w:val="999999"/>
        <w:sz w:val="20"/>
        <w:szCs w:val="20"/>
      </w:rPr>
    </w:pPr>
    <w:r w:rsidDel="00000000" w:rsidR="00000000" w:rsidRPr="00000000">
      <w:rPr>
        <w:rFonts w:ascii="Calibri" w:cs="Calibri" w:eastAsia="Calibri" w:hAnsi="Calibri"/>
        <w:b w:val="1"/>
        <w:bCs w:val="1"/>
        <w:color w:val="999999"/>
        <w:sz w:val="20"/>
        <w:szCs w:val="20"/>
        <w:rtl w:val="0"/>
      </w:rPr>
      <w:t xml:space="preserve">AQUISIÇÃO MATERIAIS NAAB 2026</w:t>
    </w:r>
  </w:p>
  <w:p w:rsidR="00000000" w:rsidDel="00000000" w:rsidP="00000000" w:rsidRDefault="00000000" w:rsidRPr="00000000" w14:paraId="0000007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0" w:firstLine="0"/>
      </w:pPr>
      <w:rPr>
        <w:u w:val="none"/>
      </w:rPr>
    </w:lvl>
    <w:lvl w:ilvl="1">
      <w:start w:val="1"/>
      <w:numFmt w:val="decimal"/>
      <w:lvlText w:val="%1.%2."/>
      <w:lvlJc w:val="right"/>
      <w:pPr>
        <w:ind w:left="0" w:firstLine="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