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1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ESTUDO TÉCNICO PRELIMINAR</w:t>
      </w:r>
    </w:p>
    <w:p w:rsidR="00000000" w:rsidDel="00000000" w:rsidP="00000000" w:rsidRDefault="00000000" w:rsidRPr="00000000" w14:paraId="00000002">
      <w:pPr>
        <w:spacing w:after="140" w:before="1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Descrição da necessidade da contratação, considerado o problema a ser resolvido sob a perspectiva do interesse público:</w:t>
      </w:r>
    </w:p>
    <w:p w:rsidR="00000000" w:rsidDel="00000000" w:rsidP="00000000" w:rsidRDefault="00000000" w:rsidRPr="00000000" w14:paraId="00000004">
      <w:pPr>
        <w:spacing w:after="240" w:before="2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Secretaria de Saúde do município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necessita adquirir medicamentos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para atender as 2 (duas) farmácias municipais. Tal necessidade decorre do cancelamento de alguns itens da Ata de Registro de preços Nº02/2025 pelo Consórcio Intermunicipal do Noroeste do Estado do Rio Grande do Sul (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CISA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). O cancelamento dos itens foi formalizado por meio 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OFICIO CIRCULAR C. M. Nº01/2026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(anexo).</w:t>
      </w:r>
    </w:p>
    <w:p w:rsidR="00000000" w:rsidDel="00000000" w:rsidP="00000000" w:rsidRDefault="00000000" w:rsidRPr="00000000" w14:paraId="00000005">
      <w:pPr>
        <w:spacing w:after="240" w:before="2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presente contratação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fundamenta-se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no dever constitucional do Município em garantir o acesso universal e igualitário às ações e serviços para a promoção, proteção e recuperação da saúde, conforme preceitua o artigo 196 da Constituição Federal. A necessidade pública reside na manutenção do estoque da Assistência Farmacêutica Municipal, assegurando o fornecimento ininterrupto de medicamentos essenciais à população usuária do Sistema Único de Saúde (SUS). </w:t>
      </w:r>
    </w:p>
    <w:p w:rsidR="00000000" w:rsidDel="00000000" w:rsidP="00000000" w:rsidRDefault="00000000" w:rsidRPr="00000000" w14:paraId="00000006">
      <w:pPr>
        <w:spacing w:after="240" w:before="2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aquisição é indispensável para o cumprimento da Política Nacional de Medicamentos e para a execução dos programas de atenção básica, especializada e de urgência/emergência. A eventual omissão ou solução de continuidade no suprimento desses itens acarretará impactos negativos severos, tais como o agravamento do quadro clínico dos pacientes, o aumento da morbimortalidade, a sobrecarga das unidades de internação hospitalar e a vulnerabilidade do ente público à judicialização da saúde, além de configurar afronta ao princípio da continuidade do serviço público e à dignidade da pessoa humana.</w:t>
      </w:r>
    </w:p>
    <w:p w:rsidR="00000000" w:rsidDel="00000000" w:rsidP="00000000" w:rsidRDefault="00000000" w:rsidRPr="00000000" w14:paraId="00000007">
      <w:pPr>
        <w:spacing w:after="140" w:before="140" w:lineRule="auto"/>
        <w:jc w:val="lef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Demonstração da contratação no plano de contratação anual:</w:t>
      </w:r>
    </w:p>
    <w:p w:rsidR="00000000" w:rsidDel="00000000" w:rsidP="00000000" w:rsidRDefault="00000000" w:rsidRPr="00000000" w14:paraId="00000009">
      <w:pPr>
        <w:spacing w:after="240" w:before="240" w:line="36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contratação pretendida está prevista no Plano Anual de Contratações (PAC) do município de Ajuricaba/RS, estando assim, alinhada com o planejamento desta Administração. A indicação da contratação no PAC será informada na planilha de pesquisa de preços anexa a este processo.</w:t>
      </w:r>
    </w:p>
    <w:p w:rsidR="00000000" w:rsidDel="00000000" w:rsidP="00000000" w:rsidRDefault="00000000" w:rsidRPr="00000000" w14:paraId="0000000A">
      <w:pPr>
        <w:spacing w:after="140" w:before="140" w:lineRule="auto"/>
        <w:ind w:firstLine="141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Possíveis soluções para atender à necessidade: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40" w:before="14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spacing w:after="140" w:before="140" w:line="276" w:lineRule="auto"/>
        <w:ind w:left="1440" w:hanging="36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Alternativas disponíveis no mercado:</w:t>
      </w:r>
    </w:p>
    <w:p w:rsidR="00000000" w:rsidDel="00000000" w:rsidP="00000000" w:rsidRDefault="00000000" w:rsidRPr="00000000" w14:paraId="0000000E">
      <w:p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ab/>
        <w:t xml:space="preserve">Em se tratando de não atendimento à Ata de Registro de Preços do CISA, resta à Secretaria de Saúde realizar a contratação por meio de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Licitação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na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modalidade Pregão Eletrônico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utilizando 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menor preço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com entrega imediata.</w:t>
      </w:r>
    </w:p>
    <w:p w:rsidR="00000000" w:rsidDel="00000000" w:rsidP="00000000" w:rsidRDefault="00000000" w:rsidRPr="00000000" w14:paraId="0000000F">
      <w:p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spacing w:after="140" w:before="140" w:line="276" w:lineRule="auto"/>
        <w:ind w:left="1440" w:hanging="36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Análise e comparação das soluções existentes:</w:t>
      </w:r>
    </w:p>
    <w:p w:rsidR="00000000" w:rsidDel="00000000" w:rsidP="00000000" w:rsidRDefault="00000000" w:rsidRPr="00000000" w14:paraId="00000011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Em se tratando de não atendimento à Ata de Registro de Preços do CISA, resta à Secretaria de Saúde realizar a contratação por meio de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Licitação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na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modalidade Pregão Eletrônico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utilizando 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menor preço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com entrega imediata.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40" w:before="140" w:line="276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Requisitos da contratação:</w:t>
      </w:r>
    </w:p>
    <w:p w:rsidR="00000000" w:rsidDel="00000000" w:rsidP="00000000" w:rsidRDefault="00000000" w:rsidRPr="00000000" w14:paraId="00000014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:rsidR="00000000" w:rsidDel="00000000" w:rsidP="00000000" w:rsidRDefault="00000000" w:rsidRPr="00000000" w14:paraId="00000015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contratação será realizada por meio 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Licitação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na modalidade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Pregão Eletrônico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na sua forma eletrônica, com critério de julgamento por menor preço, nos termos dos artigos 6º, inciso XLI, 17, § 2º, e 34, todos da Lei Federal nº 14.133/2021.</w:t>
      </w:r>
    </w:p>
    <w:p w:rsidR="00000000" w:rsidDel="00000000" w:rsidP="00000000" w:rsidRDefault="00000000" w:rsidRPr="00000000" w14:paraId="00000016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requisitos de contratação serão pormenorizados de forma mais detalhada em termo de referência, caso se conclua pela viabilidade da contratação. </w:t>
      </w:r>
    </w:p>
    <w:p w:rsidR="00000000" w:rsidDel="00000000" w:rsidP="00000000" w:rsidRDefault="00000000" w:rsidRPr="00000000" w14:paraId="00000017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Para fornecimento/prestação dos serviços pretendidos os eventuais interessados deverão comprovar que atuam em ramo de atividade compatível com o objeto da licitação, bem como apresentar os seguintes documentos a título de habilitação, nos termos do art. 62 e 66, da Lei nº 14.133/2021.</w:t>
      </w:r>
    </w:p>
    <w:p w:rsidR="00000000" w:rsidDel="00000000" w:rsidP="00000000" w:rsidRDefault="00000000" w:rsidRPr="00000000" w14:paraId="00000018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REQUISITOS ESPECÍFICOS</w:t>
      </w:r>
    </w:p>
    <w:p w:rsidR="00000000" w:rsidDel="00000000" w:rsidP="00000000" w:rsidRDefault="00000000" w:rsidRPr="00000000" w14:paraId="0000001D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Todos os medicamentos ofertados deverão possuir registro vigente junto à Agência Nacional de Vigilância Sanitária (ANVISA), comprovando sua segurança, eficácia e qualidade, em conformidade com a Lei nº 6.360/1976.</w:t>
      </w:r>
    </w:p>
    <w:p w:rsidR="00000000" w:rsidDel="00000000" w:rsidP="00000000" w:rsidRDefault="00000000" w:rsidRPr="00000000" w14:paraId="0000001F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Certificado de Boas Práticas de Fabricação (CBPF)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As empresas detentoras do registro devem apresentar o certificado que comprove que o fabricante cumpre as diretrizes de Boas Práticas de Fabricação vigentes, garantindo o controle de qualidade do processo produtivo.</w:t>
      </w:r>
    </w:p>
    <w:p w:rsidR="00000000" w:rsidDel="00000000" w:rsidP="00000000" w:rsidRDefault="00000000" w:rsidRPr="00000000" w14:paraId="00000020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Validade Remanescente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No ato da entrega, os produtos deverão apresentar prazo de validade remanescente de, no mínimo, 12 (doze) meses, ou conforme estipulado em edital para itens de rotatividade específica, garantindo o tempo hábil para dispensação e consumo.</w:t>
      </w:r>
    </w:p>
    <w:p w:rsidR="00000000" w:rsidDel="00000000" w:rsidP="00000000" w:rsidRDefault="00000000" w:rsidRPr="00000000" w14:paraId="00000021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Padronização de Embalagem e Rotulagem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As embalagens devem conter obrigatoriamente o número do lote, data de fabricação e validade, além da expressão "Venda Proibida ao Comércio" ou identificação de uso institucional conforme normas do SUS, para coibir desvios e garantir a rastreabilidade.</w:t>
      </w:r>
    </w:p>
    <w:p w:rsidR="00000000" w:rsidDel="00000000" w:rsidP="00000000" w:rsidRDefault="00000000" w:rsidRPr="00000000" w14:paraId="00000022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Laudo de Análise Técnica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Sempre que solicitado pela Administração, o fornecedor deverá apresentar o Laudo Analítico de Controle de Qualidade por lote, emitido pelo fabricante ou laboratório credenciado pela REBLAS, atestando as características físico-químicas e microbiológicas do medicamento.</w:t>
      </w:r>
    </w:p>
    <w:p w:rsidR="00000000" w:rsidDel="00000000" w:rsidP="00000000" w:rsidRDefault="00000000" w:rsidRPr="00000000" w14:paraId="00000023">
      <w:pPr>
        <w:spacing w:after="140" w:before="140" w:lineRule="auto"/>
        <w:ind w:left="144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Estimativas de quantidades e valores da contração:</w:t>
      </w:r>
    </w:p>
    <w:p w:rsidR="00000000" w:rsidDel="00000000" w:rsidP="00000000" w:rsidRDefault="00000000" w:rsidRPr="00000000" w14:paraId="00000025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:rsidR="00000000" w:rsidDel="00000000" w:rsidP="00000000" w:rsidRDefault="00000000" w:rsidRPr="00000000" w14:paraId="00000027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cálculo dos valores unitários da contratação, será realizado por meio de planilha do Excel, contendo fórmulas predefinidas de média e mediana.</w:t>
      </w:r>
    </w:p>
    <w:p w:rsidR="00000000" w:rsidDel="00000000" w:rsidP="00000000" w:rsidRDefault="00000000" w:rsidRPr="00000000" w14:paraId="00000028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Para o cálculo das estimativas de contratação será realizado, levantamento prévio das necessidades dos órgãos requerentes, considerando, inclusive, eventuais contratações do mesmo objeto em anos anteriores.</w:t>
      </w:r>
    </w:p>
    <w:p w:rsidR="00000000" w:rsidDel="00000000" w:rsidP="00000000" w:rsidRDefault="00000000" w:rsidRPr="00000000" w14:paraId="00000029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Justificativa para o parcelamento ou não da contratação:</w:t>
      </w:r>
    </w:p>
    <w:p w:rsidR="00000000" w:rsidDel="00000000" w:rsidP="00000000" w:rsidRDefault="00000000" w:rsidRPr="00000000" w14:paraId="0000002B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devam ser considerados 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responsabilidade técnica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o custo para a Administração de vários contratos frente às vantagens da redução de custos, com divisão do objeto em itens, e o dever de buscar a ampliação da competição e de evitar a concentração de mercado.</w:t>
      </w:r>
    </w:p>
    <w:p w:rsidR="00000000" w:rsidDel="00000000" w:rsidP="00000000" w:rsidRDefault="00000000" w:rsidRPr="00000000" w14:paraId="0000002D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Administração opta pelo parcelamento do objeto em itens individuais (lotes por item), em estrita observância ao art. 40, § 2º, e art. 47, inciso II, da Lei nº 14.133/2021. Tal medida justifica-se pela diversidade do mercado farmacêutico, composto por fabricantes e distribuidores especializados em diferentes classes terapêuticas. </w:t>
      </w:r>
    </w:p>
    <w:p w:rsidR="00000000" w:rsidDel="00000000" w:rsidP="00000000" w:rsidRDefault="00000000" w:rsidRPr="00000000" w14:paraId="0000002E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parcelamento visa a ampliação da competitividade, permitindo que um maior número de fornecedores participe do certame, o que favorece a obtenção de propostas mais vantajosas e evita a concentração de mercado. Ademais, a divisibilidade do objeto não gera prejuízo ao complexo da contratação nem perda de economia de escala, sendo a solução técnica que melhor atende ao interesse público e à eficiência administrativa no setor de suprimentos de saúde.</w:t>
      </w:r>
    </w:p>
    <w:p w:rsidR="00000000" w:rsidDel="00000000" w:rsidP="00000000" w:rsidRDefault="00000000" w:rsidRPr="00000000" w14:paraId="0000002F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Descrição da solução como um todo:</w:t>
      </w:r>
    </w:p>
    <w:p w:rsidR="00000000" w:rsidDel="00000000" w:rsidP="00000000" w:rsidRDefault="00000000" w:rsidRPr="00000000" w14:paraId="00000031">
      <w:pPr>
        <w:spacing w:after="240" w:before="240" w:lineRule="auto"/>
        <w:ind w:left="0"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solução consiste no fornecimento parcelado de medicamentos destinados ao abastecimento das farmácias públicas e unidades de saúde do município, compreendendo itens constantes na Relação Municipal de Medicamentos Essenciais (REMUME). O objeto abrange diversas formas farmacêuticas (sólidos, líquidos, semi sólidos e injetáveis), devendo a entrega ocorrer de forma imediata. </w:t>
      </w:r>
    </w:p>
    <w:p w:rsidR="00000000" w:rsidDel="00000000" w:rsidP="00000000" w:rsidRDefault="00000000" w:rsidRPr="00000000" w14:paraId="00000032">
      <w:pPr>
        <w:spacing w:after="240" w:before="240" w:lineRule="auto"/>
        <w:ind w:left="0"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solução engloba não apenas a entrega física dos produtos, mas também a garantia de procedência, a conformidade técnica com as normas sanitárias vigentes, o suporte logístico de transporte em condições adequadas de temperatura e o gerenciamento de lotes para assegurar a plena disponibilidade terapêutica à rede municipal de saúde.</w:t>
      </w:r>
    </w:p>
    <w:p w:rsidR="00000000" w:rsidDel="00000000" w:rsidP="00000000" w:rsidRDefault="00000000" w:rsidRPr="00000000" w14:paraId="00000033">
      <w:pPr>
        <w:spacing w:after="140" w:before="140" w:lineRule="auto"/>
        <w:ind w:firstLine="70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Resultados pretendidos:</w:t>
      </w:r>
    </w:p>
    <w:p w:rsidR="00000000" w:rsidDel="00000000" w:rsidP="00000000" w:rsidRDefault="00000000" w:rsidRPr="00000000" w14:paraId="00000035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Pretende-se, com o presente processo licitatório, assegurar a seleção da proposta apta a gerar a contratação mais vantajosa para o Município.</w:t>
      </w:r>
    </w:p>
    <w:p w:rsidR="00000000" w:rsidDel="00000000" w:rsidP="00000000" w:rsidRDefault="00000000" w:rsidRPr="00000000" w14:paraId="00000037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:rsidR="00000000" w:rsidDel="00000000" w:rsidP="00000000" w:rsidRDefault="00000000" w:rsidRPr="00000000" w14:paraId="00000038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</w:p>
    <w:p w:rsidR="00000000" w:rsidDel="00000000" w:rsidP="00000000" w:rsidRDefault="00000000" w:rsidRPr="00000000" w14:paraId="00000039">
      <w:pPr>
        <w:spacing w:after="140" w:before="1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Providências prévias ao contrato:</w:t>
      </w:r>
    </w:p>
    <w:p w:rsidR="00000000" w:rsidDel="00000000" w:rsidP="00000000" w:rsidRDefault="00000000" w:rsidRPr="00000000" w14:paraId="0000003B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Realizar a pesquisa de preços, análise de fornecedores e elaboração do Termo de Referência.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40" w:before="140" w:lineRule="auto"/>
        <w:ind w:firstLine="700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Contratações correlatas e/ou interdependentes:</w:t>
      </w:r>
    </w:p>
    <w:p w:rsidR="00000000" w:rsidDel="00000000" w:rsidP="00000000" w:rsidRDefault="00000000" w:rsidRPr="00000000" w14:paraId="0000003E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40" w:before="1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Possíveis impactos ambientais: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:rsidR="00000000" w:rsidDel="00000000" w:rsidP="00000000" w:rsidRDefault="00000000" w:rsidRPr="00000000" w14:paraId="00000042">
      <w:pPr>
        <w:spacing w:after="140" w:before="140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40" w:before="140" w:lineRule="auto"/>
        <w:ind w:firstLine="700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Declaração de viabilidade:</w:t>
      </w:r>
    </w:p>
    <w:p w:rsidR="00000000" w:rsidDel="00000000" w:rsidP="00000000" w:rsidRDefault="00000000" w:rsidRPr="00000000" w14:paraId="00000045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6">
      <w:pPr>
        <w:spacing w:after="140" w:before="140" w:line="276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000000" w:rsidDel="00000000" w:rsidP="00000000" w:rsidRDefault="00000000" w:rsidRPr="00000000" w14:paraId="00000047">
      <w:pPr>
        <w:spacing w:after="140" w:before="140" w:line="276" w:lineRule="auto"/>
        <w:ind w:firstLine="1417.3228346456694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Posteriormente após a elaboração do Estudo Técnico Preliminar, será remetido Instrumento de formalização da demanda/requisição para autorização da autoridade superior, para que esta decida sobre a viabilidade da contratação.</w:t>
      </w:r>
    </w:p>
    <w:p w:rsidR="00000000" w:rsidDel="00000000" w:rsidP="00000000" w:rsidRDefault="00000000" w:rsidRPr="00000000" w14:paraId="00000048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9">
      <w:pPr>
        <w:spacing w:after="140" w:before="140" w:line="276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140" w:before="140" w:line="276" w:lineRule="auto"/>
        <w:jc w:val="righ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Ajuricaba,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06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 2026</w:t>
      </w:r>
    </w:p>
    <w:p w:rsidR="00000000" w:rsidDel="00000000" w:rsidP="00000000" w:rsidRDefault="00000000" w:rsidRPr="00000000" w14:paraId="0000004B">
      <w:pPr>
        <w:spacing w:after="140" w:before="14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C">
      <w:pPr>
        <w:spacing w:after="140" w:before="140"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140" w:before="1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Felipe Orzechoski de Almeida</w:t>
      </w:r>
    </w:p>
    <w:p w:rsidR="00000000" w:rsidDel="00000000" w:rsidP="00000000" w:rsidRDefault="00000000" w:rsidRPr="00000000" w14:paraId="0000004E">
      <w:pPr>
        <w:spacing w:after="140" w:before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Responsável pela elaboração do ETP</w:t>
      </w:r>
    </w:p>
    <w:p w:rsidR="00000000" w:rsidDel="00000000" w:rsidP="00000000" w:rsidRDefault="00000000" w:rsidRPr="00000000" w14:paraId="0000004F">
      <w:pPr>
        <w:spacing w:after="140" w:before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0">
      <w:pPr>
        <w:spacing w:after="140" w:before="140" w:line="276" w:lineRule="auto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140" w:before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140" w:before="1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Luana Carine Maron Torquetti</w:t>
      </w:r>
    </w:p>
    <w:p w:rsidR="00000000" w:rsidDel="00000000" w:rsidP="00000000" w:rsidRDefault="00000000" w:rsidRPr="00000000" w14:paraId="00000053">
      <w:pPr>
        <w:spacing w:after="140" w:before="140" w:line="276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Secretária Municipal de Saúde</w:t>
      </w:r>
    </w:p>
    <w:p w:rsidR="00000000" w:rsidDel="00000000" w:rsidP="00000000" w:rsidRDefault="00000000" w:rsidRPr="00000000" w14:paraId="00000054">
      <w:pPr>
        <w:spacing w:after="140" w:before="140" w:line="27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140" w:before="140" w:line="27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C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6">
    <w:pPr>
      <w:jc w:val="center"/>
      <w:rPr/>
    </w:pPr>
    <w:r w:rsidDel="00000000" w:rsidR="00000000" w:rsidRPr="00000000">
      <w:rPr/>
      <w:pict>
        <v:shape id="WordPictureWatermark1" style="position:absolute;width:451.27559055118115pt;height:451.2755905511811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3.png"/>
        </v:shape>
      </w:pict>
    </w:r>
    <w:r w:rsidDel="00000000" w:rsidR="00000000" w:rsidRPr="00000000">
      <w:rPr/>
      <w:drawing>
        <wp:inline distB="114300" distT="114300" distL="114300" distR="114300">
          <wp:extent cx="1011075" cy="438132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11075" cy="43813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/>
      <w:drawing>
        <wp:inline distB="114300" distT="114300" distL="114300" distR="114300">
          <wp:extent cx="433388" cy="433388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3">
                    <a:alphaModFix amt="50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33388" cy="4333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-700087</wp:posOffset>
              </wp:positionH>
              <wp:positionV relativeFrom="paragraph">
                <wp:posOffset>-238124</wp:posOffset>
              </wp:positionV>
              <wp:extent cx="7129463" cy="10239375"/>
              <wp:effectExtent b="12700" l="12700" r="12700" t="1270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032225" y="347175"/>
                        <a:ext cx="2558100" cy="289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-700087</wp:posOffset>
              </wp:positionH>
              <wp:positionV relativeFrom="paragraph">
                <wp:posOffset>-238124</wp:posOffset>
              </wp:positionV>
              <wp:extent cx="7129463" cy="10239375"/>
              <wp:effectExtent b="12700" l="12700" r="12700" t="1270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129463" cy="10239375"/>
                      </a:xfrm>
                      <a:prstGeom prst="rect"/>
                      <a:ln w="12700">
                        <a:solidFill>
                          <a:srgbClr val="434343"/>
                        </a:solidFill>
                        <a:prstDash val="solid"/>
                      </a:ln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57">
    <w:pPr>
      <w:jc w:val="center"/>
      <w:rPr>
        <w:rFonts w:ascii="Calibri" w:cs="Calibri" w:eastAsia="Calibri" w:hAnsi="Calibri"/>
        <w:b w:val="1"/>
        <w:bCs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color w:val="999999"/>
        <w:sz w:val="20"/>
        <w:szCs w:val="20"/>
        <w:rtl w:val="0"/>
      </w:rPr>
      <w:t xml:space="preserve">SECRETARIA DE SAÚDE</w:t>
    </w:r>
  </w:p>
  <w:p w:rsidR="00000000" w:rsidDel="00000000" w:rsidP="00000000" w:rsidRDefault="00000000" w:rsidRPr="00000000" w14:paraId="00000058">
    <w:pPr>
      <w:jc w:val="center"/>
      <w:rPr>
        <w:rFonts w:ascii="Calibri" w:cs="Calibri" w:eastAsia="Calibri" w:hAnsi="Calibri"/>
        <w:b w:val="1"/>
        <w:bCs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color w:val="999999"/>
        <w:sz w:val="20"/>
        <w:szCs w:val="20"/>
        <w:rtl w:val="0"/>
      </w:rPr>
      <w:t xml:space="preserve">AJURICABA/RS</w:t>
    </w:r>
  </w:p>
  <w:p w:rsidR="00000000" w:rsidDel="00000000" w:rsidP="00000000" w:rsidRDefault="00000000" w:rsidRPr="00000000" w14:paraId="00000059">
    <w:pPr>
      <w:jc w:val="center"/>
      <w:rPr>
        <w:rFonts w:ascii="Calibri" w:cs="Calibri" w:eastAsia="Calibri" w:hAnsi="Calibri"/>
        <w:b w:val="1"/>
        <w:bCs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color w:val="999999"/>
        <w:sz w:val="20"/>
        <w:szCs w:val="20"/>
        <w:rtl w:val="0"/>
      </w:rPr>
      <w:t xml:space="preserve">5/2026</w:t>
    </w:r>
  </w:p>
  <w:p w:rsidR="00000000" w:rsidDel="00000000" w:rsidP="00000000" w:rsidRDefault="00000000" w:rsidRPr="00000000" w14:paraId="0000005A">
    <w:pPr>
      <w:jc w:val="center"/>
      <w:rPr>
        <w:rFonts w:ascii="Calibri" w:cs="Calibri" w:eastAsia="Calibri" w:hAnsi="Calibri"/>
        <w:b w:val="1"/>
        <w:bCs w:val="1"/>
        <w:color w:val="999999"/>
        <w:sz w:val="20"/>
        <w:szCs w:val="20"/>
      </w:rPr>
    </w:pPr>
    <w:r w:rsidDel="00000000" w:rsidR="00000000" w:rsidRPr="00000000">
      <w:rPr>
        <w:rFonts w:ascii="Calibri" w:cs="Calibri" w:eastAsia="Calibri" w:hAnsi="Calibri"/>
        <w:b w:val="1"/>
        <w:bCs w:val="1"/>
        <w:color w:val="999999"/>
        <w:sz w:val="20"/>
        <w:szCs w:val="20"/>
        <w:rtl w:val="0"/>
      </w:rPr>
      <w:t xml:space="preserve">AQUISIÇÃO DE MEDICAMENTOS FARMÁCIAS</w:t>
    </w:r>
  </w:p>
  <w:p w:rsidR="00000000" w:rsidDel="00000000" w:rsidP="00000000" w:rsidRDefault="00000000" w:rsidRPr="00000000" w14:paraId="0000005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right"/>
      <w:pPr>
        <w:ind w:left="0" w:firstLine="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Relationship Id="rId3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