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ESTUDO TÉCNICO PRELIMINAR</w:t>
      </w:r>
    </w:p>
    <w:p w:rsidR="00000000" w:rsidDel="00000000" w:rsidP="00000000" w:rsidRDefault="00000000" w:rsidRPr="00000000" w14:paraId="00000002">
      <w:pPr>
        <w:spacing w:after="140" w:before="140" w:line="276"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numPr>
          <w:ilvl w:val="0"/>
          <w:numId w:val="1"/>
        </w:numPr>
        <w:spacing w:after="140" w:before="140" w:line="276" w:lineRule="auto"/>
        <w:ind w:left="0" w:firstLine="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Descrição da necessidade da contratação, considerado o problema a ser resolvido sob a perspectiva do interesse público:</w:t>
      </w:r>
    </w:p>
    <w:p w:rsidR="00000000" w:rsidDel="00000000" w:rsidP="00000000" w:rsidRDefault="00000000" w:rsidRPr="00000000" w14:paraId="00000004">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presente Estudo Técnico Preliminar tem por objetivo demonstrar a necessidade de aquisição de </w:t>
      </w:r>
      <w:r w:rsidDel="00000000" w:rsidR="00000000" w:rsidRPr="00000000">
        <w:rPr>
          <w:rFonts w:ascii="Calibri" w:cs="Calibri" w:eastAsia="Calibri" w:hAnsi="Calibri"/>
          <w:b w:val="1"/>
          <w:bCs w:val="1"/>
          <w:sz w:val="24"/>
          <w:szCs w:val="24"/>
          <w:rtl w:val="0"/>
        </w:rPr>
        <w:t xml:space="preserve">Testes Rápidos Imunocromatográficos Combo (Multiplex) para a detecção simultânea e diferencial de antígenos do SARS-CoV-2 (COVID-19) e dos vírus Influenza A e B</w:t>
      </w:r>
      <w:r w:rsidDel="00000000" w:rsidR="00000000" w:rsidRPr="00000000">
        <w:rPr>
          <w:rFonts w:ascii="Calibri" w:cs="Calibri" w:eastAsia="Calibri" w:hAnsi="Calibri"/>
          <w:sz w:val="24"/>
          <w:szCs w:val="24"/>
          <w:rtl w:val="0"/>
        </w:rPr>
        <w:t xml:space="preserve">, visando o abastecimento das unidades de saúde do município.</w:t>
      </w:r>
    </w:p>
    <w:p w:rsidR="00000000" w:rsidDel="00000000" w:rsidP="00000000" w:rsidRDefault="00000000" w:rsidRPr="00000000" w14:paraId="00000005">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referida contratação fundamenta-se no dever constitucional do Estado de garantir o direito à saúde (</w:t>
      </w:r>
      <w:r w:rsidDel="00000000" w:rsidR="00000000" w:rsidRPr="00000000">
        <w:rPr>
          <w:rFonts w:ascii="Calibri" w:cs="Calibri" w:eastAsia="Calibri" w:hAnsi="Calibri"/>
          <w:b w:val="1"/>
          <w:bCs w:val="1"/>
          <w:sz w:val="24"/>
          <w:szCs w:val="24"/>
          <w:rtl w:val="0"/>
        </w:rPr>
        <w:t xml:space="preserve">Art. 196 da Constituição Federal</w:t>
      </w:r>
      <w:r w:rsidDel="00000000" w:rsidR="00000000" w:rsidRPr="00000000">
        <w:rPr>
          <w:rFonts w:ascii="Calibri" w:cs="Calibri" w:eastAsia="Calibri" w:hAnsi="Calibri"/>
          <w:sz w:val="24"/>
          <w:szCs w:val="24"/>
          <w:rtl w:val="0"/>
        </w:rPr>
        <w:t xml:space="preserve">) e no princípio da continuidade do serviço público.</w:t>
      </w:r>
    </w:p>
    <w:p w:rsidR="00000000" w:rsidDel="00000000" w:rsidP="00000000" w:rsidRDefault="00000000" w:rsidRPr="00000000" w14:paraId="00000006">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necessidade pública reside na manutenção das ações de vigilância epidemiológica e no controle da propagação das principais </w:t>
      </w:r>
      <w:r w:rsidDel="00000000" w:rsidR="00000000" w:rsidRPr="00000000">
        <w:rPr>
          <w:rFonts w:ascii="Calibri" w:cs="Calibri" w:eastAsia="Calibri" w:hAnsi="Calibri"/>
          <w:b w:val="1"/>
          <w:bCs w:val="1"/>
          <w:sz w:val="24"/>
          <w:szCs w:val="24"/>
          <w:rtl w:val="0"/>
        </w:rPr>
        <w:t xml:space="preserve">síndromes respiratórias</w:t>
      </w:r>
      <w:r w:rsidDel="00000000" w:rsidR="00000000" w:rsidRPr="00000000">
        <w:rPr>
          <w:rFonts w:ascii="Calibri" w:cs="Calibri" w:eastAsia="Calibri" w:hAnsi="Calibri"/>
          <w:sz w:val="24"/>
          <w:szCs w:val="24"/>
          <w:rtl w:val="0"/>
        </w:rPr>
        <w:t xml:space="preserve">, especificamente os vírus </w:t>
      </w:r>
      <w:r w:rsidDel="00000000" w:rsidR="00000000" w:rsidRPr="00000000">
        <w:rPr>
          <w:rFonts w:ascii="Calibri" w:cs="Calibri" w:eastAsia="Calibri" w:hAnsi="Calibri"/>
          <w:b w:val="1"/>
          <w:bCs w:val="1"/>
          <w:sz w:val="24"/>
          <w:szCs w:val="24"/>
          <w:rtl w:val="0"/>
        </w:rPr>
        <w:t xml:space="preserve">SARS-CoV-2 e Influenza A e B</w:t>
      </w:r>
      <w:r w:rsidDel="00000000" w:rsidR="00000000" w:rsidRPr="00000000">
        <w:rPr>
          <w:rFonts w:ascii="Calibri" w:cs="Calibri" w:eastAsia="Calibri" w:hAnsi="Calibri"/>
          <w:sz w:val="24"/>
          <w:szCs w:val="24"/>
          <w:rtl w:val="0"/>
        </w:rPr>
        <w:t xml:space="preserve">, no âmbito municipal. O diagnóstico diferencial, célere e preciso proporcionado por testes combinados é instrumento indispensável para o balizamento de políticas públicas de saúde, permitindo a correta triagem clínica, o isolamento assertivo de casos positivos e o tratamento farmacológico direcionado, minimizando a sobrecarga e a pressão sobre o sistema hospitalar.</w:t>
      </w:r>
    </w:p>
    <w:p w:rsidR="00000000" w:rsidDel="00000000" w:rsidP="00000000" w:rsidRDefault="00000000" w:rsidRPr="00000000" w14:paraId="00000007">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ausência desta contratação acarretará grave prejuízo à municipalidade, consubstanciado na impossibilidade de monitoramento da </w:t>
      </w:r>
      <w:r w:rsidDel="00000000" w:rsidR="00000000" w:rsidRPr="00000000">
        <w:rPr>
          <w:rFonts w:ascii="Calibri" w:cs="Calibri" w:eastAsia="Calibri" w:hAnsi="Calibri"/>
          <w:b w:val="1"/>
          <w:bCs w:val="1"/>
          <w:sz w:val="24"/>
          <w:szCs w:val="24"/>
          <w:rtl w:val="0"/>
        </w:rPr>
        <w:t xml:space="preserve">co-circulação viral</w:t>
      </w:r>
      <w:r w:rsidDel="00000000" w:rsidR="00000000" w:rsidRPr="00000000">
        <w:rPr>
          <w:rFonts w:ascii="Calibri" w:cs="Calibri" w:eastAsia="Calibri" w:hAnsi="Calibri"/>
          <w:sz w:val="24"/>
          <w:szCs w:val="24"/>
          <w:rtl w:val="0"/>
        </w:rPr>
        <w:t xml:space="preserve">, no aumento exponencial das taxas de transmissibilidade, no risco de desassistência à população e no potencial incremento na morbimortalidade, configurando omissão administrativa frente ao gerenciamento de riscos sanitários.</w:t>
      </w:r>
    </w:p>
    <w:p w:rsidR="00000000" w:rsidDel="00000000" w:rsidP="00000000" w:rsidRDefault="00000000" w:rsidRPr="00000000" w14:paraId="00000008">
      <w:pPr>
        <w:spacing w:after="140" w:before="140" w:lineRule="auto"/>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9">
      <w:pPr>
        <w:numPr>
          <w:ilvl w:val="0"/>
          <w:numId w:val="1"/>
        </w:numPr>
        <w:spacing w:after="140" w:before="140" w:line="276" w:lineRule="auto"/>
        <w:ind w:left="0" w:firstLine="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Demonstração da contratação no plano de contratação anual:</w:t>
      </w:r>
    </w:p>
    <w:p w:rsidR="00000000" w:rsidDel="00000000" w:rsidP="00000000" w:rsidRDefault="00000000" w:rsidRPr="00000000" w14:paraId="0000000A">
      <w:pPr>
        <w:spacing w:after="240" w:before="240" w:line="360" w:lineRule="auto"/>
        <w:ind w:firstLine="1417.3228346456694"/>
        <w:jc w:val="both"/>
        <w:rPr>
          <w:rFonts w:ascii="Calibri" w:cs="Calibri" w:eastAsia="Calibri" w:hAnsi="Calibri"/>
          <w:sz w:val="24"/>
          <w:szCs w:val="24"/>
        </w:rPr>
      </w:pPr>
      <w:r w:rsidDel="00000000" w:rsidR="00000000" w:rsidRPr="00000000">
        <w:rPr>
          <w:rtl w:val="0"/>
        </w:rPr>
        <w:t xml:space="preserve">A contratação </w:t>
      </w:r>
      <w:r w:rsidDel="00000000" w:rsidR="00000000" w:rsidRPr="00000000">
        <w:rPr>
          <w:b w:val="1"/>
          <w:bCs w:val="1"/>
          <w:rtl w:val="0"/>
        </w:rPr>
        <w:t xml:space="preserve">especificamente do combo multiplex de testes </w:t>
      </w:r>
      <w:r w:rsidDel="00000000" w:rsidR="00000000" w:rsidRPr="00000000">
        <w:rPr>
          <w:rtl w:val="0"/>
        </w:rPr>
        <w:t xml:space="preserve">não está prevista no Plano Anual de Contratações (PAC) do município de Ajuricaba/RS, sendo assim será encaminhado </w:t>
      </w:r>
      <w:r w:rsidDel="00000000" w:rsidR="00000000" w:rsidRPr="00000000">
        <w:rPr>
          <w:b w:val="1"/>
          <w:bCs w:val="1"/>
          <w:rtl w:val="0"/>
        </w:rPr>
        <w:t xml:space="preserve">Memorando Nº425/2026</w:t>
      </w:r>
      <w:r w:rsidDel="00000000" w:rsidR="00000000" w:rsidRPr="00000000">
        <w:rPr>
          <w:rtl w:val="0"/>
        </w:rPr>
        <w:t xml:space="preserve"> solicitando a inclusão no PAC.</w:t>
      </w:r>
      <w:r w:rsidDel="00000000" w:rsidR="00000000" w:rsidRPr="00000000">
        <w:rPr>
          <w:rtl w:val="0"/>
        </w:rPr>
      </w:r>
    </w:p>
    <w:p w:rsidR="00000000" w:rsidDel="00000000" w:rsidP="00000000" w:rsidRDefault="00000000" w:rsidRPr="00000000" w14:paraId="0000000B">
      <w:pPr>
        <w:spacing w:after="140" w:before="140" w:lineRule="auto"/>
        <w:ind w:firstLine="141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numPr>
          <w:ilvl w:val="0"/>
          <w:numId w:val="1"/>
        </w:numPr>
        <w:spacing w:after="140" w:before="140" w:line="276" w:lineRule="auto"/>
        <w:ind w:left="0" w:firstLine="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Possíveis soluções para atender à necessidade:</w:t>
      </w:r>
    </w:p>
    <w:p w:rsidR="00000000" w:rsidDel="00000000" w:rsidP="00000000" w:rsidRDefault="00000000" w:rsidRPr="00000000" w14:paraId="0000000D">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E">
      <w:pPr>
        <w:numPr>
          <w:ilvl w:val="1"/>
          <w:numId w:val="1"/>
        </w:numPr>
        <w:spacing w:after="140" w:before="140" w:line="276" w:lineRule="auto"/>
        <w:ind w:left="708.6614173228347" w:hanging="36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Alternativas disponíveis no mercado:</w:t>
      </w:r>
      <w:r w:rsidDel="00000000" w:rsidR="00000000" w:rsidRPr="00000000">
        <w:rPr>
          <w:rtl w:val="0"/>
        </w:rPr>
      </w:r>
    </w:p>
    <w:p w:rsidR="00000000" w:rsidDel="00000000" w:rsidP="00000000" w:rsidRDefault="00000000" w:rsidRPr="00000000" w14:paraId="0000000F">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o atendimento da necessidade de diagnóstico e diferenciação das síndromes respiratórias (SARS-CoV-2 e Influenza A e B) nas unidades de saúde do município, o mercado oferece as seguintes soluções:</w:t>
      </w:r>
    </w:p>
    <w:p w:rsidR="00000000" w:rsidDel="00000000" w:rsidP="00000000" w:rsidRDefault="00000000" w:rsidRPr="00000000" w14:paraId="00000010">
      <w:pPr>
        <w:numPr>
          <w:ilvl w:val="0"/>
          <w:numId w:val="2"/>
        </w:numPr>
        <w:spacing w:after="0" w:afterAutospacing="0" w:befor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Alternativa 1: </w:t>
      </w:r>
      <w:r w:rsidDel="00000000" w:rsidR="00000000" w:rsidRPr="00000000">
        <w:rPr>
          <w:rFonts w:ascii="Calibri" w:cs="Calibri" w:eastAsia="Calibri" w:hAnsi="Calibri"/>
          <w:sz w:val="24"/>
          <w:szCs w:val="24"/>
          <w:rtl w:val="0"/>
        </w:rPr>
        <w:t xml:space="preserve">Contratação de Serviços Laboratoriais para Exames de Biologia Molecular (RT-PCR)</w:t>
      </w:r>
    </w:p>
    <w:p w:rsidR="00000000" w:rsidDel="00000000" w:rsidP="00000000" w:rsidRDefault="00000000" w:rsidRPr="00000000" w14:paraId="00000011">
      <w:pPr>
        <w:numPr>
          <w:ilvl w:val="1"/>
          <w:numId w:val="2"/>
        </w:numPr>
        <w:spacing w:after="0" w:afterAutospacing="0" w:before="0" w:beforeAutospacing="0" w:lineRule="auto"/>
        <w:ind w:left="1440" w:hanging="36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Descrição</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Terceirização da análise laboratorial, onde as unidades coletam as amostras e enviam a um laboratório de referência para processamento.</w:t>
      </w:r>
    </w:p>
    <w:p w:rsidR="00000000" w:rsidDel="00000000" w:rsidP="00000000" w:rsidRDefault="00000000" w:rsidRPr="00000000" w14:paraId="00000012">
      <w:pPr>
        <w:numPr>
          <w:ilvl w:val="1"/>
          <w:numId w:val="2"/>
        </w:numPr>
        <w:spacing w:after="0" w:afterAutospacing="0" w:before="0" w:beforeAutospacing="0" w:lineRule="auto"/>
        <w:ind w:left="1440" w:hanging="36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Análise</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Embora o RT-PCR seja considerado o "padrão ouro" em precisão, esta alternativa apresenta</w:t>
      </w:r>
      <w:r w:rsidDel="00000000" w:rsidR="00000000" w:rsidRPr="00000000">
        <w:rPr>
          <w:rFonts w:ascii="Calibri" w:cs="Calibri" w:eastAsia="Calibri" w:hAnsi="Calibri"/>
          <w:b w:val="1"/>
          <w:bCs w:val="1"/>
          <w:sz w:val="24"/>
          <w:szCs w:val="24"/>
          <w:rtl w:val="0"/>
        </w:rPr>
        <w:t xml:space="preserve"> alto custo unitário</w:t>
      </w:r>
      <w:r w:rsidDel="00000000" w:rsidR="00000000" w:rsidRPr="00000000">
        <w:rPr>
          <w:rFonts w:ascii="Calibri" w:cs="Calibri" w:eastAsia="Calibri" w:hAnsi="Calibri"/>
          <w:sz w:val="24"/>
          <w:szCs w:val="24"/>
          <w:rtl w:val="0"/>
        </w:rPr>
        <w:t xml:space="preserve">, exige complexa logística de transporte de amostras (refrigeração) e possui um</w:t>
      </w:r>
      <w:r w:rsidDel="00000000" w:rsidR="00000000" w:rsidRPr="00000000">
        <w:rPr>
          <w:rFonts w:ascii="Calibri" w:cs="Calibri" w:eastAsia="Calibri" w:hAnsi="Calibri"/>
          <w:b w:val="1"/>
          <w:bCs w:val="1"/>
          <w:sz w:val="24"/>
          <w:szCs w:val="24"/>
          <w:rtl w:val="0"/>
        </w:rPr>
        <w:t xml:space="preserve"> tempo de resposta (emissão de laudo) que varia de 24 a 72 horas</w:t>
      </w:r>
      <w:r w:rsidDel="00000000" w:rsidR="00000000" w:rsidRPr="00000000">
        <w:rPr>
          <w:rFonts w:ascii="Calibri" w:cs="Calibri" w:eastAsia="Calibri" w:hAnsi="Calibri"/>
          <w:sz w:val="24"/>
          <w:szCs w:val="24"/>
          <w:rtl w:val="0"/>
        </w:rPr>
        <w:t xml:space="preserve">. Esse </w:t>
      </w:r>
      <w:r w:rsidDel="00000000" w:rsidR="00000000" w:rsidRPr="00000000">
        <w:rPr>
          <w:rFonts w:ascii="Calibri" w:cs="Calibri" w:eastAsia="Calibri" w:hAnsi="Calibri"/>
          <w:b w:val="1"/>
          <w:bCs w:val="1"/>
          <w:sz w:val="24"/>
          <w:szCs w:val="24"/>
          <w:rtl w:val="0"/>
        </w:rPr>
        <w:t xml:space="preserve">atraso </w:t>
      </w:r>
      <w:r w:rsidDel="00000000" w:rsidR="00000000" w:rsidRPr="00000000">
        <w:rPr>
          <w:rFonts w:ascii="Calibri" w:cs="Calibri" w:eastAsia="Calibri" w:hAnsi="Calibri"/>
          <w:sz w:val="24"/>
          <w:szCs w:val="24"/>
          <w:rtl w:val="0"/>
        </w:rPr>
        <w:t xml:space="preserve">compromete a agilidade necessária para a triagem inicial, isolamento imediato do paciente e início do tratamento precoce nos postos de saúde.</w:t>
      </w:r>
    </w:p>
    <w:p w:rsidR="00000000" w:rsidDel="00000000" w:rsidP="00000000" w:rsidRDefault="00000000" w:rsidRPr="00000000" w14:paraId="00000013">
      <w:pPr>
        <w:numPr>
          <w:ilvl w:val="0"/>
          <w:numId w:val="2"/>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Alternativa 2: </w:t>
      </w:r>
      <w:r w:rsidDel="00000000" w:rsidR="00000000" w:rsidRPr="00000000">
        <w:rPr>
          <w:rFonts w:ascii="Calibri" w:cs="Calibri" w:eastAsia="Calibri" w:hAnsi="Calibri"/>
          <w:sz w:val="24"/>
          <w:szCs w:val="24"/>
          <w:rtl w:val="0"/>
        </w:rPr>
        <w:t xml:space="preserve">Aquisição de Testes Rápidos Individuais Separados (Um kit exclusivo para COVID-19 e outro para Influenza)</w:t>
      </w:r>
    </w:p>
    <w:p w:rsidR="00000000" w:rsidDel="00000000" w:rsidP="00000000" w:rsidRDefault="00000000" w:rsidRPr="00000000" w14:paraId="00000014">
      <w:pPr>
        <w:numPr>
          <w:ilvl w:val="1"/>
          <w:numId w:val="2"/>
        </w:numPr>
        <w:spacing w:after="0" w:afterAutospacing="0" w:before="0" w:beforeAutospacing="0" w:lineRule="auto"/>
        <w:ind w:left="1440" w:hanging="36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Descrição</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Compra de dois tipos distintos de testes rápidos imunocromatográficos para aplicação na ponta do atendimento.</w:t>
      </w:r>
    </w:p>
    <w:p w:rsidR="00000000" w:rsidDel="00000000" w:rsidP="00000000" w:rsidRDefault="00000000" w:rsidRPr="00000000" w14:paraId="00000015">
      <w:pPr>
        <w:numPr>
          <w:ilvl w:val="1"/>
          <w:numId w:val="2"/>
        </w:numPr>
        <w:spacing w:after="0" w:afterAutospacing="0" w:before="0" w:beforeAutospacing="0" w:lineRule="auto"/>
        <w:ind w:left="1440" w:hanging="36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Análise</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Permite o diagnóstico rápido na unidade de saúde, mas apresenta desvantagens operacionais severas. Exige a realização de</w:t>
      </w:r>
      <w:r w:rsidDel="00000000" w:rsidR="00000000" w:rsidRPr="00000000">
        <w:rPr>
          <w:rFonts w:ascii="Calibri" w:cs="Calibri" w:eastAsia="Calibri" w:hAnsi="Calibri"/>
          <w:b w:val="1"/>
          <w:bCs w:val="1"/>
          <w:sz w:val="24"/>
          <w:szCs w:val="24"/>
          <w:rtl w:val="0"/>
        </w:rPr>
        <w:t xml:space="preserve"> dupla coleta</w:t>
      </w:r>
      <w:r w:rsidDel="00000000" w:rsidR="00000000" w:rsidRPr="00000000">
        <w:rPr>
          <w:rFonts w:ascii="Calibri" w:cs="Calibri" w:eastAsia="Calibri" w:hAnsi="Calibri"/>
          <w:sz w:val="24"/>
          <w:szCs w:val="24"/>
          <w:rtl w:val="0"/>
        </w:rPr>
        <w:t xml:space="preserve"> (introdução de dois swabs diferentes na nasofaringe do paciente, gerando maior desconforto), requer o gerenciamento de </w:t>
      </w:r>
      <w:r w:rsidDel="00000000" w:rsidR="00000000" w:rsidRPr="00000000">
        <w:rPr>
          <w:rFonts w:ascii="Calibri" w:cs="Calibri" w:eastAsia="Calibri" w:hAnsi="Calibri"/>
          <w:b w:val="1"/>
          <w:bCs w:val="1"/>
          <w:sz w:val="24"/>
          <w:szCs w:val="24"/>
          <w:rtl w:val="0"/>
        </w:rPr>
        <w:t xml:space="preserve">dois estoques distintos</w:t>
      </w:r>
      <w:r w:rsidDel="00000000" w:rsidR="00000000" w:rsidRPr="00000000">
        <w:rPr>
          <w:rFonts w:ascii="Calibri" w:cs="Calibri" w:eastAsia="Calibri" w:hAnsi="Calibri"/>
          <w:sz w:val="24"/>
          <w:szCs w:val="24"/>
          <w:rtl w:val="0"/>
        </w:rPr>
        <w:t xml:space="preserve"> no almoxarifado, aumenta o volume de descarte de resíduos infectantes e eleva o custo final da Administração, visto que seria necessário adquirir dois produtos separados para cada paciente com sintomas gripais.</w:t>
      </w:r>
    </w:p>
    <w:p w:rsidR="00000000" w:rsidDel="00000000" w:rsidP="00000000" w:rsidRDefault="00000000" w:rsidRPr="00000000" w14:paraId="00000016">
      <w:pPr>
        <w:numPr>
          <w:ilvl w:val="0"/>
          <w:numId w:val="2"/>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Alternativa 3:</w:t>
      </w:r>
      <w:r w:rsidDel="00000000" w:rsidR="00000000" w:rsidRPr="00000000">
        <w:rPr>
          <w:rFonts w:ascii="Calibri" w:cs="Calibri" w:eastAsia="Calibri" w:hAnsi="Calibri"/>
          <w:sz w:val="24"/>
          <w:szCs w:val="24"/>
          <w:rtl w:val="0"/>
        </w:rPr>
        <w:t xml:space="preserve"> Aquisição de Testes Rápidos Imunocromatográficos Combo Multiplex (SARS-CoV-2 + Influenza A e B)</w:t>
      </w:r>
    </w:p>
    <w:p w:rsidR="00000000" w:rsidDel="00000000" w:rsidP="00000000" w:rsidRDefault="00000000" w:rsidRPr="00000000" w14:paraId="00000017">
      <w:pPr>
        <w:numPr>
          <w:ilvl w:val="1"/>
          <w:numId w:val="2"/>
        </w:numPr>
        <w:spacing w:after="0" w:afterAutospacing="0" w:before="0" w:beforeAutospacing="0" w:lineRule="auto"/>
        <w:ind w:left="1440" w:hanging="36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Descrição</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Compra de kits de testes rápidos capazes de detectar e diferenciar, simultaneamente, os antígenos da COVID-19 e da Influenza A e B em um </w:t>
      </w:r>
      <w:r w:rsidDel="00000000" w:rsidR="00000000" w:rsidRPr="00000000">
        <w:rPr>
          <w:rFonts w:ascii="Calibri" w:cs="Calibri" w:eastAsia="Calibri" w:hAnsi="Calibri"/>
          <w:b w:val="1"/>
          <w:bCs w:val="1"/>
          <w:sz w:val="24"/>
          <w:szCs w:val="24"/>
          <w:rtl w:val="0"/>
        </w:rPr>
        <w:t xml:space="preserve">único dispositivo.</w:t>
      </w:r>
    </w:p>
    <w:p w:rsidR="00000000" w:rsidDel="00000000" w:rsidP="00000000" w:rsidRDefault="00000000" w:rsidRPr="00000000" w14:paraId="00000018">
      <w:pPr>
        <w:numPr>
          <w:ilvl w:val="1"/>
          <w:numId w:val="2"/>
        </w:numPr>
        <w:spacing w:after="240" w:before="0" w:beforeAutospacing="0" w:lineRule="auto"/>
        <w:ind w:left="1440" w:hanging="360"/>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Análise</w:t>
      </w:r>
      <w:r w:rsidDel="00000000" w:rsidR="00000000" w:rsidRPr="00000000">
        <w:rPr>
          <w:rFonts w:ascii="Calibri" w:cs="Calibri" w:eastAsia="Calibri" w:hAnsi="Calibri"/>
          <w:i w:val="1"/>
          <w:iCs w:val="1"/>
          <w:sz w:val="24"/>
          <w:szCs w:val="24"/>
          <w:rtl w:val="0"/>
        </w:rPr>
        <w:t xml:space="preserve">:</w:t>
      </w:r>
      <w:r w:rsidDel="00000000" w:rsidR="00000000" w:rsidRPr="00000000">
        <w:rPr>
          <w:rFonts w:ascii="Calibri" w:cs="Calibri" w:eastAsia="Calibri" w:hAnsi="Calibri"/>
          <w:sz w:val="24"/>
          <w:szCs w:val="24"/>
          <w:rtl w:val="0"/>
        </w:rPr>
        <w:t xml:space="preserve"> Requer apenas </w:t>
      </w:r>
      <w:r w:rsidDel="00000000" w:rsidR="00000000" w:rsidRPr="00000000">
        <w:rPr>
          <w:rFonts w:ascii="Calibri" w:cs="Calibri" w:eastAsia="Calibri" w:hAnsi="Calibri"/>
          <w:b w:val="1"/>
          <w:bCs w:val="1"/>
          <w:sz w:val="24"/>
          <w:szCs w:val="24"/>
          <w:rtl w:val="0"/>
        </w:rPr>
        <w:t xml:space="preserve">uma coleta</w:t>
      </w:r>
      <w:r w:rsidDel="00000000" w:rsidR="00000000" w:rsidRPr="00000000">
        <w:rPr>
          <w:rFonts w:ascii="Calibri" w:cs="Calibri" w:eastAsia="Calibri" w:hAnsi="Calibri"/>
          <w:sz w:val="24"/>
          <w:szCs w:val="24"/>
          <w:rtl w:val="0"/>
        </w:rPr>
        <w:t xml:space="preserve"> (um swab), gerando </w:t>
      </w:r>
      <w:r w:rsidDel="00000000" w:rsidR="00000000" w:rsidRPr="00000000">
        <w:rPr>
          <w:rFonts w:ascii="Calibri" w:cs="Calibri" w:eastAsia="Calibri" w:hAnsi="Calibri"/>
          <w:b w:val="1"/>
          <w:bCs w:val="1"/>
          <w:sz w:val="24"/>
          <w:szCs w:val="24"/>
          <w:rtl w:val="0"/>
        </w:rPr>
        <w:t xml:space="preserve">menor desconforto</w:t>
      </w:r>
      <w:r w:rsidDel="00000000" w:rsidR="00000000" w:rsidRPr="00000000">
        <w:rPr>
          <w:rFonts w:ascii="Calibri" w:cs="Calibri" w:eastAsia="Calibri" w:hAnsi="Calibri"/>
          <w:sz w:val="24"/>
          <w:szCs w:val="24"/>
          <w:rtl w:val="0"/>
        </w:rPr>
        <w:t xml:space="preserve"> ao paciente. O </w:t>
      </w:r>
      <w:r w:rsidDel="00000000" w:rsidR="00000000" w:rsidRPr="00000000">
        <w:rPr>
          <w:rFonts w:ascii="Calibri" w:cs="Calibri" w:eastAsia="Calibri" w:hAnsi="Calibri"/>
          <w:b w:val="1"/>
          <w:bCs w:val="1"/>
          <w:sz w:val="24"/>
          <w:szCs w:val="24"/>
          <w:rtl w:val="0"/>
        </w:rPr>
        <w:t xml:space="preserve">resultado </w:t>
      </w:r>
      <w:r w:rsidDel="00000000" w:rsidR="00000000" w:rsidRPr="00000000">
        <w:rPr>
          <w:rFonts w:ascii="Calibri" w:cs="Calibri" w:eastAsia="Calibri" w:hAnsi="Calibri"/>
          <w:sz w:val="24"/>
          <w:szCs w:val="24"/>
          <w:rtl w:val="0"/>
        </w:rPr>
        <w:t xml:space="preserve">é liberado entre </w:t>
      </w:r>
      <w:r w:rsidDel="00000000" w:rsidR="00000000" w:rsidRPr="00000000">
        <w:rPr>
          <w:rFonts w:ascii="Calibri" w:cs="Calibri" w:eastAsia="Calibri" w:hAnsi="Calibri"/>
          <w:b w:val="1"/>
          <w:bCs w:val="1"/>
          <w:sz w:val="24"/>
          <w:szCs w:val="24"/>
          <w:rtl w:val="0"/>
        </w:rPr>
        <w:t xml:space="preserve">15 e 20 minutos </w:t>
      </w:r>
      <w:r w:rsidDel="00000000" w:rsidR="00000000" w:rsidRPr="00000000">
        <w:rPr>
          <w:rFonts w:ascii="Calibri" w:cs="Calibri" w:eastAsia="Calibri" w:hAnsi="Calibri"/>
          <w:sz w:val="24"/>
          <w:szCs w:val="24"/>
          <w:rtl w:val="0"/>
        </w:rPr>
        <w:t xml:space="preserve">no próprio local de atendimento, dispensando estrutura laboratorial complexa. </w:t>
      </w:r>
      <w:r w:rsidDel="00000000" w:rsidR="00000000" w:rsidRPr="00000000">
        <w:rPr>
          <w:rFonts w:ascii="Calibri" w:cs="Calibri" w:eastAsia="Calibri" w:hAnsi="Calibri"/>
          <w:b w:val="1"/>
          <w:bCs w:val="1"/>
          <w:sz w:val="24"/>
          <w:szCs w:val="24"/>
          <w:rtl w:val="0"/>
        </w:rPr>
        <w:t xml:space="preserve">Ocupa menos espaço de armazenamento</w:t>
      </w:r>
      <w:r w:rsidDel="00000000" w:rsidR="00000000" w:rsidRPr="00000000">
        <w:rPr>
          <w:rFonts w:ascii="Calibri" w:cs="Calibri" w:eastAsia="Calibri" w:hAnsi="Calibri"/>
          <w:sz w:val="24"/>
          <w:szCs w:val="24"/>
          <w:rtl w:val="0"/>
        </w:rPr>
        <w:t xml:space="preserve"> e </w:t>
      </w:r>
      <w:r w:rsidDel="00000000" w:rsidR="00000000" w:rsidRPr="00000000">
        <w:rPr>
          <w:rFonts w:ascii="Calibri" w:cs="Calibri" w:eastAsia="Calibri" w:hAnsi="Calibri"/>
          <w:b w:val="1"/>
          <w:bCs w:val="1"/>
          <w:sz w:val="24"/>
          <w:szCs w:val="24"/>
          <w:rtl w:val="0"/>
        </w:rPr>
        <w:t xml:space="preserve">simplifica </w:t>
      </w:r>
      <w:r w:rsidDel="00000000" w:rsidR="00000000" w:rsidRPr="00000000">
        <w:rPr>
          <w:rFonts w:ascii="Calibri" w:cs="Calibri" w:eastAsia="Calibri" w:hAnsi="Calibri"/>
          <w:sz w:val="24"/>
          <w:szCs w:val="24"/>
          <w:rtl w:val="0"/>
        </w:rPr>
        <w:t xml:space="preserve">a gestão de estoque do almoxarifado.</w:t>
      </w:r>
    </w:p>
    <w:p w:rsidR="00000000" w:rsidDel="00000000" w:rsidP="00000000" w:rsidRDefault="00000000" w:rsidRPr="00000000" w14:paraId="00000019">
      <w:pPr>
        <w:spacing w:after="140" w:before="140" w:line="276" w:lineRule="auto"/>
        <w:ind w:left="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A">
      <w:pPr>
        <w:spacing w:after="140" w:before="140" w:line="276" w:lineRule="auto"/>
        <w:ind w:left="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B">
      <w:pPr>
        <w:numPr>
          <w:ilvl w:val="1"/>
          <w:numId w:val="1"/>
        </w:numPr>
        <w:spacing w:after="140" w:before="140" w:line="276" w:lineRule="auto"/>
        <w:ind w:left="708.6614173228347" w:hanging="36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Análise e comparação das soluções existentes:</w:t>
      </w:r>
    </w:p>
    <w:p w:rsidR="00000000" w:rsidDel="00000000" w:rsidP="00000000" w:rsidRDefault="00000000" w:rsidRPr="00000000" w14:paraId="0000001C">
      <w:pPr>
        <w:spacing w:after="140" w:before="140" w:line="276" w:lineRule="auto"/>
        <w:ind w:left="0"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spacing w:after="140" w:before="140" w:line="276" w:lineRule="auto"/>
        <w:ind w:left="0"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Diante das opções apresentadas, conclui-se que a </w:t>
      </w:r>
      <w:r w:rsidDel="00000000" w:rsidR="00000000" w:rsidRPr="00000000">
        <w:rPr>
          <w:rFonts w:ascii="Calibri" w:cs="Calibri" w:eastAsia="Calibri" w:hAnsi="Calibri"/>
          <w:b w:val="1"/>
          <w:bCs w:val="1"/>
          <w:sz w:val="24"/>
          <w:szCs w:val="24"/>
          <w:rtl w:val="0"/>
        </w:rPr>
        <w:t xml:space="preserve">Alternativa 3 (Aquisição de Testes Rápidos Combo Multiplex)</w:t>
      </w:r>
      <w:r w:rsidDel="00000000" w:rsidR="00000000" w:rsidRPr="00000000">
        <w:rPr>
          <w:rFonts w:ascii="Calibri" w:cs="Calibri" w:eastAsia="Calibri" w:hAnsi="Calibri"/>
          <w:sz w:val="24"/>
          <w:szCs w:val="24"/>
          <w:rtl w:val="0"/>
        </w:rPr>
        <w:t xml:space="preserve"> é a solução que melhor atende ao interesse público. Esta opção consagra o princípio da economicidade, pois reduz o custo global por paciente testado em comparação com a compra de testes separados (Alternativa 2) ou exames laboratoriais terceirizados (Alternativa 1). Além disso, garante a celeridade indispensável à conduta médica imediata, otimiza o fluxo de atendimento nas unidades de saúde e proporciona maior humanização e conforto aos munícipes, por exigir uma única intervenção de coleta para a investigação das três principais síndromes respiratórias virais em circulação.</w:t>
      </w:r>
    </w:p>
    <w:p w:rsidR="00000000" w:rsidDel="00000000" w:rsidP="00000000" w:rsidRDefault="00000000" w:rsidRPr="00000000" w14:paraId="0000001E">
      <w:pPr>
        <w:spacing w:after="140" w:before="140" w:line="276" w:lineRule="auto"/>
        <w:ind w:left="0"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Requisitos da contratação:</w:t>
      </w:r>
    </w:p>
    <w:p w:rsidR="00000000" w:rsidDel="00000000" w:rsidP="00000000" w:rsidRDefault="00000000" w:rsidRPr="00000000" w14:paraId="00000020">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Os bens têm natureza de bens/serviços comuns, tendo em vista que seus padrões de desempenho e qualidade podem ser objetivamente definidos pelo edital, por meio de especificações usuais de mercado, nos termos do art. 6º, inciso XIII, da Lei Federal nº 14.133/2021.</w:t>
      </w:r>
    </w:p>
    <w:p w:rsidR="00000000" w:rsidDel="00000000" w:rsidP="00000000" w:rsidRDefault="00000000" w:rsidRPr="00000000" w14:paraId="00000021">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será realizada por meio de Licitação, na modalidade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Pregão Eletrônico</w:t>
      </w:r>
      <w:r w:rsidDel="00000000" w:rsidR="00000000" w:rsidRPr="00000000">
        <w:rPr>
          <w:rFonts w:ascii="Calibri" w:cs="Calibri" w:eastAsia="Calibri" w:hAnsi="Calibri"/>
          <w:sz w:val="24"/>
          <w:szCs w:val="24"/>
          <w:rtl w:val="0"/>
        </w:rPr>
        <w:t xml:space="preserve">, na sua forma eletrônica, com critério de julgamento por menor preço, nos termos dos artigos 6º, inciso XLI, 17, § 2º, e 34, todos da Lei Federal nº 14.133/2021.</w:t>
      </w:r>
    </w:p>
    <w:p w:rsidR="00000000" w:rsidDel="00000000" w:rsidP="00000000" w:rsidRDefault="00000000" w:rsidRPr="00000000" w14:paraId="00000022">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Os requisitos de contratação serão pormenorizados de forma mais detalhada em termo de referência, caso se conclua pela viabilidade da contratação. </w:t>
      </w:r>
    </w:p>
    <w:p w:rsidR="00000000" w:rsidDel="00000000" w:rsidP="00000000" w:rsidRDefault="00000000" w:rsidRPr="00000000" w14:paraId="00000023">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rsidR="00000000" w:rsidDel="00000000" w:rsidP="00000000" w:rsidRDefault="00000000" w:rsidRPr="00000000" w14:paraId="00000024">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spacing w:after="140" w:before="140" w:lineRule="auto"/>
        <w:ind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REQUISITOS IMPRESCINDÍVEIS</w:t>
      </w:r>
    </w:p>
    <w:p w:rsidR="00000000" w:rsidDel="00000000" w:rsidP="00000000" w:rsidRDefault="00000000" w:rsidRPr="00000000" w14:paraId="00000027">
      <w:pPr>
        <w:spacing w:after="140" w:before="140" w:lineRule="auto"/>
        <w:ind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8">
      <w:pPr>
        <w:spacing w:after="140" w:before="140" w:lineRule="auto"/>
        <w:ind w:left="0" w:firstLine="141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Registro na ANVISA:</w:t>
      </w:r>
      <w:r w:rsidDel="00000000" w:rsidR="00000000" w:rsidRPr="00000000">
        <w:rPr>
          <w:rFonts w:ascii="Calibri" w:cs="Calibri" w:eastAsia="Calibri" w:hAnsi="Calibri"/>
          <w:sz w:val="24"/>
          <w:szCs w:val="24"/>
          <w:rtl w:val="0"/>
        </w:rPr>
        <w:t xml:space="preserve"> O produto deve possuir registro ou cadastro vigente junto à Agência Nacional de Vigilância Sanitária (ANVISA), comprovando sua regularidade para comercialização e uso em território nacional.</w:t>
      </w:r>
    </w:p>
    <w:p w:rsidR="00000000" w:rsidDel="00000000" w:rsidP="00000000" w:rsidRDefault="00000000" w:rsidRPr="00000000" w14:paraId="00000029">
      <w:pPr>
        <w:spacing w:after="140" w:before="140" w:lineRule="auto"/>
        <w:ind w:left="0" w:firstLine="141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Desempenho Técnico Mínimo:</w:t>
      </w:r>
      <w:r w:rsidDel="00000000" w:rsidR="00000000" w:rsidRPr="00000000">
        <w:rPr>
          <w:rFonts w:ascii="Calibri" w:cs="Calibri" w:eastAsia="Calibri" w:hAnsi="Calibri"/>
          <w:sz w:val="24"/>
          <w:szCs w:val="24"/>
          <w:rtl w:val="0"/>
        </w:rPr>
        <w:t xml:space="preserve"> Os testes devem apresentar parâmetros de sensibilidade e especificidade clínica condizentes com os padrões exigidos pelas autoridades de saúde, preferencialmente com sensibilidade </w:t>
      </w:r>
      <w:r w:rsidDel="00000000" w:rsidR="00000000" w:rsidRPr="00000000">
        <w:rPr>
          <w:rFonts w:ascii="Calibri" w:cs="Calibri" w:eastAsia="Calibri" w:hAnsi="Calibri"/>
          <w:b w:val="1"/>
          <w:bCs w:val="1"/>
          <w:sz w:val="24"/>
          <w:szCs w:val="24"/>
          <w:rtl w:val="0"/>
        </w:rPr>
        <w:t xml:space="preserve">igual ou superior a 90%</w:t>
      </w:r>
      <w:r w:rsidDel="00000000" w:rsidR="00000000" w:rsidRPr="00000000">
        <w:rPr>
          <w:rFonts w:ascii="Calibri" w:cs="Calibri" w:eastAsia="Calibri" w:hAnsi="Calibri"/>
          <w:sz w:val="24"/>
          <w:szCs w:val="24"/>
          <w:rtl w:val="0"/>
        </w:rPr>
        <w:t xml:space="preserve"> e </w:t>
      </w:r>
      <w:r w:rsidDel="00000000" w:rsidR="00000000" w:rsidRPr="00000000">
        <w:rPr>
          <w:rFonts w:ascii="Calibri" w:cs="Calibri" w:eastAsia="Calibri" w:hAnsi="Calibri"/>
          <w:b w:val="1"/>
          <w:bCs w:val="1"/>
          <w:sz w:val="24"/>
          <w:szCs w:val="24"/>
          <w:rtl w:val="0"/>
        </w:rPr>
        <w:t xml:space="preserve">especificidade igual ou superior a 95%</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2A">
      <w:pPr>
        <w:spacing w:after="140" w:before="140" w:lineRule="auto"/>
        <w:ind w:left="0" w:firstLine="141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Validade (Shelf-life):</w:t>
      </w:r>
      <w:r w:rsidDel="00000000" w:rsidR="00000000" w:rsidRPr="00000000">
        <w:rPr>
          <w:rFonts w:ascii="Calibri" w:cs="Calibri" w:eastAsia="Calibri" w:hAnsi="Calibri"/>
          <w:sz w:val="24"/>
          <w:szCs w:val="24"/>
          <w:rtl w:val="0"/>
        </w:rPr>
        <w:t xml:space="preserve"> No ato da entrega, os testes devem possuir prazo de validade remanescente de, no mínimo, 12 (doze) meses ou corresponder a, pelo menos, 75% de sua validade total original.</w:t>
      </w:r>
    </w:p>
    <w:p w:rsidR="00000000" w:rsidDel="00000000" w:rsidP="00000000" w:rsidRDefault="00000000" w:rsidRPr="00000000" w14:paraId="0000002B">
      <w:pPr>
        <w:spacing w:after="140" w:before="140" w:lineRule="auto"/>
        <w:ind w:left="0" w:firstLine="141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Composição do Kit: </w:t>
      </w:r>
      <w:r w:rsidDel="00000000" w:rsidR="00000000" w:rsidRPr="00000000">
        <w:rPr>
          <w:rFonts w:ascii="Calibri" w:cs="Calibri" w:eastAsia="Calibri" w:hAnsi="Calibri"/>
          <w:sz w:val="24"/>
          <w:szCs w:val="24"/>
          <w:rtl w:val="0"/>
        </w:rPr>
        <w:t xml:space="preserve">O fornecimento deve ser na forma de kit completo para realização do exame (sistema "</w:t>
      </w:r>
      <w:r w:rsidDel="00000000" w:rsidR="00000000" w:rsidRPr="00000000">
        <w:rPr>
          <w:rFonts w:ascii="Calibri" w:cs="Calibri" w:eastAsia="Calibri" w:hAnsi="Calibri"/>
          <w:b w:val="1"/>
          <w:bCs w:val="1"/>
          <w:sz w:val="24"/>
          <w:szCs w:val="24"/>
          <w:rtl w:val="0"/>
        </w:rPr>
        <w:t xml:space="preserve">point-of-care</w:t>
      </w:r>
      <w:r w:rsidDel="00000000" w:rsidR="00000000" w:rsidRPr="00000000">
        <w:rPr>
          <w:rFonts w:ascii="Calibri" w:cs="Calibri" w:eastAsia="Calibri" w:hAnsi="Calibri"/>
          <w:sz w:val="24"/>
          <w:szCs w:val="24"/>
          <w:rtl w:val="0"/>
        </w:rPr>
        <w:t xml:space="preserve">"), contendo todos os insumos necessários para a execução e leitura imediata (dispositivo de teste, swab estéril, tubo com solução tampão/reagente e instruções de uso em língua portuguesa).</w:t>
      </w:r>
    </w:p>
    <w:p w:rsidR="00000000" w:rsidDel="00000000" w:rsidP="00000000" w:rsidRDefault="00000000" w:rsidRPr="00000000" w14:paraId="0000002C">
      <w:pPr>
        <w:spacing w:after="140" w:before="140" w:lineRule="auto"/>
        <w:ind w:left="0" w:firstLine="141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Certificação de Boas Práticas:</w:t>
      </w:r>
      <w:r w:rsidDel="00000000" w:rsidR="00000000" w:rsidRPr="00000000">
        <w:rPr>
          <w:rFonts w:ascii="Calibri" w:cs="Calibri" w:eastAsia="Calibri" w:hAnsi="Calibri"/>
          <w:sz w:val="24"/>
          <w:szCs w:val="24"/>
          <w:rtl w:val="0"/>
        </w:rPr>
        <w:t xml:space="preserve"> O fabricante deve possuir Certificado de Boas Práticas de Fabricação (CBPF) ou documento equivalente que ateste a conformidade dos processos produtivos com as normas de qualidade vigentes.</w:t>
      </w:r>
    </w:p>
    <w:p w:rsidR="00000000" w:rsidDel="00000000" w:rsidP="00000000" w:rsidRDefault="00000000" w:rsidRPr="00000000" w14:paraId="0000002D">
      <w:pPr>
        <w:spacing w:after="140" w:before="140" w:lineRule="auto"/>
        <w:ind w:left="1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Estimativas de quantidades e valores da contração:</w:t>
      </w:r>
    </w:p>
    <w:p w:rsidR="00000000" w:rsidDel="00000000" w:rsidP="00000000" w:rsidRDefault="00000000" w:rsidRPr="00000000" w14:paraId="0000002F">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0">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estimativas das quantidades, juntamente com os valores unitários e totais para a contratação, serão indicadas por meio de instrumento de formalização da demanda/requisição e planilha de preços todos em anexo a este estudo técnico preliminar.</w:t>
      </w:r>
    </w:p>
    <w:p w:rsidR="00000000" w:rsidDel="00000000" w:rsidP="00000000" w:rsidRDefault="00000000" w:rsidRPr="00000000" w14:paraId="00000031">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cálculo dos valores unitários da contratação, será realizado por meio de planilha do Excel, contendo fórmulas predefinidas de média e mediana.</w:t>
      </w:r>
    </w:p>
    <w:p w:rsidR="00000000" w:rsidDel="00000000" w:rsidP="00000000" w:rsidRDefault="00000000" w:rsidRPr="00000000" w14:paraId="00000032">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o cálculo das estimativas de contratação será realizado, levantamento prévio das necessidades dos órgãos requerentes, considerando, inclusive, eventuais contratações do mesmo objeto em anos anteriores.</w:t>
      </w:r>
    </w:p>
    <w:p w:rsidR="00000000" w:rsidDel="00000000" w:rsidP="00000000" w:rsidRDefault="00000000" w:rsidRPr="00000000" w14:paraId="00000033">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Justificativa para o parcelamento ou não da contratação:</w:t>
      </w:r>
    </w:p>
    <w:p w:rsidR="00000000" w:rsidDel="00000000" w:rsidP="00000000" w:rsidRDefault="00000000" w:rsidRPr="00000000" w14:paraId="00000035">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6">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w:t>
      </w:r>
      <w:r w:rsidDel="00000000" w:rsidR="00000000" w:rsidRPr="00000000">
        <w:rPr>
          <w:rFonts w:ascii="Calibri" w:cs="Calibri" w:eastAsia="Calibri" w:hAnsi="Calibri"/>
          <w:b w:val="1"/>
          <w:bCs w:val="1"/>
          <w:sz w:val="24"/>
          <w:szCs w:val="24"/>
          <w:rtl w:val="0"/>
        </w:rPr>
        <w:t xml:space="preserve">responsabilidade técnica</w:t>
      </w:r>
      <w:r w:rsidDel="00000000" w:rsidR="00000000" w:rsidRPr="00000000">
        <w:rPr>
          <w:rFonts w:ascii="Calibri" w:cs="Calibri" w:eastAsia="Calibri" w:hAnsi="Calibri"/>
          <w:sz w:val="24"/>
          <w:szCs w:val="24"/>
          <w:rtl w:val="0"/>
        </w:rPr>
        <w:t xml:space="preserve">, o custo para a Administração de vários contratos frente às vantagens da redução de custos, com divisão do objeto em itens, e o dever de buscar a ampliação da competição e de evitar a concentração de mercado.</w:t>
      </w:r>
    </w:p>
    <w:p w:rsidR="00000000" w:rsidDel="00000000" w:rsidP="00000000" w:rsidRDefault="00000000" w:rsidRPr="00000000" w14:paraId="00000037">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entanto, nesta contratação </w:t>
      </w:r>
      <w:r w:rsidDel="00000000" w:rsidR="00000000" w:rsidRPr="00000000">
        <w:rPr>
          <w:rFonts w:ascii="Calibri" w:cs="Calibri" w:eastAsia="Calibri" w:hAnsi="Calibri"/>
          <w:b w:val="1"/>
          <w:bCs w:val="1"/>
          <w:sz w:val="24"/>
          <w:szCs w:val="24"/>
          <w:rtl w:val="0"/>
        </w:rPr>
        <w:t xml:space="preserve">é inviável a divisão por lotes e parcelamento da mesma</w:t>
      </w:r>
      <w:r w:rsidDel="00000000" w:rsidR="00000000" w:rsidRPr="00000000">
        <w:rPr>
          <w:rFonts w:ascii="Calibri" w:cs="Calibri" w:eastAsia="Calibri" w:hAnsi="Calibri"/>
          <w:sz w:val="24"/>
          <w:szCs w:val="24"/>
          <w:rtl w:val="0"/>
        </w:rPr>
        <w:t xml:space="preserve">, visto que se trata de item único. A existência de mais de um fornecedor poderia ocasionar em prejuízos operacionais (controle de diversas marcas, lotes). Por se tratar de um insumo industrializado de forma unitária, não há divisibilidade física ou técnica que permita o parcelamento do item sem a descaracterização de sua finalidade principal, que é a otimização da triagem diagnóstica.</w:t>
      </w:r>
    </w:p>
    <w:p w:rsidR="00000000" w:rsidDel="00000000" w:rsidP="00000000" w:rsidRDefault="00000000" w:rsidRPr="00000000" w14:paraId="00000038">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utilização de diferentes marcas ou lotes com sensibilidades variadas para o mesmo fim diagnóstico poderia induzir a erros de interpretação clínica pelas equipes de saúde, prejudicando a segurança do paciente e o monitoramento epidemiológico.</w:t>
      </w:r>
    </w:p>
    <w:p w:rsidR="00000000" w:rsidDel="00000000" w:rsidP="00000000" w:rsidRDefault="00000000" w:rsidRPr="00000000" w14:paraId="00000039">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Descrição da solução como um todo:</w:t>
      </w:r>
    </w:p>
    <w:p w:rsidR="00000000" w:rsidDel="00000000" w:rsidP="00000000" w:rsidRDefault="00000000" w:rsidRPr="00000000" w14:paraId="0000003A">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aquisição de </w:t>
      </w:r>
      <w:r w:rsidDel="00000000" w:rsidR="00000000" w:rsidRPr="00000000">
        <w:rPr>
          <w:rFonts w:ascii="Calibri" w:cs="Calibri" w:eastAsia="Calibri" w:hAnsi="Calibri"/>
          <w:b w:val="1"/>
          <w:bCs w:val="1"/>
          <w:sz w:val="24"/>
          <w:szCs w:val="24"/>
          <w:rtl w:val="0"/>
        </w:rPr>
        <w:t xml:space="preserve">Testes Rápidos Imunocromatográficos Combo (Multiplex) para a detecção simultânea e diferencial de antígenos do SARS-CoV-2 (COVID-19) e dos vírus Influenza A e B</w:t>
      </w:r>
      <w:r w:rsidDel="00000000" w:rsidR="00000000" w:rsidRPr="00000000">
        <w:rPr>
          <w:rFonts w:ascii="Calibri" w:cs="Calibri" w:eastAsia="Calibri" w:hAnsi="Calibri"/>
          <w:sz w:val="24"/>
          <w:szCs w:val="24"/>
          <w:rtl w:val="0"/>
        </w:rPr>
        <w:t xml:space="preserve">, visando o abastecimento das unidades de saúde do município.</w:t>
      </w:r>
    </w:p>
    <w:p w:rsidR="00000000" w:rsidDel="00000000" w:rsidP="00000000" w:rsidRDefault="00000000" w:rsidRPr="00000000" w14:paraId="0000003B">
      <w:pPr>
        <w:spacing w:after="140" w:before="140" w:lineRule="auto"/>
        <w:ind w:firstLine="70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Resultados pretendidos:</w:t>
      </w:r>
    </w:p>
    <w:p w:rsidR="00000000" w:rsidDel="00000000" w:rsidP="00000000" w:rsidRDefault="00000000" w:rsidRPr="00000000" w14:paraId="0000003D">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E">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Pretende-se, com o presente processo licitatório, assegurar a seleção da proposta apta a gerar a contratação mais vantajosa para o Município.</w:t>
      </w:r>
    </w:p>
    <w:p w:rsidR="00000000" w:rsidDel="00000000" w:rsidP="00000000" w:rsidRDefault="00000000" w:rsidRPr="00000000" w14:paraId="0000003F">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Almeja-se, igualmente, assegurar tratamento isonômico entre os licitantes, bem como a justa competição, bem como evitar contratação com sobrepreço ou com preço manifestamente inexequível e superfaturamento na execução do contrato.</w:t>
      </w:r>
    </w:p>
    <w:p w:rsidR="00000000" w:rsidDel="00000000" w:rsidP="00000000" w:rsidRDefault="00000000" w:rsidRPr="00000000" w14:paraId="00000040">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w:t>
      </w:r>
    </w:p>
    <w:p w:rsidR="00000000" w:rsidDel="00000000" w:rsidP="00000000" w:rsidRDefault="00000000" w:rsidRPr="00000000" w14:paraId="00000041">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Providências prévias ao contrato:</w:t>
      </w:r>
    </w:p>
    <w:p w:rsidR="00000000" w:rsidDel="00000000" w:rsidP="00000000" w:rsidRDefault="00000000" w:rsidRPr="00000000" w14:paraId="00000043">
      <w:pPr>
        <w:spacing w:after="140" w:before="140" w:lineRule="auto"/>
        <w:ind w:firstLine="1417.3228346456694"/>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Realizar a pesquisa de preços, análise de fornecedores e elaboração do Termo de Referência.</w:t>
      </w:r>
      <w:r w:rsidDel="00000000" w:rsidR="00000000" w:rsidRPr="00000000">
        <w:rPr>
          <w:rtl w:val="0"/>
        </w:rPr>
      </w:r>
    </w:p>
    <w:p w:rsidR="00000000" w:rsidDel="00000000" w:rsidP="00000000" w:rsidRDefault="00000000" w:rsidRPr="00000000" w14:paraId="00000044">
      <w:pPr>
        <w:spacing w:after="140" w:before="140" w:lineRule="auto"/>
        <w:ind w:firstLine="70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45">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Contratações correlatas e/ou interdependentes:</w:t>
      </w:r>
    </w:p>
    <w:p w:rsidR="00000000" w:rsidDel="00000000" w:rsidP="00000000" w:rsidRDefault="00000000" w:rsidRPr="00000000" w14:paraId="00000046">
      <w:pPr>
        <w:spacing w:after="140" w:before="140" w:lineRule="auto"/>
        <w:ind w:firstLine="1417.3228346456694"/>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Del="00000000" w:rsidR="00000000" w:rsidRPr="00000000">
        <w:rPr>
          <w:rtl w:val="0"/>
        </w:rPr>
      </w:r>
    </w:p>
    <w:p w:rsidR="00000000" w:rsidDel="00000000" w:rsidP="00000000" w:rsidRDefault="00000000" w:rsidRPr="00000000" w14:paraId="00000047">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Possíveis impactos ambientais:</w:t>
      </w:r>
      <w:r w:rsidDel="00000000" w:rsidR="00000000" w:rsidRPr="00000000">
        <w:rPr>
          <w:rtl w:val="0"/>
        </w:rPr>
      </w:r>
    </w:p>
    <w:p w:rsidR="00000000" w:rsidDel="00000000" w:rsidP="00000000" w:rsidRDefault="00000000" w:rsidRPr="00000000" w14:paraId="00000049">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rsidR="00000000" w:rsidDel="00000000" w:rsidP="00000000" w:rsidRDefault="00000000" w:rsidRPr="00000000" w14:paraId="0000004A">
      <w:pPr>
        <w:spacing w:after="140" w:before="140" w:lineRule="auto"/>
        <w:ind w:firstLine="70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4B">
      <w:pPr>
        <w:numPr>
          <w:ilvl w:val="0"/>
          <w:numId w:val="1"/>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Declaração de viabilidade:</w:t>
      </w:r>
    </w:p>
    <w:p w:rsidR="00000000" w:rsidDel="00000000" w:rsidP="00000000" w:rsidRDefault="00000000" w:rsidRPr="00000000" w14:paraId="0000004C">
      <w:p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4D">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000000" w:rsidDel="00000000" w:rsidP="00000000" w:rsidRDefault="00000000" w:rsidRPr="00000000" w14:paraId="0000004E">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Posteriormente após a elaboração do Estudo Técnico Preliminar, será remetido Instrumento de formalização da demanda/requisição para autorização da autoridade superior, para que esta decida sobre a viabilidade da contratação.</w:t>
      </w:r>
    </w:p>
    <w:p w:rsidR="00000000" w:rsidDel="00000000" w:rsidP="00000000" w:rsidRDefault="00000000" w:rsidRPr="00000000" w14:paraId="0000004F">
      <w:p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50">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1">
      <w:pPr>
        <w:spacing w:after="140" w:before="140" w:line="276" w:lineRule="auto"/>
        <w:jc w:val="righ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Ajuricaba, </w:t>
      </w:r>
      <w:r w:rsidDel="00000000" w:rsidR="00000000" w:rsidRPr="00000000">
        <w:rPr>
          <w:rFonts w:ascii="Calibri" w:cs="Calibri" w:eastAsia="Calibri" w:hAnsi="Calibri"/>
          <w:b w:val="1"/>
          <w:bCs w:val="1"/>
          <w:sz w:val="24"/>
          <w:szCs w:val="24"/>
          <w:rtl w:val="0"/>
        </w:rPr>
        <w:t xml:space="preserve">14 </w:t>
      </w:r>
      <w:r w:rsidDel="00000000" w:rsidR="00000000" w:rsidRPr="00000000">
        <w:rPr>
          <w:rFonts w:ascii="Calibri" w:cs="Calibri" w:eastAsia="Calibri" w:hAnsi="Calibri"/>
          <w:b w:val="1"/>
          <w:bCs w:val="1"/>
          <w:sz w:val="24"/>
          <w:szCs w:val="24"/>
          <w:rtl w:val="0"/>
        </w:rPr>
        <w:t xml:space="preserve">de </w:t>
      </w:r>
      <w:r w:rsidDel="00000000" w:rsidR="00000000" w:rsidRPr="00000000">
        <w:rPr>
          <w:rFonts w:ascii="Calibri" w:cs="Calibri" w:eastAsia="Calibri" w:hAnsi="Calibri"/>
          <w:b w:val="1"/>
          <w:bCs w:val="1"/>
          <w:sz w:val="24"/>
          <w:szCs w:val="24"/>
          <w:rtl w:val="0"/>
        </w:rPr>
        <w:t xml:space="preserve">abril </w:t>
      </w:r>
      <w:r w:rsidDel="00000000" w:rsidR="00000000" w:rsidRPr="00000000">
        <w:rPr>
          <w:rFonts w:ascii="Calibri" w:cs="Calibri" w:eastAsia="Calibri" w:hAnsi="Calibri"/>
          <w:b w:val="1"/>
          <w:bCs w:val="1"/>
          <w:sz w:val="24"/>
          <w:szCs w:val="24"/>
          <w:rtl w:val="0"/>
        </w:rPr>
        <w:t xml:space="preserve">de 2026</w:t>
      </w:r>
    </w:p>
    <w:p w:rsidR="00000000" w:rsidDel="00000000" w:rsidP="00000000" w:rsidRDefault="00000000" w:rsidRPr="00000000" w14:paraId="00000052">
      <w:pPr>
        <w:spacing w:after="140" w:before="14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3">
      <w:pPr>
        <w:spacing w:after="140" w:before="14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Felipe Orzechoski de Almeida</w:t>
      </w:r>
    </w:p>
    <w:p w:rsidR="00000000" w:rsidDel="00000000" w:rsidP="00000000" w:rsidRDefault="00000000" w:rsidRPr="00000000" w14:paraId="00000055">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Responsável pela elaboração do ETP</w:t>
      </w:r>
    </w:p>
    <w:p w:rsidR="00000000" w:rsidDel="00000000" w:rsidP="00000000" w:rsidRDefault="00000000" w:rsidRPr="00000000" w14:paraId="00000056">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7">
      <w:pPr>
        <w:spacing w:after="140" w:before="140" w:line="276"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spacing w:after="140" w:before="140" w:line="276"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Luana Carine Maron Torquetti</w:t>
      </w:r>
    </w:p>
    <w:p w:rsidR="00000000" w:rsidDel="00000000" w:rsidP="00000000" w:rsidRDefault="00000000" w:rsidRPr="00000000" w14:paraId="0000005A">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Secretária Municipal de Saúde</w:t>
      </w:r>
    </w:p>
    <w:p w:rsidR="00000000" w:rsidDel="00000000" w:rsidP="00000000" w:rsidRDefault="00000000" w:rsidRPr="00000000" w14:paraId="0000005B">
      <w:pPr>
        <w:spacing w:after="140" w:before="1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spacing w:after="140" w:before="140" w:line="276" w:lineRule="auto"/>
        <w:rPr>
          <w:rFonts w:ascii="Calibri" w:cs="Calibri" w:eastAsia="Calibri" w:hAnsi="Calibri"/>
          <w:sz w:val="24"/>
          <w:szCs w:val="24"/>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jc w:val="center"/>
      <w:rPr/>
    </w:pPr>
    <w:r w:rsidDel="00000000" w:rsidR="00000000" w:rsidRPr="00000000">
      <w:rPr/>
      <w:pict>
        <v:shape id="WordPictureWatermark1" style="position:absolute;width:451.27559055118115pt;height:451.27559055118115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drawing>
        <wp:inline distB="114300" distT="114300" distL="114300" distR="114300">
          <wp:extent cx="1011075" cy="438132"/>
          <wp:effectExtent b="0" l="0" r="0" t="0"/>
          <wp:docPr id="3" name="image1.png"/>
          <a:graphic>
            <a:graphicData uri="http://schemas.openxmlformats.org/drawingml/2006/picture">
              <pic:pic>
                <pic:nvPicPr>
                  <pic:cNvPr id="0" name="image1.png"/>
                  <pic:cNvPicPr preferRelativeResize="0"/>
                </pic:nvPicPr>
                <pic:blipFill>
                  <a:blip r:embed="rId2">
                    <a:alphaModFix amt="50000"/>
                  </a:blip>
                  <a:srcRect b="0" l="0" r="0" t="0"/>
                  <a:stretch>
                    <a:fillRect/>
                  </a:stretch>
                </pic:blipFill>
                <pic:spPr>
                  <a:xfrm>
                    <a:off x="0" y="0"/>
                    <a:ext cx="1011075" cy="438132"/>
                  </a:xfrm>
                  <a:prstGeom prst="rect"/>
                  <a:ln/>
                </pic:spPr>
              </pic:pic>
            </a:graphicData>
          </a:graphic>
        </wp:inline>
      </w:drawing>
    </w:r>
    <w:r w:rsidDel="00000000" w:rsidR="00000000" w:rsidRPr="00000000">
      <w:rPr/>
      <w:drawing>
        <wp:inline distB="114300" distT="114300" distL="114300" distR="114300">
          <wp:extent cx="433388" cy="433388"/>
          <wp:effectExtent b="0" l="0" r="0" t="0"/>
          <wp:docPr id="2" name="image2.png"/>
          <a:graphic>
            <a:graphicData uri="http://schemas.openxmlformats.org/drawingml/2006/picture">
              <pic:pic>
                <pic:nvPicPr>
                  <pic:cNvPr id="0" name="image2.png"/>
                  <pic:cNvPicPr preferRelativeResize="0"/>
                </pic:nvPicPr>
                <pic:blipFill>
                  <a:blip r:embed="rId3">
                    <a:alphaModFix amt="50000"/>
                  </a:blip>
                  <a:srcRect b="0" l="0" r="0" t="0"/>
                  <a:stretch>
                    <a:fillRect/>
                  </a:stretch>
                </pic:blipFill>
                <pic:spPr>
                  <a:xfrm>
                    <a:off x="0" y="0"/>
                    <a:ext cx="433388" cy="433388"/>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-700087</wp:posOffset>
              </wp:positionH>
              <wp:positionV relativeFrom="paragraph">
                <wp:posOffset>-238124</wp:posOffset>
              </wp:positionV>
              <wp:extent cx="7129463" cy="10239375"/>
              <wp:effectExtent b="12700" l="12700" r="12700" t="12700"/>
              <wp:wrapNone/>
              <wp:docPr id="1" name=""/>
              <a:graphic>
                <a:graphicData uri="http://schemas.microsoft.com/office/word/2010/wordprocessingShape">
                  <wps:wsp>
                    <wps:cNvSpPr/>
                    <wps:cNvPr id="2" name="Shape 2"/>
                    <wps:spPr>
                      <a:xfrm>
                        <a:off x="2032225" y="347175"/>
                        <a:ext cx="2558100" cy="2892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-700087</wp:posOffset>
              </wp:positionH>
              <wp:positionV relativeFrom="paragraph">
                <wp:posOffset>-238124</wp:posOffset>
              </wp:positionV>
              <wp:extent cx="7129463" cy="10239375"/>
              <wp:effectExtent b="12700" l="12700" r="12700" t="12700"/>
              <wp:wrapNone/>
              <wp:docPr id="1" name="image4.png"/>
              <a:graphic>
                <a:graphicData uri="http://schemas.openxmlformats.org/drawingml/2006/picture">
                  <pic:pic>
                    <pic:nvPicPr>
                      <pic:cNvPr id="0" name="image4.png"/>
                      <pic:cNvPicPr preferRelativeResize="0"/>
                    </pic:nvPicPr>
                    <pic:blipFill>
                      <a:blip r:embed="rId4"/>
                      <a:srcRect/>
                      <a:stretch>
                        <a:fillRect/>
                      </a:stretch>
                    </pic:blipFill>
                    <pic:spPr>
                      <a:xfrm>
                        <a:off x="0" y="0"/>
                        <a:ext cx="7129463" cy="10239375"/>
                      </a:xfrm>
                      <a:prstGeom prst="rect"/>
                      <a:ln w="12700">
                        <a:solidFill>
                          <a:srgbClr val="434343"/>
                        </a:solidFill>
                        <a:prstDash val="solid"/>
                      </a:ln>
                    </pic:spPr>
                  </pic:pic>
                </a:graphicData>
              </a:graphic>
            </wp:anchor>
          </w:drawing>
        </mc:Fallback>
      </mc:AlternateContent>
    </w:r>
  </w:p>
  <w:p w:rsidR="00000000" w:rsidDel="00000000" w:rsidP="00000000" w:rsidRDefault="00000000" w:rsidRPr="00000000" w14:paraId="0000005E">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SECRETARIA DE SAÚDE</w:t>
    </w:r>
  </w:p>
  <w:p w:rsidR="00000000" w:rsidDel="00000000" w:rsidP="00000000" w:rsidRDefault="00000000" w:rsidRPr="00000000" w14:paraId="0000005F">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AJURICABA/RS</w:t>
    </w:r>
  </w:p>
  <w:p w:rsidR="00000000" w:rsidDel="00000000" w:rsidP="00000000" w:rsidRDefault="00000000" w:rsidRPr="00000000" w14:paraId="00000060">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15/2026</w:t>
    </w:r>
  </w:p>
  <w:p w:rsidR="00000000" w:rsidDel="00000000" w:rsidP="00000000" w:rsidRDefault="00000000" w:rsidRPr="00000000" w14:paraId="00000061">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AQUISIÇÃO DE TESTES DE COVID + INFLUENZA</w:t>
    </w:r>
  </w:p>
  <w:p w:rsidR="00000000" w:rsidDel="00000000" w:rsidP="00000000" w:rsidRDefault="00000000" w:rsidRPr="00000000" w14:paraId="0000006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0" w:firstLine="0"/>
      </w:pPr>
      <w:rPr>
        <w:u w:val="none"/>
      </w:rPr>
    </w:lvl>
    <w:lvl w:ilvl="1">
      <w:start w:val="1"/>
      <w:numFmt w:val="decimal"/>
      <w:lvlText w:val="%1.%2."/>
      <w:lvlJc w:val="right"/>
      <w:pPr>
        <w:ind w:left="708.6614173228347" w:hanging="360.00000000000006"/>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