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E52" w:rsidRDefault="00385AB1">
      <w:pPr>
        <w:spacing w:before="140" w:after="140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ESTUDO TÉCNICO PRELIMINAR</w:t>
      </w:r>
    </w:p>
    <w:p w:rsidR="00C91E52" w:rsidRDefault="00C91E52">
      <w:pPr>
        <w:spacing w:before="140" w:after="140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:rsidR="00C91E52" w:rsidRDefault="00385AB1">
      <w:pPr>
        <w:numPr>
          <w:ilvl w:val="0"/>
          <w:numId w:val="1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Descrição da necessidade da contratação, considerado o problema a ser resolvido sob a perspectiva do interesse público:</w:t>
      </w:r>
    </w:p>
    <w:p w:rsidR="00C91E52" w:rsidRDefault="00385AB1">
      <w:pPr>
        <w:spacing w:before="240" w:after="2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presente contratação fundamenta-se na necessidade de assegurar a continuidade, a eficiência e a modernização das atividades administrativas e dos serviços públicos prestados pelo Município. Na era da administração pública digital, a conexão à internet co</w:t>
      </w:r>
      <w:r>
        <w:rPr>
          <w:rFonts w:ascii="Calibri" w:eastAsia="Calibri" w:hAnsi="Calibri" w:cs="Calibri"/>
          <w:sz w:val="24"/>
          <w:szCs w:val="24"/>
        </w:rPr>
        <w:t xml:space="preserve">nstitui insumo estratégico e indispensável para a execução das rotinas diárias de todas as secretarias e órgãos municipais. </w:t>
      </w:r>
    </w:p>
    <w:p w:rsidR="00C91E52" w:rsidRDefault="00385AB1">
      <w:pPr>
        <w:spacing w:before="240" w:after="2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ausência de uma conexão célere e estável inviabiliza o funcionamento de sistemas essenciais, tais como: emissão de notas fiscais </w:t>
      </w:r>
      <w:r>
        <w:rPr>
          <w:rFonts w:ascii="Calibri" w:eastAsia="Calibri" w:hAnsi="Calibri" w:cs="Calibri"/>
          <w:sz w:val="24"/>
          <w:szCs w:val="24"/>
        </w:rPr>
        <w:t xml:space="preserve">e certidões, tramitação de processos administrativos eletrônicos, consultas médicas reguladas pelo SUS, sistemas de gestão escolar, portais de transparência e comunicação com órgãos de controle externo. </w:t>
      </w:r>
    </w:p>
    <w:p w:rsidR="00C91E52" w:rsidRDefault="00385AB1">
      <w:pPr>
        <w:spacing w:before="240" w:after="2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 não atendimento desta necessidade — ou a prestação</w:t>
      </w:r>
      <w:r>
        <w:rPr>
          <w:rFonts w:ascii="Calibri" w:eastAsia="Calibri" w:hAnsi="Calibri" w:cs="Calibri"/>
          <w:sz w:val="24"/>
          <w:szCs w:val="24"/>
        </w:rPr>
        <w:t xml:space="preserve"> descontinuada do serviço — acarretaria grave prejuízo ao interesse público, caracterizando violação direta aos princípios constitucionais da eficiência e da continuidade do serviço público (Art. 37, caput, da CF/88), além de expor a municipalidade ao desc</w:t>
      </w:r>
      <w:r>
        <w:rPr>
          <w:rFonts w:ascii="Calibri" w:eastAsia="Calibri" w:hAnsi="Calibri" w:cs="Calibri"/>
          <w:sz w:val="24"/>
          <w:szCs w:val="24"/>
        </w:rPr>
        <w:t xml:space="preserve">umprimento de prazos processuais e à paralisia de serviços essenciais à população. Sob a égide da Lei nº 14.133/2021, o planejamento desta contratação visa mitigar o risco de desabastecimento digital, garantindo a integridade operacional da infraestrutura </w:t>
      </w:r>
      <w:r>
        <w:rPr>
          <w:rFonts w:ascii="Calibri" w:eastAsia="Calibri" w:hAnsi="Calibri" w:cs="Calibri"/>
          <w:sz w:val="24"/>
          <w:szCs w:val="24"/>
        </w:rPr>
        <w:t>de tecnologia da informação do Município.</w:t>
      </w:r>
    </w:p>
    <w:p w:rsidR="00C91E52" w:rsidRDefault="00385AB1">
      <w:pPr>
        <w:numPr>
          <w:ilvl w:val="0"/>
          <w:numId w:val="1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Demonstração da contratação no plano de contratação anual:</w:t>
      </w:r>
    </w:p>
    <w:p w:rsidR="00C91E52" w:rsidRDefault="00385AB1">
      <w:pPr>
        <w:spacing w:before="240" w:after="240" w:line="360" w:lineRule="auto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contratação pretendida está prevista no Plano Anual de Contratações (PAC) do município de Ajuricaba/RS, estando assim, alinhada com o planejamento desta</w:t>
      </w:r>
      <w:r>
        <w:rPr>
          <w:rFonts w:ascii="Calibri" w:eastAsia="Calibri" w:hAnsi="Calibri" w:cs="Calibri"/>
          <w:sz w:val="24"/>
          <w:szCs w:val="24"/>
        </w:rPr>
        <w:t xml:space="preserve"> Administração. A indicação da contratação no PAC será informada na planilha de pesquisa de preços anexa a este processo.</w:t>
      </w:r>
    </w:p>
    <w:p w:rsidR="00C91E52" w:rsidRDefault="00385AB1">
      <w:pPr>
        <w:numPr>
          <w:ilvl w:val="0"/>
          <w:numId w:val="1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Possíveis soluções para atender à necessidade:</w:t>
      </w:r>
    </w:p>
    <w:p w:rsidR="00C91E52" w:rsidRDefault="00385AB1">
      <w:pPr>
        <w:numPr>
          <w:ilvl w:val="1"/>
          <w:numId w:val="1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Alternativas disponíveis no mercado:</w:t>
      </w:r>
    </w:p>
    <w:p w:rsidR="00C91E52" w:rsidRDefault="00385AB1">
      <w:pPr>
        <w:spacing w:before="140" w:after="140"/>
        <w:ind w:left="216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Alternativa 1: </w:t>
      </w:r>
      <w:r>
        <w:rPr>
          <w:rFonts w:ascii="Calibri" w:eastAsia="Calibri" w:hAnsi="Calibri" w:cs="Calibri"/>
          <w:b/>
          <w:bCs/>
          <w:sz w:val="24"/>
          <w:szCs w:val="24"/>
        </w:rPr>
        <w:t>Link Dedicado (Fibra Óptica).</w:t>
      </w:r>
    </w:p>
    <w:p w:rsidR="00C91E52" w:rsidRDefault="00385AB1">
      <w:pPr>
        <w:spacing w:before="140" w:after="140"/>
        <w:ind w:left="216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Alternativa 2: </w:t>
      </w:r>
      <w:r>
        <w:rPr>
          <w:rFonts w:ascii="Calibri" w:eastAsia="Calibri" w:hAnsi="Calibri" w:cs="Calibri"/>
          <w:b/>
          <w:bCs/>
          <w:sz w:val="24"/>
          <w:szCs w:val="24"/>
        </w:rPr>
        <w:t>Banda Larga Comercial (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Asymmetrical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) </w:t>
      </w:r>
    </w:p>
    <w:p w:rsidR="00C91E52" w:rsidRDefault="00385AB1">
      <w:pPr>
        <w:spacing w:before="140" w:after="140"/>
        <w:ind w:left="216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 xml:space="preserve">Alternativa 3: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Conexão via Satélite (Órbita Baixa) </w:t>
      </w:r>
    </w:p>
    <w:p w:rsidR="00C91E52" w:rsidRDefault="00385AB1">
      <w:pPr>
        <w:spacing w:before="140" w:after="140"/>
        <w:ind w:left="216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Alternativa 4: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Conectividade Móvel (4G/5G) </w:t>
      </w:r>
    </w:p>
    <w:p w:rsidR="00C91E52" w:rsidRDefault="00385AB1">
      <w:pPr>
        <w:numPr>
          <w:ilvl w:val="1"/>
          <w:numId w:val="1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Análise e comparação das soluções existentes:</w:t>
      </w:r>
    </w:p>
    <w:p w:rsidR="00C91E52" w:rsidRDefault="00385AB1">
      <w:pPr>
        <w:spacing w:before="240" w:after="2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Considerando a heterogeneidade das necessidades do município, a manutenção de sistemas críticos integrados (como os sistemas de saúde, arrecadação, finanças e faturamento de notas) e a existência de unidades descentralizadas (como postos de saúde, escolas </w:t>
      </w:r>
      <w:r>
        <w:rPr>
          <w:rFonts w:ascii="Calibri" w:eastAsia="Calibri" w:hAnsi="Calibri" w:cs="Calibri"/>
          <w:sz w:val="24"/>
          <w:szCs w:val="24"/>
        </w:rPr>
        <w:t>municipais e secretarias periféricas), a alternativa que melhor atende ao interesse público é o modelo de link dedicado (fibra óptica).</w:t>
      </w:r>
    </w:p>
    <w:p w:rsidR="00C91E52" w:rsidRDefault="00385AB1">
      <w:pPr>
        <w:spacing w:before="240" w:after="240"/>
        <w:ind w:firstLine="1417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Opta-se pela contratação de </w:t>
      </w:r>
      <w:r>
        <w:rPr>
          <w:rFonts w:ascii="Calibri" w:eastAsia="Calibri" w:hAnsi="Calibri" w:cs="Calibri"/>
          <w:b/>
          <w:bCs/>
          <w:sz w:val="24"/>
          <w:szCs w:val="24"/>
        </w:rPr>
        <w:t>Links Dedicados</w:t>
      </w:r>
      <w:r>
        <w:rPr>
          <w:rFonts w:ascii="Calibri" w:eastAsia="Calibri" w:hAnsi="Calibri" w:cs="Calibri"/>
          <w:sz w:val="24"/>
          <w:szCs w:val="24"/>
        </w:rPr>
        <w:t xml:space="preserve"> para as sedes administrativas e órgãos, garantindo estabilidade e segurança,</w:t>
      </w:r>
      <w:r>
        <w:rPr>
          <w:rFonts w:ascii="Calibri" w:eastAsia="Calibri" w:hAnsi="Calibri" w:cs="Calibri"/>
          <w:sz w:val="24"/>
          <w:szCs w:val="24"/>
        </w:rPr>
        <w:t xml:space="preserve"> otimizando os custos da administração sem comprometer a eficiência dos serviços.</w:t>
      </w:r>
    </w:p>
    <w:p w:rsidR="00C91E52" w:rsidRDefault="00385AB1">
      <w:pPr>
        <w:numPr>
          <w:ilvl w:val="0"/>
          <w:numId w:val="1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Requisitos da contratação: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Os bens têm natureza de bens/serviços comuns, tendo em vista que seus padrões de desempenho e qualidade podem ser objetivamente definidos pelo edi</w:t>
      </w:r>
      <w:r>
        <w:rPr>
          <w:rFonts w:ascii="Calibri" w:eastAsia="Calibri" w:hAnsi="Calibri" w:cs="Calibri"/>
          <w:sz w:val="24"/>
          <w:szCs w:val="24"/>
        </w:rPr>
        <w:t>tal, por meio de especificações usuais de mercado, nos termos do art. 6º, inciso XIII, da Lei Federal nº 14.133/2021.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contratação será realizada por meio de </w:t>
      </w:r>
      <w:r>
        <w:rPr>
          <w:rFonts w:ascii="Calibri" w:eastAsia="Calibri" w:hAnsi="Calibri" w:cs="Calibri"/>
          <w:b/>
          <w:bCs/>
          <w:sz w:val="24"/>
          <w:szCs w:val="24"/>
        </w:rPr>
        <w:t>Licitação</w:t>
      </w:r>
      <w:r>
        <w:rPr>
          <w:rFonts w:ascii="Calibri" w:eastAsia="Calibri" w:hAnsi="Calibri" w:cs="Calibri"/>
          <w:sz w:val="24"/>
          <w:szCs w:val="24"/>
        </w:rPr>
        <w:t xml:space="preserve">, na modalidade </w:t>
      </w:r>
      <w:r>
        <w:rPr>
          <w:rFonts w:ascii="Calibri" w:eastAsia="Calibri" w:hAnsi="Calibri" w:cs="Calibri"/>
          <w:b/>
          <w:bCs/>
          <w:sz w:val="24"/>
          <w:szCs w:val="24"/>
        </w:rPr>
        <w:t>Pregão Eletrônico</w:t>
      </w:r>
      <w:r>
        <w:rPr>
          <w:rFonts w:ascii="Calibri" w:eastAsia="Calibri" w:hAnsi="Calibri" w:cs="Calibri"/>
          <w:sz w:val="24"/>
          <w:szCs w:val="24"/>
        </w:rPr>
        <w:t>, na sua forma eletrônica, com critério de julgamento p</w:t>
      </w:r>
      <w:r>
        <w:rPr>
          <w:rFonts w:ascii="Calibri" w:eastAsia="Calibri" w:hAnsi="Calibri" w:cs="Calibri"/>
          <w:sz w:val="24"/>
          <w:szCs w:val="24"/>
        </w:rPr>
        <w:t>or menor preço, nos termos dos artigos 6º, inciso XLI, 17, § 2º, e 34, todos da Lei Federal nº 14.133/2021.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Os requisitos de contratação serão pormenorizados de forma mais detalhada em termo de referência, caso se conclua pela viabilidade da contratação. 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de habilitação, nos termos do art. 62</w:t>
      </w:r>
      <w:r>
        <w:rPr>
          <w:rFonts w:ascii="Calibri" w:eastAsia="Calibri" w:hAnsi="Calibri" w:cs="Calibri"/>
          <w:sz w:val="24"/>
          <w:szCs w:val="24"/>
        </w:rPr>
        <w:t xml:space="preserve"> e 66, da Lei nº 14.133/2021.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proofErr w:type="gramStart"/>
      <w:r>
        <w:rPr>
          <w:rFonts w:ascii="Calibri" w:eastAsia="Calibri" w:hAnsi="Calibri" w:cs="Calibri"/>
          <w:b/>
          <w:bCs/>
          <w:sz w:val="24"/>
          <w:szCs w:val="24"/>
        </w:rPr>
        <w:t>Outorga e Licenciamento Regulatório</w:t>
      </w:r>
      <w:proofErr w:type="gramEnd"/>
      <w:r>
        <w:rPr>
          <w:rFonts w:ascii="Calibri" w:eastAsia="Calibri" w:hAnsi="Calibri" w:cs="Calibri"/>
          <w:b/>
          <w:bCs/>
          <w:sz w:val="24"/>
          <w:szCs w:val="24"/>
        </w:rPr>
        <w:t>:</w:t>
      </w:r>
      <w:r>
        <w:rPr>
          <w:rFonts w:ascii="Calibri" w:eastAsia="Calibri" w:hAnsi="Calibri" w:cs="Calibri"/>
          <w:sz w:val="24"/>
          <w:szCs w:val="24"/>
        </w:rPr>
        <w:t xml:space="preserve"> A contratada deverá possuir e apresentar autorização expedida pela Agência Nacional de Telecomunicações (ANATEL) para a prestação do Serviço de Comunicação Multimídia (SCM), em plena valida</w:t>
      </w:r>
      <w:r>
        <w:rPr>
          <w:rFonts w:ascii="Calibri" w:eastAsia="Calibri" w:hAnsi="Calibri" w:cs="Calibri"/>
          <w:sz w:val="24"/>
          <w:szCs w:val="24"/>
        </w:rPr>
        <w:t>de.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Garantia de Meio Físico de Transmissão (Fibra Óptica):</w:t>
      </w:r>
      <w:r>
        <w:rPr>
          <w:rFonts w:ascii="Calibri" w:eastAsia="Calibri" w:hAnsi="Calibri" w:cs="Calibri"/>
          <w:sz w:val="24"/>
          <w:szCs w:val="24"/>
        </w:rPr>
        <w:t xml:space="preserve"> A tecnologia empregada para a última milha (</w:t>
      </w:r>
      <w:proofErr w:type="spellStart"/>
      <w:r>
        <w:rPr>
          <w:rFonts w:ascii="Calibri" w:eastAsia="Calibri" w:hAnsi="Calibri" w:cs="Calibri"/>
          <w:sz w:val="24"/>
          <w:szCs w:val="24"/>
        </w:rPr>
        <w:t>last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mile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 e </w:t>
      </w:r>
      <w:proofErr w:type="spellStart"/>
      <w:r>
        <w:rPr>
          <w:rFonts w:ascii="Calibri" w:eastAsia="Calibri" w:hAnsi="Calibri" w:cs="Calibri"/>
          <w:sz w:val="24"/>
          <w:szCs w:val="24"/>
        </w:rPr>
        <w:t>backbone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conexão deverá ser </w:t>
      </w:r>
      <w:r>
        <w:rPr>
          <w:rFonts w:ascii="Calibri" w:eastAsia="Calibri" w:hAnsi="Calibri" w:cs="Calibri"/>
          <w:sz w:val="24"/>
          <w:szCs w:val="24"/>
        </w:rPr>
        <w:lastRenderedPageBreak/>
        <w:t>obrigatoriamente de fibra óptica estruturada, de ponta a ponta, de modo a garantir imunidade a interferências</w:t>
      </w:r>
      <w:r>
        <w:rPr>
          <w:rFonts w:ascii="Calibri" w:eastAsia="Calibri" w:hAnsi="Calibri" w:cs="Calibri"/>
          <w:sz w:val="24"/>
          <w:szCs w:val="24"/>
        </w:rPr>
        <w:t xml:space="preserve"> eletromagnéticas e estabilidade de sinal.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Garantia de Banda e Simetria: </w:t>
      </w:r>
      <w:r>
        <w:rPr>
          <w:rFonts w:ascii="Calibri" w:eastAsia="Calibri" w:hAnsi="Calibri" w:cs="Calibri"/>
          <w:sz w:val="24"/>
          <w:szCs w:val="24"/>
        </w:rPr>
        <w:t xml:space="preserve">O link contratado deverá apresentar taxas de transmissão simétricas (1:1), assegurando que a velocidade de upload (envio de dados) seja idêntica à velocidade de download (recebimento </w:t>
      </w:r>
      <w:r>
        <w:rPr>
          <w:rFonts w:ascii="Calibri" w:eastAsia="Calibri" w:hAnsi="Calibri" w:cs="Calibri"/>
          <w:sz w:val="24"/>
          <w:szCs w:val="24"/>
        </w:rPr>
        <w:t>de dados) contratada, sem franquia de consumo de dados (tráfego ilimitado).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Suporte a Protocolos de Rede Modernos (Dual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Stack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IPv4/IPv6):</w:t>
      </w:r>
      <w:r>
        <w:rPr>
          <w:rFonts w:ascii="Calibri" w:eastAsia="Calibri" w:hAnsi="Calibri" w:cs="Calibri"/>
          <w:sz w:val="24"/>
          <w:szCs w:val="24"/>
        </w:rPr>
        <w:t xml:space="preserve"> A infraestrutura da contratada deverá fornecer suporte nativo e simultâneo aos protocolos de endereçamento IP nas vers</w:t>
      </w:r>
      <w:r>
        <w:rPr>
          <w:rFonts w:ascii="Calibri" w:eastAsia="Calibri" w:hAnsi="Calibri" w:cs="Calibri"/>
          <w:sz w:val="24"/>
          <w:szCs w:val="24"/>
        </w:rPr>
        <w:t>ões IPv4 e IPv6, em conformidade com as diretrizes do Comitê Gestor da Internet no Brasil (</w:t>
      </w:r>
      <w:hyperlink r:id="rId7">
        <w:r>
          <w:rPr>
            <w:rFonts w:ascii="Calibri" w:eastAsia="Calibri" w:hAnsi="Calibri" w:cs="Calibri"/>
            <w:color w:val="1155CC"/>
            <w:sz w:val="24"/>
            <w:szCs w:val="24"/>
            <w:u w:val="single"/>
          </w:rPr>
          <w:t>CGI.br</w:t>
        </w:r>
      </w:hyperlink>
      <w:r>
        <w:rPr>
          <w:rFonts w:ascii="Calibri" w:eastAsia="Calibri" w:hAnsi="Calibri" w:cs="Calibri"/>
          <w:sz w:val="24"/>
          <w:szCs w:val="24"/>
        </w:rPr>
        <w:t>).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Acordo de Nível de Serviço (SLA) e Disponibilidade Mínima:</w:t>
      </w:r>
      <w:r>
        <w:rPr>
          <w:rFonts w:ascii="Calibri" w:eastAsia="Calibri" w:hAnsi="Calibri" w:cs="Calibri"/>
          <w:sz w:val="24"/>
          <w:szCs w:val="24"/>
        </w:rPr>
        <w:t xml:space="preserve"> A solução deverá assegurar um índice de disponibilidade mensal de, no mínimo, 99,5% (</w:t>
      </w:r>
      <w:proofErr w:type="gramStart"/>
      <w:r>
        <w:rPr>
          <w:rFonts w:ascii="Calibri" w:eastAsia="Calibri" w:hAnsi="Calibri" w:cs="Calibri"/>
          <w:sz w:val="24"/>
          <w:szCs w:val="24"/>
        </w:rPr>
        <w:t>noventa e nove vírgula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cinco por cento), com monitoramento proativo (NOC) de 24 horas por dia, 7 dias por semana, incluindo proteção básica contra ataques de negação de s</w:t>
      </w:r>
      <w:r>
        <w:rPr>
          <w:rFonts w:ascii="Calibri" w:eastAsia="Calibri" w:hAnsi="Calibri" w:cs="Calibri"/>
          <w:sz w:val="24"/>
          <w:szCs w:val="24"/>
        </w:rPr>
        <w:t>erviço (</w:t>
      </w:r>
      <w:proofErr w:type="spellStart"/>
      <w:r>
        <w:rPr>
          <w:rFonts w:ascii="Calibri" w:eastAsia="Calibri" w:hAnsi="Calibri" w:cs="Calibri"/>
          <w:sz w:val="24"/>
          <w:szCs w:val="24"/>
        </w:rPr>
        <w:t>DDoS</w:t>
      </w:r>
      <w:proofErr w:type="spellEnd"/>
      <w:r>
        <w:rPr>
          <w:rFonts w:ascii="Calibri" w:eastAsia="Calibri" w:hAnsi="Calibri" w:cs="Calibri"/>
          <w:sz w:val="24"/>
          <w:szCs w:val="24"/>
        </w:rPr>
        <w:t>).</w:t>
      </w:r>
    </w:p>
    <w:p w:rsidR="00C91E52" w:rsidRDefault="00C91E52">
      <w:pPr>
        <w:spacing w:before="140" w:after="140"/>
        <w:rPr>
          <w:rFonts w:ascii="Calibri" w:eastAsia="Calibri" w:hAnsi="Calibri" w:cs="Calibri"/>
          <w:sz w:val="24"/>
          <w:szCs w:val="24"/>
        </w:rPr>
      </w:pPr>
    </w:p>
    <w:tbl>
      <w:tblPr>
        <w:tblStyle w:val="a"/>
        <w:tblW w:w="9465" w:type="dxa"/>
        <w:tblInd w:w="-19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55"/>
        <w:gridCol w:w="2175"/>
        <w:gridCol w:w="6735"/>
      </w:tblGrid>
      <w:tr w:rsidR="00C91E52">
        <w:trPr>
          <w:trHeight w:val="405"/>
        </w:trPr>
        <w:tc>
          <w:tcPr>
            <w:tcW w:w="9465" w:type="dxa"/>
            <w:gridSpan w:val="3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OUTROS REQUISITOS DA CONTRATAÇÃO</w:t>
            </w:r>
          </w:p>
        </w:tc>
      </w:tr>
      <w:tr w:rsidR="00C91E52">
        <w:trPr>
          <w:trHeight w:val="31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SEQ</w:t>
            </w:r>
          </w:p>
        </w:tc>
        <w:tc>
          <w:tcPr>
            <w:tcW w:w="217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REQUISITO</w:t>
            </w:r>
          </w:p>
        </w:tc>
      </w:tr>
      <w:tr w:rsidR="00C91E52">
        <w:trPr>
          <w:trHeight w:val="55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217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CARACTERÍSTICAS</w:t>
            </w: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 LINK de conexão deve contemplar instalação de 1(um) roteador WIFI com compatibilidade de conexão com WIFI 6 que deverá ser instalado em cada link.</w:t>
            </w:r>
          </w:p>
        </w:tc>
      </w:tr>
      <w:tr w:rsidR="00C91E52">
        <w:trPr>
          <w:trHeight w:val="55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 velocidade contratada deverá ser garantida 100% (cem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porcento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) durante as 24hrs do dia através de sistema de IP dedicado.</w:t>
            </w:r>
          </w:p>
        </w:tc>
      </w:tr>
      <w:tr w:rsidR="00C91E52">
        <w:trPr>
          <w:trHeight w:val="55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 conexão deve ser exclusiva/dedicada, sem compartilhamento com outros usuários do mesmo licitante.</w:t>
            </w:r>
          </w:p>
        </w:tc>
      </w:tr>
      <w:tr w:rsidR="00C91E52">
        <w:trPr>
          <w:trHeight w:val="79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 CONTRATADA deverá garantir latência máxima de 100(cem) milissegundos e uma disponibilidade de no mínimo 98% (noventa e oito por cento), durante um período de mensuração de 30 (trinta) dias.</w:t>
            </w:r>
          </w:p>
        </w:tc>
      </w:tr>
      <w:tr w:rsidR="00C91E52">
        <w:trPr>
          <w:trHeight w:val="55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 licitante vencedor não poderá executar qualquer tipo de filtro ou proxy sobre o tráfego originado ou destinado ao contratante, salvo solicitação expressa.</w:t>
            </w:r>
          </w:p>
        </w:tc>
      </w:tr>
      <w:tr w:rsidR="00C91E52">
        <w:trPr>
          <w:trHeight w:val="55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taxa mínima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de upload deverá ser de 20%(vinte por cento) do download contratado.</w:t>
            </w:r>
          </w:p>
        </w:tc>
      </w:tr>
      <w:tr w:rsidR="00C91E52">
        <w:trPr>
          <w:trHeight w:val="31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7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 taxa de perda máxima de pacotes deve ser de 10% (dez por cento).</w:t>
            </w:r>
          </w:p>
        </w:tc>
      </w:tr>
      <w:tr w:rsidR="00C91E52">
        <w:trPr>
          <w:trHeight w:val="55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8</w:t>
            </w:r>
          </w:p>
        </w:tc>
        <w:tc>
          <w:tcPr>
            <w:tcW w:w="217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INSTALAÇÃO</w:t>
            </w: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 configuração lógica e instalação dos equipamentos deverá ser feita pela empresa licitante.</w:t>
            </w:r>
          </w:p>
        </w:tc>
      </w:tr>
      <w:tr w:rsidR="00C91E52">
        <w:trPr>
          <w:trHeight w:val="79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 instalação da fibra e do roteador deve se adequar à infraestrutura atual de cada endereço físico do Link, levando em consideração a rota, distância, curvas e obstáculos. Salvo se a mesma torne impossível a instalação e funcionamento.</w:t>
            </w:r>
          </w:p>
        </w:tc>
      </w:tr>
      <w:tr w:rsidR="00C91E52">
        <w:trPr>
          <w:trHeight w:val="55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 instalação dos cabos, conectores e terminações deve atender às normas da ABNT NBR 14565:2012 Emenda 1:2013.</w:t>
            </w:r>
          </w:p>
        </w:tc>
      </w:tr>
      <w:tr w:rsidR="00C91E52">
        <w:trPr>
          <w:trHeight w:val="103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11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 licitante deverá disponibilizar conectividade dedicada com a internet no protocolo IPv4, devendo possuir capacidade de implementar o IPv6 quando este tiver uso significativo na Internet ou for relevante para as necessidades da Administração e suas secret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arias.</w:t>
            </w:r>
          </w:p>
        </w:tc>
      </w:tr>
      <w:tr w:rsidR="00C91E52">
        <w:trPr>
          <w:trHeight w:val="55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12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 licitante deverá disponibilizar conexão via fibra óptica conectada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diretamente nas dependências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de cada endereço indicado com suas respectivas velocidades.</w:t>
            </w:r>
          </w:p>
        </w:tc>
      </w:tr>
      <w:tr w:rsidR="00C91E52">
        <w:trPr>
          <w:trHeight w:val="79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13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Toda infraestrutura (equipamentos e insumos) de telecomunicações necessária para a instalação e funcionamento do serviço deverão ser fornecidos pela empresa vencedora da licitação.</w:t>
            </w:r>
          </w:p>
        </w:tc>
      </w:tr>
      <w:tr w:rsidR="00C91E52">
        <w:trPr>
          <w:trHeight w:val="79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14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 empresa deverá fornecer as informações de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login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/senha para que o contratante possa configurar a rede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wi-fi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e rede LAN do roteador/modem fornecido para cada link, caso necessário futuramente.</w:t>
            </w:r>
          </w:p>
        </w:tc>
      </w:tr>
      <w:tr w:rsidR="00C91E52">
        <w:trPr>
          <w:trHeight w:val="103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15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 licitante deverá cumprir as obrigações impostas pelas Resoluções ANATEL nº 632/2014 (Regulamento Geral de Direitos do Consumidor de Serviços de Telecomunicações), nº 426/2005 (Regulamento do STFC) e/ou nº 477/2007 (Regulamento do SMP), no que cabível.</w:t>
            </w:r>
          </w:p>
        </w:tc>
      </w:tr>
      <w:tr w:rsidR="00C91E52">
        <w:trPr>
          <w:trHeight w:val="118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16</w:t>
            </w:r>
          </w:p>
        </w:tc>
        <w:tc>
          <w:tcPr>
            <w:tcW w:w="217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MANUTENÇÃO</w:t>
            </w: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Qualquer manutenção preventiva ou corretiva que envolva interrupção do serviço deve ser comunicada com antecedência mínima de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48 (quarenta e oito) horas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</w:tr>
      <w:tr w:rsidR="00C91E52">
        <w:trPr>
          <w:trHeight w:val="1080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17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 tempo máximo de reparo em local deve ser de até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24(vinte e quatro) horas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</w:tr>
      <w:tr w:rsidR="00C91E52">
        <w:trPr>
          <w:trHeight w:val="295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18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 empresa contratada deve disponibilizar um sistema de emergência (backup/rota de fuga), que em caso de problema do fornecimento via fibra ótica, tais como rompimento da fibra, caso fortuito ou força maior, disponibilize em até 01 (uma) hora após a detecçã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o do problema no mínimo 100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mega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de internet, visando não prejudicar os serviços essenciais da Câmara Municipal, até o restabelecimento do fornecimento, sendo que o prazo para restabelecer o link contratado, não poderá exceder a 02 (dois) dias úteis, com 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nstalação e habilitação inclusa junto ao prédio sede da Câmara de Vereadores, situado a Rua da Matriz, n°374.</w:t>
            </w:r>
          </w:p>
        </w:tc>
      </w:tr>
      <w:tr w:rsidR="00C91E52">
        <w:trPr>
          <w:trHeight w:val="67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19</w:t>
            </w:r>
          </w:p>
        </w:tc>
        <w:tc>
          <w:tcPr>
            <w:tcW w:w="217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SUPORTE</w:t>
            </w: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 suporte deve ser proativo, sendo o contato entre cliente e prestador claro e preciso.</w:t>
            </w:r>
          </w:p>
        </w:tc>
      </w:tr>
      <w:tr w:rsidR="00C91E52">
        <w:trPr>
          <w:trHeight w:val="930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Deve haver disponibilidade imediata no atendimento a situações inesperadas ou não programadas de interrupção do serviço de conexão no município.</w:t>
            </w:r>
          </w:p>
        </w:tc>
      </w:tr>
      <w:tr w:rsidR="00C91E52">
        <w:trPr>
          <w:trHeight w:val="4035"/>
        </w:trPr>
        <w:tc>
          <w:tcPr>
            <w:tcW w:w="555" w:type="dxa"/>
            <w:tcBorders>
              <w:top w:val="single" w:sz="5" w:space="0" w:color="CCCCCC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21</w:t>
            </w:r>
          </w:p>
        </w:tc>
        <w:tc>
          <w:tcPr>
            <w:tcW w:w="217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735" w:type="dxa"/>
            <w:tcBorders>
              <w:top w:val="single" w:sz="5" w:space="0" w:color="CCCCCC"/>
              <w:left w:val="single" w:sz="5" w:space="0" w:color="CCCCCC"/>
              <w:bottom w:val="single" w:sz="5" w:space="0" w:color="666666"/>
              <w:right w:val="single" w:sz="5" w:space="0" w:color="666666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Em caso de falha no fornecimento de internet via fibra óptica (incluindo rompimentos físicos ou motivos de força maior), a contratada obriga-se a cumprir o seguinte Acordo de Nível de Serviço (SLA):</w:t>
            </w:r>
          </w:p>
          <w:p w:rsidR="00C91E52" w:rsidRDefault="00C91E52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Contingência Imediata: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Disponibilizar conexão de emergên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cia com banda mínima de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100 Mbps em até 01 (uma) hora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após a detecção da falha, garantindo o funcionamento dos sistemas da Prefeitura;</w:t>
            </w:r>
          </w:p>
          <w:p w:rsidR="00C91E52" w:rsidRDefault="00C91E52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Restabelecimento Definitivo: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Consertar e normalizar o link principal contratado no prazo máximo de 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02 (dois) dias úteis;</w:t>
            </w:r>
          </w:p>
          <w:p w:rsidR="00C91E52" w:rsidRDefault="00C91E52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C91E52" w:rsidRDefault="00385AB1">
            <w:pPr>
              <w:widowControl w:val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Custos: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 instalação e a configuração da rota de fuga já devem estar contempladas no escopo do contrato, aplicáveis aos endereços informados neste ETP e TR.</w:t>
            </w:r>
          </w:p>
        </w:tc>
      </w:tr>
    </w:tbl>
    <w:p w:rsidR="00C91E52" w:rsidRDefault="00C91E52">
      <w:pPr>
        <w:spacing w:before="240" w:after="240"/>
        <w:ind w:firstLine="1417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0"/>
        <w:tblW w:w="9195" w:type="dxa"/>
        <w:tblInd w:w="-1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740"/>
        <w:gridCol w:w="645"/>
        <w:gridCol w:w="2910"/>
        <w:gridCol w:w="2505"/>
        <w:gridCol w:w="600"/>
        <w:gridCol w:w="795"/>
      </w:tblGrid>
      <w:tr w:rsidR="00C91E52">
        <w:trPr>
          <w:trHeight w:val="330"/>
          <w:tblHeader/>
        </w:trPr>
        <w:tc>
          <w:tcPr>
            <w:tcW w:w="9195" w:type="dxa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noProof/>
                <w:sz w:val="20"/>
                <w:szCs w:val="20"/>
              </w:rPr>
              <w:lastRenderedPageBreak/>
              <w:drawing>
                <wp:inline distT="114300" distB="114300" distL="114300" distR="114300">
                  <wp:extent cx="361950" cy="361950"/>
                  <wp:effectExtent l="0" t="0" r="0" b="0"/>
                  <wp:docPr id="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CONTRATAÇÃO FORNECIMENTO DE CONEXÃO DE INTERNET</w:t>
            </w:r>
          </w:p>
          <w:p w:rsidR="00C91E52" w:rsidRDefault="00385AB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LOCAIS DE INSTALAÇÃO E ESTIMATIVA DAS QUANTIDADES</w:t>
            </w:r>
          </w:p>
        </w:tc>
      </w:tr>
      <w:tr w:rsidR="00C91E52">
        <w:trPr>
          <w:trHeight w:val="330"/>
          <w:tblHeader/>
        </w:trPr>
        <w:tc>
          <w:tcPr>
            <w:tcW w:w="17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SEQ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LOCAL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ENDEREÇO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LINKS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VELOC</w:t>
            </w:r>
          </w:p>
        </w:tc>
      </w:tr>
      <w:tr w:rsidR="00C91E52">
        <w:trPr>
          <w:trHeight w:val="645"/>
        </w:trPr>
        <w:tc>
          <w:tcPr>
            <w:tcW w:w="174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C91E52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C91E52" w:rsidRDefault="00C91E52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C91E52" w:rsidRDefault="00C91E52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PREFEITURA</w:t>
            </w: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PREFEITURA MUNICIPAL - CENTRO ADMINISTRATIVO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OSCAR SCHMIDT, 172, CENTRO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705"/>
        </w:trPr>
        <w:tc>
          <w:tcPr>
            <w:tcW w:w="174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PREFEITURA MUNICIPAL - CENTRO ADMINISTRATIVO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OSCAR SCHMIDT, 172, CENTRO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780"/>
        </w:trPr>
        <w:tc>
          <w:tcPr>
            <w:tcW w:w="174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PREFEITURA MUNICIPAL - CENTRO ADMINISTRATIVO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OSCAR SCHMIDT, 172, CENTRO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330"/>
        </w:trPr>
        <w:tc>
          <w:tcPr>
            <w:tcW w:w="174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SAÚDE</w:t>
            </w: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DE SAÚDE - CENTRO ADMINISTRATIVO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BRASILIA, 165, CENTRO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330"/>
        </w:trPr>
        <w:tc>
          <w:tcPr>
            <w:tcW w:w="174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DE SAÚDE - ESF01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LUIS FOGLIATTO, 102, CENTRO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330"/>
        </w:trPr>
        <w:tc>
          <w:tcPr>
            <w:tcW w:w="174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DE SAÚDE - ESF02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LUIS FOGLIATTO, 78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585"/>
        </w:trPr>
        <w:tc>
          <w:tcPr>
            <w:tcW w:w="174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7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DE SAÚDE - ESF03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COMBATENTES DA RAMADA, 610, JOAO CARLINI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1185"/>
        </w:trPr>
        <w:tc>
          <w:tcPr>
            <w:tcW w:w="17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OBRAS</w:t>
            </w: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DE OBRAS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DUQUE DE CAXIAS, 47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1395"/>
        </w:trPr>
        <w:tc>
          <w:tcPr>
            <w:tcW w:w="17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ASSIST. SOCIAL</w:t>
            </w: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9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DE ASSISTÊNCIA SOCIAL + MUSEU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OSCAR SCHMIDT, 19, CENTRO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375"/>
        </w:trPr>
        <w:tc>
          <w:tcPr>
            <w:tcW w:w="17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C91E52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CENTRO DE CONVIVÊNCIA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LUIS FOGLIATTO, 1156, CENTRO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375"/>
        </w:trPr>
        <w:tc>
          <w:tcPr>
            <w:tcW w:w="17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C91E52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11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DE AGRICULTURA E MEIO AMBIENTE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DA MATRIZ, 914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435"/>
        </w:trPr>
        <w:tc>
          <w:tcPr>
            <w:tcW w:w="17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C91E52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CONSELHO TUTELAR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20 DE SETEMBRO, 28, CENTRO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435"/>
        </w:trPr>
        <w:tc>
          <w:tcPr>
            <w:tcW w:w="17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C91E52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13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DELEGACIA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EMILIO GROSS, 1500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435"/>
        </w:trPr>
        <w:tc>
          <w:tcPr>
            <w:tcW w:w="17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C91E52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14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GINÁSIO DE ESPORTES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RUA[ DR. PESTANA, 276, MODELO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435"/>
        </w:trPr>
        <w:tc>
          <w:tcPr>
            <w:tcW w:w="17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FE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C91E52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BIBLIOTECA PÚBLICA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OSCAR SCHMIDT, CENTRO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585"/>
        </w:trPr>
        <w:tc>
          <w:tcPr>
            <w:tcW w:w="174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SEC. EDUCAÇÃO</w:t>
            </w:r>
          </w:p>
          <w:p w:rsidR="00C91E52" w:rsidRDefault="00C91E52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16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DE EDUCAÇÃO - ESCOLA MUNICIPAL NELCI TOBIAS OEDMANN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OSCAR SCHMIT, 67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585"/>
        </w:trPr>
        <w:tc>
          <w:tcPr>
            <w:tcW w:w="174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17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DE EDUCAÇÃO - ESCOLA MUNICIPAL NELCI TOBIAS OEDMANN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OSCAR SCHMIT, 67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585"/>
        </w:trPr>
        <w:tc>
          <w:tcPr>
            <w:tcW w:w="174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18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DE EDUCAÇÃO - ESCOLA MUNICIPAL DE EDUCAÇÃO INFANTIL RAIO DE SOL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DA MATRIZ, 405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585"/>
        </w:trPr>
        <w:tc>
          <w:tcPr>
            <w:tcW w:w="174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19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DE EDUCAÇÃO - ESCOLA MUNICIPAL DE EDUCAÇÃO INFANTIL PEDACINHO DE GENTE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FLORIANO PEIXOTO, 814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585"/>
        </w:trPr>
        <w:tc>
          <w:tcPr>
            <w:tcW w:w="174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20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DE EDUCAÇÃO - ESCOLA MUNICIPAL DE EDUCAÇÃO INFANTIL JOÃO CARLINI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RUA IJUÍ, 428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585"/>
        </w:trPr>
        <w:tc>
          <w:tcPr>
            <w:tcW w:w="174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21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DE EDUCAÇÃO - ESCOLA MUNICIPAL EMILIO DE MENEZES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LINHA 21,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INTERIOR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  <w:tr w:rsidR="00C91E52">
        <w:trPr>
          <w:trHeight w:val="585"/>
        </w:trPr>
        <w:tc>
          <w:tcPr>
            <w:tcW w:w="174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1E52" w:rsidRDefault="00C91E5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22</w:t>
            </w:r>
          </w:p>
        </w:tc>
        <w:tc>
          <w:tcPr>
            <w:tcW w:w="2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DE EDUCAÇÃO - ESCOLA JOÃO BATISTA DE LA SALLE</w:t>
            </w:r>
          </w:p>
        </w:tc>
        <w:tc>
          <w:tcPr>
            <w:tcW w:w="25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LINHA 13,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INTERIOR</w:t>
            </w:r>
          </w:p>
        </w:tc>
        <w:tc>
          <w:tcPr>
            <w:tcW w:w="6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91E52" w:rsidRDefault="00385AB1">
            <w:pPr>
              <w:widowControl w:val="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100 MB</w:t>
            </w:r>
          </w:p>
        </w:tc>
      </w:tr>
    </w:tbl>
    <w:p w:rsidR="00C91E52" w:rsidRDefault="00C91E52">
      <w:pPr>
        <w:spacing w:before="140" w:after="140"/>
        <w:ind w:left="1440"/>
        <w:jc w:val="both"/>
        <w:rPr>
          <w:rFonts w:ascii="Calibri" w:eastAsia="Calibri" w:hAnsi="Calibri" w:cs="Calibri"/>
          <w:sz w:val="24"/>
          <w:szCs w:val="24"/>
        </w:rPr>
      </w:pPr>
    </w:p>
    <w:p w:rsidR="00C91E52" w:rsidRDefault="00385AB1">
      <w:pPr>
        <w:numPr>
          <w:ilvl w:val="0"/>
          <w:numId w:val="1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Estimativas de quantidades e valores da contração:</w:t>
      </w:r>
    </w:p>
    <w:p w:rsidR="00C91E52" w:rsidRDefault="00C91E52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 cálculo dos valores unitários da contratação, será realizado por meio de planilha do Excel, contendo fórmulas predefinidas de média e mediana.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>Para o cálculo das estimativas de contratação será realizado, levantamento prévio das necessidades dos órgãos r</w:t>
      </w:r>
      <w:r>
        <w:rPr>
          <w:rFonts w:ascii="Calibri" w:eastAsia="Calibri" w:hAnsi="Calibri" w:cs="Calibri"/>
          <w:sz w:val="24"/>
          <w:szCs w:val="24"/>
        </w:rPr>
        <w:t>equerentes, considerando, inclusive, eventuais contratações do mesmo objeto em anos anteriores.</w:t>
      </w:r>
    </w:p>
    <w:p w:rsidR="00C91E52" w:rsidRDefault="00C91E52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</w:p>
    <w:p w:rsidR="00C91E52" w:rsidRDefault="00385AB1">
      <w:pPr>
        <w:numPr>
          <w:ilvl w:val="0"/>
          <w:numId w:val="1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Justificativa para o parcelamento ou não da contratação:</w:t>
      </w:r>
    </w:p>
    <w:p w:rsidR="00C91E52" w:rsidRDefault="00C91E52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Nos termos do art. 47, inciso II, da Lei Federal nº 14.133/2021, as licitações atenderão ao princípio</w:t>
      </w:r>
      <w:r>
        <w:rPr>
          <w:rFonts w:ascii="Calibri" w:eastAsia="Calibri" w:hAnsi="Calibri" w:cs="Calibri"/>
          <w:sz w:val="24"/>
          <w:szCs w:val="24"/>
        </w:rPr>
        <w:t xml:space="preserve"> do parcelamento, quando tecnicamente viável e economicamente vantajoso. Na aplicação deste princípio, o § 1º do mesmo art. 47 estabelece que devam ser considerados a </w:t>
      </w:r>
      <w:r>
        <w:rPr>
          <w:rFonts w:ascii="Calibri" w:eastAsia="Calibri" w:hAnsi="Calibri" w:cs="Calibri"/>
          <w:b/>
          <w:bCs/>
          <w:sz w:val="24"/>
          <w:szCs w:val="24"/>
        </w:rPr>
        <w:t>responsabilidade técnica</w:t>
      </w:r>
      <w:r>
        <w:rPr>
          <w:rFonts w:ascii="Calibri" w:eastAsia="Calibri" w:hAnsi="Calibri" w:cs="Calibri"/>
          <w:sz w:val="24"/>
          <w:szCs w:val="24"/>
        </w:rPr>
        <w:t>, o custo para a Administração de vários contratos frente às vant</w:t>
      </w:r>
      <w:r>
        <w:rPr>
          <w:rFonts w:ascii="Calibri" w:eastAsia="Calibri" w:hAnsi="Calibri" w:cs="Calibri"/>
          <w:sz w:val="24"/>
          <w:szCs w:val="24"/>
        </w:rPr>
        <w:t>agens da redução de custos, com divisão do objeto em itens, e o dever de buscar a ampliação da competição e de evitar a concentração de mercado.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Em observância ao disposto no artigo 40, inciso V, e no § 1º do artigo 47 da Lei Federal nº 14.133/2021, optou-</w:t>
      </w:r>
      <w:r>
        <w:rPr>
          <w:rFonts w:ascii="Calibri" w:eastAsia="Calibri" w:hAnsi="Calibri" w:cs="Calibri"/>
          <w:sz w:val="24"/>
          <w:szCs w:val="24"/>
        </w:rPr>
        <w:t>se pelo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não parcelamento da contratação</w:t>
      </w:r>
      <w:r>
        <w:rPr>
          <w:rFonts w:ascii="Calibri" w:eastAsia="Calibri" w:hAnsi="Calibri" w:cs="Calibri"/>
          <w:sz w:val="24"/>
          <w:szCs w:val="24"/>
        </w:rPr>
        <w:t>, consolidando o objeto em um lote único para o fornecimento exclusivo de links dedicados a todas as unidades e secretarias do município.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Essa modelagem unificada justifica-se técnica e economicamente por fatores fund</w:t>
      </w:r>
      <w:r>
        <w:rPr>
          <w:rFonts w:ascii="Calibri" w:eastAsia="Calibri" w:hAnsi="Calibri" w:cs="Calibri"/>
          <w:sz w:val="24"/>
          <w:szCs w:val="24"/>
        </w:rPr>
        <w:t>amentais: primeiro, garante a padronização tecnológica da infraestrutura de rede, assegurando que todos os órgãos municipais operem com a mesma estabilidade, garantia integral de banda, simetria de tráfego e sob um único e rigoroso Acordo de Nível de Servi</w:t>
      </w:r>
      <w:r>
        <w:rPr>
          <w:rFonts w:ascii="Calibri" w:eastAsia="Calibri" w:hAnsi="Calibri" w:cs="Calibri"/>
          <w:sz w:val="24"/>
          <w:szCs w:val="24"/>
        </w:rPr>
        <w:t>ço (SLA); segundo, a consolidação da demanda maximiza o ganho de economia de escala, tornando a contratação global do link de alta performance mais vantajosa para a Administração do que a fragmentação em pequenos contratos; por fim, o agrupamento centraliz</w:t>
      </w:r>
      <w:r>
        <w:rPr>
          <w:rFonts w:ascii="Calibri" w:eastAsia="Calibri" w:hAnsi="Calibri" w:cs="Calibri"/>
          <w:sz w:val="24"/>
          <w:szCs w:val="24"/>
        </w:rPr>
        <w:t>a e facilita a fiscalização e a gestão contratual, mitigando incompatibilidades técnicas e otimizando o suporte unificado para a manutenção contínua e eficiente dos serviços públicos essenciais.</w:t>
      </w:r>
    </w:p>
    <w:p w:rsidR="00C91E52" w:rsidRDefault="00C91E52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</w:p>
    <w:p w:rsidR="00C91E52" w:rsidRDefault="00385AB1">
      <w:pPr>
        <w:numPr>
          <w:ilvl w:val="0"/>
          <w:numId w:val="1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Descrição da solução como um todo:</w:t>
      </w:r>
    </w:p>
    <w:p w:rsidR="00C91E52" w:rsidRDefault="00385AB1">
      <w:pPr>
        <w:spacing w:before="240" w:after="240"/>
        <w:ind w:firstLine="141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solução compreende a pr</w:t>
      </w:r>
      <w:r>
        <w:rPr>
          <w:rFonts w:ascii="Calibri" w:eastAsia="Calibri" w:hAnsi="Calibri" w:cs="Calibri"/>
          <w:sz w:val="24"/>
          <w:szCs w:val="24"/>
        </w:rPr>
        <w:t>estação de serviços de telecomunicações para o fornecimento de acesso contínuo e dedicado à rede mundial de computadores (Internet), por meio de tecnologia de fibra óptica, englobando a disponibilização de endereços de IP públicos válidos e fixos. O escopo</w:t>
      </w:r>
      <w:r>
        <w:rPr>
          <w:rFonts w:ascii="Calibri" w:eastAsia="Calibri" w:hAnsi="Calibri" w:cs="Calibri"/>
          <w:sz w:val="24"/>
          <w:szCs w:val="24"/>
        </w:rPr>
        <w:t xml:space="preserve"> abrange não apenas o provimento do link de dados em si, mas toda </w:t>
      </w:r>
      <w:r>
        <w:rPr>
          <w:rFonts w:ascii="Calibri" w:eastAsia="Calibri" w:hAnsi="Calibri" w:cs="Calibri"/>
          <w:sz w:val="24"/>
          <w:szCs w:val="24"/>
        </w:rPr>
        <w:lastRenderedPageBreak/>
        <w:t xml:space="preserve">a infraestrutura acessória necessária à entrega do sinal no ponto de demarcação (DTI) de cada órgão municipal indicado. </w:t>
      </w:r>
    </w:p>
    <w:p w:rsidR="00C91E52" w:rsidRDefault="00385AB1">
      <w:pPr>
        <w:spacing w:before="240" w:after="240"/>
        <w:ind w:firstLine="141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Está inclusa na solução a cessão, em regime de comodato, de todos os </w:t>
      </w:r>
      <w:r>
        <w:rPr>
          <w:rFonts w:ascii="Calibri" w:eastAsia="Calibri" w:hAnsi="Calibri" w:cs="Calibri"/>
          <w:sz w:val="24"/>
          <w:szCs w:val="24"/>
        </w:rPr>
        <w:t>equipamentos ativos e passivos requeridos para a perfeita operação do serviço (como roteadores, modems ópticos/</w:t>
      </w:r>
      <w:proofErr w:type="spellStart"/>
      <w:r>
        <w:rPr>
          <w:rFonts w:ascii="Calibri" w:eastAsia="Calibri" w:hAnsi="Calibri" w:cs="Calibri"/>
          <w:sz w:val="24"/>
          <w:szCs w:val="24"/>
        </w:rPr>
        <w:t>ONUs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e conversores de mídia), devidamente homologados pela ANATEL. A solução engloba, por fim, o gerenciamento de rede, monitoramento de tráfego,</w:t>
      </w:r>
      <w:r>
        <w:rPr>
          <w:rFonts w:ascii="Calibri" w:eastAsia="Calibri" w:hAnsi="Calibri" w:cs="Calibri"/>
          <w:sz w:val="24"/>
          <w:szCs w:val="24"/>
        </w:rPr>
        <w:t xml:space="preserve"> suporte técnico especializado sob demanda e manutenção preventiva e corretiva sem custos adicionais, garantindo a performance contratada sem direcionamento de marcas ou especificações proprietárias que limitem a concorrência.</w:t>
      </w:r>
    </w:p>
    <w:p w:rsidR="00C91E52" w:rsidRDefault="00C91E52">
      <w:pPr>
        <w:spacing w:before="140" w:after="140"/>
        <w:ind w:firstLine="700"/>
        <w:jc w:val="both"/>
        <w:rPr>
          <w:rFonts w:ascii="Calibri" w:eastAsia="Calibri" w:hAnsi="Calibri" w:cs="Calibri"/>
          <w:sz w:val="24"/>
          <w:szCs w:val="24"/>
        </w:rPr>
      </w:pPr>
    </w:p>
    <w:p w:rsidR="00C91E52" w:rsidRDefault="00385AB1">
      <w:pPr>
        <w:numPr>
          <w:ilvl w:val="0"/>
          <w:numId w:val="1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Resultados pretendidos:</w:t>
      </w:r>
    </w:p>
    <w:p w:rsidR="00C91E52" w:rsidRDefault="00C91E52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Pre</w:t>
      </w:r>
      <w:r>
        <w:rPr>
          <w:rFonts w:ascii="Calibri" w:eastAsia="Calibri" w:hAnsi="Calibri" w:cs="Calibri"/>
          <w:sz w:val="24"/>
          <w:szCs w:val="24"/>
        </w:rPr>
        <w:t>tende-se, com o presente processo licitatório, assegurar a seleção da proposta apta a gerar a contratação mais vantajosa para o Município.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Almeja-se, igualmente, assegurar tratamento isonômico entre os licitantes, bem como a justa competição, bem como evit</w:t>
      </w:r>
      <w:r>
        <w:rPr>
          <w:rFonts w:ascii="Calibri" w:eastAsia="Calibri" w:hAnsi="Calibri" w:cs="Calibri"/>
          <w:sz w:val="24"/>
          <w:szCs w:val="24"/>
        </w:rPr>
        <w:t xml:space="preserve">ar contratação com </w:t>
      </w:r>
      <w:proofErr w:type="spellStart"/>
      <w:r>
        <w:rPr>
          <w:rFonts w:ascii="Calibri" w:eastAsia="Calibri" w:hAnsi="Calibri" w:cs="Calibri"/>
          <w:sz w:val="24"/>
          <w:szCs w:val="24"/>
        </w:rPr>
        <w:t>sobrepreço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ou com preço manifestamente inexequível e superfaturamento na execução do contrato.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contratação decorrente do presente processo licitatório exigirá da contratada o cumprimento das boas práticas de sustentabilidade, contribui</w:t>
      </w:r>
      <w:r>
        <w:rPr>
          <w:rFonts w:ascii="Calibri" w:eastAsia="Calibri" w:hAnsi="Calibri" w:cs="Calibri"/>
          <w:sz w:val="24"/>
          <w:szCs w:val="24"/>
        </w:rPr>
        <w:t>ndo para a racionalização e otimização do uso dos recursos, bem como para a redução dos impactos ambientais.</w:t>
      </w:r>
    </w:p>
    <w:p w:rsidR="00C91E52" w:rsidRDefault="00C91E52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C91E52" w:rsidRDefault="00385AB1">
      <w:pPr>
        <w:numPr>
          <w:ilvl w:val="0"/>
          <w:numId w:val="1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Providências prévias ao contrato: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Realizar a pesquisa de preços, análise de fornecedores e elaboração do Termo de Referência.</w:t>
      </w:r>
    </w:p>
    <w:p w:rsidR="00C91E52" w:rsidRDefault="00C91E52">
      <w:pPr>
        <w:spacing w:before="140" w:after="140"/>
        <w:ind w:firstLine="700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:rsidR="00C91E52" w:rsidRDefault="00385AB1">
      <w:pPr>
        <w:numPr>
          <w:ilvl w:val="0"/>
          <w:numId w:val="1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Contratações correlatas e/ou interdependentes: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Este estudo não identificou a necessidade de realizar contratações acessórias para a perfeita execução do objeto, uma vez que todos os meios necessários para a aquisição/operacionalização dos serviços podem se</w:t>
      </w:r>
      <w:r>
        <w:rPr>
          <w:rFonts w:ascii="Calibri" w:eastAsia="Calibri" w:hAnsi="Calibri" w:cs="Calibri"/>
          <w:sz w:val="24"/>
          <w:szCs w:val="24"/>
        </w:rPr>
        <w:t>r supridos apenas com a contratação ora proposta.</w:t>
      </w:r>
    </w:p>
    <w:p w:rsidR="00C91E52" w:rsidRDefault="00385AB1">
      <w:pPr>
        <w:numPr>
          <w:ilvl w:val="0"/>
          <w:numId w:val="1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bookmarkStart w:id="0" w:name="_GoBack"/>
      <w:bookmarkEnd w:id="0"/>
      <w:r>
        <w:rPr>
          <w:rFonts w:ascii="Calibri" w:eastAsia="Calibri" w:hAnsi="Calibri" w:cs="Calibri"/>
          <w:b/>
          <w:bCs/>
          <w:sz w:val="24"/>
          <w:szCs w:val="24"/>
        </w:rPr>
        <w:lastRenderedPageBreak/>
        <w:t>Possíveis impactos ambientais: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Não se vislumbra a ocorrência de possíveis impactos ambientais gerados pela contratação em estudo, contudo, a contratada deverá conduzir suas ações em conformidade com os req</w:t>
      </w:r>
      <w:r>
        <w:rPr>
          <w:rFonts w:ascii="Calibri" w:eastAsia="Calibri" w:hAnsi="Calibri" w:cs="Calibri"/>
          <w:sz w:val="24"/>
          <w:szCs w:val="24"/>
        </w:rPr>
        <w:t>uisitos legais e regulamentos aplicáveis, observando também a legislação ambiental para a prevenção de adversidades ao meio ambiente e a saúde dos trabalhadores e envolvidos na execução do objeto.</w:t>
      </w:r>
    </w:p>
    <w:p w:rsidR="00C91E52" w:rsidRDefault="00C91E52">
      <w:pPr>
        <w:spacing w:before="140" w:after="140"/>
        <w:ind w:firstLine="700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:rsidR="00C91E52" w:rsidRDefault="00385AB1">
      <w:pPr>
        <w:numPr>
          <w:ilvl w:val="0"/>
          <w:numId w:val="1"/>
        </w:num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Declaração de viabilidade:</w:t>
      </w:r>
    </w:p>
    <w:p w:rsidR="00C91E52" w:rsidRDefault="00385AB1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Com base na justificativa e n</w:t>
      </w:r>
      <w:r>
        <w:rPr>
          <w:rFonts w:ascii="Calibri" w:eastAsia="Calibri" w:hAnsi="Calibri" w:cs="Calibri"/>
          <w:sz w:val="24"/>
          <w:szCs w:val="24"/>
        </w:rPr>
        <w:t>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C91E52" w:rsidRDefault="00385AB1">
      <w:pPr>
        <w:spacing w:before="140" w:after="140"/>
        <w:ind w:firstLine="141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Posteriorme</w:t>
      </w:r>
      <w:r>
        <w:rPr>
          <w:rFonts w:ascii="Calibri" w:eastAsia="Calibri" w:hAnsi="Calibri" w:cs="Calibri"/>
          <w:sz w:val="24"/>
          <w:szCs w:val="24"/>
        </w:rPr>
        <w:t>nte após a elaboração do Estudo Técnico Preliminar, será remetido Instrumento de formalização da demanda/requisição para autorização da autoridade superior, para que esta decida sobre a viabilidade da contratação.</w:t>
      </w:r>
    </w:p>
    <w:p w:rsidR="00C91E52" w:rsidRDefault="00C91E52">
      <w:pPr>
        <w:spacing w:before="140" w:after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C91E52" w:rsidRDefault="00385AB1">
      <w:pPr>
        <w:spacing w:before="140" w:after="140"/>
        <w:jc w:val="right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Ajuricaba, 09 de julho de 2026</w:t>
      </w:r>
    </w:p>
    <w:p w:rsidR="00C91E52" w:rsidRDefault="00385AB1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C91E52" w:rsidRDefault="00C91E52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C91E52" w:rsidRDefault="00C91E52">
      <w:pPr>
        <w:spacing w:before="140" w:after="140"/>
        <w:jc w:val="both"/>
        <w:rPr>
          <w:rFonts w:ascii="Calibri" w:eastAsia="Calibri" w:hAnsi="Calibri" w:cs="Calibri"/>
          <w:sz w:val="24"/>
          <w:szCs w:val="24"/>
        </w:rPr>
      </w:pPr>
    </w:p>
    <w:p w:rsidR="00C91E52" w:rsidRDefault="00385AB1">
      <w:pPr>
        <w:spacing w:before="140" w:after="140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Felipe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Orzechoski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de Almeida</w:t>
      </w:r>
    </w:p>
    <w:p w:rsidR="00C91E52" w:rsidRDefault="00385AB1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Responsável pela elaboração do ETP</w:t>
      </w:r>
    </w:p>
    <w:p w:rsidR="00C91E52" w:rsidRDefault="00385AB1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C91E52" w:rsidRDefault="00C91E52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</w:p>
    <w:p w:rsidR="00C91E52" w:rsidRDefault="00C91E52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</w:p>
    <w:p w:rsidR="00C91E52" w:rsidRDefault="00385AB1">
      <w:pPr>
        <w:spacing w:before="140" w:after="140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Luana Carine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Maron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Torquetti</w:t>
      </w:r>
    </w:p>
    <w:p w:rsidR="00C91E52" w:rsidRDefault="00385AB1">
      <w:pPr>
        <w:spacing w:before="140" w:after="14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Secretária Municipal de Saúde</w:t>
      </w:r>
    </w:p>
    <w:sectPr w:rsidR="00C91E52">
      <w:headerReference w:type="default" r:id="rId9"/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AB1" w:rsidRDefault="00385AB1">
      <w:pPr>
        <w:spacing w:line="240" w:lineRule="auto"/>
      </w:pPr>
      <w:r>
        <w:separator/>
      </w:r>
    </w:p>
  </w:endnote>
  <w:endnote w:type="continuationSeparator" w:id="0">
    <w:p w:rsidR="00385AB1" w:rsidRDefault="00385A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9D82FC0-392D-45B5-8700-8EC66274A6AB}"/>
    <w:embedBold r:id="rId2" w:fontKey="{01EEA5B3-70B1-40BC-94F2-56CDF55AE8D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0B0A000C-4732-4AF4-B942-468D69B4A3B2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E52" w:rsidRDefault="00385AB1">
    <w:pPr>
      <w:jc w:val="right"/>
    </w:pPr>
    <w:r>
      <w:fldChar w:fldCharType="begin"/>
    </w:r>
    <w:r>
      <w:instrText>PAGE</w:instrText>
    </w:r>
    <w:r w:rsidR="00ED266F">
      <w:fldChar w:fldCharType="separate"/>
    </w:r>
    <w:r w:rsidR="00ED266F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AB1" w:rsidRDefault="00385AB1">
      <w:pPr>
        <w:spacing w:line="240" w:lineRule="auto"/>
      </w:pPr>
      <w:r>
        <w:separator/>
      </w:r>
    </w:p>
  </w:footnote>
  <w:footnote w:type="continuationSeparator" w:id="0">
    <w:p w:rsidR="00385AB1" w:rsidRDefault="00385AB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E52" w:rsidRDefault="00385AB1">
    <w:pPr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0;margin-top:0;width:451.3pt;height:451.3pt;z-index:-251658240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>
      <w:rPr>
        <w:noProof/>
      </w:rPr>
      <w:drawing>
        <wp:inline distT="114300" distB="114300" distL="114300" distR="114300">
          <wp:extent cx="1011075" cy="438132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>
                    <a:alphaModFix amt="5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1075" cy="4381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inline distT="114300" distB="114300" distL="114300" distR="114300">
          <wp:extent cx="433388" cy="433388"/>
          <wp:effectExtent l="0" t="0" r="0" b="0"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3">
                    <a:alphaModFix amt="5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3388" cy="4333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g">
          <w:drawing>
            <wp:anchor distT="114300" distB="114300" distL="114300" distR="114300" simplePos="0" relativeHeight="251657216" behindDoc="1" locked="0" layoutInCell="1" hidden="0" allowOverlap="1">
              <wp:simplePos x="0" y="0"/>
              <wp:positionH relativeFrom="column">
                <wp:posOffset>-700087</wp:posOffset>
              </wp:positionH>
              <wp:positionV relativeFrom="paragraph">
                <wp:posOffset>-238124</wp:posOffset>
              </wp:positionV>
              <wp:extent cx="7129463" cy="10239375"/>
              <wp:effectExtent l="12700" t="12700" r="12700" b="1270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032225" y="347175"/>
                        <a:ext cx="2558100" cy="289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C91E52" w:rsidRDefault="00C91E52">
                          <w:pPr>
                            <w:spacing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114300" distT="114300" distL="114300" distR="114300" hidden="0" layoutInCell="1" locked="0" relativeHeight="0" simplePos="0">
              <wp:simplePos x="0" y="0"/>
              <wp:positionH relativeFrom="column">
                <wp:posOffset>-700087</wp:posOffset>
              </wp:positionH>
              <wp:positionV relativeFrom="paragraph">
                <wp:posOffset>-238124</wp:posOffset>
              </wp:positionV>
              <wp:extent cx="7129463" cy="10239375"/>
              <wp:effectExtent b="12700" l="12700" r="12700" t="12700"/>
              <wp:wrapNone/>
              <wp:docPr id="1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129463" cy="10239375"/>
                      </a:xfrm>
                      <a:prstGeom prst="rect"/>
                      <a:ln w="12700">
                        <a:solidFill>
                          <a:srgbClr val="434343"/>
                        </a:solidFill>
                        <a:prstDash val="solid"/>
                      </a:ln>
                    </pic:spPr>
                  </pic:pic>
                </a:graphicData>
              </a:graphic>
            </wp:anchor>
          </w:drawing>
        </mc:Fallback>
      </mc:AlternateContent>
    </w:r>
  </w:p>
  <w:p w:rsidR="00C91E52" w:rsidRDefault="00385AB1">
    <w:pPr>
      <w:jc w:val="center"/>
      <w:rPr>
        <w:rFonts w:ascii="Calibri" w:eastAsia="Calibri" w:hAnsi="Calibri" w:cs="Calibri"/>
        <w:b/>
        <w:bCs/>
        <w:color w:val="999999"/>
        <w:sz w:val="20"/>
        <w:szCs w:val="20"/>
      </w:rPr>
    </w:pPr>
    <w:r>
      <w:rPr>
        <w:rFonts w:ascii="Calibri" w:eastAsia="Calibri" w:hAnsi="Calibri" w:cs="Calibri"/>
        <w:b/>
        <w:bCs/>
        <w:color w:val="999999"/>
        <w:sz w:val="20"/>
        <w:szCs w:val="20"/>
      </w:rPr>
      <w:t>SECRETARIA DE SAÚDE</w:t>
    </w:r>
  </w:p>
  <w:p w:rsidR="00C91E52" w:rsidRDefault="00385AB1">
    <w:pPr>
      <w:jc w:val="center"/>
      <w:rPr>
        <w:rFonts w:ascii="Calibri" w:eastAsia="Calibri" w:hAnsi="Calibri" w:cs="Calibri"/>
        <w:b/>
        <w:bCs/>
        <w:color w:val="999999"/>
        <w:sz w:val="20"/>
        <w:szCs w:val="20"/>
      </w:rPr>
    </w:pPr>
    <w:r>
      <w:rPr>
        <w:rFonts w:ascii="Calibri" w:eastAsia="Calibri" w:hAnsi="Calibri" w:cs="Calibri"/>
        <w:b/>
        <w:bCs/>
        <w:color w:val="999999"/>
        <w:sz w:val="20"/>
        <w:szCs w:val="20"/>
      </w:rPr>
      <w:t>AJURICABA/RS</w:t>
    </w:r>
  </w:p>
  <w:p w:rsidR="00C91E52" w:rsidRDefault="00385AB1">
    <w:pPr>
      <w:jc w:val="center"/>
      <w:rPr>
        <w:rFonts w:ascii="Calibri" w:eastAsia="Calibri" w:hAnsi="Calibri" w:cs="Calibri"/>
        <w:b/>
        <w:bCs/>
        <w:color w:val="999999"/>
        <w:sz w:val="20"/>
        <w:szCs w:val="20"/>
      </w:rPr>
    </w:pPr>
    <w:r>
      <w:rPr>
        <w:rFonts w:ascii="Calibri" w:eastAsia="Calibri" w:hAnsi="Calibri" w:cs="Calibri"/>
        <w:b/>
        <w:bCs/>
        <w:color w:val="999999"/>
        <w:sz w:val="20"/>
        <w:szCs w:val="20"/>
      </w:rPr>
      <w:t>36/2026</w:t>
    </w:r>
  </w:p>
  <w:p w:rsidR="00C91E52" w:rsidRDefault="00385AB1">
    <w:pPr>
      <w:jc w:val="center"/>
      <w:rPr>
        <w:rFonts w:ascii="Calibri" w:eastAsia="Calibri" w:hAnsi="Calibri" w:cs="Calibri"/>
        <w:b/>
        <w:bCs/>
        <w:color w:val="999999"/>
        <w:sz w:val="20"/>
        <w:szCs w:val="20"/>
      </w:rPr>
    </w:pPr>
    <w:r>
      <w:rPr>
        <w:rFonts w:ascii="Calibri" w:eastAsia="Calibri" w:hAnsi="Calibri" w:cs="Calibri"/>
        <w:b/>
        <w:bCs/>
        <w:color w:val="999999"/>
        <w:sz w:val="20"/>
        <w:szCs w:val="20"/>
      </w:rPr>
      <w:t>FORNECIMENTO DE CONEXÃO DE INTERNET PARA OS ÓRGÃOS DO MUNICÍPIO</w:t>
    </w:r>
  </w:p>
  <w:p w:rsidR="00C91E52" w:rsidRDefault="00C91E5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371A5A"/>
    <w:multiLevelType w:val="multilevel"/>
    <w:tmpl w:val="28025204"/>
    <w:lvl w:ilvl="0">
      <w:start w:val="1"/>
      <w:numFmt w:val="decimal"/>
      <w:lvlText w:val="%1."/>
      <w:lvlJc w:val="right"/>
      <w:pPr>
        <w:ind w:left="0" w:firstLine="0"/>
      </w:pPr>
      <w:rPr>
        <w:u w:val="none"/>
      </w:rPr>
    </w:lvl>
    <w:lvl w:ilvl="1">
      <w:start w:val="1"/>
      <w:numFmt w:val="decimal"/>
      <w:lvlText w:val="%1.%2."/>
      <w:lvlJc w:val="right"/>
      <w:pPr>
        <w:ind w:left="0" w:firstLine="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E52"/>
    <w:rsid w:val="00385AB1"/>
    <w:rsid w:val="00C91E52"/>
    <w:rsid w:val="00ED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484833B3-FA30-46EA-A207-4CF1DF006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cgi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2651</Words>
  <Characters>14320</Characters>
  <Application>Microsoft Office Word</Application>
  <DocSecurity>0</DocSecurity>
  <Lines>119</Lines>
  <Paragraphs>33</Paragraphs>
  <ScaleCrop>false</ScaleCrop>
  <Company/>
  <LinksUpToDate>false</LinksUpToDate>
  <CharactersWithSpaces>16938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UserPC06</cp:lastModifiedBy>
  <cp:revision>2</cp:revision>
  <dcterms:created xsi:type="dcterms:W3CDTF">2026-07-14T18:49:00Z</dcterms:created>
  <dcterms:modified xsi:type="dcterms:W3CDTF">2026-07-14T18:50:00Z</dcterms:modified>
</cp:coreProperties>
</file>