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6278" w:rsidRDefault="009D347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ESTUDO TÉCNICO PRELIMINAR</w:t>
      </w:r>
    </w:p>
    <w:p w:rsidR="00B46278" w:rsidRDefault="00B4627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sz w:val="22"/>
          <w:szCs w:val="22"/>
        </w:rPr>
      </w:pPr>
    </w:p>
    <w:p w:rsidR="00B46278" w:rsidRDefault="009D3474" w:rsidP="009D3474">
      <w:pPr>
        <w:ind w:left="4536"/>
        <w:jc w:val="both"/>
        <w:rPr>
          <w:sz w:val="22"/>
          <w:szCs w:val="22"/>
        </w:rPr>
      </w:pPr>
      <w:r>
        <w:rPr>
          <w:sz w:val="22"/>
          <w:szCs w:val="22"/>
        </w:rPr>
        <w:t>Necessidade da Administração: Contratação de empresa prestadora de serviços de arbitragem para campeonatos municipais.</w:t>
      </w:r>
    </w:p>
    <w:p w:rsidR="00B46278" w:rsidRDefault="00B46278">
      <w:pPr>
        <w:jc w:val="both"/>
        <w:rPr>
          <w:sz w:val="22"/>
          <w:szCs w:val="22"/>
        </w:rPr>
      </w:pPr>
    </w:p>
    <w:p w:rsidR="00B46278" w:rsidRDefault="009D347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 DESCRIÇÃO DA NECESSIDADE</w:t>
      </w:r>
    </w:p>
    <w:p w:rsidR="00B46278" w:rsidRDefault="009D3474">
      <w:pPr>
        <w:jc w:val="both"/>
        <w:rPr>
          <w:sz w:val="22"/>
          <w:szCs w:val="22"/>
        </w:rPr>
      </w:pPr>
      <w:r w:rsidRPr="009D3474">
        <w:rPr>
          <w:sz w:val="22"/>
          <w:szCs w:val="22"/>
        </w:rPr>
        <w:t>Justifica-se pela necessidade de garantir a adequada organização, condução e fiscalização das partidas esportivas promovidas pelo Município. A arbitragem é elemento indispensável para assegurar o cumprimento das regras oficiais da modalidade, a imparcialidade nas decisões durante os jogos, a segurança dos atletas, dirigentes e torcedores, bem como a manutenção da disciplina esportiva ao longo da competição.</w:t>
      </w:r>
    </w:p>
    <w:p w:rsidR="009D3474" w:rsidRDefault="009D3474">
      <w:pPr>
        <w:jc w:val="both"/>
        <w:rPr>
          <w:sz w:val="22"/>
          <w:szCs w:val="22"/>
        </w:rPr>
      </w:pPr>
    </w:p>
    <w:p w:rsidR="00B46278" w:rsidRDefault="009D3474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ALINHAMENTO ENTRE A CONTRATAÇÃO E O PLANEJAMENTO</w:t>
      </w:r>
    </w:p>
    <w:p w:rsidR="00B46278" w:rsidRPr="009D3474" w:rsidRDefault="009D3474">
      <w:pPr>
        <w:jc w:val="both"/>
        <w:rPr>
          <w:sz w:val="22"/>
          <w:szCs w:val="22"/>
        </w:rPr>
      </w:pPr>
      <w:r w:rsidRPr="009D3474">
        <w:rPr>
          <w:sz w:val="22"/>
          <w:szCs w:val="22"/>
        </w:rPr>
        <w:t>A contratação pretendida está prevista no Plano de Contratações Anual do Município de Viadutos, como se vê do item N° 165 daquele documento, estando assim alinhada com o planejamento desta Administração.</w:t>
      </w:r>
    </w:p>
    <w:p w:rsidR="00B46278" w:rsidRDefault="00B46278">
      <w:pPr>
        <w:jc w:val="both"/>
        <w:rPr>
          <w:sz w:val="22"/>
          <w:szCs w:val="22"/>
        </w:rPr>
      </w:pPr>
    </w:p>
    <w:p w:rsidR="00B46278" w:rsidRDefault="009D347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3. DESCRIÇÃO DOS REQUISITOS DA CONTRATAÇÃO</w:t>
      </w:r>
    </w:p>
    <w:p w:rsidR="00B46278" w:rsidRDefault="009D347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bens/serviços ora contratados têm natureza de bens/serviços comuns, tendo em vista que seus </w:t>
      </w:r>
      <w:r>
        <w:rPr>
          <w:color w:val="000000"/>
          <w:sz w:val="22"/>
          <w:szCs w:val="22"/>
        </w:rPr>
        <w:t xml:space="preserve">padrões de desempenho e qualidade podem ser objetivamente definidos pelo edital, por meio de especificações usuais de mercado, </w:t>
      </w:r>
      <w:r>
        <w:rPr>
          <w:sz w:val="22"/>
          <w:szCs w:val="22"/>
        </w:rPr>
        <w:t>nos termos do art. 6º, inciso XIII, da Lei Federal nº 14.133/2021.</w:t>
      </w:r>
    </w:p>
    <w:p w:rsidR="00B46278" w:rsidRDefault="009D3474">
      <w:pPr>
        <w:pStyle w:val="Standard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Para fornecimento/prestação dos serviços pretendidos os eventuais interessados deverão comprovar que atuam em ramo de atividade compatível com o objeto da licitação: Contratação de empresa prestadora de serviços de arbitragem para campeonatos municipais.</w:t>
      </w:r>
    </w:p>
    <w:p w:rsidR="00B46278" w:rsidRDefault="00B46278">
      <w:pPr>
        <w:jc w:val="both"/>
        <w:rPr>
          <w:sz w:val="22"/>
          <w:szCs w:val="22"/>
        </w:rPr>
      </w:pPr>
    </w:p>
    <w:p w:rsidR="00B46278" w:rsidRDefault="009D347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4. ESTIMATIVA DAS QUANTIDADES</w:t>
      </w:r>
    </w:p>
    <w:p w:rsidR="00B46278" w:rsidRDefault="009D347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quantitativos estimados para a contratação pretendida têm como parâmetro as últimas contratações com o mesmo objeto, realizadas por esta Administração </w:t>
      </w:r>
      <w:r>
        <w:rPr>
          <w:color w:val="000000"/>
          <w:sz w:val="22"/>
          <w:szCs w:val="22"/>
        </w:rPr>
        <w:t xml:space="preserve">partindo da Solicitação Interna </w:t>
      </w:r>
      <w:r>
        <w:rPr>
          <w:b/>
          <w:color w:val="000000"/>
          <w:sz w:val="22"/>
          <w:szCs w:val="22"/>
        </w:rPr>
        <w:t>nº 323/2026</w:t>
      </w:r>
      <w:r>
        <w:rPr>
          <w:color w:val="000000"/>
          <w:sz w:val="22"/>
          <w:szCs w:val="22"/>
        </w:rPr>
        <w:t>, que possui como objetivo: Contratação de empresa prestadora de serviços de arbitragem para campeonatos municipais.</w:t>
      </w:r>
    </w:p>
    <w:p w:rsidR="00B46278" w:rsidRDefault="00B46278">
      <w:pPr>
        <w:jc w:val="both"/>
        <w:rPr>
          <w:sz w:val="22"/>
          <w:szCs w:val="22"/>
        </w:rPr>
      </w:pPr>
    </w:p>
    <w:p w:rsidR="00B46278" w:rsidRDefault="009D347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5. ALTERNATIVAS DISPONÍVEIS NO MERCADO</w:t>
      </w:r>
    </w:p>
    <w:p w:rsidR="00B46278" w:rsidRDefault="009D347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Conforme pesquisa de mercado realizada, para solução da necessidade administrativa, objeto do presente Estudo Técnico Preliminar, vislumbra-se possível, sob o aspecto técnico e econômico, a contratação de empresas especializadas em </w:t>
      </w:r>
      <w:r>
        <w:rPr>
          <w:b/>
          <w:sz w:val="22"/>
          <w:szCs w:val="22"/>
        </w:rPr>
        <w:t>serviços de arbitragem.</w:t>
      </w:r>
    </w:p>
    <w:p w:rsidR="00B46278" w:rsidRDefault="00B46278">
      <w:pPr>
        <w:jc w:val="both"/>
        <w:rPr>
          <w:sz w:val="22"/>
          <w:szCs w:val="22"/>
        </w:rPr>
      </w:pPr>
    </w:p>
    <w:p w:rsidR="00B46278" w:rsidRDefault="009D347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6. ESTIMATIVA DO VALOR DA CONTRATAÇÃO</w:t>
      </w:r>
    </w:p>
    <w:p w:rsidR="00B46278" w:rsidRDefault="009D3474">
      <w:pPr>
        <w:jc w:val="both"/>
        <w:rPr>
          <w:sz w:val="22"/>
          <w:szCs w:val="22"/>
        </w:rPr>
      </w:pPr>
      <w:r>
        <w:rPr>
          <w:sz w:val="22"/>
          <w:szCs w:val="22"/>
        </w:rPr>
        <w:t>Estima-se para a contratação almejada o valor conforme descrito abaixo:</w:t>
      </w:r>
    </w:p>
    <w:tbl>
      <w:tblPr>
        <w:tblW w:w="9781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678"/>
        <w:gridCol w:w="1276"/>
        <w:gridCol w:w="1134"/>
        <w:gridCol w:w="1276"/>
        <w:gridCol w:w="1417"/>
      </w:tblGrid>
      <w:tr w:rsidR="00B46278" w:rsidTr="00366234">
        <w:tc>
          <w:tcPr>
            <w:tcW w:w="4678" w:type="dxa"/>
          </w:tcPr>
          <w:p w:rsidR="00B46278" w:rsidRDefault="009D3474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276" w:type="dxa"/>
          </w:tcPr>
          <w:p w:rsidR="00B46278" w:rsidRDefault="009D3474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134" w:type="dxa"/>
          </w:tcPr>
          <w:p w:rsidR="00B46278" w:rsidRDefault="009D3474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276" w:type="dxa"/>
          </w:tcPr>
          <w:p w:rsidR="00B46278" w:rsidRDefault="009D3474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Unitário</w:t>
            </w:r>
          </w:p>
        </w:tc>
        <w:tc>
          <w:tcPr>
            <w:tcW w:w="1417" w:type="dxa"/>
          </w:tcPr>
          <w:p w:rsidR="00B46278" w:rsidRDefault="009D3474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Total</w:t>
            </w:r>
          </w:p>
        </w:tc>
      </w:tr>
      <w:tr w:rsidR="00B46278" w:rsidTr="00366234">
        <w:tc>
          <w:tcPr>
            <w:tcW w:w="4678" w:type="dxa"/>
          </w:tcPr>
          <w:p w:rsidR="00B46278" w:rsidRDefault="00D55F7E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Serviços de arbitragem para jogos de Futebol Sete na categoria Livre e Veterano com equipe de Arbitragem com no mínimo um (1) Arbitro, um (01) Auxiliar e um (01) mesário </w:t>
            </w:r>
            <w:r w:rsidRPr="007F3AD4">
              <w:rPr>
                <w:sz w:val="22"/>
                <w:szCs w:val="22"/>
              </w:rPr>
              <w:t>uniformizados e com rádio comunicador. A equipe também</w:t>
            </w:r>
            <w:r>
              <w:rPr>
                <w:sz w:val="22"/>
                <w:szCs w:val="22"/>
              </w:rPr>
              <w:t xml:space="preserve"> ficará responsável por constituir a comissão julgadora. A Associação ou Empresa que foi prestar o serviço deverá ser filiada a uma liga ou Federação. Os árbitros precisam ter certificado ou declaração da Federação ou da Liga em 2025/2026.</w:t>
            </w:r>
          </w:p>
        </w:tc>
        <w:tc>
          <w:tcPr>
            <w:tcW w:w="1276" w:type="dxa"/>
          </w:tcPr>
          <w:p w:rsidR="00B46278" w:rsidRDefault="009D3474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120,0</w:t>
            </w:r>
          </w:p>
        </w:tc>
        <w:tc>
          <w:tcPr>
            <w:tcW w:w="1134" w:type="dxa"/>
          </w:tcPr>
          <w:p w:rsidR="00B46278" w:rsidRDefault="009D3474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Und</w:t>
            </w:r>
          </w:p>
        </w:tc>
        <w:tc>
          <w:tcPr>
            <w:tcW w:w="1276" w:type="dxa"/>
          </w:tcPr>
          <w:p w:rsidR="00B46278" w:rsidRDefault="009D3474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R$ 366,67</w:t>
            </w:r>
          </w:p>
        </w:tc>
        <w:tc>
          <w:tcPr>
            <w:tcW w:w="1417" w:type="dxa"/>
          </w:tcPr>
          <w:p w:rsidR="00B46278" w:rsidRDefault="009D3474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R$ 44.000,40</w:t>
            </w:r>
          </w:p>
        </w:tc>
      </w:tr>
      <w:tr w:rsidR="00B46278" w:rsidTr="00366234">
        <w:tc>
          <w:tcPr>
            <w:tcW w:w="4678" w:type="dxa"/>
          </w:tcPr>
          <w:p w:rsidR="00B46278" w:rsidRDefault="00D55F7E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Serviços de arbitragem para jogos de Futsal na categoria Livre e Veterano, feminino e Master com equipe de Arbitragem com no mínimo um (1) Arbitro, um (01) Auxiliar e </w:t>
            </w:r>
            <w:r w:rsidRPr="007F3AD4">
              <w:rPr>
                <w:sz w:val="22"/>
                <w:szCs w:val="22"/>
              </w:rPr>
              <w:t>um (01) mesário uniformizados e com rádio comunicador. A equipe</w:t>
            </w:r>
            <w:r>
              <w:rPr>
                <w:sz w:val="22"/>
                <w:szCs w:val="22"/>
              </w:rPr>
              <w:t xml:space="preserve"> também ficará responsável por constituir a comissão julgadora. A Associação ou Empresa que foi prestar o serviço deverá ser filiada a uma liga ou Federação. Os árbitros precisam ter certificado ou declaração da Federação ou da Liga em 2025/2026.</w:t>
            </w:r>
            <w:bookmarkStart w:id="0" w:name="_GoBack"/>
            <w:bookmarkEnd w:id="0"/>
          </w:p>
        </w:tc>
        <w:tc>
          <w:tcPr>
            <w:tcW w:w="1276" w:type="dxa"/>
          </w:tcPr>
          <w:p w:rsidR="00B46278" w:rsidRDefault="009D3474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230,0</w:t>
            </w:r>
          </w:p>
        </w:tc>
        <w:tc>
          <w:tcPr>
            <w:tcW w:w="1134" w:type="dxa"/>
          </w:tcPr>
          <w:p w:rsidR="00B46278" w:rsidRDefault="009D3474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Und</w:t>
            </w:r>
          </w:p>
        </w:tc>
        <w:tc>
          <w:tcPr>
            <w:tcW w:w="1276" w:type="dxa"/>
          </w:tcPr>
          <w:p w:rsidR="00B46278" w:rsidRDefault="009D3474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R$ 366,67</w:t>
            </w:r>
          </w:p>
        </w:tc>
        <w:tc>
          <w:tcPr>
            <w:tcW w:w="1417" w:type="dxa"/>
          </w:tcPr>
          <w:p w:rsidR="00B46278" w:rsidRDefault="009D3474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R$ 84.334,10</w:t>
            </w:r>
          </w:p>
        </w:tc>
      </w:tr>
    </w:tbl>
    <w:p w:rsidR="00366234" w:rsidRDefault="00366234">
      <w:pPr>
        <w:jc w:val="both"/>
        <w:rPr>
          <w:sz w:val="22"/>
          <w:szCs w:val="22"/>
        </w:rPr>
      </w:pPr>
    </w:p>
    <w:p w:rsidR="00B46278" w:rsidRDefault="009D3474">
      <w:pPr>
        <w:jc w:val="both"/>
        <w:rPr>
          <w:sz w:val="22"/>
          <w:szCs w:val="22"/>
        </w:rPr>
      </w:pPr>
      <w:r>
        <w:rPr>
          <w:sz w:val="22"/>
          <w:szCs w:val="22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Viadutos-RS, nos termos da Lei Federal nº 14.133/2021”.</w:t>
      </w:r>
    </w:p>
    <w:p w:rsidR="00B46278" w:rsidRDefault="00B46278">
      <w:pPr>
        <w:jc w:val="both"/>
        <w:rPr>
          <w:sz w:val="22"/>
          <w:szCs w:val="22"/>
        </w:rPr>
      </w:pPr>
    </w:p>
    <w:p w:rsidR="00B46278" w:rsidRDefault="009D347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7. DESCRIÇÃO DA SOLUÇÃO COMO UM TODO</w:t>
      </w:r>
    </w:p>
    <w:p w:rsidR="007E7C7D" w:rsidRPr="000D281A" w:rsidRDefault="009D3474" w:rsidP="007E7C7D">
      <w:pPr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sz w:val="22"/>
          <w:szCs w:val="22"/>
        </w:rPr>
        <w:t xml:space="preserve">A solução proposta é </w:t>
      </w:r>
      <w:r>
        <w:rPr>
          <w:b/>
          <w:sz w:val="22"/>
          <w:szCs w:val="22"/>
        </w:rPr>
        <w:t>Contratação de empresa prestadora de serviços de arbitra</w:t>
      </w:r>
      <w:r w:rsidR="007E7C7D">
        <w:rPr>
          <w:b/>
          <w:sz w:val="22"/>
          <w:szCs w:val="22"/>
        </w:rPr>
        <w:t>gem para campeonatos municipais,</w:t>
      </w:r>
      <w:r>
        <w:rPr>
          <w:sz w:val="22"/>
          <w:szCs w:val="22"/>
        </w:rPr>
        <w:t xml:space="preserve"> conforme as seguintes especificações/condições: </w:t>
      </w:r>
      <w:r w:rsidR="007E7C7D" w:rsidRPr="000D281A">
        <w:rPr>
          <w:rFonts w:eastAsia="Arial Unicode MS"/>
          <w:sz w:val="22"/>
          <w:szCs w:val="22"/>
          <w:lang w:eastAsia="pt-BR"/>
        </w:rPr>
        <w:t>O serviço de arbitragem deverá ser executado no local que a Secretaria Municipal de Educação, Cultura e Desporto determinar dentro dos limites do Município e conforme Tabela de jogos.</w:t>
      </w:r>
    </w:p>
    <w:p w:rsidR="007E7C7D" w:rsidRDefault="007E7C7D" w:rsidP="007E7C7D">
      <w:pPr>
        <w:jc w:val="both"/>
        <w:rPr>
          <w:sz w:val="22"/>
          <w:szCs w:val="22"/>
        </w:rPr>
      </w:pPr>
      <w:r>
        <w:rPr>
          <w:sz w:val="22"/>
          <w:szCs w:val="22"/>
        </w:rPr>
        <w:t>Item 01: Os serviços deverão ser executados nos campos das comunidades do interior do município e nos campos da cidade;</w:t>
      </w:r>
    </w:p>
    <w:p w:rsidR="007E7C7D" w:rsidRPr="00E71F24" w:rsidRDefault="007E7C7D" w:rsidP="007E7C7D">
      <w:pPr>
        <w:jc w:val="both"/>
        <w:rPr>
          <w:sz w:val="22"/>
          <w:szCs w:val="22"/>
        </w:rPr>
      </w:pPr>
      <w:r>
        <w:rPr>
          <w:sz w:val="22"/>
          <w:szCs w:val="22"/>
        </w:rPr>
        <w:t>Item 02: Os serviços deverão ser prestados no Ginásio Municipal;</w:t>
      </w:r>
    </w:p>
    <w:p w:rsidR="00B46278" w:rsidRDefault="00B46278">
      <w:pPr>
        <w:jc w:val="both"/>
        <w:rPr>
          <w:sz w:val="22"/>
          <w:szCs w:val="22"/>
        </w:rPr>
      </w:pPr>
    </w:p>
    <w:p w:rsidR="00B46278" w:rsidRDefault="009D347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8. RESULTADOS PRETENDIDOS </w:t>
      </w:r>
    </w:p>
    <w:p w:rsidR="00B46278" w:rsidRDefault="009D347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Pretende-se, com o presente processo licitatório, assegurar </w:t>
      </w:r>
      <w:r>
        <w:rPr>
          <w:color w:val="000000"/>
          <w:sz w:val="22"/>
          <w:szCs w:val="22"/>
        </w:rPr>
        <w:t>a seleção da proposta apta a gerar a contratação mais vantajosa para o Município.</w:t>
      </w:r>
    </w:p>
    <w:p w:rsidR="00B46278" w:rsidRDefault="009D3474">
      <w:pPr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Almeja-se, igualmente, assegurar tratamento isonômico entre os licitantes, bem como a justa competição, bem como evitar contratação com sobre</w:t>
      </w:r>
      <w:r w:rsidR="007E7C7D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preço ou com preço manifestamente inexequível e superfaturamento na execução do contrato. </w:t>
      </w:r>
      <w:r>
        <w:rPr>
          <w:sz w:val="22"/>
          <w:szCs w:val="22"/>
        </w:rPr>
        <w:tab/>
        <w:t xml:space="preserve">A contratação decorrente do presente processo licitatório exigirá da contratada o cumprimento das boas práticas de sustentabilidade, contribuindo para a racionalização e otimização do uso dos recursos, bem como para a redução dos impactos ambientais. </w:t>
      </w:r>
    </w:p>
    <w:p w:rsidR="00B46278" w:rsidRDefault="00B46278">
      <w:pPr>
        <w:jc w:val="both"/>
        <w:rPr>
          <w:sz w:val="22"/>
          <w:szCs w:val="22"/>
        </w:rPr>
      </w:pPr>
    </w:p>
    <w:p w:rsidR="00B46278" w:rsidRDefault="009D3474">
      <w:pPr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9. PROVIDÊNCIAS PRÉVIAS AO CONTRATO</w:t>
      </w:r>
      <w:bookmarkStart w:id="1" w:name="art18_1x"/>
    </w:p>
    <w:p w:rsidR="00B46278" w:rsidRDefault="009D3474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Para a contratação pretendida não haverá necessidade de providências prévias no âmbito da Administração. A Secretaria de Administração indicará servidores para atuarem como gestor e fiscal do contrato.</w:t>
      </w:r>
    </w:p>
    <w:p w:rsidR="00B46278" w:rsidRDefault="009D347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Ademais, para que a pretendida contratação tenha sucesso, é preciso que outras etapas sejam concluídas, quais sejam: </w:t>
      </w:r>
    </w:p>
    <w:p w:rsidR="00B46278" w:rsidRDefault="009D3474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a)</w:t>
      </w:r>
      <w:r>
        <w:rPr>
          <w:sz w:val="22"/>
          <w:szCs w:val="22"/>
        </w:rPr>
        <w:t xml:space="preserve"> elaboração de minuta do edital; </w:t>
      </w:r>
    </w:p>
    <w:p w:rsidR="00B46278" w:rsidRDefault="009D3474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b) </w:t>
      </w:r>
      <w:r>
        <w:rPr>
          <w:sz w:val="22"/>
          <w:szCs w:val="22"/>
        </w:rPr>
        <w:t xml:space="preserve">realização de certificação de disponibilidade orçamentária; </w:t>
      </w:r>
    </w:p>
    <w:p w:rsidR="00B46278" w:rsidRDefault="009D3474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c)</w:t>
      </w:r>
      <w:r>
        <w:rPr>
          <w:sz w:val="22"/>
          <w:szCs w:val="22"/>
        </w:rPr>
        <w:t xml:space="preserve"> designação em Portaria de pregoeiro, equipe de apoio, agente de contratação (conforme o caso); </w:t>
      </w:r>
    </w:p>
    <w:p w:rsidR="00B46278" w:rsidRDefault="009D3474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d)</w:t>
      </w:r>
      <w:r>
        <w:rPr>
          <w:sz w:val="22"/>
          <w:szCs w:val="22"/>
        </w:rPr>
        <w:t xml:space="preserve"> elaboração de minuta do contrato; </w:t>
      </w:r>
    </w:p>
    <w:p w:rsidR="00B46278" w:rsidRDefault="009D3474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e)</w:t>
      </w:r>
      <w:r>
        <w:rPr>
          <w:sz w:val="22"/>
          <w:szCs w:val="22"/>
        </w:rPr>
        <w:t xml:space="preserve"> encaminhamento do processo para análise jurídica; </w:t>
      </w:r>
    </w:p>
    <w:p w:rsidR="00B46278" w:rsidRDefault="009D3474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f)</w:t>
      </w:r>
      <w:r>
        <w:rPr>
          <w:sz w:val="22"/>
          <w:szCs w:val="22"/>
        </w:rPr>
        <w:t xml:space="preserve"> análise da manifestação jurídica e atendimento aos apontamentos constantes no parecer, mediante Nota Técnica com os ajustes indicados; </w:t>
      </w:r>
    </w:p>
    <w:p w:rsidR="00B46278" w:rsidRDefault="009D3474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g)</w:t>
      </w:r>
      <w:r>
        <w:rPr>
          <w:sz w:val="22"/>
          <w:szCs w:val="22"/>
        </w:rPr>
        <w:t xml:space="preserve"> publicação e divulgação do edital e anexos; </w:t>
      </w:r>
    </w:p>
    <w:p w:rsidR="00B46278" w:rsidRDefault="009D3474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h)</w:t>
      </w:r>
      <w:r>
        <w:rPr>
          <w:sz w:val="22"/>
          <w:szCs w:val="22"/>
        </w:rPr>
        <w:t xml:space="preserve"> resposta a eventuais pedidos de esclarecimentos e/ou impugnação, caso aplicável; </w:t>
      </w:r>
    </w:p>
    <w:p w:rsidR="00B46278" w:rsidRDefault="009D3474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i)</w:t>
      </w:r>
      <w:r>
        <w:rPr>
          <w:sz w:val="22"/>
          <w:szCs w:val="22"/>
        </w:rPr>
        <w:t xml:space="preserve"> realização do certame, com suas respectivas etapas; </w:t>
      </w:r>
    </w:p>
    <w:p w:rsidR="00B46278" w:rsidRDefault="009D3474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j)</w:t>
      </w:r>
      <w:r>
        <w:rPr>
          <w:sz w:val="22"/>
          <w:szCs w:val="22"/>
        </w:rPr>
        <w:t xml:space="preserve"> realização de empenho; e </w:t>
      </w:r>
    </w:p>
    <w:p w:rsidR="00B46278" w:rsidRDefault="009D3474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l)</w:t>
      </w:r>
      <w:r>
        <w:rPr>
          <w:sz w:val="22"/>
          <w:szCs w:val="22"/>
        </w:rPr>
        <w:t xml:space="preserve"> assinatura e publicação do contrato. </w:t>
      </w:r>
    </w:p>
    <w:p w:rsidR="00B46278" w:rsidRDefault="00B46278">
      <w:pPr>
        <w:jc w:val="both"/>
        <w:rPr>
          <w:sz w:val="22"/>
          <w:szCs w:val="22"/>
        </w:rPr>
      </w:pPr>
    </w:p>
    <w:p w:rsidR="00B46278" w:rsidRDefault="009D3474">
      <w:pPr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10. CONTRATAÇÕES CORRELATAS E/OU INTERDEPENDENTES</w:t>
      </w:r>
    </w:p>
    <w:p w:rsidR="00B46278" w:rsidRDefault="009D3474">
      <w:pPr>
        <w:jc w:val="both"/>
        <w:rPr>
          <w:sz w:val="22"/>
          <w:szCs w:val="22"/>
        </w:rPr>
      </w:pPr>
      <w:r>
        <w:rPr>
          <w:sz w:val="22"/>
          <w:szCs w:val="22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:rsidR="00B46278" w:rsidRDefault="009D3474">
      <w:pPr>
        <w:jc w:val="both"/>
        <w:rPr>
          <w:sz w:val="22"/>
          <w:szCs w:val="22"/>
        </w:rPr>
      </w:pPr>
      <w:r>
        <w:rPr>
          <w:sz w:val="22"/>
          <w:szCs w:val="22"/>
        </w:rPr>
        <w:t>Os bens/serviços que se pretende, portanto, são autônomos e prescindem de contratações correlatas ou interdependentes.</w:t>
      </w:r>
    </w:p>
    <w:p w:rsidR="00280B0C" w:rsidRDefault="00280B0C">
      <w:pPr>
        <w:jc w:val="both"/>
        <w:rPr>
          <w:b/>
          <w:color w:val="000000"/>
          <w:sz w:val="22"/>
          <w:szCs w:val="22"/>
        </w:rPr>
      </w:pPr>
    </w:p>
    <w:p w:rsidR="00B46278" w:rsidRDefault="009D3474">
      <w:pPr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lastRenderedPageBreak/>
        <w:t xml:space="preserve">11. DECLARAÇÃO DE VIABILIDADE </w:t>
      </w:r>
      <w:bookmarkStart w:id="2" w:name="art18_1xiii"/>
    </w:p>
    <w:p w:rsidR="00B46278" w:rsidRDefault="009D3474">
      <w:pPr>
        <w:jc w:val="both"/>
        <w:rPr>
          <w:sz w:val="22"/>
          <w:szCs w:val="22"/>
        </w:rPr>
      </w:pPr>
      <w:r>
        <w:rPr>
          <w:sz w:val="22"/>
          <w:szCs w:val="22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:rsidR="00B46278" w:rsidRDefault="009D3474">
      <w:pPr>
        <w:jc w:val="both"/>
        <w:rPr>
          <w:sz w:val="22"/>
          <w:szCs w:val="22"/>
        </w:rPr>
      </w:pPr>
      <w:r>
        <w:rPr>
          <w:sz w:val="22"/>
          <w:szCs w:val="22"/>
        </w:rPr>
        <w:t>O dispêndio financeiro decorrente da contratação ora pretendida decorrerá da dotação orçamentária:</w:t>
      </w:r>
    </w:p>
    <w:tbl>
      <w:tblPr>
        <w:tblW w:w="9637" w:type="dxa"/>
        <w:tblInd w:w="28" w:type="dxa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774"/>
        <w:gridCol w:w="3649"/>
        <w:gridCol w:w="3214"/>
      </w:tblGrid>
      <w:tr w:rsidR="00B46278">
        <w:tc>
          <w:tcPr>
            <w:tcW w:w="2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46278" w:rsidRDefault="009D3474" w:rsidP="007E7C7D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Código</w:t>
            </w:r>
          </w:p>
        </w:tc>
        <w:tc>
          <w:tcPr>
            <w:tcW w:w="3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46278" w:rsidRDefault="009D3474" w:rsidP="007E7C7D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Elemento</w:t>
            </w:r>
          </w:p>
        </w:tc>
        <w:tc>
          <w:tcPr>
            <w:tcW w:w="3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6278" w:rsidRDefault="009D3474" w:rsidP="007E7C7D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Recurso</w:t>
            </w:r>
          </w:p>
        </w:tc>
      </w:tr>
      <w:tr w:rsidR="00B46278">
        <w:tc>
          <w:tcPr>
            <w:tcW w:w="2774" w:type="dxa"/>
            <w:tcBorders>
              <w:left w:val="single" w:sz="2" w:space="0" w:color="000000"/>
              <w:bottom w:val="single" w:sz="2" w:space="0" w:color="000000"/>
            </w:tcBorders>
          </w:tcPr>
          <w:p w:rsidR="00B46278" w:rsidRDefault="009D3474" w:rsidP="007E7C7D">
            <w:pPr>
              <w:pStyle w:val="Standar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1204</w:t>
            </w:r>
          </w:p>
        </w:tc>
        <w:tc>
          <w:tcPr>
            <w:tcW w:w="3649" w:type="dxa"/>
            <w:tcBorders>
              <w:left w:val="single" w:sz="2" w:space="0" w:color="000000"/>
              <w:bottom w:val="single" w:sz="2" w:space="0" w:color="000000"/>
            </w:tcBorders>
          </w:tcPr>
          <w:p w:rsidR="00B46278" w:rsidRDefault="009D3474" w:rsidP="007E7C7D">
            <w:pPr>
              <w:pStyle w:val="Standar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339039990800</w:t>
            </w:r>
          </w:p>
        </w:tc>
        <w:tc>
          <w:tcPr>
            <w:tcW w:w="321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46278" w:rsidRDefault="009D3474" w:rsidP="007E7C7D">
            <w:pPr>
              <w:pStyle w:val="Standar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1501</w:t>
            </w:r>
          </w:p>
        </w:tc>
      </w:tr>
    </w:tbl>
    <w:p w:rsidR="00B46278" w:rsidRDefault="00B46278">
      <w:pPr>
        <w:pStyle w:val="Standard"/>
        <w:widowControl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B46278" w:rsidRDefault="007E7C7D">
      <w:pPr>
        <w:pStyle w:val="Standard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Viadutos – RS,</w:t>
      </w:r>
      <w:r w:rsidR="009D3474">
        <w:rPr>
          <w:rFonts w:ascii="Times New Roman" w:hAnsi="Times New Roman"/>
          <w:sz w:val="22"/>
          <w:szCs w:val="22"/>
        </w:rPr>
        <w:t xml:space="preserve"> 24 de julho de 2026</w:t>
      </w:r>
    </w:p>
    <w:p w:rsidR="00B46278" w:rsidRDefault="00B46278">
      <w:pPr>
        <w:pStyle w:val="Standard"/>
        <w:jc w:val="center"/>
        <w:rPr>
          <w:rFonts w:ascii="Times New Roman" w:hAnsi="Times New Roman"/>
          <w:sz w:val="22"/>
          <w:szCs w:val="22"/>
        </w:rPr>
      </w:pPr>
    </w:p>
    <w:p w:rsidR="00B46278" w:rsidRDefault="00B46278">
      <w:pPr>
        <w:pStyle w:val="Standard"/>
        <w:jc w:val="center"/>
        <w:rPr>
          <w:rFonts w:ascii="Times New Roman" w:hAnsi="Times New Roman"/>
          <w:sz w:val="22"/>
          <w:szCs w:val="22"/>
        </w:rPr>
      </w:pPr>
    </w:p>
    <w:p w:rsidR="007E7C7D" w:rsidRDefault="007E7C7D">
      <w:pPr>
        <w:pStyle w:val="Standard"/>
        <w:jc w:val="center"/>
        <w:rPr>
          <w:rFonts w:ascii="Times New Roman" w:hAnsi="Times New Roman"/>
          <w:sz w:val="22"/>
          <w:szCs w:val="22"/>
        </w:rPr>
      </w:pPr>
    </w:p>
    <w:p w:rsidR="00B46278" w:rsidRDefault="009D3474">
      <w:pPr>
        <w:pStyle w:val="Standard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</w:t>
      </w:r>
    </w:p>
    <w:bookmarkEnd w:id="1"/>
    <w:bookmarkEnd w:id="2"/>
    <w:p w:rsidR="00B46278" w:rsidRDefault="007E7C7D">
      <w:pPr>
        <w:pStyle w:val="Standard"/>
        <w:jc w:val="center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Adriana Tobaldini</w:t>
      </w:r>
    </w:p>
    <w:p w:rsidR="007E7C7D" w:rsidRDefault="007E7C7D">
      <w:pPr>
        <w:pStyle w:val="Standard"/>
        <w:jc w:val="center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Secretaria Municipal de Educação</w:t>
      </w:r>
    </w:p>
    <w:sectPr w:rsidR="007E7C7D" w:rsidSect="009D3474">
      <w:headerReference w:type="default" r:id="rId7"/>
      <w:footerReference w:type="default" r:id="rId8"/>
      <w:pgSz w:w="11906" w:h="16838"/>
      <w:pgMar w:top="1440" w:right="1080" w:bottom="1440" w:left="1080" w:header="284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059B" w:rsidRDefault="009D3474">
      <w:r>
        <w:separator/>
      </w:r>
    </w:p>
  </w:endnote>
  <w:endnote w:type="continuationSeparator" w:id="0">
    <w:p w:rsidR="0082059B" w:rsidRDefault="009D3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rifa BT;Bookman Old Style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(W1);Courier New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regular;MS Mincho">
    <w:panose1 w:val="00000000000000000000"/>
    <w:charset w:val="00"/>
    <w:family w:val="roman"/>
    <w:notTrueType/>
    <w:pitch w:val="default"/>
  </w:font>
  <w:font w:name="Thorndale;Times New Roman">
    <w:panose1 w:val="00000000000000000000"/>
    <w:charset w:val="00"/>
    <w:family w:val="roman"/>
    <w:notTrueType/>
    <w:pitch w:val="default"/>
  </w:font>
  <w:font w:name="HG Mincho Light J;Times New Rom"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00"/>
    <w:family w:val="roman"/>
    <w:pitch w:val="variable"/>
  </w:font>
  <w:font w:name="SimSun;宋体">
    <w:panose1 w:val="00000000000000000000"/>
    <w:charset w:val="8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278" w:rsidRDefault="009D3474">
    <w:pPr>
      <w:pStyle w:val="Rodap"/>
      <w:tabs>
        <w:tab w:val="clear" w:pos="8838"/>
        <w:tab w:val="right" w:pos="8222"/>
      </w:tabs>
      <w:jc w:val="both"/>
      <w:rPr>
        <w:rFonts w:ascii="Arial" w:hAnsi="Arial" w:cs="Arial"/>
        <w:sz w:val="12"/>
      </w:rPr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1595" cy="114935"/>
              <wp:effectExtent l="0" t="0" r="0" b="0"/>
              <wp:wrapSquare wrapText="largest"/>
              <wp:docPr id="2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595" cy="11493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B46278" w:rsidRDefault="009D3474">
                          <w:pPr>
                            <w:pStyle w:val="Rodap"/>
                          </w:pPr>
                          <w:r>
                            <w:rPr>
                              <w:rStyle w:val="Nmerodepgina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6"/>
                            </w:rPr>
                            <w:instrText>PAGE</w:instrText>
                          </w:r>
                          <w:r>
                            <w:rPr>
                              <w:rStyle w:val="Nmerodepgina"/>
                              <w:sz w:val="16"/>
                            </w:rPr>
                            <w:fldChar w:fldCharType="separate"/>
                          </w:r>
                          <w:r w:rsidR="00D55F7E">
                            <w:rPr>
                              <w:rStyle w:val="Nmerodepgina"/>
                              <w:noProof/>
                              <w:sz w:val="16"/>
                            </w:rPr>
                            <w:t>1</w:t>
                          </w:r>
                          <w:r>
                            <w:rPr>
                              <w:rStyle w:val="Nmerodepgina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o1" o:spid="_x0000_s1026" type="#_x0000_t202" style="position:absolute;left:0;text-align:left;margin-left:0;margin-top:.05pt;width:4.85pt;height:9.05pt;z-index:4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" stroked="f">
              <v:fill opacity="0"/>
              <v:textbox inset="0,0,0,0">
                <w:txbxContent>
                  <w:p w:rsidR="00B46278" w:rsidRDefault="009D3474">
                    <w:pPr>
                      <w:pStyle w:val="Rodap"/>
                    </w:pPr>
                    <w:r>
                      <w:rPr>
                        <w:rStyle w:val="Nmerodepgina"/>
                        <w:sz w:val="16"/>
                      </w:rPr>
                      <w:fldChar w:fldCharType="begin"/>
                    </w:r>
                    <w:r>
                      <w:rPr>
                        <w:rStyle w:val="Nmerodepgina"/>
                        <w:sz w:val="16"/>
                      </w:rPr>
                      <w:instrText>PAGE</w:instrText>
                    </w:r>
                    <w:r>
                      <w:rPr>
                        <w:rStyle w:val="Nmerodepgina"/>
                        <w:sz w:val="16"/>
                      </w:rPr>
                      <w:fldChar w:fldCharType="separate"/>
                    </w:r>
                    <w:r w:rsidR="00D55F7E">
                      <w:rPr>
                        <w:rStyle w:val="Nmerodepgina"/>
                        <w:noProof/>
                        <w:sz w:val="16"/>
                      </w:rPr>
                      <w:t>1</w:t>
                    </w:r>
                    <w:r>
                      <w:rPr>
                        <w:rStyle w:val="Nmerodepgina"/>
                        <w:sz w:val="16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059B" w:rsidRDefault="009D3474">
      <w:r>
        <w:separator/>
      </w:r>
    </w:p>
  </w:footnote>
  <w:footnote w:type="continuationSeparator" w:id="0">
    <w:p w:rsidR="0082059B" w:rsidRDefault="009D34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278" w:rsidRDefault="009D3474">
    <w:pPr>
      <w:tabs>
        <w:tab w:val="center" w:pos="4419"/>
        <w:tab w:val="right" w:pos="8838"/>
      </w:tabs>
      <w:overflowPunct/>
      <w:autoSpaceDE/>
      <w:jc w:val="center"/>
      <w:textAlignment w:val="auto"/>
      <w:rPr>
        <w:rFonts w:ascii="Century Gothic" w:hAnsi="Century Gothic" w:cs="Century Gothic"/>
        <w:b/>
        <w:sz w:val="22"/>
        <w:lang w:eastAsia="pt-BR"/>
      </w:rPr>
    </w:pPr>
    <w:r>
      <w:rPr>
        <w:rFonts w:ascii="Century Gothic" w:hAnsi="Century Gothic" w:cs="Century Gothic"/>
        <w:b/>
        <w:noProof/>
        <w:sz w:val="22"/>
        <w:lang w:eastAsia="pt-BR"/>
      </w:rPr>
      <w:drawing>
        <wp:anchor distT="0" distB="0" distL="114935" distR="114935" simplePos="0" relativeHeight="7" behindDoc="1" locked="0" layoutInCell="1" allowOverlap="1">
          <wp:simplePos x="0" y="0"/>
          <wp:positionH relativeFrom="column">
            <wp:posOffset>3810</wp:posOffset>
          </wp:positionH>
          <wp:positionV relativeFrom="paragraph">
            <wp:posOffset>-29845</wp:posOffset>
          </wp:positionV>
          <wp:extent cx="762000" cy="762000"/>
          <wp:effectExtent l="0" t="0" r="0" b="0"/>
          <wp:wrapNone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2" t="-10" r="-12" b="-10"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B46278" w:rsidRDefault="00B46278">
    <w:pPr>
      <w:tabs>
        <w:tab w:val="center" w:pos="4419"/>
        <w:tab w:val="right" w:pos="8838"/>
      </w:tabs>
      <w:overflowPunct/>
      <w:autoSpaceDE/>
      <w:jc w:val="center"/>
      <w:textAlignment w:val="auto"/>
      <w:rPr>
        <w:rFonts w:ascii="Century Gothic" w:hAnsi="Century Gothic" w:cs="Century Gothic"/>
        <w:b/>
        <w:sz w:val="22"/>
        <w:lang w:eastAsia="pt-BR"/>
      </w:rPr>
    </w:pPr>
  </w:p>
  <w:p w:rsidR="00B46278" w:rsidRDefault="009D3474">
    <w:pPr>
      <w:tabs>
        <w:tab w:val="center" w:pos="4419"/>
        <w:tab w:val="right" w:pos="8838"/>
      </w:tabs>
      <w:overflowPunct/>
      <w:autoSpaceDE/>
      <w:jc w:val="center"/>
      <w:textAlignment w:val="auto"/>
      <w:rPr>
        <w:rFonts w:ascii="Century Gothic" w:hAnsi="Century Gothic" w:cs="Century Gothic"/>
        <w:b/>
        <w:sz w:val="22"/>
        <w:lang w:eastAsia="pt-BR"/>
      </w:rPr>
    </w:pPr>
    <w:r>
      <w:rPr>
        <w:rFonts w:ascii="Century Gothic" w:hAnsi="Century Gothic" w:cs="Century Gothic"/>
        <w:b/>
        <w:sz w:val="22"/>
        <w:lang w:eastAsia="pt-BR"/>
      </w:rPr>
      <w:t>ESTADO DO RIO GRANDE DO SUL</w:t>
    </w:r>
  </w:p>
  <w:p w:rsidR="00B46278" w:rsidRDefault="009D3474">
    <w:pPr>
      <w:tabs>
        <w:tab w:val="center" w:pos="4419"/>
        <w:tab w:val="right" w:pos="8838"/>
      </w:tabs>
      <w:overflowPunct/>
      <w:autoSpaceDE/>
      <w:jc w:val="center"/>
      <w:textAlignment w:val="auto"/>
      <w:rPr>
        <w:rFonts w:ascii="Century Gothic" w:hAnsi="Century Gothic" w:cs="Century Gothic"/>
        <w:b/>
        <w:sz w:val="28"/>
        <w:lang w:eastAsia="pt-BR"/>
      </w:rPr>
    </w:pPr>
    <w:r>
      <w:rPr>
        <w:rFonts w:ascii="Century Gothic" w:hAnsi="Century Gothic" w:cs="Century Gothic"/>
        <w:b/>
        <w:sz w:val="28"/>
        <w:lang w:eastAsia="pt-BR"/>
      </w:rPr>
      <w:t>PREFEITURA MUNICIPAL DE VIADUTOS</w:t>
    </w:r>
  </w:p>
  <w:p w:rsidR="00B46278" w:rsidRDefault="00B46278">
    <w:pPr>
      <w:tabs>
        <w:tab w:val="center" w:pos="4419"/>
        <w:tab w:val="right" w:pos="8838"/>
      </w:tabs>
      <w:overflowPunct/>
      <w:autoSpaceDE/>
      <w:textAlignment w:val="auto"/>
      <w:rPr>
        <w:rFonts w:ascii="Arial" w:hAnsi="Arial" w:cs="Arial"/>
        <w:sz w:val="22"/>
        <w:lang w:eastAsia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C22ECF"/>
    <w:multiLevelType w:val="multilevel"/>
    <w:tmpl w:val="FF46E2B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pStyle w:val="Ttulo3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pStyle w:val="Ttulo4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pStyle w:val="Ttulo5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pStyle w:val="Ttulo6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pStyle w:val="Ttulo8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B46278"/>
    <w:rsid w:val="00280B0C"/>
    <w:rsid w:val="00366234"/>
    <w:rsid w:val="007E7C7D"/>
    <w:rsid w:val="0082059B"/>
    <w:rsid w:val="009D3474"/>
    <w:rsid w:val="00B46278"/>
    <w:rsid w:val="00D55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2B0605-3E34-4881-A8DC-425EE011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NSimSun" w:hAnsi="Calibri" w:cs="Mangal"/>
        <w:sz w:val="22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textAlignment w:val="baseline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Calibri Light" w:hAnsi="Calibri Light" w:cs="Calibri Light"/>
      <w:b/>
      <w:bCs/>
      <w:kern w:val="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overflowPunct/>
      <w:autoSpaceDE/>
      <w:jc w:val="center"/>
      <w:textAlignment w:val="auto"/>
      <w:outlineLvl w:val="2"/>
    </w:pPr>
    <w:rPr>
      <w:rFonts w:eastAsia="Arial Unicode MS"/>
      <w:b/>
      <w:kern w:val="2"/>
      <w:sz w:val="21"/>
      <w:szCs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verflowPunct/>
      <w:autoSpaceDE/>
      <w:jc w:val="center"/>
      <w:textAlignment w:val="auto"/>
      <w:outlineLvl w:val="3"/>
    </w:pPr>
    <w:rPr>
      <w:b/>
      <w:i/>
      <w:kern w:val="2"/>
      <w:sz w:val="1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overflowPunct/>
      <w:autoSpaceDE/>
      <w:spacing w:line="360" w:lineRule="auto"/>
      <w:jc w:val="both"/>
      <w:textAlignment w:val="auto"/>
      <w:outlineLvl w:val="4"/>
    </w:pPr>
    <w:rPr>
      <w:b/>
      <w:kern w:val="2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overflowPunct/>
      <w:autoSpaceDE/>
      <w:textAlignment w:val="auto"/>
      <w:outlineLvl w:val="5"/>
    </w:pPr>
    <w:rPr>
      <w:rFonts w:ascii="Serifa BT;Bookman Old Style" w:hAnsi="Serifa BT;Bookman Old Style" w:cs="Serifa BT;Bookman Old Style"/>
      <w:b/>
      <w:kern w:val="2"/>
    </w:rPr>
  </w:style>
  <w:style w:type="paragraph" w:styleId="Ttulo7">
    <w:name w:val="heading 7"/>
    <w:basedOn w:val="Normal"/>
    <w:next w:val="Normal"/>
    <w:qFormat/>
    <w:pPr>
      <w:overflowPunct/>
      <w:autoSpaceDE/>
      <w:spacing w:before="240" w:after="60"/>
      <w:textAlignment w:val="auto"/>
      <w:outlineLvl w:val="6"/>
    </w:pPr>
    <w:rPr>
      <w:rFonts w:ascii="Calibri" w:hAnsi="Calibri" w:cs="Calibri"/>
      <w:sz w:val="24"/>
      <w:szCs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overflowPunct/>
      <w:autoSpaceDE/>
      <w:jc w:val="center"/>
      <w:textAlignment w:val="auto"/>
      <w:outlineLvl w:val="7"/>
    </w:pPr>
    <w:rPr>
      <w:b/>
      <w:kern w:val="2"/>
      <w:sz w:val="28"/>
    </w:rPr>
  </w:style>
  <w:style w:type="paragraph" w:styleId="Ttulo9">
    <w:name w:val="heading 9"/>
    <w:basedOn w:val="Normal"/>
    <w:next w:val="Normal"/>
    <w:qFormat/>
    <w:pPr>
      <w:keepNext/>
      <w:tabs>
        <w:tab w:val="left" w:pos="0"/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overflowPunct/>
      <w:autoSpaceDE/>
      <w:ind w:left="283" w:hanging="283"/>
      <w:jc w:val="center"/>
      <w:textAlignment w:val="auto"/>
      <w:outlineLvl w:val="8"/>
    </w:pPr>
    <w:rPr>
      <w:b/>
      <w:kern w:val="2"/>
      <w:sz w:val="24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Symbol" w:hAnsi="Symbol" w:cs="Symbol"/>
      <w:b w:val="0"/>
      <w:i w:val="0"/>
    </w:rPr>
  </w:style>
  <w:style w:type="character" w:customStyle="1" w:styleId="WW8Num4z0">
    <w:name w:val="WW8Num4z0"/>
    <w:qFormat/>
    <w:rPr>
      <w:rFonts w:ascii="Arial" w:hAnsi="Arial" w:cs="OpenSymbol"/>
      <w:b/>
      <w:bCs/>
      <w:sz w:val="22"/>
      <w:szCs w:val="22"/>
    </w:rPr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  <w:rPr>
      <w:rFonts w:ascii="Arial" w:hAnsi="Arial" w:cs="Arial"/>
      <w:b/>
      <w:bCs/>
      <w:sz w:val="22"/>
      <w:szCs w:val="22"/>
    </w:rPr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  <w:rPr>
      <w:rFonts w:ascii="Courier New" w:hAnsi="Courier New" w:cs="Courier New"/>
      <w:b/>
      <w:bCs/>
      <w:sz w:val="20"/>
      <w:szCs w:val="20"/>
    </w:rPr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rFonts w:cs="Times New Roman"/>
      <w:b w:val="0"/>
    </w:rPr>
  </w:style>
  <w:style w:type="character" w:customStyle="1" w:styleId="WW8Num7z1">
    <w:name w:val="WW8Num7z1"/>
    <w:qFormat/>
    <w:rPr>
      <w:rFonts w:cs="Times New Roman"/>
    </w:rPr>
  </w:style>
  <w:style w:type="character" w:customStyle="1" w:styleId="WW8Num8z0">
    <w:name w:val="WW8Num8z0"/>
    <w:qFormat/>
    <w:rPr>
      <w:rFonts w:cs="Times New Roman"/>
    </w:rPr>
  </w:style>
  <w:style w:type="character" w:customStyle="1" w:styleId="WW8Num9z0">
    <w:name w:val="WW8Num9z0"/>
    <w:qFormat/>
    <w:rPr>
      <w:rFonts w:cs="Times New Roman"/>
    </w:rPr>
  </w:style>
  <w:style w:type="character" w:customStyle="1" w:styleId="WW8Num10z0">
    <w:name w:val="WW8Num10z0"/>
    <w:qFormat/>
  </w:style>
  <w:style w:type="character" w:customStyle="1" w:styleId="WW8Num11z0">
    <w:name w:val="WW8Num11z0"/>
    <w:qFormat/>
    <w:rPr>
      <w:rFonts w:ascii="Arial" w:hAnsi="Arial" w:cs="Arial"/>
      <w:b w:val="0"/>
      <w:i w:val="0"/>
      <w:sz w:val="20"/>
      <w:u w:val="none"/>
    </w:rPr>
  </w:style>
  <w:style w:type="character" w:customStyle="1" w:styleId="WW8Num12z0">
    <w:name w:val="WW8Num12z0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  <w:rPr>
      <w:rFonts w:ascii="Consolas" w:hAnsi="Consolas" w:cs="Consolas"/>
      <w:b/>
      <w:i w:val="0"/>
      <w:sz w:val="20"/>
    </w:rPr>
  </w:style>
  <w:style w:type="character" w:customStyle="1" w:styleId="WW8Num15z5">
    <w:name w:val="WW8Num15z5"/>
    <w:qFormat/>
  </w:style>
  <w:style w:type="character" w:customStyle="1" w:styleId="WW8Num16z0">
    <w:name w:val="WW8Num16z0"/>
    <w:qFormat/>
  </w:style>
  <w:style w:type="character" w:customStyle="1" w:styleId="WW8Num17z0">
    <w:name w:val="WW8Num17z0"/>
    <w:qFormat/>
    <w:rPr>
      <w:b w:val="0"/>
    </w:rPr>
  </w:style>
  <w:style w:type="character" w:customStyle="1" w:styleId="WW8Num18z0">
    <w:name w:val="WW8Num18z0"/>
    <w:qFormat/>
    <w:rPr>
      <w:rFonts w:ascii="Arial" w:hAnsi="Arial" w:cs="Arial"/>
      <w:b w:val="0"/>
      <w:i w:val="0"/>
      <w:color w:val="000000"/>
      <w:sz w:val="24"/>
      <w:u w:val="none"/>
    </w:rPr>
  </w:style>
  <w:style w:type="character" w:customStyle="1" w:styleId="WW8Num19z0">
    <w:name w:val="WW8Num19z0"/>
    <w:qFormat/>
    <w:rPr>
      <w:rFonts w:ascii="Arial" w:hAnsi="Arial" w:cs="Arial"/>
      <w:b w:val="0"/>
      <w:i w:val="0"/>
      <w:sz w:val="20"/>
      <w:u w:val="none"/>
    </w:rPr>
  </w:style>
  <w:style w:type="character" w:customStyle="1" w:styleId="WW8Num20z0">
    <w:name w:val="WW8Num20z0"/>
    <w:qFormat/>
    <w:rPr>
      <w:rFonts w:ascii="Arial" w:hAnsi="Arial" w:cs="Arial"/>
      <w:b w:val="0"/>
      <w:i w:val="0"/>
      <w:color w:val="000000"/>
      <w:sz w:val="24"/>
      <w:u w:val="none"/>
    </w:rPr>
  </w:style>
  <w:style w:type="character" w:styleId="Nmerodepgina">
    <w:name w:val="page number"/>
    <w:basedOn w:val="Fontepargpadro"/>
  </w:style>
  <w:style w:type="character" w:customStyle="1" w:styleId="HeaderChar">
    <w:name w:val="Header Char"/>
    <w:qFormat/>
  </w:style>
  <w:style w:type="character" w:customStyle="1" w:styleId="Heading7Char">
    <w:name w:val="Heading 7 Char"/>
    <w:qFormat/>
    <w:rPr>
      <w:rFonts w:ascii="Calibri" w:hAnsi="Calibri" w:cs="Calibri"/>
      <w:sz w:val="24"/>
      <w:szCs w:val="24"/>
    </w:rPr>
  </w:style>
  <w:style w:type="character" w:customStyle="1" w:styleId="Heading1Char">
    <w:name w:val="Heading 1 Char"/>
    <w:qFormat/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character" w:customStyle="1" w:styleId="Heading2Char">
    <w:name w:val="Heading 2 Char"/>
    <w:qFormat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BodyTextChar">
    <w:name w:val="Body Text Char"/>
    <w:qFormat/>
    <w:rPr>
      <w:color w:val="000000"/>
      <w:sz w:val="24"/>
      <w:szCs w:val="24"/>
    </w:rPr>
  </w:style>
  <w:style w:type="character" w:customStyle="1" w:styleId="BodyText2Char">
    <w:name w:val="Body Text 2 Char"/>
    <w:qFormat/>
    <w:rPr>
      <w:b/>
      <w:color w:val="000000"/>
      <w:sz w:val="24"/>
      <w:szCs w:val="24"/>
    </w:rPr>
  </w:style>
  <w:style w:type="character" w:customStyle="1" w:styleId="TitleChar">
    <w:name w:val="Title Char"/>
    <w:qFormat/>
    <w:rPr>
      <w:b/>
      <w:color w:val="000000"/>
      <w:sz w:val="24"/>
      <w:szCs w:val="24"/>
    </w:rPr>
  </w:style>
  <w:style w:type="character" w:customStyle="1" w:styleId="BodyTextIndentChar">
    <w:name w:val="Body Text Indent Char"/>
    <w:qFormat/>
    <w:rPr>
      <w:sz w:val="24"/>
      <w:szCs w:val="24"/>
    </w:rPr>
  </w:style>
  <w:style w:type="character" w:customStyle="1" w:styleId="BodyTextIndent2Char">
    <w:name w:val="Body Text Indent 2 Char"/>
    <w:qFormat/>
    <w:rPr>
      <w:color w:val="000000"/>
      <w:sz w:val="24"/>
      <w:szCs w:val="24"/>
    </w:rPr>
  </w:style>
  <w:style w:type="character" w:customStyle="1" w:styleId="BodyTextIndent3Char">
    <w:name w:val="Body Text Indent 3 Char"/>
    <w:qFormat/>
    <w:rPr>
      <w:color w:val="000000"/>
      <w:sz w:val="24"/>
      <w:szCs w:val="24"/>
    </w:rPr>
  </w:style>
  <w:style w:type="character" w:customStyle="1" w:styleId="BodyText3Char">
    <w:name w:val="Body Text 3 Char"/>
    <w:qFormat/>
    <w:rPr>
      <w:b/>
      <w:color w:val="000000"/>
      <w:sz w:val="24"/>
      <w:szCs w:val="24"/>
    </w:rPr>
  </w:style>
  <w:style w:type="character" w:customStyle="1" w:styleId="PlainTextChar">
    <w:name w:val="Plain Text Char"/>
    <w:qFormat/>
    <w:rPr>
      <w:rFonts w:ascii="Courier New" w:hAnsi="Courier New" w:cs="Courier New"/>
    </w:rPr>
  </w:style>
  <w:style w:type="character" w:customStyle="1" w:styleId="Heading3Char">
    <w:name w:val="Heading 3 Char"/>
    <w:qFormat/>
    <w:rPr>
      <w:rFonts w:eastAsia="Arial Unicode MS"/>
      <w:b/>
      <w:kern w:val="2"/>
      <w:sz w:val="21"/>
      <w:szCs w:val="24"/>
      <w:lang w:eastAsia="zh-CN"/>
    </w:rPr>
  </w:style>
  <w:style w:type="character" w:customStyle="1" w:styleId="Heading4Char">
    <w:name w:val="Heading 4 Char"/>
    <w:qFormat/>
    <w:rPr>
      <w:b/>
      <w:i/>
      <w:kern w:val="2"/>
      <w:sz w:val="16"/>
      <w:lang w:eastAsia="zh-CN"/>
    </w:rPr>
  </w:style>
  <w:style w:type="character" w:customStyle="1" w:styleId="Heading5Char">
    <w:name w:val="Heading 5 Char"/>
    <w:qFormat/>
    <w:rPr>
      <w:b/>
      <w:kern w:val="2"/>
      <w:lang w:eastAsia="zh-CN"/>
    </w:rPr>
  </w:style>
  <w:style w:type="character" w:customStyle="1" w:styleId="Heading6Char">
    <w:name w:val="Heading 6 Char"/>
    <w:qFormat/>
    <w:rPr>
      <w:rFonts w:ascii="Serifa BT;Bookman Old Style" w:hAnsi="Serifa BT;Bookman Old Style" w:cs="Serifa BT;Bookman Old Style"/>
      <w:b/>
      <w:kern w:val="2"/>
      <w:lang w:eastAsia="zh-CN"/>
    </w:rPr>
  </w:style>
  <w:style w:type="character" w:customStyle="1" w:styleId="Heading8Char">
    <w:name w:val="Heading 8 Char"/>
    <w:qFormat/>
    <w:rPr>
      <w:b/>
      <w:kern w:val="2"/>
      <w:sz w:val="28"/>
      <w:lang w:eastAsia="zh-CN"/>
    </w:rPr>
  </w:style>
  <w:style w:type="character" w:customStyle="1" w:styleId="Heading9Char">
    <w:name w:val="Heading 9 Char"/>
    <w:qFormat/>
    <w:rPr>
      <w:b/>
      <w:kern w:val="2"/>
      <w:sz w:val="24"/>
      <w:lang w:val="en-US" w:eastAsia="zh-CN"/>
    </w:rPr>
  </w:style>
  <w:style w:type="character" w:customStyle="1" w:styleId="FooterChar">
    <w:name w:val="Footer Char"/>
    <w:qFormat/>
    <w:rPr>
      <w:rFonts w:ascii="Courier (W1);Courier New" w:hAnsi="Courier (W1);Courier New" w:cs="Courier (W1);Courier New"/>
      <w:color w:val="000000"/>
      <w:sz w:val="24"/>
    </w:rPr>
  </w:style>
  <w:style w:type="character" w:customStyle="1" w:styleId="LinkdaInternet">
    <w:name w:val="Link da Internet"/>
    <w:rPr>
      <w:color w:val="0000FF"/>
      <w:u w:val="single"/>
    </w:rPr>
  </w:style>
  <w:style w:type="character" w:customStyle="1" w:styleId="Linkdainternetvisitado">
    <w:name w:val="Link da internet visitado"/>
    <w:rPr>
      <w:color w:val="800000"/>
      <w:u w:val="single"/>
    </w:rPr>
  </w:style>
  <w:style w:type="character" w:customStyle="1" w:styleId="nfaseforte">
    <w:name w:val="Ênfase forte"/>
    <w:qFormat/>
    <w:rPr>
      <w:b/>
      <w:bCs/>
    </w:rPr>
  </w:style>
  <w:style w:type="character" w:styleId="nfase">
    <w:name w:val="Emphasis"/>
    <w:qFormat/>
    <w:rPr>
      <w:i/>
      <w:iCs/>
    </w:rPr>
  </w:style>
  <w:style w:type="character" w:customStyle="1" w:styleId="SubtitleChar">
    <w:name w:val="Subtitle Char"/>
    <w:qFormat/>
    <w:rPr>
      <w:rFonts w:ascii="Arial" w:eastAsia="Tahoma" w:hAnsi="Arial" w:cs="Tahoma"/>
      <w:i/>
      <w:iCs/>
      <w:kern w:val="2"/>
      <w:sz w:val="28"/>
      <w:szCs w:val="28"/>
      <w:lang w:eastAsia="zh-CN"/>
    </w:rPr>
  </w:style>
  <w:style w:type="character" w:customStyle="1" w:styleId="DivisodeTabelasChar">
    <w:name w:val="Divisão de Tabelas Char"/>
    <w:qFormat/>
  </w:style>
  <w:style w:type="character" w:customStyle="1" w:styleId="FootnoteTextChar">
    <w:name w:val="Footnote Text Char"/>
    <w:qFormat/>
    <w:rPr>
      <w:kern w:val="2"/>
      <w:lang w:eastAsia="zh-CN"/>
    </w:rPr>
  </w:style>
  <w:style w:type="character" w:customStyle="1" w:styleId="TextodebaloChar">
    <w:name w:val="Texto de balão Char"/>
    <w:qFormat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qFormat/>
    <w:rPr>
      <w:rFonts w:ascii="Tahoma" w:hAnsi="Tahoma" w:cs="Tahoma"/>
      <w:kern w:val="2"/>
      <w:sz w:val="16"/>
      <w:szCs w:val="16"/>
      <w:lang w:eastAsia="zh-CN"/>
    </w:rPr>
  </w:style>
  <w:style w:type="character" w:customStyle="1" w:styleId="textfooter1">
    <w:name w:val="text_footer1"/>
    <w:qFormat/>
    <w:rPr>
      <w:rFonts w:ascii="robotoregular;MS Mincho" w:hAnsi="robotoregular;MS Mincho" w:cs="robotoregular;MS Mincho"/>
      <w:vanish w:val="0"/>
      <w:color w:val="393939"/>
      <w:sz w:val="18"/>
      <w:szCs w:val="18"/>
    </w:rPr>
  </w:style>
  <w:style w:type="character" w:customStyle="1" w:styleId="apple-converted-space">
    <w:name w:val="apple-converted-space"/>
    <w:qFormat/>
  </w:style>
  <w:style w:type="paragraph" w:styleId="Ttulo">
    <w:name w:val="Title"/>
    <w:basedOn w:val="Normal"/>
    <w:next w:val="Corpodetexto"/>
    <w:qFormat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overflowPunct/>
      <w:jc w:val="center"/>
      <w:textAlignment w:val="auto"/>
    </w:pPr>
    <w:rPr>
      <w:b/>
      <w:color w:val="000000"/>
      <w:sz w:val="24"/>
      <w:szCs w:val="24"/>
    </w:rPr>
  </w:style>
  <w:style w:type="paragraph" w:styleId="Corpodetexto">
    <w:name w:val="Body Text"/>
    <w:basedOn w:val="Normal"/>
    <w:pPr>
      <w:overflowPunct/>
      <w:jc w:val="both"/>
      <w:textAlignment w:val="auto"/>
    </w:pPr>
    <w:rPr>
      <w:color w:val="000000"/>
      <w:sz w:val="24"/>
      <w:szCs w:val="24"/>
    </w:rPr>
  </w:style>
  <w:style w:type="paragraph" w:styleId="Lista">
    <w:name w:val="List"/>
    <w:basedOn w:val="Corpodetexto"/>
    <w:pPr>
      <w:autoSpaceDE/>
      <w:spacing w:after="120"/>
      <w:jc w:val="left"/>
    </w:pPr>
    <w:rPr>
      <w:rFonts w:cs="Tahoma"/>
      <w:kern w:val="2"/>
      <w:sz w:val="20"/>
      <w:szCs w:val="20"/>
    </w:rPr>
  </w:style>
  <w:style w:type="paragraph" w:styleId="Legenda">
    <w:name w:val="caption"/>
    <w:basedOn w:val="Normal"/>
    <w:qFormat/>
    <w:pPr>
      <w:suppressLineNumbers/>
      <w:overflowPunct/>
      <w:autoSpaceDE/>
      <w:spacing w:before="120" w:after="120"/>
      <w:textAlignment w:val="auto"/>
    </w:pPr>
    <w:rPr>
      <w:rFonts w:cs="Mangal"/>
      <w:i/>
      <w:iCs/>
      <w:kern w:val="2"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  <w:rPr>
      <w:rFonts w:ascii="Courier (W1);Courier New" w:hAnsi="Courier (W1);Courier New" w:cs="Courier (W1);Courier New"/>
      <w:color w:val="000000"/>
      <w:sz w:val="24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customStyle="1" w:styleId="Textopadro">
    <w:name w:val="Texto padrão"/>
    <w:basedOn w:val="Normal"/>
    <w:qFormat/>
    <w:pPr>
      <w:overflowPunct/>
      <w:spacing w:line="100" w:lineRule="atLeast"/>
      <w:textAlignment w:val="auto"/>
    </w:pPr>
    <w:rPr>
      <w:rFonts w:ascii="Thorndale;Times New Roman" w:eastAsia="HG Mincho Light J;Times New Rom" w:hAnsi="Thorndale;Times New Roman" w:cs="Tahoma"/>
      <w:sz w:val="24"/>
      <w:szCs w:val="24"/>
    </w:rPr>
  </w:style>
  <w:style w:type="paragraph" w:customStyle="1" w:styleId="WW-Padro">
    <w:name w:val="WW-Padrão"/>
    <w:qFormat/>
    <w:pPr>
      <w:widowControl w:val="0"/>
    </w:pPr>
    <w:rPr>
      <w:rFonts w:ascii="Thorndale;Times New Roman" w:eastAsia="HG Mincho Light J;Times New Rom" w:hAnsi="Thorndale;Times New Roman" w:cs="Thorndale;Times New Roman"/>
      <w:color w:val="000000"/>
      <w:sz w:val="24"/>
      <w:lang w:bidi="ar-SA"/>
    </w:rPr>
  </w:style>
  <w:style w:type="paragraph" w:styleId="NormalWeb">
    <w:name w:val="Normal (Web)"/>
    <w:basedOn w:val="Normal"/>
    <w:qFormat/>
    <w:pPr>
      <w:overflowPunct/>
      <w:autoSpaceDE/>
      <w:spacing w:before="100" w:after="100"/>
      <w:textAlignment w:val="auto"/>
    </w:pPr>
    <w:rPr>
      <w:sz w:val="24"/>
      <w:szCs w:val="24"/>
    </w:rPr>
  </w:style>
  <w:style w:type="paragraph" w:styleId="Corpodetexto2">
    <w:name w:val="Body Text 2"/>
    <w:basedOn w:val="Normal"/>
    <w:qFormat/>
    <w:pPr>
      <w:overflowPunct/>
      <w:jc w:val="center"/>
      <w:textAlignment w:val="auto"/>
    </w:pPr>
    <w:rPr>
      <w:b/>
      <w:color w:val="000000"/>
      <w:sz w:val="24"/>
      <w:szCs w:val="24"/>
    </w:rPr>
  </w:style>
  <w:style w:type="paragraph" w:styleId="Recuodecorpodetexto">
    <w:name w:val="Body Text Indent"/>
    <w:basedOn w:val="Normal"/>
    <w:pPr>
      <w:overflowPunct/>
      <w:autoSpaceDE/>
      <w:ind w:left="540"/>
      <w:jc w:val="both"/>
      <w:textAlignment w:val="auto"/>
    </w:pPr>
    <w:rPr>
      <w:sz w:val="24"/>
      <w:szCs w:val="24"/>
    </w:rPr>
  </w:style>
  <w:style w:type="paragraph" w:styleId="Recuodecorpodetexto2">
    <w:name w:val="Body Text Indent 2"/>
    <w:basedOn w:val="Normal"/>
    <w:qFormat/>
    <w:pPr>
      <w:overflowPunct/>
      <w:ind w:left="1080"/>
      <w:jc w:val="both"/>
      <w:textAlignment w:val="auto"/>
    </w:pPr>
    <w:rPr>
      <w:color w:val="000000"/>
      <w:sz w:val="24"/>
      <w:szCs w:val="24"/>
    </w:rPr>
  </w:style>
  <w:style w:type="paragraph" w:styleId="Recuodecorpodetexto3">
    <w:name w:val="Body Text Indent 3"/>
    <w:basedOn w:val="Normal"/>
    <w:qFormat/>
    <w:pPr>
      <w:overflowPunct/>
      <w:ind w:left="540"/>
      <w:jc w:val="both"/>
      <w:textAlignment w:val="auto"/>
    </w:pPr>
    <w:rPr>
      <w:color w:val="000000"/>
      <w:sz w:val="24"/>
      <w:szCs w:val="24"/>
    </w:rPr>
  </w:style>
  <w:style w:type="paragraph" w:styleId="Corpodetexto3">
    <w:name w:val="Body Text 3"/>
    <w:basedOn w:val="Normal"/>
    <w:qFormat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overflowPunct/>
      <w:jc w:val="center"/>
      <w:textAlignment w:val="auto"/>
    </w:pPr>
    <w:rPr>
      <w:b/>
      <w:color w:val="000000"/>
      <w:sz w:val="24"/>
      <w:szCs w:val="24"/>
    </w:rPr>
  </w:style>
  <w:style w:type="paragraph" w:styleId="TextosemFormatao">
    <w:name w:val="Plain Text"/>
    <w:basedOn w:val="Normal"/>
    <w:qFormat/>
    <w:pPr>
      <w:overflowPunct/>
      <w:autoSpaceDE/>
      <w:textAlignment w:val="auto"/>
    </w:pPr>
    <w:rPr>
      <w:rFonts w:ascii="Courier New" w:hAnsi="Courier New" w:cs="Courier New"/>
    </w:rPr>
  </w:style>
  <w:style w:type="paragraph" w:styleId="SemEspaamento">
    <w:name w:val="No Spacing"/>
    <w:qFormat/>
    <w:rPr>
      <w:rFonts w:eastAsia="Calibri" w:cs="Calibri"/>
      <w:szCs w:val="22"/>
      <w:lang w:bidi="ar-SA"/>
    </w:rPr>
  </w:style>
  <w:style w:type="paragraph" w:styleId="PargrafodaLista">
    <w:name w:val="List Paragraph"/>
    <w:basedOn w:val="Normal"/>
    <w:qFormat/>
    <w:pPr>
      <w:widowControl w:val="0"/>
      <w:overflowPunct/>
      <w:autoSpaceDE/>
      <w:ind w:left="720"/>
      <w:contextualSpacing/>
      <w:textAlignment w:val="auto"/>
    </w:pPr>
    <w:rPr>
      <w:rFonts w:eastAsia="Lucida Sans Unicode"/>
      <w:sz w:val="24"/>
    </w:rPr>
  </w:style>
  <w:style w:type="paragraph" w:styleId="Subttulo">
    <w:name w:val="Subtitle"/>
    <w:basedOn w:val="Normal"/>
    <w:next w:val="Corpodetexto"/>
    <w:qFormat/>
    <w:pPr>
      <w:keepNext/>
      <w:overflowPunct/>
      <w:autoSpaceDE/>
      <w:spacing w:before="240" w:after="120"/>
      <w:jc w:val="center"/>
      <w:textAlignment w:val="auto"/>
    </w:pPr>
    <w:rPr>
      <w:rFonts w:ascii="Arial" w:eastAsia="Tahoma" w:hAnsi="Arial" w:cs="Arial"/>
      <w:i/>
      <w:iCs/>
      <w:kern w:val="2"/>
      <w:sz w:val="28"/>
      <w:szCs w:val="28"/>
    </w:rPr>
  </w:style>
  <w:style w:type="paragraph" w:customStyle="1" w:styleId="Contedodatabela">
    <w:name w:val="Conteúdo da tabela"/>
    <w:basedOn w:val="Normal"/>
    <w:qFormat/>
    <w:pPr>
      <w:suppressLineNumbers/>
      <w:overflowPunct/>
      <w:autoSpaceDE/>
      <w:textAlignment w:val="auto"/>
    </w:pPr>
    <w:rPr>
      <w:kern w:val="2"/>
    </w:rPr>
  </w:style>
  <w:style w:type="paragraph" w:customStyle="1" w:styleId="Recuodecorpodetexto21">
    <w:name w:val="Recuo de corpo de texto 21"/>
    <w:basedOn w:val="Normal"/>
    <w:qFormat/>
    <w:pPr>
      <w:overflowPunct/>
      <w:autoSpaceDE/>
      <w:spacing w:before="120"/>
      <w:ind w:right="-547" w:firstLine="700"/>
      <w:jc w:val="both"/>
      <w:textAlignment w:val="auto"/>
    </w:pPr>
    <w:rPr>
      <w:kern w:val="2"/>
    </w:rPr>
  </w:style>
  <w:style w:type="paragraph" w:customStyle="1" w:styleId="Recuodecorpodetexto31">
    <w:name w:val="Recuo de corpo de texto 31"/>
    <w:basedOn w:val="Normal"/>
    <w:qFormat/>
    <w:pPr>
      <w:overflowPunct/>
      <w:autoSpaceDE/>
      <w:ind w:firstLine="1418"/>
      <w:jc w:val="both"/>
      <w:textAlignment w:val="auto"/>
    </w:pPr>
    <w:rPr>
      <w:rFonts w:ascii="Arial" w:hAnsi="Arial" w:cs="Arial"/>
      <w:kern w:val="2"/>
    </w:rPr>
  </w:style>
  <w:style w:type="paragraph" w:customStyle="1" w:styleId="Textoembloco1">
    <w:name w:val="Texto em bloco1"/>
    <w:basedOn w:val="Normal"/>
    <w:qFormat/>
    <w:pPr>
      <w:overflowPunct/>
      <w:autoSpaceDE/>
      <w:ind w:left="-567" w:right="-765"/>
      <w:jc w:val="both"/>
      <w:textAlignment w:val="auto"/>
    </w:pPr>
    <w:rPr>
      <w:rFonts w:ascii="Arial" w:hAnsi="Arial" w:cs="Arial"/>
      <w:kern w:val="2"/>
      <w:sz w:val="22"/>
    </w:rPr>
  </w:style>
  <w:style w:type="paragraph" w:customStyle="1" w:styleId="DivisodeTabelas">
    <w:name w:val="Divisão de Tabelas"/>
    <w:basedOn w:val="Normal"/>
    <w:qFormat/>
    <w:pPr>
      <w:spacing w:line="20" w:lineRule="exact"/>
      <w:textAlignment w:val="auto"/>
    </w:pPr>
  </w:style>
  <w:style w:type="paragraph" w:customStyle="1" w:styleId="Corpodetexto22">
    <w:name w:val="Corpo de texto 22"/>
    <w:basedOn w:val="Normal"/>
    <w:qFormat/>
    <w:pPr>
      <w:tabs>
        <w:tab w:val="left" w:pos="567"/>
        <w:tab w:val="left" w:pos="992"/>
      </w:tabs>
      <w:overflowPunct/>
      <w:autoSpaceDE/>
      <w:ind w:right="-567"/>
      <w:jc w:val="both"/>
      <w:textAlignment w:val="auto"/>
    </w:pPr>
    <w:rPr>
      <w:kern w:val="2"/>
    </w:rPr>
  </w:style>
  <w:style w:type="paragraph" w:styleId="Textodenotaderodap">
    <w:name w:val="footnote text"/>
    <w:basedOn w:val="Normal"/>
    <w:pPr>
      <w:suppressLineNumbers/>
      <w:overflowPunct/>
      <w:autoSpaceDE/>
      <w:ind w:left="283" w:hanging="283"/>
      <w:textAlignment w:val="auto"/>
    </w:pPr>
    <w:rPr>
      <w:kern w:val="2"/>
    </w:rPr>
  </w:style>
  <w:style w:type="paragraph" w:styleId="Textodebalo">
    <w:name w:val="Balloon Text"/>
    <w:basedOn w:val="Normal"/>
    <w:qFormat/>
    <w:pPr>
      <w:overflowPunct/>
      <w:autoSpaceDE/>
      <w:textAlignment w:val="auto"/>
    </w:pPr>
    <w:rPr>
      <w:rFonts w:ascii="Tahoma" w:hAnsi="Tahoma" w:cs="Tahoma"/>
      <w:kern w:val="2"/>
      <w:sz w:val="16"/>
      <w:szCs w:val="16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Liberation Serif" w:eastAsia="SimSun;宋体" w:hAnsi="Liberation Serif"/>
      <w:kern w:val="2"/>
      <w:sz w:val="24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western">
    <w:name w:val="western"/>
    <w:basedOn w:val="Normal"/>
    <w:qFormat/>
    <w:pPr>
      <w:overflowPunct/>
      <w:autoSpaceDE/>
      <w:spacing w:before="100" w:after="119"/>
      <w:textAlignment w:val="auto"/>
    </w:pPr>
    <w:rPr>
      <w:rFonts w:ascii="Liberation Serif" w:hAnsi="Liberation Serif" w:cs="Liberation Serif"/>
      <w:sz w:val="24"/>
      <w:szCs w:val="24"/>
    </w:rPr>
  </w:style>
  <w:style w:type="paragraph" w:customStyle="1" w:styleId="BodyText21">
    <w:name w:val="Body Text 21"/>
    <w:basedOn w:val="Normal"/>
    <w:qFormat/>
    <w:pPr>
      <w:overflowPunct/>
      <w:autoSpaceDE/>
      <w:jc w:val="both"/>
      <w:textAlignment w:val="auto"/>
    </w:pPr>
    <w:rPr>
      <w:sz w:val="24"/>
      <w:szCs w:val="24"/>
    </w:rPr>
  </w:style>
  <w:style w:type="paragraph" w:customStyle="1" w:styleId="Default">
    <w:name w:val="Default"/>
    <w:qFormat/>
    <w:pPr>
      <w:autoSpaceDE w:val="0"/>
    </w:pPr>
    <w:rPr>
      <w:rFonts w:ascii="Verdana" w:eastAsia="Times New Roman" w:hAnsi="Verdana" w:cs="Verdana"/>
      <w:color w:val="000000"/>
      <w:sz w:val="24"/>
      <w:lang w:bidi="ar-SA"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1080</Words>
  <Characters>5837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Convite nº Número da Modalidade/Ano do Processo </vt:lpstr>
    </vt:vector>
  </TitlesOfParts>
  <Company/>
  <LinksUpToDate>false</LinksUpToDate>
  <CharactersWithSpaces>6904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Convite nº Número da Modalidade/Ano do Processo </dc:title>
  <dc:subject/>
  <dc:creator>a</dc:creator>
  <cp:keywords/>
  <dc:description/>
  <cp:lastModifiedBy>User</cp:lastModifiedBy>
  <cp:revision>26</cp:revision>
  <dcterms:created xsi:type="dcterms:W3CDTF">2023-06-05T10:43:00Z</dcterms:created>
  <dcterms:modified xsi:type="dcterms:W3CDTF">2026-08-20T19:14:00Z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