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clear" w:pos="720"/>
          <w:tab w:val="left" w:pos="2016" w:leader="none"/>
        </w:tabs>
        <w:ind w:left="0" w:right="-144" w:hanging="0"/>
        <w:jc w:val="center"/>
        <w:outlineLvl w:val="0"/>
        <w:rPr>
          <w:b/>
          <w:b/>
          <w:sz w:val="28"/>
          <w:u w:val="single"/>
        </w:rPr>
      </w:pPr>
      <w:r>
        <w:rPr>
          <w:b/>
          <w:sz w:val="28"/>
          <w:u w:val="single"/>
        </w:rPr>
      </w:r>
    </w:p>
    <w:p>
      <w:pPr>
        <w:pStyle w:val="Normal"/>
        <w:spacing w:before="90" w:after="0"/>
        <w:ind w:left="-4" w:right="1" w:firstLine="4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</w:r>
    </w:p>
    <w:p>
      <w:pPr>
        <w:pStyle w:val="Normal"/>
        <w:spacing w:before="90" w:after="0"/>
        <w:ind w:left="-4" w:right="1" w:firstLine="4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</w:r>
    </w:p>
    <w:p>
      <w:pPr>
        <w:pStyle w:val="Normal"/>
        <w:spacing w:before="90" w:after="0"/>
        <w:ind w:left="-4" w:right="1" w:firstLine="4"/>
        <w:jc w:val="center"/>
        <w:rPr/>
      </w:pPr>
      <w:r>
        <w:rPr>
          <w:rFonts w:eastAsia="Times New Roman" w:cs="Times New Roman"/>
          <w:b/>
          <w:sz w:val="24"/>
        </w:rPr>
        <w:t>ILUSTRÍSSIMO</w:t>
      </w:r>
      <w:r>
        <w:rPr>
          <w:rFonts w:eastAsia="Times New Roman" w:cs="Times New Roman"/>
          <w:b/>
          <w:spacing w:val="-4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>SENHOR</w:t>
      </w:r>
      <w:r>
        <w:rPr>
          <w:rFonts w:eastAsia="Times New Roman" w:cs="Times New Roman"/>
          <w:b/>
          <w:spacing w:val="-4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>PREFEITO</w:t>
      </w:r>
      <w:r>
        <w:rPr>
          <w:rFonts w:eastAsia="Times New Roman" w:cs="Times New Roman"/>
          <w:b/>
          <w:spacing w:val="-3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>MUNICIPAL</w:t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spacing w:lineRule="auto" w:line="360"/>
        <w:ind w:left="-4" w:right="1" w:firstLine="4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ab/>
        <w:t xml:space="preserve">Solicitamos a Vossa Senhoria autorização para </w:t>
      </w:r>
      <w:r>
        <w:rPr>
          <w:rFonts w:eastAsia="Times New Roman" w:cs="Times New Roman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  <w:r>
        <w:rPr>
          <w:rFonts w:eastAsia="Times New Roman" w:cs="Times New Roman"/>
          <w:sz w:val="24"/>
        </w:rPr>
        <w:t>, conforme descrição: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5"/>
        <w:gridCol w:w="1823"/>
        <w:gridCol w:w="1707"/>
        <w:gridCol w:w="1423"/>
      </w:tblGrid>
      <w:tr>
        <w:trPr/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Palestra Show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pBdr/>
        <w:spacing w:lineRule="auto" w:line="276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90" w:after="0"/>
        <w:ind w:left="-4" w:right="1" w:firstLine="4"/>
        <w:jc w:val="both"/>
        <w:rPr/>
      </w:pPr>
      <w:r>
        <w:rPr>
          <w:rFonts w:eastAsia="Times New Roman" w:cs="Times New Roman"/>
          <w:sz w:val="24"/>
        </w:rPr>
        <w:tab/>
        <w:t>Os valores propostos estão dentro do preço de mercado, o que se comprova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com notas fiscais emitidas pelos grupos para desenvolvimento de apresentações em outros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locais.</w:t>
      </w:r>
    </w:p>
    <w:p>
      <w:pPr>
        <w:pStyle w:val="Normal"/>
        <w:spacing w:lineRule="auto" w:line="360" w:before="185" w:after="0"/>
        <w:ind w:left="-4" w:right="1" w:firstLine="4"/>
        <w:jc w:val="both"/>
        <w:rPr/>
      </w:pPr>
      <w:r>
        <w:rPr>
          <w:rFonts w:eastAsia="Times New Roman" w:cs="Times New Roman"/>
          <w:sz w:val="24"/>
        </w:rPr>
        <w:tab/>
        <w:t>Assim,</w:t>
      </w:r>
      <w:r>
        <w:rPr>
          <w:rFonts w:eastAsia="Times New Roman" w:cs="Times New Roman"/>
          <w:spacing w:val="27"/>
          <w:sz w:val="24"/>
        </w:rPr>
        <w:t xml:space="preserve"> </w:t>
      </w:r>
      <w:r>
        <w:rPr>
          <w:rFonts w:eastAsia="Times New Roman" w:cs="Times New Roman"/>
          <w:sz w:val="24"/>
        </w:rPr>
        <w:t>solicitamos</w:t>
      </w:r>
      <w:r>
        <w:rPr>
          <w:rFonts w:eastAsia="Times New Roman" w:cs="Times New Roman"/>
          <w:spacing w:val="29"/>
          <w:sz w:val="24"/>
        </w:rPr>
        <w:t xml:space="preserve"> </w:t>
      </w:r>
      <w:r>
        <w:rPr>
          <w:rFonts w:eastAsia="Times New Roman" w:cs="Times New Roman"/>
          <w:sz w:val="24"/>
        </w:rPr>
        <w:t>que</w:t>
      </w:r>
      <w:r>
        <w:rPr>
          <w:rFonts w:eastAsia="Times New Roman" w:cs="Times New Roman"/>
          <w:spacing w:val="30"/>
          <w:sz w:val="24"/>
        </w:rPr>
        <w:t xml:space="preserve"> </w:t>
      </w:r>
      <w:r>
        <w:rPr>
          <w:rFonts w:eastAsia="Times New Roman" w:cs="Times New Roman"/>
          <w:sz w:val="24"/>
        </w:rPr>
        <w:t>a</w:t>
      </w:r>
      <w:r>
        <w:rPr>
          <w:rFonts w:eastAsia="Times New Roman" w:cs="Times New Roman"/>
          <w:spacing w:val="27"/>
          <w:sz w:val="24"/>
        </w:rPr>
        <w:t xml:space="preserve"> </w:t>
      </w:r>
      <w:r>
        <w:rPr>
          <w:rFonts w:eastAsia="Times New Roman" w:cs="Times New Roman"/>
          <w:sz w:val="24"/>
        </w:rPr>
        <w:t>contratação</w:t>
      </w:r>
      <w:r>
        <w:rPr>
          <w:rFonts w:eastAsia="Times New Roman" w:cs="Times New Roman"/>
          <w:spacing w:val="28"/>
          <w:sz w:val="24"/>
        </w:rPr>
        <w:t xml:space="preserve"> </w:t>
      </w:r>
      <w:r>
        <w:rPr>
          <w:rFonts w:eastAsia="Times New Roman" w:cs="Times New Roman"/>
          <w:sz w:val="24"/>
        </w:rPr>
        <w:t>seja</w:t>
      </w:r>
      <w:r>
        <w:rPr>
          <w:rFonts w:eastAsia="Times New Roman" w:cs="Times New Roman"/>
          <w:spacing w:val="30"/>
          <w:sz w:val="24"/>
        </w:rPr>
        <w:t xml:space="preserve"> </w:t>
      </w:r>
      <w:r>
        <w:rPr>
          <w:rFonts w:eastAsia="Times New Roman" w:cs="Times New Roman"/>
          <w:sz w:val="24"/>
        </w:rPr>
        <w:t>efetuada</w:t>
      </w:r>
      <w:r>
        <w:rPr>
          <w:rFonts w:eastAsia="Times New Roman" w:cs="Times New Roman"/>
          <w:spacing w:val="27"/>
          <w:sz w:val="24"/>
        </w:rPr>
        <w:t xml:space="preserve"> </w:t>
      </w:r>
      <w:r>
        <w:rPr>
          <w:rFonts w:eastAsia="Times New Roman" w:cs="Times New Roman"/>
          <w:sz w:val="24"/>
        </w:rPr>
        <w:t>por</w:t>
      </w:r>
      <w:r>
        <w:rPr>
          <w:rFonts w:eastAsia="Times New Roman" w:cs="Times New Roman"/>
          <w:spacing w:val="26"/>
          <w:sz w:val="24"/>
        </w:rPr>
        <w:t xml:space="preserve"> </w:t>
      </w:r>
      <w:r>
        <w:rPr>
          <w:rFonts w:eastAsia="Times New Roman" w:cs="Times New Roman"/>
          <w:spacing w:val="26"/>
          <w:sz w:val="24"/>
          <w:szCs w:val="24"/>
        </w:rPr>
        <w:t>Inexigibilidade</w:t>
      </w:r>
      <w:r>
        <w:rPr>
          <w:rFonts w:eastAsia="Times New Roman" w:cs="Times New Roman"/>
          <w:sz w:val="24"/>
        </w:rPr>
        <w:t>,</w:t>
      </w:r>
      <w:r>
        <w:rPr>
          <w:rFonts w:eastAsia="Times New Roman" w:cs="Times New Roman"/>
          <w:spacing w:val="28"/>
          <w:sz w:val="24"/>
        </w:rPr>
        <w:t xml:space="preserve"> </w:t>
      </w:r>
      <w:r>
        <w:rPr>
          <w:rFonts w:eastAsia="Times New Roman" w:cs="Times New Roman"/>
          <w:sz w:val="24"/>
        </w:rPr>
        <w:t>de</w:t>
      </w:r>
      <w:r>
        <w:rPr>
          <w:rFonts w:eastAsia="Times New Roman" w:cs="Times New Roman"/>
          <w:spacing w:val="-57"/>
          <w:sz w:val="24"/>
        </w:rPr>
        <w:t xml:space="preserve"> </w:t>
      </w:r>
      <w:r>
        <w:rPr>
          <w:rFonts w:eastAsia="Times New Roman" w:cs="Times New Roman"/>
          <w:sz w:val="24"/>
        </w:rPr>
        <w:t>conformidade à</w:t>
      </w:r>
      <w:r>
        <w:rPr>
          <w:rFonts w:eastAsia="Times New Roman" w:cs="Times New Roman"/>
          <w:spacing w:val="-1"/>
          <w:sz w:val="24"/>
        </w:rPr>
        <w:t xml:space="preserve"> </w:t>
      </w:r>
      <w:r>
        <w:rPr>
          <w:rFonts w:eastAsia="Times New Roman" w:cs="Times New Roman"/>
          <w:sz w:val="24"/>
        </w:rPr>
        <w:t>autorização prevista</w:t>
      </w:r>
      <w:r>
        <w:rPr>
          <w:rFonts w:eastAsia="Times New Roman" w:cs="Times New Roman"/>
          <w:spacing w:val="-1"/>
          <w:sz w:val="24"/>
        </w:rPr>
        <w:t xml:space="preserve"> </w:t>
      </w:r>
      <w:r>
        <w:rPr>
          <w:rFonts w:eastAsia="Times New Roman" w:cs="Times New Roman"/>
          <w:sz w:val="24"/>
        </w:rPr>
        <w:t xml:space="preserve">no </w:t>
      </w:r>
      <w:r>
        <w:rPr>
          <w:rFonts w:eastAsia="Times New Roman" w:cs="Times New Roman"/>
          <w:sz w:val="24"/>
          <w:szCs w:val="24"/>
        </w:rPr>
        <w:t>Lei n° 14.133/2021, Art. 74, inc. II</w:t>
      </w:r>
      <w:r>
        <w:rPr>
          <w:rFonts w:eastAsia="Times New Roman" w:cs="Times New Roman"/>
          <w:sz w:val="24"/>
        </w:rPr>
        <w:t>.</w:t>
      </w:r>
    </w:p>
    <w:p>
      <w:pPr>
        <w:pStyle w:val="Normal"/>
        <w:spacing w:lineRule="auto" w:line="360"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ind w:left="-4" w:right="1" w:firstLine="4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>Viadutos</w:t>
      </w:r>
      <w:r>
        <w:rPr>
          <w:rFonts w:eastAsia="Times New Roman" w:cs="Times New Roman"/>
          <w:sz w:val="24"/>
        </w:rPr>
        <w:t xml:space="preserve"> – </w:t>
      </w:r>
      <w:r>
        <w:rPr>
          <w:rFonts w:eastAsia="Times New Roman" w:cs="Times New Roman"/>
          <w:sz w:val="24"/>
        </w:rPr>
        <w:t xml:space="preserve">RS, </w:t>
      </w:r>
      <w:r>
        <w:rPr>
          <w:rFonts w:eastAsia="Times New Roman" w:cs="Times New Roman"/>
          <w:sz w:val="24"/>
          <w:szCs w:val="24"/>
        </w:rPr>
        <w:t>05/01/26</w:t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jc w:val="center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>Adriana Tobaldoni</w:t>
      </w:r>
    </w:p>
    <w:p>
      <w:pPr>
        <w:pStyle w:val="Normal"/>
        <w:pBdr/>
        <w:ind w:left="-4" w:right="1" w:firstLine="4"/>
        <w:jc w:val="center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>Secretária Municipal de Educação</w:t>
      </w:r>
      <w:r>
        <w:br w:type="page"/>
      </w:r>
    </w:p>
    <w:p>
      <w:pPr>
        <w:pStyle w:val="Centered"/>
        <w:ind w:left="0" w:right="0" w:hanging="0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  <w:t>TERMO DE REFERÊNCIA</w:t>
      </w:r>
    </w:p>
    <w:p>
      <w:pPr>
        <w:pStyle w:val="ParagraphStyle"/>
        <w:widowControl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ind w:left="0" w:right="0" w:hanging="0"/>
        <w:jc w:val="center"/>
        <w:rPr/>
      </w:pPr>
      <w:r>
        <w:rPr>
          <w:rFonts w:ascii="Times New Roman" w:hAnsi="Times New Roman"/>
          <w:b/>
          <w:sz w:val="24"/>
        </w:rPr>
        <w:t>PROCESSO ADMINISTRATIVO Nº 4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/2026</w:t>
      </w:r>
    </w:p>
    <w:p>
      <w:pPr>
        <w:pStyle w:val="ParagraphStyle"/>
        <w:widowControl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 xml:space="preserve">Necessidade da Administração: </w:t>
      </w:r>
      <w:r>
        <w:rPr>
          <w:rFonts w:eastAsia="Times New Roman" w:cs="Times New Roman" w:ascii="Times New Roman" w:hAnsi="Times New Roman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1. DEFINIÇÃO DO OBJETO</w:t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4"/>
        </w:rPr>
        <w:tab/>
        <w:t xml:space="preserve">O presente termo tem por objeto: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>Os bens/serviços objeto da contratação pretendida possuem as seguintes especificações: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5"/>
        <w:gridCol w:w="1823"/>
        <w:gridCol w:w="1707"/>
        <w:gridCol w:w="1423"/>
      </w:tblGrid>
      <w:tr>
        <w:trPr/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Palestra Show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ind w:left="0" w:right="0" w:hanging="0"/>
        <w:jc w:val="both"/>
        <w:rPr>
          <w:rFonts w:ascii="Courier New" w:hAnsi="Courier New"/>
          <w:color w:val="000000"/>
          <w:sz w:val="14"/>
        </w:rPr>
      </w:pPr>
      <w:r>
        <w:rPr>
          <w:rFonts w:ascii="Courier New" w:hAnsi="Courier New"/>
          <w:color w:val="000000"/>
          <w:sz w:val="14"/>
        </w:rPr>
      </w:r>
    </w:p>
    <w:p>
      <w:pPr>
        <w:pStyle w:val="ParagraphStyle"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b/>
          <w:color w:val="000000"/>
          <w:sz w:val="24"/>
        </w:rPr>
        <w:t>2. FUNDAMENTAÇÃO DA CONTRATAÇÃO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 xml:space="preserve">Conforme o estudo realizado chegou-se a necessidade de contratação dos seguintes objetos: 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5"/>
        <w:gridCol w:w="1823"/>
        <w:gridCol w:w="1707"/>
        <w:gridCol w:w="1423"/>
      </w:tblGrid>
      <w:tr>
        <w:trPr/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Palestra Show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ind w:left="0" w:right="0" w:hanging="0"/>
        <w:jc w:val="both"/>
        <w:rPr/>
      </w:pPr>
      <w:r>
        <w:rPr/>
      </w:r>
      <w:bookmarkStart w:id="0" w:name="art6xxiiic"/>
      <w:bookmarkStart w:id="1" w:name="art6xxiiic"/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3. DESCRIÇÃO DA SOLUÇÃO COMO UM TODO</w:t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ab/>
        <w:t>A solução proposta é a realização de um (a</w:t>
      </w:r>
      <w:r>
        <w:rPr>
          <w:rFonts w:ascii="Times New Roman" w:hAnsi="Times New Roman"/>
          <w:sz w:val="24"/>
        </w:rPr>
        <w:t xml:space="preserve">)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Inexigibilidade</w:t>
      </w:r>
      <w:r>
        <w:rPr>
          <w:rFonts w:ascii="Times New Roman" w:hAnsi="Times New Roman"/>
          <w:sz w:val="24"/>
        </w:rPr>
        <w:t>, objetivando a contratação de empresa para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os profissionais da educação que ocorrerá no dia 13 de fevereiro de 2026, para a abertura do ano letivo de 2026 com o tema "Um Show de Aula".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4. REQUISITOS DA CONTRATAÇÃO</w:t>
      </w:r>
      <w:bookmarkStart w:id="2" w:name="art6xxiiid"/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ab/>
        <w:t>Os produtos/serviços deverão ser entregues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com o pagamento previsto para ser efetuado 10 dias após a prestação dos serviços.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ab/>
        <w:t xml:space="preserve">A contratação será realizada por meio de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Inexigibilidade</w:t>
      </w:r>
      <w:r>
        <w:rPr>
          <w:rFonts w:ascii="Times New Roman" w:hAnsi="Times New Roman"/>
          <w:sz w:val="24"/>
        </w:rPr>
        <w:t xml:space="preserve"> nos termos da Lei Federal nº 14.133/2021.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5. MODELO DE EXECUÇÃO DO OBJETO</w:t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ab/>
        <w:t xml:space="preserve">Os produtos/serviços deverão ser entregues </w:t>
      </w:r>
      <w:r>
        <w:rPr>
          <w:rFonts w:ascii="Times New Roman" w:hAnsi="Times New Roman"/>
          <w:sz w:val="24"/>
        </w:rPr>
        <w:t>conforme solicitado.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6. MODELO DE GESTÃO DO CONTRATO</w:t>
      </w:r>
      <w:bookmarkStart w:id="3" w:name="art6xxiiif"/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  <w:t xml:space="preserve">A gestão e a fiscalização do objeto contratado serão realizadas </w:t>
      </w:r>
      <w:r>
        <w:rPr>
          <w:rFonts w:ascii="Times New Roman" w:hAnsi="Times New Roman"/>
          <w:color w:val="000000"/>
          <w:sz w:val="24"/>
        </w:rPr>
        <w:t>pelo órgão competente.</w:t>
      </w:r>
    </w:p>
    <w:p>
      <w:pPr>
        <w:pStyle w:val="ParagraphStyle"/>
        <w:widowControl/>
        <w:ind w:left="0" w:right="0" w:hanging="0"/>
        <w:jc w:val="both"/>
        <w:rPr/>
      </w:pPr>
      <w:r>
        <w:rPr/>
      </w:r>
      <w:bookmarkStart w:id="4" w:name="art6xxiiig"/>
      <w:bookmarkStart w:id="5" w:name="art6xxiiig"/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7. CRITÉRIOS DE MEDIÇÃO E DE PAGAMENTO</w:t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sz w:val="24"/>
        </w:rPr>
        <w:tab/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8. FORMA E CRITÉRIOS DE SELEÇÃO DO FORNECEDOR/PRESTADOR DE SERVIÇO</w:t>
      </w:r>
    </w:p>
    <w:p>
      <w:pPr>
        <w:pStyle w:val="ParagraphStyle"/>
        <w:widowControl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4"/>
        </w:rPr>
        <w:tab/>
        <w:t xml:space="preserve">Conforme disposto no item 4, o futuro contratado será selecionado mediante processo de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Inexigibilidade</w:t>
      </w:r>
      <w:r>
        <w:rPr>
          <w:rFonts w:ascii="Times New Roman" w:hAnsi="Times New Roman"/>
          <w:color w:val="000000"/>
          <w:sz w:val="24"/>
        </w:rPr>
        <w:t>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9. ESTIMATIVA DO VALOR DA CONTRATAÇÃO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Estima-se para a contratação almejada o valor conforme descrito abaixo: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5"/>
        <w:gridCol w:w="1823"/>
        <w:gridCol w:w="1707"/>
        <w:gridCol w:w="1423"/>
      </w:tblGrid>
      <w:tr>
        <w:trPr/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Palestra Show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sz w:val="20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</w:t>
      </w:r>
      <w:r>
        <w:rPr>
          <w:rFonts w:ascii="Times New Roman" w:hAnsi="Times New Roman"/>
          <w:sz w:val="24"/>
        </w:rPr>
        <w:t>Viadutos-RS</w:t>
      </w:r>
      <w:r>
        <w:rPr>
          <w:rFonts w:ascii="Times New Roman" w:hAnsi="Times New Roman"/>
          <w:sz w:val="24"/>
        </w:rPr>
        <w:t>, nos termos da Lei Federal nº 14.133/2021”, nos termos do art. 23, § 1º, da Lei Federal nº 14.133/2021.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10. ADEQUAÇÃO ORÇAMENTÁRIA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O dispêndio financeiro decorrente da contratação ora pretendida decorrerá da dotação orçamentária: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5070"/>
        <w:gridCol w:w="1356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Recurso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/>
            </w:pPr>
            <w:r>
              <w:rPr/>
              <w:t>1365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SERVIÇO DE SELEÇÃO E TREINAMENTO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1500</w:t>
            </w:r>
          </w:p>
        </w:tc>
      </w:tr>
    </w:tbl>
    <w:p>
      <w:pPr>
        <w:pStyle w:val="Normal"/>
        <w:widowControl/>
        <w:spacing w:lineRule="auto" w:line="276"/>
        <w:ind w:left="0" w:right="0" w:hanging="0"/>
        <w:jc w:val="both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entered"/>
        <w:ind w:left="0" w:right="0" w:hanging="0"/>
        <w:rPr/>
      </w:pPr>
      <w:r>
        <w:rPr>
          <w:rFonts w:eastAsia="Times New Roman" w:cs="Courier New" w:ascii="Times New Roman" w:hAnsi="Times New Roman"/>
          <w:sz w:val="24"/>
          <w:szCs w:val="24"/>
        </w:rPr>
        <w:t>Viadutos – RS</w:t>
      </w:r>
      <w:r>
        <w:rPr>
          <w:rFonts w:ascii="Times New Roman" w:hAnsi="Times New Roman"/>
          <w:sz w:val="24"/>
        </w:rPr>
        <w:t>, 05/01/26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ParagraphStyle"/>
        <w:widowControl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ParagraphStyle"/>
        <w:widowControl/>
        <w:ind w:left="0" w:right="0" w:hanging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</w:t>
      </w:r>
    </w:p>
    <w:p>
      <w:pPr>
        <w:pStyle w:val="ParagraphStyle"/>
        <w:widowControl/>
        <w:ind w:left="0" w:right="0" w:hanging="0"/>
        <w:jc w:val="center"/>
        <w:rPr>
          <w:rFonts w:ascii="Times New Roman" w:hAnsi="Times New Roman" w:eastAsia="Times New Roman" w:cs="Courier New"/>
          <w:sz w:val="24"/>
          <w:szCs w:val="24"/>
        </w:rPr>
      </w:pPr>
      <w:r>
        <w:rPr>
          <w:rFonts w:eastAsia="Times New Roman" w:cs="Courier New" w:ascii="Times New Roman" w:hAnsi="Times New Roman"/>
          <w:sz w:val="24"/>
          <w:szCs w:val="24"/>
        </w:rPr>
        <w:t>Adriana Tobaldini</w:t>
      </w:r>
    </w:p>
    <w:p>
      <w:pPr>
        <w:pStyle w:val="ParagraphStyle"/>
        <w:widowControl/>
        <w:ind w:left="0" w:right="0" w:hanging="0"/>
        <w:jc w:val="center"/>
        <w:rPr>
          <w:rFonts w:ascii="Times New Roman" w:hAnsi="Times New Roman" w:eastAsia="Times New Roman" w:cs="Courier New"/>
          <w:sz w:val="24"/>
          <w:szCs w:val="24"/>
        </w:rPr>
      </w:pPr>
      <w:r>
        <w:rPr>
          <w:rFonts w:eastAsia="Times New Roman" w:cs="Courier New" w:ascii="Times New Roman" w:hAnsi="Times New Roman"/>
          <w:sz w:val="24"/>
          <w:szCs w:val="24"/>
        </w:rPr>
        <w:t>Secretária Municipal de Educação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numPr>
          <w:ilvl w:val="0"/>
          <w:numId w:val="0"/>
        </w:numPr>
        <w:spacing w:lineRule="auto" w:line="360" w:before="185" w:after="0"/>
        <w:ind w:left="0" w:right="1" w:hanging="0"/>
        <w:jc w:val="both"/>
        <w:outlineLvl w:val="1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  <w:t xml:space="preserve">EDITAL DE </w:t>
      </w:r>
      <w:r>
        <w:rPr>
          <w:rFonts w:eastAsia="Times New Roman" w:cs="Times New Roman"/>
          <w:b/>
          <w:sz w:val="24"/>
          <w:szCs w:val="24"/>
        </w:rPr>
        <w:t>Inexigibilidade</w:t>
      </w:r>
      <w:r>
        <w:rPr>
          <w:rFonts w:eastAsia="Times New Roman" w:cs="Times New Roman"/>
          <w:b/>
          <w:sz w:val="24"/>
        </w:rPr>
        <w:t xml:space="preserve"> DE LICITAÇÃO Nº 3</w:t>
      </w:r>
      <w:r>
        <w:rPr>
          <w:rFonts w:eastAsia="Times New Roman" w:cs="Times New Roman"/>
          <w:b/>
          <w:sz w:val="24"/>
          <w:szCs w:val="24"/>
        </w:rPr>
        <w:t>/2026</w:t>
      </w:r>
    </w:p>
    <w:p>
      <w:pPr>
        <w:pStyle w:val="Normal"/>
        <w:numPr>
          <w:ilvl w:val="0"/>
          <w:numId w:val="0"/>
        </w:numPr>
        <w:spacing w:lineRule="auto" w:line="360" w:before="185" w:after="0"/>
        <w:ind w:left="0" w:right="1" w:hanging="0"/>
        <w:jc w:val="center"/>
        <w:outlineLvl w:val="1"/>
        <w:rPr/>
      </w:pPr>
      <w:r>
        <w:rPr>
          <w:rFonts w:eastAsia="Times New Roman" w:cs="Times New Roman"/>
          <w:b/>
          <w:spacing w:val="-57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>DATA</w:t>
      </w:r>
      <w:r>
        <w:rPr>
          <w:rFonts w:eastAsia="Times New Roman" w:cs="Times New Roman"/>
          <w:b/>
          <w:spacing w:val="-1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 xml:space="preserve">DE ABERTURA: </w:t>
      </w:r>
      <w:r>
        <w:rPr>
          <w:rFonts w:eastAsia="Times New Roman" w:cs="Times New Roman"/>
          <w:b/>
          <w:sz w:val="24"/>
          <w:szCs w:val="24"/>
        </w:rPr>
        <w:t>05/01/26</w:t>
      </w:r>
    </w:p>
    <w:p>
      <w:pPr>
        <w:pStyle w:val="Normal"/>
        <w:spacing w:before="1" w:after="0"/>
        <w:ind w:left="0" w:right="1" w:hanging="0"/>
        <w:rPr/>
      </w:pPr>
      <w:r>
        <w:rPr/>
      </w:r>
    </w:p>
    <w:p>
      <w:pPr>
        <w:pStyle w:val="Normal"/>
        <w:ind w:left="0" w:right="1" w:hanging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ab/>
        <w:t xml:space="preserve">Versa o presente Edital sobre a Inexigibilidade de Licitação referente </w:t>
      </w:r>
      <w:r>
        <w:rPr>
          <w:rFonts w:eastAsia="Times New Roman" w:cs="Times New Roman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  <w:r>
        <w:rPr>
          <w:rFonts w:eastAsia="Times New Roman" w:cs="Times New Roman"/>
          <w:sz w:val="24"/>
        </w:rPr>
        <w:t>, sendo contratadas as seguintes empresas:</w:t>
      </w:r>
    </w:p>
    <w:p>
      <w:pPr>
        <w:pStyle w:val="Normal"/>
        <w:widowControl/>
        <w:spacing w:lineRule="auto" w:line="360" w:before="0" w:after="160"/>
        <w:ind w:left="0" w:right="0" w:firstLine="2835"/>
        <w:jc w:val="both"/>
        <w:rPr/>
      </w:pPr>
      <w:r>
        <w:rPr/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67"/>
        <w:gridCol w:w="3028"/>
        <w:gridCol w:w="2243"/>
      </w:tblGrid>
      <w:tr>
        <w:trPr/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ROGER ANDREI DE CASTRO VASCONCELOS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11.114.871/0001-52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spacing w:lineRule="auto" w:line="276" w:before="0" w:after="160"/>
        <w:ind w:left="0" w:right="0" w:firstLine="2835"/>
        <w:jc w:val="both"/>
        <w:rPr/>
      </w:pPr>
      <w:r>
        <w:rPr/>
      </w:r>
    </w:p>
    <w:p>
      <w:pPr>
        <w:pStyle w:val="Normal"/>
        <w:ind w:left="0" w:right="1" w:hanging="0"/>
        <w:jc w:val="both"/>
        <w:rPr/>
      </w:pPr>
      <w:r>
        <w:rPr>
          <w:rFonts w:eastAsia="Times New Roman" w:cs="Times New Roman"/>
          <w:sz w:val="24"/>
        </w:rPr>
        <w:tab/>
        <w:t>Servirá</w:t>
      </w:r>
      <w:r>
        <w:rPr>
          <w:rFonts w:eastAsia="Times New Roman" w:cs="Times New Roman"/>
          <w:spacing w:val="61"/>
          <w:sz w:val="24"/>
        </w:rPr>
        <w:t xml:space="preserve"> </w:t>
      </w:r>
      <w:r>
        <w:rPr>
          <w:rFonts w:eastAsia="Times New Roman" w:cs="Times New Roman"/>
          <w:sz w:val="24"/>
        </w:rPr>
        <w:t>para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cobertura</w:t>
      </w:r>
      <w:r>
        <w:rPr>
          <w:rFonts w:eastAsia="Times New Roman" w:cs="Times New Roman"/>
          <w:spacing w:val="3"/>
          <w:sz w:val="24"/>
        </w:rPr>
        <w:t xml:space="preserve"> </w:t>
      </w:r>
      <w:r>
        <w:rPr>
          <w:rFonts w:eastAsia="Times New Roman" w:cs="Times New Roman"/>
          <w:sz w:val="24"/>
        </w:rPr>
        <w:t>da</w:t>
      </w:r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sz w:val="24"/>
        </w:rPr>
        <w:t>presente</w:t>
      </w:r>
      <w:r>
        <w:rPr>
          <w:rFonts w:eastAsia="Times New Roman" w:cs="Times New Roman"/>
          <w:spacing w:val="7"/>
          <w:sz w:val="24"/>
        </w:rPr>
        <w:t xml:space="preserve"> </w:t>
      </w:r>
      <w:r>
        <w:rPr>
          <w:rFonts w:eastAsia="Times New Roman" w:cs="Times New Roman"/>
          <w:sz w:val="24"/>
        </w:rPr>
        <w:t>despesa</w:t>
      </w:r>
      <w:r>
        <w:rPr>
          <w:rFonts w:eastAsia="Times New Roman" w:cs="Times New Roman"/>
          <w:spacing w:val="3"/>
          <w:sz w:val="24"/>
        </w:rPr>
        <w:t xml:space="preserve"> </w:t>
      </w:r>
      <w:r>
        <w:rPr>
          <w:rFonts w:eastAsia="Times New Roman" w:cs="Times New Roman"/>
          <w:sz w:val="24"/>
        </w:rPr>
        <w:t>a</w:t>
      </w:r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sz w:val="24"/>
        </w:rPr>
        <w:t>seguinte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dotação orçamentária: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5070"/>
        <w:gridCol w:w="1356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Recurso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/>
            </w:pPr>
            <w:r>
              <w:rPr/>
              <w:t>1365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SERVIÇO DE SELEÇÃO E TREINAMENTO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1500</w:t>
            </w:r>
          </w:p>
        </w:tc>
      </w:tr>
    </w:tbl>
    <w:p>
      <w:pPr>
        <w:pStyle w:val="Normal"/>
        <w:widowControl/>
        <w:spacing w:lineRule="auto" w:line="276"/>
        <w:jc w:val="both"/>
        <w:rPr/>
      </w:pPr>
      <w:r>
        <w:rPr/>
      </w:r>
    </w:p>
    <w:p>
      <w:pPr>
        <w:pStyle w:val="Normal"/>
        <w:ind w:left="0" w:right="1" w:hanging="0"/>
        <w:jc w:val="center"/>
        <w:rPr/>
      </w:pPr>
      <w:r>
        <w:rPr>
          <w:rFonts w:eastAsia="Times New Roman" w:cs="Times New Roman"/>
          <w:sz w:val="24"/>
        </w:rPr>
        <w:t>Prefeitura</w:t>
      </w:r>
      <w:r>
        <w:rPr>
          <w:rFonts w:eastAsia="Times New Roman" w:cs="Times New Roman"/>
          <w:spacing w:val="-3"/>
          <w:sz w:val="24"/>
        </w:rPr>
        <w:t xml:space="preserve"> </w:t>
      </w:r>
      <w:r>
        <w:rPr>
          <w:rFonts w:eastAsia="Times New Roman" w:cs="Times New Roman"/>
          <w:sz w:val="24"/>
        </w:rPr>
        <w:t>Municipal</w:t>
      </w:r>
      <w:r>
        <w:rPr>
          <w:rFonts w:eastAsia="Times New Roman" w:cs="Times New Roman"/>
          <w:spacing w:val="-1"/>
          <w:sz w:val="24"/>
        </w:rPr>
        <w:t xml:space="preserve"> </w:t>
      </w:r>
      <w:r>
        <w:rPr>
          <w:rFonts w:eastAsia="Times New Roman" w:cs="Times New Roman"/>
          <w:sz w:val="24"/>
        </w:rPr>
        <w:t xml:space="preserve">de Viadutos, </w:t>
      </w:r>
      <w:r>
        <w:rPr>
          <w:rFonts w:eastAsia="Times New Roman" w:cs="Times New Roman"/>
          <w:sz w:val="24"/>
          <w:szCs w:val="24"/>
        </w:rPr>
        <w:t>05/01/26</w:t>
      </w:r>
    </w:p>
    <w:p>
      <w:pPr>
        <w:pStyle w:val="Normal"/>
        <w:pBdr/>
        <w:ind w:left="0" w:right="1" w:hanging="0"/>
        <w:rPr/>
      </w:pPr>
      <w:r>
        <w:rPr/>
      </w:r>
    </w:p>
    <w:p>
      <w:pPr>
        <w:pStyle w:val="Normal"/>
        <w:pBdr/>
        <w:ind w:left="0" w:right="1" w:hanging="0"/>
        <w:rPr/>
      </w:pPr>
      <w:r>
        <w:rPr/>
      </w:r>
    </w:p>
    <w:p>
      <w:pPr>
        <w:pStyle w:val="Normal"/>
        <w:pBdr/>
        <w:ind w:left="0" w:right="1" w:hanging="0"/>
        <w:rPr/>
      </w:pPr>
      <w:r>
        <w:rPr/>
      </w:r>
    </w:p>
    <w:p>
      <w:pPr>
        <w:pStyle w:val="Normal"/>
        <w:pBdr/>
        <w:ind w:left="0" w:right="1" w:hanging="0"/>
        <w:rPr/>
      </w:pPr>
      <w:r>
        <w:rPr/>
      </w:r>
    </w:p>
    <w:p>
      <w:pPr>
        <w:pStyle w:val="Normal"/>
        <w:spacing w:before="185" w:after="0"/>
        <w:ind w:left="0" w:right="1" w:hanging="0"/>
        <w:jc w:val="center"/>
        <w:rPr>
          <w:rFonts w:ascii="Times New Roman" w:hAnsi="Times New Roman" w:eastAsia="Times New Roman" w:cs="Times New Roman"/>
          <w:b/>
          <w:b/>
          <w:i/>
          <w:i/>
          <w:sz w:val="24"/>
        </w:rPr>
      </w:pPr>
      <w:r>
        <w:rPr>
          <w:rFonts w:eastAsia="Times New Roman" w:cs="Times New Roman"/>
          <w:b/>
          <w:i/>
          <w:sz w:val="24"/>
        </w:rPr>
        <w:t>Adriana Tobaldini</w:t>
      </w:r>
    </w:p>
    <w:p>
      <w:pPr>
        <w:pStyle w:val="Normal"/>
        <w:ind w:left="0" w:right="1" w:hanging="0"/>
        <w:jc w:val="center"/>
        <w:rPr/>
      </w:pPr>
      <w:r>
        <w:rPr>
          <w:rFonts w:eastAsia="Times New Roman" w:cs="Times New Roman"/>
          <w:sz w:val="24"/>
        </w:rPr>
        <w:t>Secretári</w:t>
      </w:r>
      <w:r>
        <w:rPr>
          <w:rFonts w:eastAsia="Times New Roman" w:cs="Times New Roman"/>
          <w:sz w:val="24"/>
        </w:rPr>
        <w:t>o</w:t>
      </w:r>
      <w:r>
        <w:rPr>
          <w:rFonts w:eastAsia="Times New Roman" w:cs="Times New Roman"/>
          <w:spacing w:val="-3"/>
          <w:sz w:val="24"/>
        </w:rPr>
        <w:t xml:space="preserve"> </w:t>
      </w:r>
      <w:r>
        <w:rPr>
          <w:rFonts w:eastAsia="Times New Roman" w:cs="Times New Roman"/>
          <w:sz w:val="24"/>
        </w:rPr>
        <w:t>Municipal</w:t>
      </w:r>
      <w:r>
        <w:rPr>
          <w:rFonts w:eastAsia="Times New Roman" w:cs="Times New Roman"/>
          <w:spacing w:val="-2"/>
          <w:sz w:val="24"/>
        </w:rPr>
        <w:t xml:space="preserve"> </w:t>
      </w:r>
      <w:r>
        <w:rPr>
          <w:rFonts w:eastAsia="Times New Roman" w:cs="Times New Roman"/>
          <w:sz w:val="24"/>
        </w:rPr>
        <w:t xml:space="preserve">de </w:t>
      </w:r>
      <w:r>
        <w:rPr>
          <w:rFonts w:eastAsia="Times New Roman" w:cs="Times New Roman"/>
          <w:color w:val="auto"/>
          <w:sz w:val="24"/>
          <w:szCs w:val="20"/>
          <w:lang w:val="pt-BR" w:bidi="ar-SA"/>
        </w:rPr>
        <w:t>Educação</w:t>
      </w:r>
    </w:p>
    <w:p>
      <w:pPr>
        <w:pStyle w:val="Normal"/>
        <w:ind w:left="0" w:right="1" w:hanging="0"/>
        <w:jc w:val="center"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spacing w:before="1" w:after="0"/>
        <w:rPr/>
      </w:pPr>
      <w:r>
        <w:rPr/>
      </w:r>
    </w:p>
    <w:p>
      <w:pPr>
        <w:pStyle w:val="Normal"/>
        <w:ind w:left="1238" w:right="0" w:hanging="0"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pBdr/>
        <w:rPr/>
      </w:pPr>
      <w:r>
        <w:rPr>
          <w:rFonts w:eastAsia="Times New Roman" w:cs="Times New Roman"/>
          <w:b/>
          <w:color w:val="000000"/>
          <w:sz w:val="24"/>
        </w:rPr>
        <w:t>Do:</w:t>
      </w:r>
      <w:r>
        <w:rPr>
          <w:rFonts w:eastAsia="Times New Roman" w:cs="Times New Roman"/>
          <w:color w:val="000000"/>
          <w:sz w:val="24"/>
        </w:rPr>
        <w:t xml:space="preserve"> Gabinete do Prefeito</w:t>
      </w:r>
    </w:p>
    <w:p>
      <w:pPr>
        <w:pStyle w:val="Normal"/>
        <w:pBdr/>
        <w:rPr/>
      </w:pPr>
      <w:r>
        <w:rPr>
          <w:rFonts w:eastAsia="Times New Roman" w:cs="Times New Roman"/>
          <w:b/>
          <w:color w:val="000000"/>
          <w:sz w:val="24"/>
        </w:rPr>
        <w:t>Para:</w:t>
      </w:r>
      <w:r>
        <w:rPr>
          <w:rFonts w:eastAsia="Times New Roman" w:cs="Times New Roman"/>
          <w:color w:val="000000"/>
          <w:sz w:val="24"/>
        </w:rPr>
        <w:t xml:space="preserve"> Assessoria Jurídica</w:t>
      </w:r>
    </w:p>
    <w:p>
      <w:pPr>
        <w:pStyle w:val="Normal"/>
        <w:pBdr/>
        <w:rPr/>
      </w:pPr>
      <w:r>
        <w:rPr>
          <w:rFonts w:eastAsia="Times New Roman" w:cs="Times New Roman"/>
          <w:b/>
          <w:color w:val="000000"/>
          <w:sz w:val="24"/>
        </w:rPr>
        <w:t>Objeto:</w:t>
      </w:r>
      <w:r>
        <w:rPr>
          <w:rFonts w:eastAsia="Times New Roman" w:cs="Times New Roman"/>
          <w:color w:val="000000"/>
          <w:sz w:val="24"/>
        </w:rPr>
        <w:t xml:space="preserve"> Solicitação de Parecer</w:t>
      </w:r>
      <w:r>
        <w:rPr>
          <w:rFonts w:eastAsia="Times New Roman" w:cs="Times New Roman"/>
          <w:color w:val="000000"/>
          <w:sz w:val="23"/>
        </w:rPr>
        <w:t xml:space="preserve"> </w:t>
      </w:r>
    </w:p>
    <w:p>
      <w:pPr>
        <w:pStyle w:val="Normal"/>
        <w:pBdr/>
        <w:rPr/>
      </w:pPr>
      <w:r>
        <w:rPr/>
      </w:r>
    </w:p>
    <w:p>
      <w:pPr>
        <w:pStyle w:val="Normal"/>
        <w:spacing w:lineRule="auto" w:line="360" w:before="90" w:after="0"/>
        <w:ind w:left="-4" w:right="1" w:firstLine="4"/>
        <w:jc w:val="both"/>
        <w:rPr/>
      </w:pPr>
      <w:r>
        <w:rPr>
          <w:rFonts w:eastAsia="Times New Roman" w:cs="Times New Roman"/>
          <w:sz w:val="24"/>
        </w:rPr>
        <w:tab/>
        <w:t xml:space="preserve">Considerando a manifestação que tem por objeto a </w:t>
      </w:r>
      <w:r>
        <w:rPr>
          <w:rFonts w:eastAsia="Times New Roman" w:cs="Times New Roman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  <w:r>
        <w:rPr>
          <w:rFonts w:eastAsia="Times New Roman" w:cs="Times New Roman"/>
          <w:sz w:val="24"/>
        </w:rPr>
        <w:t>,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solicito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seja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analisada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a possibilidade legal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>de firmatura</w:t>
      </w:r>
      <w:r>
        <w:rPr>
          <w:rFonts w:eastAsia="Times New Roman" w:cs="Times New Roman"/>
          <w:spacing w:val="1"/>
          <w:sz w:val="24"/>
        </w:rPr>
        <w:t xml:space="preserve"> </w:t>
      </w:r>
      <w:r>
        <w:rPr>
          <w:rFonts w:eastAsia="Times New Roman" w:cs="Times New Roman"/>
          <w:sz w:val="24"/>
        </w:rPr>
        <w:t xml:space="preserve">de contrato com </w:t>
      </w:r>
      <w:r>
        <w:rPr>
          <w:rFonts w:eastAsia="Times New Roman" w:cs="Times New Roman"/>
          <w:sz w:val="24"/>
        </w:rPr>
        <w:t>as seguintes</w:t>
      </w:r>
      <w:r>
        <w:rPr>
          <w:rFonts w:eastAsia="Times New Roman" w:cs="Times New Roman"/>
          <w:sz w:val="24"/>
        </w:rPr>
        <w:t xml:space="preserve"> (s) empresa (s):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67"/>
        <w:gridCol w:w="3028"/>
        <w:gridCol w:w="2243"/>
      </w:tblGrid>
      <w:tr>
        <w:trPr/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ROGER ANDREI DE CASTRO VASCONCELOS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11.114.871/0001-52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spacing w:lineRule="auto" w:line="360" w:before="90" w:after="0"/>
        <w:ind w:left="-4" w:right="1" w:firstLine="4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</w:r>
    </w:p>
    <w:p>
      <w:pPr>
        <w:pStyle w:val="Normal"/>
        <w:spacing w:lineRule="auto" w:line="360"/>
        <w:ind w:left="-4" w:right="1" w:firstLine="4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ab/>
      </w:r>
    </w:p>
    <w:p>
      <w:pPr>
        <w:pStyle w:val="Normal"/>
        <w:spacing w:lineRule="auto" w:line="360"/>
        <w:ind w:left="-4" w:right="1" w:firstLine="4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ab/>
        <w:t xml:space="preserve">A contratação serpa efetuada mediante inexigibilidade de licitação, nos termos do disposto </w:t>
      </w:r>
      <w:r>
        <w:rPr>
          <w:rFonts w:eastAsia="Times New Roman" w:cs="Times New Roman"/>
          <w:sz w:val="24"/>
          <w:szCs w:val="24"/>
        </w:rPr>
        <w:t>Lei n° 14.133/2021, Art. 74, inc. II</w:t>
      </w:r>
      <w:r>
        <w:rPr>
          <w:rFonts w:eastAsia="Times New Roman" w:cs="Times New Roman"/>
          <w:sz w:val="24"/>
        </w:rPr>
        <w:t>.</w:t>
      </w:r>
    </w:p>
    <w:p>
      <w:pPr>
        <w:pStyle w:val="Normal"/>
        <w:spacing w:lineRule="auto" w:line="360"/>
        <w:ind w:left="-4" w:right="1" w:firstLine="4"/>
        <w:jc w:val="both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ind w:left="-4" w:right="1" w:firstLine="4"/>
        <w:jc w:val="center"/>
        <w:rPr/>
      </w:pPr>
      <w:r>
        <w:rPr>
          <w:rFonts w:eastAsia="Times New Roman" w:cs="Times New Roman"/>
          <w:sz w:val="24"/>
        </w:rPr>
        <w:t>Viadutos</w:t>
      </w:r>
      <w:r>
        <w:rPr>
          <w:rFonts w:eastAsia="Times New Roman" w:cs="Times New Roman"/>
          <w:spacing w:val="-2"/>
          <w:sz w:val="24"/>
        </w:rPr>
        <w:t xml:space="preserve"> – </w:t>
      </w:r>
      <w:r>
        <w:rPr>
          <w:rFonts w:eastAsia="Times New Roman" w:cs="Times New Roman"/>
          <w:sz w:val="24"/>
        </w:rPr>
        <w:t>RS,</w:t>
      </w:r>
      <w:r>
        <w:rPr>
          <w:rFonts w:eastAsia="Times New Roman" w:cs="Times New Roman"/>
          <w:spacing w:val="-1"/>
          <w:sz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05/01/26</w:t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pBdr/>
        <w:ind w:left="-4" w:right="1" w:firstLine="4"/>
        <w:rPr/>
      </w:pPr>
      <w:r>
        <w:rPr/>
      </w:r>
    </w:p>
    <w:p>
      <w:pPr>
        <w:pStyle w:val="Normal"/>
        <w:numPr>
          <w:ilvl w:val="0"/>
          <w:numId w:val="0"/>
        </w:numPr>
        <w:spacing w:before="208" w:after="0"/>
        <w:ind w:left="-4" w:right="1" w:firstLine="4"/>
        <w:jc w:val="center"/>
        <w:outlineLvl w:val="1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 xml:space="preserve"> </w:t>
      </w:r>
    </w:p>
    <w:p>
      <w:pPr>
        <w:pStyle w:val="Normal"/>
        <w:numPr>
          <w:ilvl w:val="0"/>
          <w:numId w:val="0"/>
        </w:numPr>
        <w:spacing w:before="208" w:after="0"/>
        <w:ind w:left="-4" w:right="1" w:firstLine="4"/>
        <w:jc w:val="center"/>
        <w:outlineLvl w:val="1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>Giovan André Sperotto</w:t>
      </w:r>
    </w:p>
    <w:p>
      <w:pPr>
        <w:pStyle w:val="Normal"/>
        <w:numPr>
          <w:ilvl w:val="0"/>
          <w:numId w:val="0"/>
        </w:numPr>
        <w:spacing w:before="208" w:after="0"/>
        <w:ind w:left="-4" w:right="1" w:firstLine="4"/>
        <w:jc w:val="center"/>
        <w:outlineLvl w:val="1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>Prefeito Municipal</w:t>
      </w:r>
    </w:p>
    <w:p>
      <w:pPr>
        <w:pStyle w:val="Normal"/>
        <w:pBdr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widowControl/>
        <w:spacing w:lineRule="auto" w:line="252" w:before="0" w:after="16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  <w:t>PARECER JURÍDICO</w:t>
      </w:r>
    </w:p>
    <w:p>
      <w:pPr>
        <w:pStyle w:val="Normal"/>
        <w:widowControl/>
        <w:spacing w:lineRule="auto" w:line="252" w:before="0" w:after="16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>(Lei nº 14.133/2021)</w:t>
      </w:r>
    </w:p>
    <w:p>
      <w:pPr>
        <w:pStyle w:val="Normal"/>
        <w:widowControl/>
        <w:spacing w:lineRule="auto" w:line="252" w:before="0" w:after="160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>
          <w:rFonts w:eastAsia="Times New Roman" w:cs="Times New Roman"/>
          <w:b/>
          <w:sz w:val="24"/>
        </w:rPr>
        <w:t>Processo de Contratação nº 4</w:t>
      </w:r>
      <w:r>
        <w:rPr>
          <w:rFonts w:eastAsia="Times New Roman" w:cs="Times New Roman"/>
          <w:b/>
          <w:sz w:val="24"/>
          <w:szCs w:val="24"/>
        </w:rPr>
        <w:t>/2026</w:t>
      </w:r>
      <w:r>
        <w:rPr>
          <w:rFonts w:eastAsia="Times New Roman" w:cs="Times New Roman"/>
          <w:b/>
          <w:sz w:val="24"/>
        </w:rPr>
        <w:t xml:space="preserve"> por </w:t>
      </w:r>
      <w:r>
        <w:rPr>
          <w:rFonts w:eastAsia="Times New Roman" w:cs="Times New Roman"/>
          <w:b/>
          <w:sz w:val="24"/>
          <w:szCs w:val="24"/>
        </w:rPr>
        <w:t>Inexigibilidade</w:t>
      </w:r>
      <w:r>
        <w:rPr>
          <w:rFonts w:eastAsia="Times New Roman" w:cs="Times New Roman"/>
          <w:b/>
          <w:i/>
          <w:sz w:val="24"/>
        </w:rPr>
        <w:t xml:space="preserve"> DE LICITAÇÃO</w:t>
      </w:r>
      <w:r>
        <w:rPr>
          <w:rFonts w:eastAsia="Times New Roman" w:cs="Times New Roman"/>
          <w:b/>
          <w:sz w:val="24"/>
        </w:rPr>
        <w:t xml:space="preserve"> nº 3</w:t>
      </w:r>
      <w:r>
        <w:rPr>
          <w:rFonts w:eastAsia="Times New Roman" w:cs="Times New Roman"/>
          <w:b/>
          <w:sz w:val="24"/>
          <w:szCs w:val="24"/>
        </w:rPr>
        <w:t>/2026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>
          <w:rFonts w:eastAsia="Times New Roman" w:cs="Times New Roman"/>
          <w:sz w:val="24"/>
        </w:rPr>
        <w:t xml:space="preserve">1.  </w:t>
        <w:tab/>
        <w:tab/>
        <w:tab/>
        <w:t xml:space="preserve">Trata-se de processo de contratação direta por </w:t>
      </w:r>
      <w:r>
        <w:rPr>
          <w:rFonts w:eastAsia="Times New Roman" w:cs="Times New Roman"/>
          <w:b/>
          <w:i/>
          <w:sz w:val="24"/>
          <w:szCs w:val="24"/>
        </w:rPr>
        <w:t>Inexigibilidade</w:t>
      </w:r>
      <w:r>
        <w:rPr>
          <w:rFonts w:eastAsia="Times New Roman" w:cs="Times New Roman"/>
          <w:sz w:val="24"/>
        </w:rPr>
        <w:t xml:space="preserve"> nos termos do </w:t>
      </w:r>
      <w:r>
        <w:rPr>
          <w:rFonts w:eastAsia="Times New Roman" w:cs="Times New Roman"/>
          <w:sz w:val="24"/>
          <w:szCs w:val="24"/>
        </w:rPr>
        <w:t>Lei n° 14.133/2021, Art. 74, inc. II</w:t>
      </w:r>
      <w:r>
        <w:rPr>
          <w:rFonts w:eastAsia="Times New Roman" w:cs="Times New Roman"/>
          <w:sz w:val="24"/>
        </w:rPr>
        <w:t>.</w:t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sz w:val="24"/>
        </w:rPr>
        <w:tab/>
        <w:tab/>
        <w:tab/>
      </w:r>
    </w:p>
    <w:p>
      <w:pPr>
        <w:pStyle w:val="Normal"/>
        <w:widowControl/>
        <w:spacing w:lineRule="auto" w:line="360"/>
        <w:jc w:val="both"/>
        <w:rPr/>
      </w:pPr>
      <w:r>
        <w:rPr>
          <w:rFonts w:eastAsia="Times New Roman" w:cs="Times New Roman"/>
          <w:sz w:val="24"/>
        </w:rPr>
        <w:tab/>
        <w:tab/>
        <w:tab/>
      </w:r>
      <w:r>
        <w:rPr>
          <w:rFonts w:eastAsia="Times New Roman" w:cs="Times New Roman"/>
          <w:color w:val="000000"/>
          <w:sz w:val="24"/>
        </w:rPr>
        <w:t>A referida solicitação trata do seguinte: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85"/>
        <w:gridCol w:w="1823"/>
        <w:gridCol w:w="1707"/>
        <w:gridCol w:w="1423"/>
      </w:tblGrid>
      <w:tr>
        <w:trPr/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Palestra Show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spacing w:lineRule="auto" w:line="276"/>
        <w:jc w:val="center"/>
        <w:rPr>
          <w:rFonts w:ascii="Courier New" w:hAnsi="Courier New" w:eastAsia="Courier New" w:cs="Courier New"/>
          <w:color w:val="000000"/>
          <w:sz w:val="14"/>
          <w:szCs w:val="24"/>
        </w:rPr>
      </w:pPr>
      <w:r>
        <w:rPr>
          <w:rFonts w:eastAsia="Courier New" w:cs="Courier New" w:ascii="Courier New" w:hAnsi="Courier New"/>
          <w:color w:val="000000"/>
          <w:sz w:val="14"/>
          <w:szCs w:val="24"/>
        </w:rPr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ind w:left="1416" w:right="0" w:firstLine="708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>É o breve relatório.</w:t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sz w:val="24"/>
        </w:rPr>
        <w:tab/>
        <w:tab/>
        <w:tab/>
        <w:t>Vieram os autos para exame e parecer.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b/>
          <w:sz w:val="24"/>
        </w:rPr>
        <w:t>2.</w:t>
      </w:r>
      <w:r>
        <w:rPr>
          <w:rFonts w:eastAsia="Times New Roman" w:cs="Times New Roman"/>
          <w:sz w:val="24"/>
        </w:rPr>
        <w:t xml:space="preserve"> </w:t>
        <w:tab/>
        <w:tab/>
        <w:tab/>
        <w:t xml:space="preserve">Com efeito, nos termos do art. 37, inciso XXI, da Constituição da República, </w:t>
      </w:r>
      <w:r>
        <w:rPr>
          <w:rFonts w:eastAsia="Times New Roman" w:cs="Times New Roman"/>
          <w:color w:val="000000"/>
          <w:sz w:val="24"/>
          <w:highlight w:val="white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4"/>
          <w:highlight w:val="white"/>
        </w:rPr>
      </w:pPr>
      <w:r>
        <w:rPr>
          <w:rFonts w:eastAsia="Times New Roman" w:cs="Times New Roman"/>
          <w:color w:val="000000"/>
          <w:sz w:val="24"/>
          <w:highlight w:val="white"/>
        </w:rPr>
        <w:t xml:space="preserve"> </w:t>
      </w:r>
      <w:r>
        <w:rPr>
          <w:rFonts w:eastAsia="Times New Roman" w:cs="Times New Roman"/>
          <w:color w:val="000000"/>
          <w:sz w:val="24"/>
          <w:highlight w:val="white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4"/>
          <w:highlight w:val="white"/>
        </w:rPr>
      </w:pPr>
      <w:r>
        <w:rPr>
          <w:rFonts w:eastAsia="Times New Roman" w:cs="Times New Roman"/>
          <w:color w:val="000000"/>
          <w:sz w:val="24"/>
          <w:highlight w:val="white"/>
        </w:rPr>
        <w:t xml:space="preserve"> </w:t>
      </w:r>
      <w:r>
        <w:rPr>
          <w:rFonts w:eastAsia="Times New Roman" w:cs="Times New Roman"/>
          <w:color w:val="000000"/>
          <w:sz w:val="24"/>
          <w:highlight w:val="white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widowControl/>
        <w:spacing w:lineRule="auto" w:line="360"/>
        <w:ind w:left="0" w:right="0" w:firstLine="573"/>
        <w:jc w:val="both"/>
        <w:rPr/>
      </w:pPr>
      <w:r>
        <w:rPr>
          <w:rFonts w:eastAsia="Times New Roman" w:cs="Times New Roman"/>
          <w:color w:val="000000"/>
          <w:sz w:val="24"/>
          <w:highlight w:val="white"/>
        </w:rPr>
        <w:t xml:space="preserve"> </w:t>
      </w:r>
      <w:r>
        <w:rPr>
          <w:rFonts w:eastAsia="Times New Roman" w:cs="Times New Roman"/>
          <w:color w:val="000000"/>
          <w:sz w:val="24"/>
          <w:highlight w:val="white"/>
        </w:rPr>
        <w:tab/>
        <w:tab/>
        <w:tab/>
        <w:t>Os documentos</w:t>
      </w:r>
      <w:r>
        <w:rPr>
          <w:rFonts w:eastAsia="Times New Roman" w:cs="Times New Roman"/>
          <w:color w:val="000000"/>
          <w:sz w:val="24"/>
          <w:highlight w:val="white"/>
        </w:rPr>
        <w:t xml:space="preserve"> </w:t>
      </w:r>
      <w:r>
        <w:rPr>
          <w:rFonts w:eastAsia="Times New Roman" w:cs="Times New Roman"/>
          <w:color w:val="000000"/>
          <w:sz w:val="24"/>
          <w:highlight w:val="white"/>
        </w:rPr>
        <w:t xml:space="preserve">demonstram a </w:t>
      </w:r>
      <w:r>
        <w:rPr>
          <w:rFonts w:eastAsia="Times New Roman" w:cs="Times New Roman"/>
          <w:color w:val="000000"/>
          <w:sz w:val="24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widowControl/>
        <w:spacing w:lineRule="auto" w:line="360"/>
        <w:ind w:left="0" w:right="0" w:firstLine="573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Times New Roman" w:cs="Times New Roman"/>
          <w:color w:val="000000"/>
          <w:sz w:val="24"/>
        </w:rPr>
        <w:tab/>
        <w:tab/>
        <w:tab/>
        <w:t>A razão da escolha do futuro contrato está pautada em critério objetivo, qual seja (justificar), estando assim atendido o pressuposto do art. 72, inciso VI, da Lei nº 14.133/2021.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>
          <w:rFonts w:eastAsia="Times New Roman" w:cs="Times New Roman"/>
          <w:b/>
          <w:color w:val="000000"/>
          <w:sz w:val="24"/>
        </w:rPr>
        <w:t>3.</w:t>
      </w:r>
      <w:r>
        <w:rPr>
          <w:rFonts w:eastAsia="Times New Roman" w:cs="Times New Roman"/>
          <w:color w:val="000000"/>
          <w:sz w:val="24"/>
        </w:rPr>
        <w:t xml:space="preserve"> </w:t>
        <w:tab/>
        <w:tab/>
        <w:tab/>
      </w:r>
      <w:r>
        <w:rPr>
          <w:rFonts w:eastAsia="Times New Roman" w:cs="Times New Roman"/>
          <w:b/>
          <w:color w:val="000000"/>
          <w:sz w:val="24"/>
        </w:rPr>
        <w:t>Em face do exposto</w:t>
      </w:r>
      <w:r>
        <w:rPr>
          <w:rFonts w:eastAsia="Times New Roman" w:cs="Times New Roman"/>
          <w:color w:val="000000"/>
          <w:sz w:val="24"/>
        </w:rPr>
        <w:t xml:space="preserve">, sob o aspecto jurídico, opina-se pela legalidade da contratação direta, nos termos do </w:t>
      </w:r>
      <w:r>
        <w:rPr>
          <w:rFonts w:eastAsia="Times New Roman" w:cs="Times New Roman"/>
          <w:i/>
          <w:color w:val="000000"/>
          <w:sz w:val="24"/>
        </w:rPr>
        <w:t>{Lei n° 14.133/2021, Art. 74, inc. II</w:t>
      </w:r>
      <w:r>
        <w:rPr>
          <w:rFonts w:eastAsia="Times New Roman" w:cs="Times New Roman"/>
          <w:i/>
          <w:color w:val="000000"/>
          <w:sz w:val="24"/>
          <w:szCs w:val="24"/>
        </w:rPr>
        <w:t>.</w:t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Times New Roman" w:cs="Times New Roman"/>
          <w:color w:val="000000"/>
          <w:sz w:val="24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Times New Roman" w:cs="Times New Roman"/>
          <w:color w:val="000000"/>
          <w:sz w:val="24"/>
        </w:rPr>
        <w:tab/>
        <w:tab/>
        <w:t>Viadutos</w:t>
      </w:r>
      <w:r>
        <w:rPr>
          <w:rFonts w:eastAsia="Times New Roman" w:cs="Times New Roman"/>
          <w:color w:val="000000"/>
          <w:sz w:val="24"/>
        </w:rPr>
        <w:t xml:space="preserve"> – </w:t>
      </w:r>
      <w:r>
        <w:rPr>
          <w:rFonts w:eastAsia="Times New Roman" w:cs="Times New Roman"/>
          <w:color w:val="000000"/>
          <w:sz w:val="24"/>
        </w:rPr>
        <w:t xml:space="preserve">RS, </w:t>
      </w:r>
      <w:r>
        <w:rPr>
          <w:rFonts w:eastAsia="Times New Roman" w:cs="Times New Roman"/>
          <w:color w:val="000000"/>
          <w:sz w:val="24"/>
          <w:szCs w:val="24"/>
        </w:rPr>
        <w:t>05/01/26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center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>Narciso Paludo</w:t>
      </w:r>
    </w:p>
    <w:p>
      <w:pPr>
        <w:pStyle w:val="Normal"/>
        <w:widowControl/>
        <w:spacing w:lineRule="auto" w:line="360"/>
        <w:jc w:val="center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>Assessor Jurídico</w:t>
      </w:r>
    </w:p>
    <w:p>
      <w:pPr>
        <w:pStyle w:val="Normal"/>
        <w:widowControl/>
        <w:spacing w:lineRule="auto" w:line="360"/>
        <w:jc w:val="center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/>
          <w:color w:val="000000"/>
          <w:sz w:val="24"/>
        </w:rPr>
        <w:t>OAB 15.136</w:t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widowControl/>
        <w:spacing w:lineRule="auto" w:line="360"/>
        <w:jc w:val="both"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pBdr/>
        <w:rPr/>
      </w:pPr>
      <w:r>
        <w:rPr/>
      </w:r>
    </w:p>
    <w:p>
      <w:pPr>
        <w:pStyle w:val="Normal"/>
        <w:spacing w:before="3" w:after="0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widowControl/>
        <w:spacing w:lineRule="auto" w:line="254" w:before="0" w:after="16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  <w:t>TERMO DE AUTORIZAÇÃO DA AUTORIDADE COMPETENTE EM PROCESSOS DE CONTRATAÇÃO DIRETA</w:t>
      </w:r>
    </w:p>
    <w:p>
      <w:pPr>
        <w:pStyle w:val="Normal"/>
        <w:widowControl/>
        <w:spacing w:lineRule="auto" w:line="254" w:before="0" w:after="16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>(Lei nº 14.133/2021)</w:t>
      </w:r>
    </w:p>
    <w:p>
      <w:pPr>
        <w:pStyle w:val="Normal"/>
        <w:widowControl/>
        <w:spacing w:lineRule="auto" w:line="254" w:before="0" w:after="160"/>
        <w:jc w:val="center"/>
        <w:rPr/>
      </w:pPr>
      <w:r>
        <w:rPr>
          <w:rFonts w:eastAsia="Times New Roman" w:cs="Times New Roman"/>
          <w:sz w:val="24"/>
        </w:rPr>
        <w:t>Processo n° 4</w:t>
      </w:r>
      <w:r>
        <w:rPr>
          <w:rFonts w:eastAsia="Times New Roman" w:cs="Times New Roman"/>
          <w:b/>
          <w:sz w:val="24"/>
          <w:szCs w:val="24"/>
        </w:rPr>
        <w:t>/2026</w:t>
      </w:r>
    </w:p>
    <w:p>
      <w:pPr>
        <w:pStyle w:val="Normal"/>
        <w:widowControl/>
        <w:spacing w:lineRule="auto" w:line="254" w:before="0" w:after="160"/>
        <w:jc w:val="center"/>
        <w:rPr/>
      </w:pPr>
      <w:r>
        <w:rPr>
          <w:rFonts w:eastAsia="Times New Roman" w:cs="Times New Roman"/>
          <w:sz w:val="24"/>
          <w:szCs w:val="24"/>
        </w:rPr>
        <w:t>Inexigibilidade</w:t>
      </w:r>
      <w:r>
        <w:rPr>
          <w:rFonts w:eastAsia="Times New Roman" w:cs="Times New Roman"/>
          <w:sz w:val="24"/>
        </w:rPr>
        <w:t>: 3</w:t>
      </w:r>
      <w:r>
        <w:rPr>
          <w:rFonts w:eastAsia="Times New Roman" w:cs="Times New Roman"/>
          <w:b/>
          <w:sz w:val="24"/>
          <w:szCs w:val="24"/>
        </w:rPr>
        <w:t>/2026</w:t>
      </w:r>
    </w:p>
    <w:p>
      <w:pPr>
        <w:pStyle w:val="Normal"/>
        <w:widowControl/>
        <w:spacing w:lineRule="auto" w:line="254" w:before="0" w:after="160"/>
        <w:rPr/>
      </w:pPr>
      <w:r>
        <w:rPr/>
      </w:r>
    </w:p>
    <w:p>
      <w:pPr>
        <w:pStyle w:val="Normal"/>
        <w:widowControl/>
        <w:spacing w:lineRule="auto" w:line="254" w:before="0" w:after="160"/>
        <w:rPr/>
      </w:pPr>
      <w:r>
        <w:rPr/>
      </w:r>
    </w:p>
    <w:p>
      <w:pPr>
        <w:pStyle w:val="Normal"/>
        <w:widowControl/>
        <w:spacing w:lineRule="auto" w:line="254" w:before="0" w:after="16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/>
          <w:b/>
          <w:sz w:val="24"/>
        </w:rPr>
        <w:t>Inexigibilidade de Licitação (art. 74)</w:t>
      </w:r>
    </w:p>
    <w:p>
      <w:pPr>
        <w:pStyle w:val="Normal"/>
        <w:widowControl/>
        <w:spacing w:lineRule="auto" w:line="254" w:before="0" w:after="160"/>
        <w:rPr/>
      </w:pPr>
      <w:r>
        <w:rPr/>
      </w:r>
    </w:p>
    <w:p>
      <w:pPr>
        <w:pStyle w:val="Normal"/>
        <w:widowControl/>
        <w:spacing w:lineRule="auto" w:line="360" w:before="0" w:after="160"/>
        <w:ind w:left="0" w:right="0" w:firstLine="2835"/>
        <w:jc w:val="both"/>
        <w:rPr/>
      </w:pPr>
      <w:r>
        <w:rPr>
          <w:rFonts w:eastAsia="Times New Roman" w:cs="Times New Roman"/>
          <w:sz w:val="24"/>
        </w:rPr>
        <w:t>Nos termos do art. 72 da Lei nº 14.133/2021, acolho o parecer exarado no processo n° 4</w:t>
      </w:r>
      <w:r>
        <w:rPr>
          <w:rFonts w:eastAsia="Times New Roman" w:cs="Times New Roman"/>
          <w:b/>
          <w:sz w:val="24"/>
          <w:szCs w:val="24"/>
        </w:rPr>
        <w:t>/2026</w:t>
      </w:r>
      <w:r>
        <w:rPr>
          <w:rFonts w:eastAsia="Times New Roman" w:cs="Times New Roman"/>
          <w:sz w:val="24"/>
        </w:rPr>
        <w:t xml:space="preserve"> e ratifico a </w:t>
      </w:r>
      <w:r>
        <w:rPr>
          <w:rFonts w:eastAsia="Times New Roman" w:cs="Times New Roman"/>
          <w:sz w:val="24"/>
          <w:szCs w:val="24"/>
        </w:rPr>
        <w:t>Inexigibilidade</w:t>
      </w:r>
      <w:r>
        <w:rPr>
          <w:rFonts w:eastAsia="Times New Roman" w:cs="Times New Roman"/>
          <w:sz w:val="24"/>
        </w:rPr>
        <w:t xml:space="preserve"> de licitação 3</w:t>
      </w:r>
      <w:r>
        <w:rPr>
          <w:rFonts w:eastAsia="Times New Roman" w:cs="Times New Roman"/>
          <w:sz w:val="24"/>
          <w:szCs w:val="24"/>
        </w:rPr>
        <w:t>/2026</w:t>
      </w:r>
      <w:r>
        <w:rPr>
          <w:rFonts w:eastAsia="Times New Roman" w:cs="Times New Roman"/>
          <w:sz w:val="24"/>
        </w:rPr>
        <w:t xml:space="preserve">, com o objetivo de: </w:t>
      </w:r>
      <w:r>
        <w:rPr>
          <w:rFonts w:eastAsia="Times New Roman" w:cs="Times New Roman"/>
          <w:sz w:val="24"/>
          <w:szCs w:val="24"/>
        </w:rPr>
        <w:t>Contratação de palestra show para os profissionais da educação que ocorrerá no dia 13 de fevereiro de 2026, para a abertura do ano letivo de 2026 com o tema "Um Show de Aula".</w:t>
      </w:r>
      <w:r>
        <w:rPr>
          <w:rFonts w:eastAsia="Times New Roman" w:cs="Times New Roman"/>
          <w:sz w:val="24"/>
        </w:rPr>
        <w:t xml:space="preserve">, com fundamento no </w:t>
      </w:r>
      <w:r>
        <w:rPr>
          <w:rFonts w:eastAsia="Times New Roman" w:cs="Times New Roman"/>
          <w:sz w:val="24"/>
          <w:szCs w:val="24"/>
        </w:rPr>
        <w:t>Lei n° 14.133/2021, Art. 74, inc. II</w:t>
      </w:r>
      <w:r>
        <w:rPr>
          <w:rFonts w:eastAsia="Times New Roman" w:cs="Times New Roman"/>
          <w:sz w:val="24"/>
        </w:rPr>
        <w:t>, conforme descrito abaixo:</w:t>
      </w:r>
    </w:p>
    <w:tbl>
      <w:tblPr>
        <w:tblW w:w="963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67"/>
        <w:gridCol w:w="3028"/>
        <w:gridCol w:w="2243"/>
      </w:tblGrid>
      <w:tr>
        <w:trPr/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/>
              <w:t>Valor Total</w:t>
            </w:r>
          </w:p>
        </w:tc>
      </w:tr>
      <w:tr>
        <w:trPr/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ROGER ANDREI DE CASTRO VASCONCELOS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/>
            </w:pPr>
            <w:r>
              <w:rPr/>
              <w:t>11.114.871/0001-52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/>
            </w:pPr>
            <w:r>
              <w:rPr/>
              <w:t>3.500,00</w:t>
            </w:r>
          </w:p>
        </w:tc>
      </w:tr>
    </w:tbl>
    <w:p>
      <w:pPr>
        <w:pStyle w:val="Normal"/>
        <w:widowControl/>
        <w:spacing w:lineRule="auto" w:line="276" w:before="0" w:after="160"/>
        <w:ind w:left="0" w:right="0" w:firstLine="2835"/>
        <w:jc w:val="both"/>
        <w:rPr/>
      </w:pPr>
      <w:r>
        <w:rPr/>
      </w:r>
    </w:p>
    <w:p>
      <w:pPr>
        <w:pStyle w:val="Normal"/>
        <w:widowControl/>
        <w:spacing w:lineRule="auto" w:line="254" w:before="0" w:after="16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/>
          <w:sz w:val="24"/>
        </w:rPr>
        <w:tab/>
        <w:t>Viadutos</w:t>
      </w:r>
      <w:r>
        <w:rPr>
          <w:rFonts w:eastAsia="Times New Roman" w:cs="Times New Roman"/>
          <w:sz w:val="24"/>
        </w:rPr>
        <w:t xml:space="preserve"> – </w:t>
      </w:r>
      <w:r>
        <w:rPr>
          <w:rFonts w:eastAsia="Times New Roman" w:cs="Times New Roman"/>
          <w:sz w:val="24"/>
        </w:rPr>
        <w:t xml:space="preserve">RS, </w:t>
      </w:r>
      <w:r>
        <w:rPr>
          <w:rFonts w:eastAsia="Times New Roman" w:cs="Times New Roman"/>
          <w:sz w:val="24"/>
          <w:szCs w:val="24"/>
        </w:rPr>
        <w:t>05/01/26</w:t>
      </w:r>
    </w:p>
    <w:p>
      <w:pPr>
        <w:pStyle w:val="Normal"/>
        <w:pBdr/>
        <w:jc w:val="center"/>
        <w:rPr/>
      </w:pPr>
      <w:r>
        <w:rPr/>
      </w:r>
    </w:p>
    <w:p>
      <w:pPr>
        <w:pStyle w:val="Normal"/>
        <w:pBdr/>
        <w:jc w:val="center"/>
        <w:rPr/>
      </w:pPr>
      <w:r>
        <w:rPr/>
      </w:r>
    </w:p>
    <w:p>
      <w:pPr>
        <w:pStyle w:val="Normal"/>
        <w:numPr>
          <w:ilvl w:val="0"/>
          <w:numId w:val="0"/>
        </w:numPr>
        <w:pBdr/>
        <w:spacing w:before="208" w:after="0"/>
        <w:ind w:left="-4" w:right="1" w:firstLine="4"/>
        <w:jc w:val="center"/>
        <w:outlineLvl w:val="1"/>
        <w:rPr>
          <w:rFonts w:ascii="Times New Roman" w:hAnsi="Times New Roman" w:eastAsia="Times New Roman" w:cs="Times New Roman"/>
          <w:b/>
          <w:b/>
          <w:color w:val="auto"/>
          <w:sz w:val="24"/>
          <w:szCs w:val="20"/>
          <w:lang w:val="pt-BR" w:bidi="ar-SA"/>
        </w:rPr>
      </w:pP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>Giovan André Sperotto</w:t>
      </w:r>
      <w:r>
        <w:rPr>
          <w:rFonts w:eastAsia="Times New Roman" w:cs="Times New Roman"/>
          <w:b/>
          <w:color w:val="auto"/>
          <w:sz w:val="24"/>
          <w:szCs w:val="20"/>
          <w:lang w:val="pt-BR" w:bidi="ar-SA"/>
        </w:rPr>
        <w:t xml:space="preserve"> </w:t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sz w:val="24"/>
        </w:rPr>
      </w:pPr>
      <w:bookmarkStart w:id="6" w:name="art6xxiiic"/>
      <w:bookmarkStart w:id="7" w:name="art6xxiiig"/>
      <w:r>
        <w:rPr>
          <w:rFonts w:eastAsia="Times New Roman" w:cs="Times New Roman"/>
          <w:sz w:val="24"/>
        </w:rPr>
        <w:t>Prefeito</w:t>
      </w:r>
      <w:bookmarkEnd w:id="6"/>
      <w:bookmarkEnd w:id="2"/>
      <w:bookmarkEnd w:id="3"/>
      <w:bookmarkEnd w:id="7"/>
      <w:r>
        <w:rPr>
          <w:rFonts w:eastAsia="Times New Roman" w:cs="Times New Roman"/>
          <w:sz w:val="24"/>
        </w:rPr>
        <w:t xml:space="preserve"> </w:t>
      </w:r>
      <w:r>
        <w:rPr>
          <w:rFonts w:eastAsia="Times New Roman" w:cs="Times New Roman"/>
          <w:sz w:val="24"/>
        </w:rPr>
        <w:t>Municipal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1134" w:bottom="1190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Courier New">
    <w:charset w:val="00"/>
    <w:family w:val="roman"/>
    <w:pitch w:val="variable"/>
  </w:font>
  <w:font w:name="Century Gothic">
    <w:charset w:val="00"/>
    <w:family w:val="swiss"/>
    <w:pitch w:val="variable"/>
  </w:font>
  <w:font w:name="Courier">
    <w:altName w:val="Courier New"/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Times New Roman" w:hAnsi="Times New Roman" w:eastAsia="Arial Unicode MS" w:cs="Arial Unicode MS"/>
        <w:sz w:val="18"/>
      </w:rPr>
    </w:pPr>
    <w:r>
      <w:rPr>
        <w:rFonts w:eastAsia="Arial Unicode MS" w:cs="Arial Unicode MS"/>
        <w:sz w:val="18"/>
      </w:rPr>
      <w:t>Rua Anastácio Ribeiro, 84 – fone/fax: 0**54 33951170/1186/1236/1361 – CEP: 99820-000 – VIADUTOS/RS</w:t>
    </w:r>
    <w:r>
      <mc:AlternateContent>
        <mc:Choice Requires="wps">
          <w:drawing>
            <wp:anchor behindDoc="0" distT="0" distB="0" distL="0" distR="0" simplePos="0" locked="0" layoutInCell="1" allowOverlap="1" relativeHeight="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8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05pt;height:11.55pt;mso-wrap-distance-left:0pt;mso-wrap-distance-right:0pt;mso-wrap-distance-top:0pt;mso-wrap-distance-bottom:0pt;margin-top:0.05pt;mso-position-vertical-relative:text;margin-left:476.8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8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Normal"/>
      <w:tabs>
        <w:tab w:val="clear" w:pos="720"/>
        <w:tab w:val="left" w:pos="288" w:leader="none"/>
        <w:tab w:val="left" w:pos="1008" w:leader="none"/>
        <w:tab w:val="center" w:pos="4608" w:leader="none"/>
      </w:tabs>
      <w:ind w:left="0" w:right="360" w:hanging="0"/>
      <w:jc w:val="right"/>
      <w:rPr>
        <w:rFonts w:ascii="Courier" w:hAnsi="Courier" w:eastAsia="Arial Unicode MS" w:cs="Courier"/>
        <w:sz w:val="24"/>
      </w:rPr>
    </w:pPr>
    <w:r>
      <w:rPr>
        <w:rFonts w:eastAsia="Arial Unicode MS" w:cs="Courier" w:ascii="Courier" w:hAnsi="Courier"/>
        <w:sz w:val="24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Century Gothic" w:hAnsi="Century Gothic" w:eastAsia="Arial Unicode MS" w:cs="Arial Unicode MS"/>
        <w:sz w:val="18"/>
      </w:rPr>
    </w:pPr>
    <w:r>
      <w:rPr>
        <w:rFonts w:eastAsia="Arial Unicode MS" w:cs="Arial Unicode MS" w:ascii="Century Gothic" w:hAnsi="Century Gothic"/>
        <w:sz w:val="18"/>
      </w:rPr>
      <w:t>Rua Anastácio Ribeiro, 84 – fone/fax: 0**54 33951170/1186/1236/1361 – CEP: 99820-000 – VIADUTOS/RS</w:t>
    </w:r>
  </w:p>
  <w:p>
    <w:pPr>
      <w:pStyle w:val="Rodap"/>
      <w:rPr>
        <w:rFonts w:ascii="Century Gothic" w:hAnsi="Century Gothic" w:eastAsia="Arial Unicode MS" w:cs="Arial Unicode MS"/>
        <w:sz w:val="18"/>
      </w:rPr>
    </w:pPr>
    <w:r>
      <w:rPr>
        <w:rFonts w:eastAsia="Arial Unicode MS" w:cs="Arial Unicode MS" w:ascii="Century Gothic" w:hAnsi="Century Gothic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Century Gothic" w:hAnsi="Century Gothic" w:cs="Century Gothic"/>
        <w:b/>
        <w:b/>
        <w:bCs/>
        <w:sz w:val="24"/>
      </w:rPr>
    </w:pPr>
    <w:r>
      <w:rPr>
        <w:rFonts w:cs="Century Gothic" w:ascii="Century Gothic" w:hAnsi="Century Gothic"/>
        <w:b/>
        <w:bCs/>
        <w:sz w:val="24"/>
      </w:rPr>
      <w:drawing>
        <wp:anchor behindDoc="0" distT="0" distB="0" distL="0" distR="0" simplePos="0" locked="0" layoutInCell="1" allowOverlap="1" relativeHeight="16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6120130" cy="772795"/>
          <wp:effectExtent l="0" t="0" r="0" b="0"/>
          <wp:wrapSquare wrapText="largest"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Century Gothic" w:hAnsi="Century Gothic" w:cs="Century Gothic"/>
        <w:b/>
        <w:b/>
        <w:bCs/>
        <w:sz w:val="24"/>
      </w:rPr>
    </w:pPr>
    <w:r>
      <w:rPr>
        <w:rFonts w:cs="Century Gothic" w:ascii="Century Gothic" w:hAnsi="Century Gothic"/>
        <w:b/>
        <w:bCs/>
        <w:sz w:val="24"/>
      </w:rPr>
      <w:drawing>
        <wp:anchor behindDoc="0" distT="0" distB="0" distL="0" distR="0" simplePos="0" locked="0" layoutInCell="1" allowOverlap="1" relativeHeight="9">
          <wp:simplePos x="0" y="0"/>
          <wp:positionH relativeFrom="column">
            <wp:posOffset>0</wp:posOffset>
          </wp:positionH>
          <wp:positionV relativeFrom="paragraph">
            <wp:posOffset>-152400</wp:posOffset>
          </wp:positionV>
          <wp:extent cx="6120130" cy="77279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character" w:styleId="Normaltext">
    <w:name w:val="Normal text"/>
    <w:qFormat/>
    <w:rPr>
      <w:rFonts w:ascii="Arial" w:hAnsi="Arial"/>
      <w:sz w:val="20"/>
    </w:rPr>
  </w:style>
  <w:style w:type="character" w:styleId="Heading">
    <w:name w:val="Heading"/>
    <w:qFormat/>
    <w:rPr>
      <w:rFonts w:ascii="Arial" w:hAnsi="Arial"/>
      <w:b/>
      <w:color w:val="0000FF"/>
      <w:sz w:val="20"/>
    </w:rPr>
  </w:style>
  <w:style w:type="character" w:styleId="Subheading">
    <w:name w:val="Subheading"/>
    <w:qFormat/>
    <w:rPr>
      <w:rFonts w:ascii="Arial" w:hAnsi="Arial"/>
      <w:b/>
      <w:color w:val="000080"/>
      <w:sz w:val="20"/>
    </w:rPr>
  </w:style>
  <w:style w:type="character" w:styleId="Keywords">
    <w:name w:val="Keywords"/>
    <w:qFormat/>
    <w:rPr>
      <w:rFonts w:ascii="Arial" w:hAnsi="Arial"/>
      <w:i/>
      <w:color w:val="800000"/>
      <w:sz w:val="20"/>
    </w:rPr>
  </w:style>
  <w:style w:type="character" w:styleId="Jump1">
    <w:name w:val="Jump 1"/>
    <w:qFormat/>
    <w:rPr>
      <w:rFonts w:ascii="Arial" w:hAnsi="Arial"/>
      <w:color w:val="008000"/>
      <w:sz w:val="20"/>
      <w:u w:val="single"/>
    </w:rPr>
  </w:style>
  <w:style w:type="character" w:styleId="Jump2">
    <w:name w:val="Jump 2"/>
    <w:qFormat/>
    <w:rPr>
      <w:rFonts w:ascii="Arial" w:hAnsi="Arial"/>
      <w:color w:val="008000"/>
      <w:sz w:val="20"/>
      <w:u w:val="single"/>
    </w:rPr>
  </w:style>
  <w:style w:type="character" w:styleId="Destaque">
    <w:name w:val="Destaque"/>
    <w:qFormat/>
    <w:rPr>
      <w:rFonts w:ascii="Tahoma" w:hAnsi="Tahoma"/>
      <w:color w:val="000000"/>
      <w:sz w:val="24"/>
      <w:highlight w:val="yellow"/>
    </w:rPr>
  </w:style>
  <w:style w:type="character" w:styleId="FontStyle">
    <w:name w:val="Font Style"/>
    <w:qFormat/>
    <w:rPr>
      <w:rFonts w:ascii="Arial" w:hAnsi="Arial"/>
      <w:sz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DocumentMap">
    <w:name w:val="Document Map"/>
    <w:basedOn w:val="Normal"/>
    <w:qFormat/>
    <w:pPr>
      <w:shd w:fill="000080" w:val="clear"/>
    </w:pPr>
    <w:rPr>
      <w:rFonts w:ascii="Tahoma" w:hAnsi="Tahoma" w:cs="Tahoma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ParagraphStyle">
    <w:name w:val="Paragraph Style"/>
    <w:qFormat/>
    <w:pPr>
      <w:widowControl w:val="false"/>
      <w:kinsoku w:val="true"/>
      <w:overflowPunct w:val="true"/>
      <w:autoSpaceDE w:val="true"/>
      <w:bidi w:val="0"/>
      <w:spacing w:before="0" w:after="0"/>
      <w:jc w:val="left"/>
    </w:pPr>
    <w:rPr>
      <w:rFonts w:ascii="Arial" w:hAnsi="Arial" w:eastAsia="Times New Roman" w:cs="Courier New"/>
      <w:color w:val="auto"/>
      <w:sz w:val="24"/>
      <w:szCs w:val="24"/>
      <w:lang w:val="pt-BR" w:eastAsia="zh-CN" w:bidi="hi-IN"/>
    </w:rPr>
  </w:style>
  <w:style w:type="paragraph" w:styleId="Centered">
    <w:name w:val="Centered"/>
    <w:qFormat/>
    <w:pPr>
      <w:widowControl w:val="false"/>
      <w:kinsoku w:val="true"/>
      <w:overflowPunct w:val="true"/>
      <w:autoSpaceDE w:val="true"/>
      <w:bidi w:val="0"/>
      <w:spacing w:before="0" w:after="0"/>
      <w:jc w:val="center"/>
    </w:pPr>
    <w:rPr>
      <w:rFonts w:ascii="Arial" w:hAnsi="Arial" w:eastAsia="Times New Roman" w:cs="Courier New"/>
      <w:color w:val="auto"/>
      <w:sz w:val="24"/>
      <w:szCs w:val="24"/>
      <w:lang w:val="pt-BR" w:eastAsia="zh-CN" w:bidi="hi-IN"/>
    </w:rPr>
  </w:style>
  <w:style w:type="paragraph" w:styleId="Right">
    <w:name w:val="Right"/>
    <w:qFormat/>
    <w:pPr>
      <w:widowControl w:val="false"/>
      <w:kinsoku w:val="true"/>
      <w:overflowPunct w:val="true"/>
      <w:autoSpaceDE w:val="true"/>
      <w:bidi w:val="0"/>
      <w:spacing w:before="0" w:after="0"/>
      <w:jc w:val="right"/>
    </w:pPr>
    <w:rPr>
      <w:rFonts w:ascii="Arial" w:hAnsi="Arial" w:eastAsia="Times New Roman" w:cs="Courier New"/>
      <w:color w:val="auto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LibreOffice/6.4.4.2$Windows_X86_64 LibreOffice_project/3d775be2011f3886db32dfd395a6a6d1ca2630ff</Application>
  <Pages>8</Pages>
  <Words>1247</Words>
  <Characters>7106</Characters>
  <CharactersWithSpaces>8296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2023-06-05T10:23:00Z</dcterms:created>
  <dc:creator>a</dc:creator>
  <dc:description/>
  <cp:keywords/>
  <dc:language>pt-BR</dc:language>
  <cp:lastModifiedBy/>
  <dcterms:modified xsi:type="dcterms:W3CDTF">2026-01-15T12:28:13Z</dcterms:modified>
  <cp:revision>16</cp:revision>
  <dc:subject/>
  <dc:title>PROCESSO  NºNúmero do Processo /Ano do Processo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