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750246" w:rsidRDefault="00A60FE0">
      <w:pPr>
        <w:widowControl w:val="0"/>
        <w:spacing w:line="360" w:lineRule="auto"/>
        <w:jc w:val="center"/>
        <w:rPr>
          <w:rFonts w:ascii="Maiandra GD" w:hAnsi="Maiandra GD" w:cs="Courier New"/>
          <w:b/>
          <w:sz w:val="26"/>
          <w:szCs w:val="26"/>
        </w:rPr>
      </w:pPr>
      <w:r>
        <w:rPr>
          <w:rFonts w:ascii="Maiandra GD" w:hAnsi="Maiandra GD" w:cs="Courier New"/>
          <w:b/>
          <w:sz w:val="26"/>
          <w:szCs w:val="26"/>
        </w:rPr>
        <w:t>Secretaria Municipal de Administração e Planejamento</w:t>
      </w:r>
    </w:p>
    <w:p w:rsidR="00750246" w:rsidRDefault="00A60FE0">
      <w:pPr>
        <w:widowControl w:val="0"/>
        <w:spacing w:line="360" w:lineRule="auto"/>
        <w:jc w:val="center"/>
        <w:rPr>
          <w:rFonts w:ascii="Maiandra GD" w:hAnsi="Maiandra GD" w:cs="Courier New"/>
          <w:b/>
          <w:sz w:val="26"/>
          <w:szCs w:val="26"/>
        </w:rPr>
      </w:pPr>
      <w:r>
        <w:rPr>
          <w:rFonts w:ascii="Maiandra GD" w:hAnsi="Maiandra GD" w:cs="Courier New"/>
          <w:b/>
          <w:sz w:val="26"/>
          <w:szCs w:val="26"/>
        </w:rPr>
        <w:t>Setor de Engenharia</w:t>
      </w: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A60FE0">
      <w:pPr>
        <w:widowControl w:val="0"/>
        <w:spacing w:line="360" w:lineRule="auto"/>
        <w:jc w:val="center"/>
        <w:rPr>
          <w:rFonts w:ascii="Maiandra GD" w:hAnsi="Maiandra GD" w:cs="Courier New"/>
          <w:b/>
          <w:sz w:val="28"/>
          <w:szCs w:val="28"/>
        </w:rPr>
      </w:pPr>
      <w:r>
        <w:rPr>
          <w:rFonts w:ascii="Maiandra GD" w:hAnsi="Maiandra GD" w:cs="Courier New"/>
          <w:b/>
          <w:sz w:val="28"/>
          <w:szCs w:val="28"/>
        </w:rPr>
        <w:t>PROJETO BÁSICO PARA COLETA DE RESÍDUOS SÓLIDOS</w:t>
      </w:r>
    </w:p>
    <w:p w:rsidR="00750246" w:rsidRDefault="00A60FE0">
      <w:pPr>
        <w:widowControl w:val="0"/>
        <w:spacing w:line="360" w:lineRule="auto"/>
        <w:jc w:val="center"/>
        <w:rPr>
          <w:rFonts w:ascii="Maiandra GD" w:hAnsi="Maiandra GD" w:cs="Courier New"/>
          <w:b/>
          <w:sz w:val="28"/>
          <w:szCs w:val="28"/>
        </w:rPr>
      </w:pPr>
      <w:r>
        <w:rPr>
          <w:rFonts w:ascii="Maiandra GD" w:hAnsi="Maiandra GD" w:cs="Courier New"/>
          <w:b/>
          <w:sz w:val="28"/>
          <w:szCs w:val="28"/>
        </w:rPr>
        <w:t>NO MUNICÍPIO DE IBIRAIARAS – ÁREAS URBANA E RURAL</w:t>
      </w: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750246">
      <w:pPr>
        <w:widowControl w:val="0"/>
        <w:jc w:val="center"/>
        <w:rPr>
          <w:rFonts w:ascii="Maiandra GD" w:hAnsi="Maiandra GD" w:cs="Courier New"/>
          <w:b/>
          <w:sz w:val="26"/>
          <w:szCs w:val="26"/>
        </w:rPr>
      </w:pPr>
    </w:p>
    <w:p w:rsidR="00750246" w:rsidRDefault="00A60FE0">
      <w:pPr>
        <w:widowControl w:val="0"/>
        <w:jc w:val="center"/>
        <w:rPr>
          <w:rFonts w:ascii="Maiandra GD" w:hAnsi="Maiandra GD" w:cs="Courier New"/>
          <w:bCs/>
          <w:sz w:val="26"/>
          <w:szCs w:val="26"/>
        </w:rPr>
      </w:pPr>
      <w:r>
        <w:rPr>
          <w:rFonts w:ascii="Maiandra GD" w:hAnsi="Maiandra GD" w:cs="Courier New"/>
          <w:bCs/>
          <w:sz w:val="26"/>
          <w:szCs w:val="26"/>
        </w:rPr>
        <w:t>Ibiraiaras, maio de 2024.</w:t>
      </w:r>
    </w:p>
    <w:p w:rsidR="00750246" w:rsidRDefault="00A60FE0">
      <w:pPr>
        <w:spacing w:after="160" w:line="259" w:lineRule="auto"/>
        <w:rPr>
          <w:rFonts w:ascii="Maiandra GD" w:hAnsi="Maiandra GD" w:cs="Courier New"/>
          <w:bCs/>
          <w:sz w:val="26"/>
          <w:szCs w:val="26"/>
        </w:rPr>
      </w:pPr>
      <w:r>
        <w:br w:type="page"/>
      </w:r>
    </w:p>
    <w:p w:rsidR="00750246" w:rsidRDefault="00A60FE0">
      <w:pPr>
        <w:widowControl w:val="0"/>
        <w:jc w:val="center"/>
        <w:rPr>
          <w:rFonts w:ascii="Maiandra GD" w:hAnsi="Maiandra GD" w:cs="Courier New"/>
          <w:b/>
          <w:sz w:val="26"/>
          <w:szCs w:val="26"/>
        </w:rPr>
      </w:pPr>
      <w:r>
        <w:rPr>
          <w:rFonts w:ascii="Maiandra GD" w:hAnsi="Maiandra GD" w:cs="Courier New"/>
          <w:b/>
          <w:sz w:val="26"/>
          <w:szCs w:val="26"/>
        </w:rPr>
        <w:lastRenderedPageBreak/>
        <w:t xml:space="preserve">PROJETO BÁSICO DE </w:t>
      </w:r>
      <w:r>
        <w:rPr>
          <w:rFonts w:ascii="Maiandra GD" w:hAnsi="Maiandra GD" w:cs="Courier New"/>
          <w:b/>
          <w:sz w:val="26"/>
          <w:szCs w:val="26"/>
        </w:rPr>
        <w:t>COLETA DE RESÍDUOS SÓLIDOS</w:t>
      </w:r>
    </w:p>
    <w:p w:rsidR="00750246" w:rsidRDefault="00750246">
      <w:pPr>
        <w:widowControl w:val="0"/>
        <w:rPr>
          <w:rFonts w:ascii="Maiandra GD" w:hAnsi="Maiandra GD" w:cs="Courier New"/>
          <w:b/>
          <w:sz w:val="26"/>
          <w:szCs w:val="26"/>
        </w:rPr>
      </w:pPr>
    </w:p>
    <w:p w:rsidR="00750246" w:rsidRDefault="00A60FE0">
      <w:pPr>
        <w:pStyle w:val="Estilo1"/>
      </w:pPr>
      <w:r>
        <w:t>APRESENTAÇÃO.</w:t>
      </w:r>
    </w:p>
    <w:p w:rsidR="00750246" w:rsidRDefault="00A60FE0">
      <w:pPr>
        <w:pStyle w:val="Estilo2"/>
      </w:pPr>
      <w:r>
        <w:t>O Município.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O Município de Ibiraiaras se localiza na região Nordeste do Estado do Rio Grande do Sul. Ibiraiaras se limita ao Norte com os municípios de Lagoa Vermelha e Caseiros; ao sul, com David Canabarro e São Jorge; a leste, com Lagoa Vermelha e, ao oeste, com Muliterno. Encontra-se a 240km de distância da capital estadual Porto Alegre, a 90km de Passo Fundo, a 31km de Lagoa Vermelha (Via ERS 126), a 13 km de Caseiros e a 19km de Muliterno.</w:t>
      </w:r>
    </w:p>
    <w:p w:rsidR="00750246" w:rsidRDefault="00A60FE0">
      <w:pPr>
        <w:pStyle w:val="Corpodetexto"/>
        <w:spacing w:line="360" w:lineRule="auto"/>
        <w:jc w:val="center"/>
        <w:rPr>
          <w:rFonts w:ascii="Maiandra GD" w:hAnsi="Maiandra GD" w:cs="Courier New"/>
          <w:bCs/>
          <w:szCs w:val="24"/>
        </w:rPr>
      </w:pPr>
      <w:r>
        <w:rPr>
          <w:noProof/>
        </w:rPr>
        <w:drawing>
          <wp:inline distT="0" distB="0" distL="0" distR="0">
            <wp:extent cx="3599815" cy="2904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7"/>
                    <a:srcRect l="14667" t="15304" r="35201" b="12847"/>
                    <a:stretch>
                      <a:fillRect/>
                    </a:stretch>
                  </pic:blipFill>
                  <pic:spPr bwMode="auto">
                    <a:xfrm>
                      <a:off x="0" y="0"/>
                      <a:ext cx="3599815" cy="2904490"/>
                    </a:xfrm>
                    <a:prstGeom prst="rect">
                      <a:avLst/>
                    </a:prstGeom>
                  </pic:spPr>
                </pic:pic>
              </a:graphicData>
            </a:graphic>
          </wp:inline>
        </w:drawing>
      </w:r>
    </w:p>
    <w:p w:rsidR="00750246" w:rsidRDefault="00A60FE0">
      <w:pPr>
        <w:pStyle w:val="Corpodetexto"/>
        <w:spacing w:line="360" w:lineRule="auto"/>
        <w:jc w:val="center"/>
        <w:rPr>
          <w:rFonts w:ascii="Maiandra GD" w:hAnsi="Maiandra GD" w:cs="Courier New"/>
          <w:bCs/>
          <w:sz w:val="20"/>
        </w:rPr>
      </w:pPr>
      <w:r>
        <w:rPr>
          <w:rFonts w:ascii="Maiandra GD" w:hAnsi="Maiandra GD" w:cs="Courier New"/>
          <w:bCs/>
          <w:sz w:val="20"/>
        </w:rPr>
        <w:t xml:space="preserve">Figura </w:t>
      </w:r>
      <w:r>
        <w:rPr>
          <w:rFonts w:ascii="Maiandra GD" w:hAnsi="Maiandra GD" w:cs="Courier New"/>
          <w:bCs/>
          <w:sz w:val="20"/>
        </w:rPr>
        <w:fldChar w:fldCharType="begin"/>
      </w:r>
      <w:r>
        <w:rPr>
          <w:rFonts w:ascii="Maiandra GD" w:hAnsi="Maiandra GD" w:cs="Courier New"/>
          <w:bCs/>
          <w:sz w:val="20"/>
        </w:rPr>
        <w:instrText xml:space="preserve"> SEQ Figura \* ARABIC </w:instrText>
      </w:r>
      <w:r>
        <w:rPr>
          <w:rFonts w:ascii="Maiandra GD" w:hAnsi="Maiandra GD" w:cs="Courier New"/>
          <w:bCs/>
          <w:sz w:val="20"/>
        </w:rPr>
        <w:fldChar w:fldCharType="separate"/>
      </w:r>
      <w:r>
        <w:rPr>
          <w:rFonts w:ascii="Maiandra GD" w:hAnsi="Maiandra GD" w:cs="Courier New"/>
          <w:bCs/>
          <w:sz w:val="20"/>
        </w:rPr>
        <w:t>1</w:t>
      </w:r>
      <w:r>
        <w:rPr>
          <w:rFonts w:ascii="Maiandra GD" w:hAnsi="Maiandra GD" w:cs="Courier New"/>
          <w:bCs/>
          <w:sz w:val="20"/>
        </w:rPr>
        <w:fldChar w:fldCharType="end"/>
      </w:r>
      <w:r>
        <w:rPr>
          <w:rFonts w:ascii="Maiandra GD" w:hAnsi="Maiandra GD" w:cs="Courier New"/>
          <w:bCs/>
          <w:sz w:val="20"/>
        </w:rPr>
        <w:t>: Localização do Município de Ibiraiaras no Estado do Rio Grande do Sul. Fonte: IBGE.</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 xml:space="preserve">De acordo com informações obtidas no site oficial do município, o território total de Ibiraiaras é de 301 Km² e, de acordo com a Lei Municipal Nº 2.467/2020, que delimita o perímetro urbano do município de Ibiraiaras e dá outras providências, o perímetro urbano ocupa uma área de 458,6510 hectares. </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Conforme os dados e estimativas do IBGE, o número de habitantes do município no ano de 2022 era de 6.776 pessoas. Destes, estima-se que 3869 habitantes este</w:t>
      </w:r>
      <w:r>
        <w:rPr>
          <w:rFonts w:ascii="Maiandra GD" w:hAnsi="Maiandra GD" w:cs="Courier New"/>
          <w:bCs/>
          <w:szCs w:val="24"/>
        </w:rPr>
        <w:lastRenderedPageBreak/>
        <w:t>jam na área urbana, representando 57,1% da população, enquanto na área rural estão 2.897 dos munícipes, ou 42,9% dos habitantes.</w:t>
      </w:r>
    </w:p>
    <w:p w:rsidR="00750246" w:rsidRDefault="00A60FE0">
      <w:pPr>
        <w:pStyle w:val="Estilo2"/>
      </w:pPr>
      <w:r>
        <w:t>Plano Municipal de Saneamento Básico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O Plano Municipal de Saneamento Básico do Município de Ibiraiaras (PMSB) foi elaborado no ano de 2021 e aprovado pelo Decreto Municipal Nº 3.190/2021. O documento trouxe, em seu diagnóstico, que o atendimento de coleta de resíduos disponibilizado pelo município é, em uma média geral, adequado.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O quadro a seguir, retirado diretamente do PMSB, reúne as informações referentes ao diagnóstico de manejo de resíduos sólidos rurais e urbanos.</w:t>
      </w:r>
    </w:p>
    <w:p w:rsidR="00750246" w:rsidRDefault="00A60FE0">
      <w:pPr>
        <w:pStyle w:val="Corpodetexto"/>
        <w:spacing w:before="240" w:line="360" w:lineRule="auto"/>
        <w:jc w:val="center"/>
        <w:rPr>
          <w:rFonts w:ascii="Maiandra GD" w:hAnsi="Maiandra GD" w:cs="Courier New"/>
          <w:bCs/>
          <w:sz w:val="20"/>
        </w:rPr>
      </w:pPr>
      <w:r>
        <w:rPr>
          <w:rFonts w:ascii="Maiandra GD" w:hAnsi="Maiandra GD" w:cs="Courier New"/>
          <w:bCs/>
          <w:sz w:val="20"/>
        </w:rPr>
        <w:t xml:space="preserve">Tabela </w:t>
      </w:r>
      <w:r>
        <w:rPr>
          <w:rFonts w:ascii="Maiandra GD" w:hAnsi="Maiandra GD" w:cs="Courier New"/>
          <w:bCs/>
          <w:sz w:val="20"/>
        </w:rPr>
        <w:fldChar w:fldCharType="begin"/>
      </w:r>
      <w:r>
        <w:rPr>
          <w:rFonts w:ascii="Maiandra GD" w:hAnsi="Maiandra GD" w:cs="Courier New"/>
          <w:bCs/>
          <w:sz w:val="20"/>
        </w:rPr>
        <w:instrText xml:space="preserve"> SEQ Tabela \* ARABIC </w:instrText>
      </w:r>
      <w:r>
        <w:rPr>
          <w:rFonts w:ascii="Maiandra GD" w:hAnsi="Maiandra GD" w:cs="Courier New"/>
          <w:bCs/>
          <w:sz w:val="20"/>
        </w:rPr>
        <w:fldChar w:fldCharType="separate"/>
      </w:r>
      <w:r>
        <w:rPr>
          <w:rFonts w:ascii="Maiandra GD" w:hAnsi="Maiandra GD" w:cs="Courier New"/>
          <w:bCs/>
          <w:sz w:val="20"/>
        </w:rPr>
        <w:t>1</w:t>
      </w:r>
      <w:r>
        <w:rPr>
          <w:rFonts w:ascii="Maiandra GD" w:hAnsi="Maiandra GD" w:cs="Courier New"/>
          <w:bCs/>
          <w:sz w:val="20"/>
        </w:rPr>
        <w:fldChar w:fldCharType="end"/>
      </w:r>
      <w:r>
        <w:rPr>
          <w:rFonts w:ascii="Maiandra GD" w:hAnsi="Maiandra GD" w:cs="Courier New"/>
          <w:bCs/>
          <w:sz w:val="20"/>
        </w:rPr>
        <w:t xml:space="preserve">: Situação do atendimento de coleta de resíduo no município. Fonte: Plano </w:t>
      </w:r>
      <w:r>
        <w:rPr>
          <w:rFonts w:ascii="Maiandra GD" w:hAnsi="Maiandra GD" w:cs="Courier New"/>
          <w:bCs/>
          <w:sz w:val="20"/>
        </w:rPr>
        <w:t>Municipal de Saneamento Básico.</w:t>
      </w:r>
    </w:p>
    <w:p w:rsidR="00750246" w:rsidRDefault="00A60FE0">
      <w:pPr>
        <w:shd w:val="clear" w:color="auto" w:fill="FFFFFF"/>
        <w:spacing w:after="280" w:line="360" w:lineRule="auto"/>
        <w:ind w:firstLine="708"/>
        <w:jc w:val="center"/>
        <w:rPr>
          <w:rFonts w:ascii="Maiandra GD" w:eastAsia="Times New Roman" w:hAnsi="Maiandra GD" w:cs="Open Sans"/>
        </w:rPr>
      </w:pPr>
      <w:r>
        <w:rPr>
          <w:noProof/>
        </w:rPr>
        <w:drawing>
          <wp:inline distT="0" distB="0" distL="0" distR="0">
            <wp:extent cx="4518025" cy="3520440"/>
            <wp:effectExtent l="0" t="0" r="0" b="0"/>
            <wp:docPr id="2"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pic:cNvPicPr>
                      <a:picLocks noChangeAspect="1" noChangeArrowheads="1"/>
                    </pic:cNvPicPr>
                  </pic:nvPicPr>
                  <pic:blipFill>
                    <a:blip r:embed="rId8"/>
                    <a:srcRect l="30732" t="25186" r="28154" b="18205"/>
                    <a:stretch>
                      <a:fillRect/>
                    </a:stretch>
                  </pic:blipFill>
                  <pic:spPr bwMode="auto">
                    <a:xfrm>
                      <a:off x="0" y="0"/>
                      <a:ext cx="4518025" cy="3520440"/>
                    </a:xfrm>
                    <a:prstGeom prst="rect">
                      <a:avLst/>
                    </a:prstGeom>
                  </pic:spPr>
                </pic:pic>
              </a:graphicData>
            </a:graphic>
          </wp:inline>
        </w:drawing>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 xml:space="preserve">Como pode ser observado no quadro acima, existe a necessidade de ampliar a frequência de coleta no perímetro rural, já que esse quesito foi diagnosticado como “Precário”. Também é preciso aumentar o número de pontos de </w:t>
      </w:r>
      <w:r>
        <w:rPr>
          <w:rFonts w:ascii="Maiandra GD" w:hAnsi="Maiandra GD" w:cs="Courier New"/>
          <w:bCs/>
          <w:szCs w:val="24"/>
        </w:rPr>
        <w:t>coleta nessas áreas, para atender os 15,30% da população que foram diagnosticados na situação “sem atendimento” da coleta. Já na área urbana, a situação foi diagnosticada em uma melhor situação, com 99,53% de atendimento adequado.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Para saneamento das necessidades do perímetro rural, o presente projeto ampliou a frequência de coleta de resíduos nessas localidades, de forma que, ao invés de a coleta ser feita a cada 4 meses (situação que acontece atualmente), sejam feitas coletas mensais.</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Além disso, também foi indicado a instalação de contentores em duas localidades rurais com maior concentração de pessoas, para que os resíduos possam ser armazenados em boas condições até o momento da coleta, evitando a existência de lixo a céu aberto.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Essas atitudes vão de encontro aos objetivos e metas propostos no Plano Municipal de Saneamento Básico. No plano foi indicado como meta de curto prazo, ou seja, para ser executada no prazo de quatro anos, que se fizesse o aumento da frequência de coleta de resíduos secos na área rural, bem como aumentar a frequência de coleta de resíduos na comunidade de São Sebastião. Nesse núcleo, além do aumento da frequência, serão instalados contentores para melhor atendimento à população.</w:t>
      </w:r>
    </w:p>
    <w:p w:rsidR="00750246" w:rsidRDefault="00A60FE0">
      <w:pPr>
        <w:pStyle w:val="Estilo2"/>
      </w:pPr>
      <w:r>
        <w:t>Projeto Básico de Coleta de Resíduos Sólidos</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O gerenciamento de resíduos sólidos e domiciliares é de responsabilidade dos Municípios, de acordo com a Constituição Federal, que cita em seu Art. 30, Inciso V, o dever do município de “organizar e prestar, diretamente ou sob regime de concessão ou permissão, os serviços públicos de interesse local”. Ainda, a Lei Federal Nº 12.305/2010, que institui a Política Nacional de Resíduos Sólidos, dita em seu Art. 10 que “incumbe ao Distrito Federal e aos Municípios a gestão integrada dos resíduos sólidos gerados</w:t>
      </w:r>
      <w:r>
        <w:rPr>
          <w:rFonts w:ascii="Maiandra GD" w:hAnsi="Maiandra GD" w:cs="Courier New"/>
          <w:bCs/>
          <w:szCs w:val="24"/>
        </w:rPr>
        <w:t xml:space="preserve"> nos respectivos territórios”.</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Nesse sentido, a Secretaria Municipal de Infraestrutura de Ibiraiaras – órgão responsável pelo serviço no município – optou pela terceirização dos serviços de coleta convencional e seletiva, transporte, triagem, e destinação final de resíduos sólidos domiciliares, comerciais e volumosos. Isso por que não há disponibilidade de pessoal e maquinário (caminhões, caçambas, contentores) para a prestação direta desse serviço.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A coleta de resíduos</w:t>
      </w:r>
      <w:r>
        <w:rPr>
          <w:rFonts w:ascii="Maiandra GD" w:hAnsi="Maiandra GD" w:cs="Courier New"/>
          <w:bCs/>
          <w:szCs w:val="24"/>
        </w:rPr>
        <w:t xml:space="preserve"> </w:t>
      </w:r>
      <w:r>
        <w:rPr>
          <w:rFonts w:ascii="Maiandra GD" w:hAnsi="Maiandra GD" w:cs="Courier New"/>
          <w:bCs/>
          <w:szCs w:val="24"/>
        </w:rPr>
        <w:t>vegetais provenientes da limpeza de jardim ou da poda de árvores, gerados em domicílios, será feita pela Secretaria Municipal de Infraestrutura, que realizará as coletas com utilização de pessoal e caminhão caçamba próprio, semanalmente, às quintas-feiras. Os galhos passarão por equipamento triturador, que é de propriedade do município e está instalado no pátio da referida Secretaria. O material resultante (serragem e cavacos pequenos) será destinado aos munícipes para utilização em propriedades rurais e i</w:t>
      </w:r>
      <w:r>
        <w:rPr>
          <w:rFonts w:ascii="Maiandra GD" w:hAnsi="Maiandra GD" w:cs="Courier New"/>
          <w:bCs/>
          <w:szCs w:val="24"/>
        </w:rPr>
        <w:t>ncorporação ao solo.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O resíduo de construção e demolição será de responsabilidade do gerador, que deverá contratar serviço legalizado de empresas coletoras e transportadoras que operam com caçambas para recolhimento e remoção deste tipo de entulho.</w:t>
      </w:r>
    </w:p>
    <w:p w:rsidR="00750246" w:rsidRDefault="00A60FE0">
      <w:pPr>
        <w:pStyle w:val="Estilo1"/>
      </w:pPr>
      <w:r>
        <w:t>OBJETO.</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A finalidade do presente Projeto Básico é estabelecer as normas e especificações técnicas dos serviços de locação de containers, coleta de resíduos de forma híbrida (manual e conteinerizada) e posterior transporte, triagem e destinação final dos resíduos sólidos domiciliares e volumosos no Município de Ibiraiaras-RS – áreas urbana e rural, bem como a higienização dos containers locados, conforme especificações contidas no presente termo e projetos anexos.</w:t>
      </w:r>
    </w:p>
    <w:p w:rsidR="00750246" w:rsidRDefault="00A60FE0">
      <w:pPr>
        <w:pStyle w:val="Corpodetexto"/>
        <w:spacing w:before="240" w:line="360" w:lineRule="auto"/>
        <w:ind w:firstLine="708"/>
        <w:rPr>
          <w:rFonts w:ascii="Maiandra GD" w:hAnsi="Maiandra GD" w:cs="Courier New"/>
          <w:bCs/>
          <w:szCs w:val="24"/>
        </w:rPr>
      </w:pPr>
      <w:r>
        <w:rPr>
          <w:rFonts w:ascii="Maiandra GD" w:hAnsi="Maiandra GD" w:cs="Courier New"/>
          <w:bCs/>
          <w:szCs w:val="24"/>
        </w:rPr>
        <w:t>O projeto será dividido em duas partes, denominadas “Lotes”, abaixo discriminados.</w:t>
      </w:r>
    </w:p>
    <w:p w:rsidR="00750246" w:rsidRDefault="00A60FE0">
      <w:pPr>
        <w:widowControl w:val="0"/>
        <w:spacing w:before="240" w:line="360" w:lineRule="auto"/>
        <w:ind w:firstLine="708"/>
        <w:jc w:val="both"/>
        <w:rPr>
          <w:rFonts w:ascii="Maiandra GD" w:hAnsi="Maiandra GD" w:cs="Courier New"/>
          <w:b/>
          <w:sz w:val="24"/>
          <w:szCs w:val="24"/>
        </w:rPr>
      </w:pPr>
      <w:r>
        <w:rPr>
          <w:rFonts w:ascii="Maiandra GD" w:hAnsi="Maiandra GD" w:cs="Courier New"/>
          <w:b/>
          <w:iCs/>
          <w:sz w:val="24"/>
          <w:szCs w:val="24"/>
        </w:rPr>
        <w:t>LOTE 1 – coleta convencional e seletiva, transporte, triagem, e destinação final de resíduos sólidos domiciliares e comerciais do perímetro urbano do município</w:t>
      </w:r>
      <w:r>
        <w:rPr>
          <w:rFonts w:ascii="Maiandra GD" w:hAnsi="Maiandra GD" w:cs="Courier New"/>
          <w:b/>
          <w:sz w:val="24"/>
          <w:szCs w:val="24"/>
        </w:rPr>
        <w:t>:</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Os serviços de coleta de resíduos sólidos domiciliares e comerciais compreendem a execução das atividades de coleta orgânica, de rejeitos, bem como a coleta seletiva. A coleta será feita de forma conteinerizada. Nos casos em que houver a impossibilidade de a impossibilidade de acesso do veículo coletor, os coletores deverão transportar o resíduo até o caminhão manualmente. No perímetro urbano serão dispostos contentores (containers), que deverão ser coletados mecanicamente pelo caminhão, com sistema de “li</w:t>
      </w:r>
      <w:r>
        <w:rPr>
          <w:rFonts w:ascii="Maiandra GD" w:hAnsi="Maiandra GD" w:cs="Courier New"/>
          <w:bCs/>
          <w:szCs w:val="24"/>
        </w:rPr>
        <w:t>fter” traseiro. Os contentores deverão receber higienização trimestral. Os resíduos volumosos, como móveis, deverão ser dispostos nos containers e recolhidos juntamente com a coleta seletiva. Após o recolhimento na área urbana, abrangendo a coleta em todos os containers dispostos em todo o perímetro urbano do Município de Ibiraiaras, haverá o respectivo transporte desses resíduos sólidos até o local de triagem e após será efetuada a destinação final. Novos locais que sejam edificados igualmente ensejará a c</w:t>
      </w:r>
      <w:r>
        <w:rPr>
          <w:rFonts w:ascii="Maiandra GD" w:hAnsi="Maiandra GD" w:cs="Courier New"/>
          <w:bCs/>
          <w:szCs w:val="24"/>
        </w:rPr>
        <w:t>oleta, e somente será objeto de exame de reequilíbrio se houver aumento do percurso. Estes serviços serão prestados na forma detalhada no presente projeto.</w:t>
      </w:r>
    </w:p>
    <w:p w:rsidR="00750246" w:rsidRDefault="00A60FE0">
      <w:pPr>
        <w:widowControl w:val="0"/>
        <w:spacing w:before="240" w:line="360" w:lineRule="auto"/>
        <w:ind w:firstLine="708"/>
        <w:jc w:val="both"/>
        <w:rPr>
          <w:rFonts w:ascii="Maiandra GD" w:hAnsi="Maiandra GD" w:cs="Courier New"/>
          <w:b/>
          <w:iCs/>
          <w:sz w:val="24"/>
          <w:szCs w:val="24"/>
        </w:rPr>
      </w:pPr>
      <w:r>
        <w:rPr>
          <w:rFonts w:ascii="Maiandra GD" w:hAnsi="Maiandra GD" w:cs="Courier New"/>
          <w:b/>
          <w:iCs/>
          <w:sz w:val="24"/>
          <w:szCs w:val="24"/>
        </w:rPr>
        <w:t xml:space="preserve"> LOTE 2 – coleta seletiva, transporte, triagem e destinação final de resíduos recicláveis domiciliares na zona rural do município:</w:t>
      </w:r>
    </w:p>
    <w:p w:rsidR="00750246" w:rsidRDefault="00A60FE0">
      <w:pPr>
        <w:pStyle w:val="Corpodetexto"/>
        <w:spacing w:before="240" w:line="360" w:lineRule="auto"/>
        <w:ind w:firstLine="708"/>
        <w:rPr>
          <w:rFonts w:ascii="Maiandra GD" w:hAnsi="Maiandra GD" w:cs="Courier New"/>
          <w:bCs/>
          <w:szCs w:val="24"/>
        </w:rPr>
      </w:pPr>
      <w:r>
        <w:rPr>
          <w:rFonts w:ascii="Maiandra GD" w:hAnsi="Maiandra GD" w:cs="Courier New"/>
          <w:bCs/>
          <w:szCs w:val="24"/>
        </w:rPr>
        <w:t xml:space="preserve"> Os serviços de coleta dos resíduos domiciliares </w:t>
      </w:r>
      <w:r>
        <w:rPr>
          <w:rFonts w:ascii="Maiandra GD" w:hAnsi="Maiandra GD" w:cs="Courier New"/>
          <w:bCs/>
          <w:szCs w:val="24"/>
        </w:rPr>
        <w:t>recicláveis serão realizados em todas as comunidades da zona rural do município. Na área rural a coleta ocorrerá de forma híbrida, sendo feita manualmente nos pontos de coleta de cada comunidade, porém em duas localidades serão disponibilizados contentores (containers), em função da existência de núcleo habitacional com maior concentração de pessoas. Os contentores deverão receber higienização trimestral. Após coleta, será feito transporte até o ponto de triagem e após até o destino final, em roteiros defin</w:t>
      </w:r>
      <w:r>
        <w:rPr>
          <w:rFonts w:ascii="Maiandra GD" w:hAnsi="Maiandra GD" w:cs="Courier New"/>
          <w:bCs/>
          <w:szCs w:val="24"/>
        </w:rPr>
        <w:t>idos neste projeto, pelo menos uma vez por mês, nos respectivos pontos de coleta estabelecidos. O cronograma de coleta com dias e locais será fixado pelo Município. A coleta na área rural não compreende os resíduos orgânicos, que serão reutilizados na própria propriedade na forma de compostagem, adubação verde e, a depender do caso, alimentação animal.</w:t>
      </w:r>
    </w:p>
    <w:p w:rsidR="00750246" w:rsidRDefault="00A60FE0">
      <w:pPr>
        <w:pStyle w:val="Estilo1"/>
      </w:pPr>
      <w:r>
        <w:t>DEFINIÇÕES E JUSTIFICATIVAS.</w:t>
      </w:r>
    </w:p>
    <w:p w:rsidR="00750246" w:rsidRDefault="00A60FE0">
      <w:pPr>
        <w:pStyle w:val="Estilo2"/>
        <w:rPr>
          <w:bCs/>
        </w:rPr>
      </w:pPr>
      <w:r>
        <w:t>Definições</w:t>
      </w:r>
      <w:r>
        <w:rPr>
          <w:bCs/>
        </w:rPr>
        <w:t>.</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ab/>
        <w:t>Para melhor compreensão do presente projeto, ficam estabelecidas as definições a seguir.</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 xml:space="preserve"> </w:t>
      </w:r>
      <w:r>
        <w:rPr>
          <w:rFonts w:ascii="Maiandra GD" w:hAnsi="Maiandra GD" w:cs="Courier New"/>
          <w:bCs/>
          <w:szCs w:val="24"/>
        </w:rPr>
        <w:tab/>
      </w:r>
      <w:r>
        <w:rPr>
          <w:rFonts w:ascii="Maiandra GD" w:hAnsi="Maiandra GD" w:cs="Courier New"/>
          <w:b/>
          <w:szCs w:val="24"/>
        </w:rPr>
        <w:t>a) Resíduos Domiciliares:</w:t>
      </w:r>
      <w:r>
        <w:rPr>
          <w:rFonts w:ascii="Maiandra GD" w:hAnsi="Maiandra GD" w:cs="Courier New"/>
          <w:bCs/>
          <w:szCs w:val="24"/>
        </w:rPr>
        <w:t xml:space="preserve"> entendidos como os resíduos sólidos, classificados como Classe II, pela NBR nº 10004/2004, da Associação Brasileira de Normas Técnicas – ABNT, comumente tratados como resíduos residenciais ou domésticos, constituídos basicamente por resíduos inaproveitáveis, resultante do preparo de refeições, resíduos de alimentação, embalagens, papéis, papelões, plásticos, vidros, vasilhames, metais e outros inerentes a atividades domésticas;</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 xml:space="preserve"> </w:t>
      </w:r>
      <w:r>
        <w:rPr>
          <w:rFonts w:ascii="Maiandra GD" w:hAnsi="Maiandra GD" w:cs="Courier New"/>
          <w:bCs/>
          <w:szCs w:val="24"/>
        </w:rPr>
        <w:tab/>
      </w:r>
      <w:r>
        <w:rPr>
          <w:rFonts w:ascii="Maiandra GD" w:hAnsi="Maiandra GD" w:cs="Courier New"/>
          <w:b/>
          <w:szCs w:val="24"/>
        </w:rPr>
        <w:t>b) Resíduos Comerciais:</w:t>
      </w:r>
      <w:r>
        <w:rPr>
          <w:rFonts w:ascii="Maiandra GD" w:hAnsi="Maiandra GD" w:cs="Courier New"/>
          <w:bCs/>
          <w:szCs w:val="24"/>
        </w:rPr>
        <w:t xml:space="preserve"> compreendidos estes como sendo os resíduos classificados na Classe II, pela norma NBR n° 10004/04, originários de estabelecimentos comerciais, como lojas em geral, lanchonetes, restaurantes, estabelecimentos bancários, escritórios, hotéis e outros, constituindo-se comumente de papéis, papelões, plásticos, restos de refeições, resíduos decorrentes de seu preparo, embalagens diversas, inclusive de madeira, metais e outros. Compreende neste tópico os resíduos produzidos pelas indústria</w:t>
      </w:r>
      <w:r>
        <w:rPr>
          <w:rFonts w:ascii="Maiandra GD" w:hAnsi="Maiandra GD" w:cs="Courier New"/>
          <w:bCs/>
          <w:szCs w:val="24"/>
        </w:rPr>
        <w:t>s sediadas no perímetro urbano e que se caracterizam como resíduos comerciais, por sua natureza;</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 xml:space="preserve"> </w:t>
      </w:r>
      <w:r>
        <w:rPr>
          <w:rFonts w:ascii="Maiandra GD" w:hAnsi="Maiandra GD" w:cs="Courier New"/>
          <w:bCs/>
          <w:szCs w:val="24"/>
        </w:rPr>
        <w:tab/>
      </w:r>
      <w:r>
        <w:rPr>
          <w:rFonts w:ascii="Maiandra GD" w:hAnsi="Maiandra GD" w:cs="Courier New"/>
          <w:b/>
          <w:szCs w:val="24"/>
        </w:rPr>
        <w:t>c) Resíduos recicláveis</w:t>
      </w:r>
      <w:r>
        <w:rPr>
          <w:rFonts w:ascii="Maiandra GD" w:hAnsi="Maiandra GD" w:cs="Courier New"/>
          <w:bCs/>
          <w:szCs w:val="24"/>
        </w:rPr>
        <w:t xml:space="preserve">, também denominados como resíduos secos, objeto da coleta seletiva: Consideram-se os resíduos classificados na Classe II B – Inerte, que possam ser passíveis de reciclagem, tais como: papel, plástico, </w:t>
      </w:r>
      <w:r>
        <w:rPr>
          <w:rFonts w:ascii="Maiandra GD" w:hAnsi="Maiandra GD" w:cs="Courier New"/>
          <w:bCs/>
          <w:szCs w:val="24"/>
        </w:rPr>
        <w:t>vidro, alumínio, etc.</w:t>
      </w:r>
    </w:p>
    <w:p w:rsidR="00750246" w:rsidRDefault="00A60FE0">
      <w:pPr>
        <w:pStyle w:val="Corpodetexto"/>
        <w:spacing w:before="240" w:line="360" w:lineRule="auto"/>
        <w:rPr>
          <w:rFonts w:ascii="Maiandra GD" w:hAnsi="Maiandra GD" w:cs="Courier New"/>
          <w:bCs/>
          <w:szCs w:val="24"/>
        </w:rPr>
      </w:pPr>
      <w:r>
        <w:rPr>
          <w:rFonts w:ascii="Maiandra GD" w:hAnsi="Maiandra GD" w:cs="Courier New"/>
          <w:bCs/>
          <w:szCs w:val="24"/>
        </w:rPr>
        <w:t xml:space="preserve"> </w:t>
      </w:r>
      <w:r>
        <w:rPr>
          <w:rFonts w:ascii="Maiandra GD" w:hAnsi="Maiandra GD" w:cs="Courier New"/>
          <w:bCs/>
          <w:szCs w:val="24"/>
        </w:rPr>
        <w:tab/>
      </w:r>
      <w:r>
        <w:rPr>
          <w:rFonts w:ascii="Maiandra GD" w:hAnsi="Maiandra GD" w:cs="Courier New"/>
          <w:b/>
          <w:szCs w:val="24"/>
        </w:rPr>
        <w:t>d) Resíduos não recicláveis</w:t>
      </w:r>
      <w:r>
        <w:rPr>
          <w:rFonts w:ascii="Maiandra GD" w:hAnsi="Maiandra GD" w:cs="Courier New"/>
          <w:bCs/>
          <w:szCs w:val="24"/>
        </w:rPr>
        <w:t xml:space="preserve"> que serão objeto da coleta convencional: considera-se a execução da coleta dos rejeitos (papel higiênico, fraldas descartáveis, absorventes e outros) e o material orgânico (restos de comida, folhas de árvore, etc.).</w:t>
      </w:r>
    </w:p>
    <w:p w:rsidR="00750246" w:rsidRDefault="00A60FE0">
      <w:pPr>
        <w:pStyle w:val="Corpodetexto"/>
        <w:numPr>
          <w:ilvl w:val="2"/>
          <w:numId w:val="1"/>
        </w:numPr>
        <w:spacing w:before="240" w:after="240" w:line="360" w:lineRule="auto"/>
        <w:ind w:left="0" w:firstLine="709"/>
        <w:rPr>
          <w:rFonts w:ascii="Maiandra GD" w:hAnsi="Maiandra GD" w:cs="Courier New"/>
          <w:bCs/>
          <w:szCs w:val="24"/>
        </w:rPr>
      </w:pPr>
      <w:r>
        <w:rPr>
          <w:rFonts w:ascii="Maiandra GD" w:hAnsi="Maiandra GD" w:cs="Courier New"/>
          <w:bCs/>
          <w:szCs w:val="24"/>
        </w:rPr>
        <w:t>Para resíduos comerciais, tal como descrito no item ‘b’, que possuam elevado volume, poderá o Município estabelecer que a fonte produtora adote medidas exclusivas para o descarte do resíduo.</w:t>
      </w:r>
    </w:p>
    <w:p w:rsidR="00750246" w:rsidRDefault="00A60FE0">
      <w:pPr>
        <w:pStyle w:val="Estilo2"/>
        <w:ind w:left="0" w:firstLine="851"/>
      </w:pPr>
      <w:r>
        <w:t xml:space="preserve">Justificativa da aglutinação dos objetos em lotes: </w:t>
      </w:r>
    </w:p>
    <w:p w:rsidR="00750246" w:rsidRDefault="00A60FE0">
      <w:pPr>
        <w:pStyle w:val="Corpodetexto"/>
        <w:spacing w:before="240" w:line="360" w:lineRule="auto"/>
        <w:ind w:firstLine="708"/>
        <w:rPr>
          <w:rFonts w:ascii="Maiandra GD" w:hAnsi="Maiandra GD" w:cs="Courier New"/>
          <w:bCs/>
          <w:szCs w:val="24"/>
        </w:rPr>
      </w:pPr>
      <w:r>
        <w:rPr>
          <w:rFonts w:ascii="Maiandra GD" w:hAnsi="Maiandra GD" w:cs="Courier New"/>
          <w:bCs/>
          <w:szCs w:val="24"/>
        </w:rPr>
        <w:t>Este projeto considerou a execução dos objetos de forma unificada em lotes, ou seja, considera apenas uma empresa para executar os serviços de coleta, triagem, transporte e destinação final dos resíduos sólidos. São considerados tanto os resíduos recicláveis como os não recicláveis das zonas urbana e rural do município. Essa escolha se deu em função da economia, isso por que a contratação de equipes ou empresas diferentes para a execução de cada serviço traria prejuízo ao município, uma vez que haveria perd</w:t>
      </w:r>
      <w:r>
        <w:rPr>
          <w:rFonts w:ascii="Maiandra GD" w:hAnsi="Maiandra GD" w:cs="Courier New"/>
          <w:bCs/>
          <w:szCs w:val="24"/>
        </w:rPr>
        <w:t xml:space="preserve">a da economia de escala. </w:t>
      </w:r>
    </w:p>
    <w:p w:rsidR="00750246" w:rsidRDefault="00A60FE0">
      <w:pPr>
        <w:pStyle w:val="Corpodetexto"/>
        <w:spacing w:before="240" w:line="360" w:lineRule="auto"/>
        <w:ind w:firstLine="708"/>
        <w:rPr>
          <w:rFonts w:ascii="Maiandra GD" w:hAnsi="Maiandra GD" w:cs="Courier New"/>
          <w:bCs/>
          <w:szCs w:val="24"/>
        </w:rPr>
      </w:pPr>
      <w:r>
        <w:rPr>
          <w:rFonts w:ascii="Maiandra GD" w:hAnsi="Maiandra GD" w:cs="Courier New"/>
          <w:bCs/>
          <w:szCs w:val="24"/>
        </w:rPr>
        <w:t xml:space="preserve">Assim, justifica-se a contratação dos objetos em lotes para evitar o pagamento de várias equipes de trabalho para os serviços, considerando o fato de que as coletas convencionais e seletivas urbanas são realizadas em dias e horários diferentes. E também porque o volume de resíduos a ser coletado não é expressivo -dado ao porte do Município, logo, a equação financeira desse montante recolhido com os gastos gerados para a prestação dos serviços, quer seja com o pessoal, quer sejam administrativos, quer sejam </w:t>
      </w:r>
      <w:r>
        <w:rPr>
          <w:rFonts w:ascii="Maiandra GD" w:hAnsi="Maiandra GD" w:cs="Courier New"/>
          <w:bCs/>
          <w:szCs w:val="24"/>
        </w:rPr>
        <w:t>aqueles para a existência da estrutura mínima a possibilitar a prestação dos serviços, reclama a unificação, de forma a proporcionar economia para o Município e ampliar o número de participantes no certame.</w:t>
      </w:r>
    </w:p>
    <w:p w:rsidR="00750246" w:rsidRDefault="00A60FE0">
      <w:pPr>
        <w:pStyle w:val="Corpodetexto"/>
        <w:spacing w:before="240" w:line="360" w:lineRule="auto"/>
        <w:ind w:firstLine="708"/>
        <w:rPr>
          <w:rFonts w:ascii="Maiandra GD" w:hAnsi="Maiandra GD" w:cs="Courier New"/>
          <w:bCs/>
          <w:szCs w:val="24"/>
        </w:rPr>
      </w:pPr>
      <w:r>
        <w:rPr>
          <w:rFonts w:ascii="Courier New" w:hAnsi="Courier New" w:cs="Courier New"/>
          <w:sz w:val="26"/>
          <w:szCs w:val="26"/>
        </w:rPr>
        <w:t xml:space="preserve"> </w:t>
      </w:r>
      <w:r>
        <w:rPr>
          <w:rFonts w:ascii="Maiandra GD" w:hAnsi="Maiandra GD" w:cs="Courier New"/>
          <w:bCs/>
          <w:szCs w:val="24"/>
        </w:rPr>
        <w:t>Outra vantagem da unificação desses serviços, consiste em evitar a ocorrência de resíduos misturados, que poderiam ser deixados de serem coletados pelas empresas, evitando que as empresas criem um conflito de responsabilidade com a finalidade de se eximir alegando que seria responsabilidade da outra (e vice e versa).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Por outro lado, o presente projeto contempla os serviços de triagem, de modo que a separação dos resíduos acabará acontecendo, de modo que assim se permitirá a reciclagem. Paralelamente a este projeto se recomenda a realização de campanha de conscientização, para que seja procedido na separação dos dias de coletas, porque há ganho neste agir.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Esta formatação de contratação, dadas a todas as características envolvidas, também se evitará que haja um conflito de responsabilidade entre as supostas empresas de prestadores de cada um dos serviços no que tange à qualidade dos serviços quanto às sobras dos resíduos ou quanto às coletas não realizadas, bem como quanto ao ponto de destinação.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contratação de apenas uma empresa para a prestação dos serviços de coletas seletivas e convencionais urbanas, com o devido transporte, faz com que a contratada necessite de apenas uma estrutura administrativa e operacional para a coleta dos resíduos sólidos urbanos (recicláveis e não recicláveis), reduzindo assim os custos fixos das licitantes interessadas em participar do processo licitatório, haja vista se tratar de município de pequeno porte, além do que se estará a reduzir o valor de oferta para contr</w:t>
      </w:r>
      <w:r>
        <w:rPr>
          <w:rFonts w:ascii="Maiandra GD" w:hAnsi="Maiandra GD" w:cs="Courier New"/>
          <w:szCs w:val="24"/>
        </w:rPr>
        <w:t>atação dos serviços pelo município.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Neste sentido, considerando os argumentos expostos acima, resta demonstrada a necessidade de que as coletas seletivas e convencionais urbanas devem ser aglutinadas.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Justifica-se a realização preferencial da coleta seletiva na zona rural, considerando o fato de que as pessoas que residem na zona rural utilizam os resíduos domiciliares não recicláveis como adubo, não havendo a necessidade da realização da coleta convencional de resíduos domiciliares, porém se houver itens não recicláveis, deverá ser dado o devido destino final.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Outro fato que deve ser levado em conta, é a inviabilidade econômica de criar uma estação de transbordo no município, considerando que as coletas urbanas e rurais serão realizadas somente com um compactador, neste sentido, o próprio compactador realizará o transporte até a triagem quando for o caso e a respectiva destinação final, não necessitando repassar a carga para um veículo de maior porte.</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prestação de serviços de destinação final também não poderá ser contratada de forma fracionada dos serviços de coleta e transporte, tendo em vista que na elaboração da proposta por parte das empresas interessadas em realizar a coleta convencional e seletiva urbana e rural, com o respectivo transporte, devem ter conhecimento do custo real de transporte dos resíduos até o destino final, o que envolve diversas considerações de logísticas, volume e particularidades desta contratação.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Ou seja, a contratação fracionada do destino final traz imprevisibilidade quanto ao custo real das licitantes com relação ao transporte, desse modo, o município realizando licitação de forma aglutinada possibilita a aferição por parte dos licitantes participantes quanto ao custo total necessário para a formulação de propostas.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Ainda, é justificada a aglutinação também do serviço de locação de containers pelos mesmos motivos acima detalhados, pois como já apresentado, a contratação de apenas uma empresa para a prestação de todos os serviços, faz com que a futura contratada necessite de apenas uma estrutura administrativa e operacional, reduzindo consideradamente os custos fixos das licitantes interessadas em participar do processo licitatório.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comparação dos custos de contratação do objeto de forma aglutinada ou não, foram elaboradas planilhas de cálculo para as duas formas, conforme resumo apresentado abaixo.</w:t>
      </w:r>
    </w:p>
    <w:tbl>
      <w:tblPr>
        <w:tblW w:w="9061" w:type="dxa"/>
        <w:tblInd w:w="-113" w:type="dxa"/>
        <w:tblLayout w:type="fixed"/>
        <w:tblLook w:val="0000" w:firstRow="0" w:lastRow="0" w:firstColumn="0" w:lastColumn="0" w:noHBand="0" w:noVBand="0"/>
      </w:tblPr>
      <w:tblGrid>
        <w:gridCol w:w="704"/>
        <w:gridCol w:w="2920"/>
        <w:gridCol w:w="1812"/>
        <w:gridCol w:w="1810"/>
        <w:gridCol w:w="1815"/>
      </w:tblGrid>
      <w:tr w:rsidR="00750246">
        <w:tc>
          <w:tcPr>
            <w:tcW w:w="704" w:type="dxa"/>
            <w:vMerge w:val="restart"/>
            <w:tcBorders>
              <w:top w:val="single" w:sz="4" w:space="0" w:color="BFBFBF"/>
              <w:left w:val="single" w:sz="4" w:space="0" w:color="BFBFBF"/>
              <w:bottom w:val="single" w:sz="4" w:space="0" w:color="BFBFBF"/>
              <w:right w:val="single" w:sz="4" w:space="0" w:color="BFBFBF"/>
            </w:tcBorders>
            <w:vAlign w:val="center"/>
          </w:tcPr>
          <w:p w:rsidR="00750246" w:rsidRDefault="00750246">
            <w:pPr>
              <w:pStyle w:val="Corpodetexto"/>
              <w:spacing w:line="360" w:lineRule="auto"/>
              <w:jc w:val="center"/>
              <w:rPr>
                <w:rFonts w:ascii="Maiandra GD" w:hAnsi="Maiandra GD" w:cs="Courier New"/>
                <w:sz w:val="22"/>
                <w:szCs w:val="22"/>
              </w:rPr>
            </w:pPr>
          </w:p>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Item</w:t>
            </w:r>
          </w:p>
        </w:tc>
        <w:tc>
          <w:tcPr>
            <w:tcW w:w="2920" w:type="dxa"/>
            <w:vMerge w:val="restart"/>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Descrição</w:t>
            </w:r>
          </w:p>
        </w:tc>
        <w:tc>
          <w:tcPr>
            <w:tcW w:w="3622" w:type="dxa"/>
            <w:gridSpan w:val="2"/>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Contratação parcelada</w:t>
            </w:r>
          </w:p>
        </w:tc>
        <w:tc>
          <w:tcPr>
            <w:tcW w:w="1815"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Contratação aglutinada</w:t>
            </w:r>
          </w:p>
        </w:tc>
      </w:tr>
      <w:tr w:rsidR="00750246">
        <w:trPr>
          <w:trHeight w:val="568"/>
        </w:trPr>
        <w:tc>
          <w:tcPr>
            <w:tcW w:w="704" w:type="dxa"/>
            <w:vMerge/>
            <w:tcBorders>
              <w:top w:val="single" w:sz="4" w:space="0" w:color="BFBFBF"/>
              <w:left w:val="single" w:sz="4" w:space="0" w:color="BFBFBF"/>
              <w:bottom w:val="single" w:sz="4" w:space="0" w:color="BFBFBF"/>
              <w:right w:val="single" w:sz="4" w:space="0" w:color="BFBFBF"/>
            </w:tcBorders>
            <w:shd w:val="clear" w:color="auto" w:fill="F2F2F2"/>
          </w:tcPr>
          <w:p w:rsidR="00750246" w:rsidRDefault="00750246"/>
        </w:tc>
        <w:tc>
          <w:tcPr>
            <w:tcW w:w="2920" w:type="dxa"/>
            <w:vMerge/>
            <w:tcBorders>
              <w:top w:val="single" w:sz="4" w:space="0" w:color="BFBFBF"/>
              <w:left w:val="single" w:sz="4" w:space="0" w:color="BFBFBF"/>
              <w:bottom w:val="single" w:sz="4" w:space="0" w:color="BFBFBF"/>
              <w:right w:val="single" w:sz="4" w:space="0" w:color="BFBFBF"/>
            </w:tcBorders>
            <w:shd w:val="clear" w:color="auto" w:fill="F2F2F2"/>
          </w:tcPr>
          <w:p w:rsidR="00750246" w:rsidRDefault="00750246"/>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sz w:val="22"/>
                <w:szCs w:val="22"/>
              </w:rPr>
              <w:t>Seletivo (R$)</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sz w:val="22"/>
                <w:szCs w:val="22"/>
              </w:rPr>
              <w:t>Orgânico (R$)</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sz w:val="22"/>
                <w:szCs w:val="22"/>
              </w:rPr>
              <w:t>Seletivo e Orgânico (R$)</w:t>
            </w:r>
          </w:p>
        </w:tc>
      </w:tr>
      <w:tr w:rsidR="00750246">
        <w:trPr>
          <w:trHeight w:val="490"/>
        </w:trPr>
        <w:tc>
          <w:tcPr>
            <w:tcW w:w="704"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1</w:t>
            </w:r>
          </w:p>
        </w:tc>
        <w:tc>
          <w:tcPr>
            <w:tcW w:w="29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Mão de obra</w:t>
            </w:r>
          </w:p>
        </w:tc>
        <w:tc>
          <w:tcPr>
            <w:tcW w:w="1812"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R$ 2.164,39</w:t>
            </w:r>
          </w:p>
        </w:tc>
        <w:tc>
          <w:tcPr>
            <w:tcW w:w="181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R$ 8.162,98</w:t>
            </w:r>
          </w:p>
        </w:tc>
        <w:tc>
          <w:tcPr>
            <w:tcW w:w="1815"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R$ 10.629,47</w:t>
            </w:r>
          </w:p>
        </w:tc>
      </w:tr>
      <w:tr w:rsidR="00750246">
        <w:tc>
          <w:tcPr>
            <w:tcW w:w="704"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2</w:t>
            </w:r>
          </w:p>
        </w:tc>
        <w:tc>
          <w:tcPr>
            <w:tcW w:w="292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 xml:space="preserve">Uniformes e equipamentos de </w:t>
            </w:r>
            <w:r>
              <w:rPr>
                <w:rFonts w:ascii="Maiandra GD" w:hAnsi="Maiandra GD" w:cs="Courier New"/>
                <w:sz w:val="22"/>
                <w:szCs w:val="22"/>
              </w:rPr>
              <w:t>proteção individual</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R$ 130,34</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R$ 664,34</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R$ 885,70</w:t>
            </w:r>
          </w:p>
        </w:tc>
      </w:tr>
      <w:tr w:rsidR="00750246">
        <w:tc>
          <w:tcPr>
            <w:tcW w:w="704"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3</w:t>
            </w:r>
          </w:p>
        </w:tc>
        <w:tc>
          <w:tcPr>
            <w:tcW w:w="29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Veículos e equipamentos</w:t>
            </w:r>
          </w:p>
        </w:tc>
        <w:tc>
          <w:tcPr>
            <w:tcW w:w="1812"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R$ 16.838,41</w:t>
            </w:r>
          </w:p>
        </w:tc>
        <w:tc>
          <w:tcPr>
            <w:tcW w:w="181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R$ 20.467,59</w:t>
            </w:r>
          </w:p>
        </w:tc>
        <w:tc>
          <w:tcPr>
            <w:tcW w:w="1815"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R$ 30.003,21</w:t>
            </w:r>
          </w:p>
        </w:tc>
      </w:tr>
      <w:tr w:rsidR="00750246">
        <w:trPr>
          <w:trHeight w:val="473"/>
        </w:trPr>
        <w:tc>
          <w:tcPr>
            <w:tcW w:w="704"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4</w:t>
            </w:r>
          </w:p>
        </w:tc>
        <w:tc>
          <w:tcPr>
            <w:tcW w:w="292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Ferramentas e materiais de consumo</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R$ 548,34</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R$ 548,34</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R$ 548,34</w:t>
            </w:r>
          </w:p>
        </w:tc>
      </w:tr>
      <w:tr w:rsidR="00750246">
        <w:tc>
          <w:tcPr>
            <w:tcW w:w="704"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5</w:t>
            </w:r>
          </w:p>
        </w:tc>
        <w:tc>
          <w:tcPr>
            <w:tcW w:w="29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Monitoramento da frota</w:t>
            </w:r>
          </w:p>
        </w:tc>
        <w:tc>
          <w:tcPr>
            <w:tcW w:w="1812"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R$ 112,30</w:t>
            </w:r>
          </w:p>
        </w:tc>
        <w:tc>
          <w:tcPr>
            <w:tcW w:w="181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R$ 336,91</w:t>
            </w:r>
          </w:p>
        </w:tc>
        <w:tc>
          <w:tcPr>
            <w:tcW w:w="1815"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R$ 449,16</w:t>
            </w:r>
          </w:p>
        </w:tc>
      </w:tr>
      <w:tr w:rsidR="00750246">
        <w:tc>
          <w:tcPr>
            <w:tcW w:w="704"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6</w:t>
            </w:r>
          </w:p>
        </w:tc>
        <w:tc>
          <w:tcPr>
            <w:tcW w:w="292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Destinação final</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sz w:val="22"/>
                <w:szCs w:val="22"/>
              </w:rPr>
              <w:t>0</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R$ 9.755,88</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R$ 9.755,88</w:t>
            </w:r>
          </w:p>
        </w:tc>
      </w:tr>
      <w:tr w:rsidR="00750246">
        <w:tc>
          <w:tcPr>
            <w:tcW w:w="704"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7</w:t>
            </w:r>
          </w:p>
        </w:tc>
        <w:tc>
          <w:tcPr>
            <w:tcW w:w="29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Pesagem</w:t>
            </w:r>
          </w:p>
        </w:tc>
        <w:tc>
          <w:tcPr>
            <w:tcW w:w="1812"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R$ 320,00</w:t>
            </w:r>
          </w:p>
        </w:tc>
        <w:tc>
          <w:tcPr>
            <w:tcW w:w="181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R$ 320,00</w:t>
            </w:r>
          </w:p>
        </w:tc>
        <w:tc>
          <w:tcPr>
            <w:tcW w:w="1815"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R$ 320,00</w:t>
            </w:r>
          </w:p>
        </w:tc>
      </w:tr>
      <w:tr w:rsidR="00750246">
        <w:tc>
          <w:tcPr>
            <w:tcW w:w="704"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8</w:t>
            </w:r>
          </w:p>
        </w:tc>
        <w:tc>
          <w:tcPr>
            <w:tcW w:w="292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line="360" w:lineRule="auto"/>
              <w:jc w:val="left"/>
              <w:rPr>
                <w:rFonts w:ascii="Maiandra GD" w:hAnsi="Maiandra GD" w:cs="Courier New"/>
                <w:sz w:val="22"/>
                <w:szCs w:val="22"/>
              </w:rPr>
            </w:pPr>
            <w:r>
              <w:rPr>
                <w:rFonts w:ascii="Maiandra GD" w:hAnsi="Maiandra GD" w:cs="Courier New"/>
                <w:sz w:val="22"/>
                <w:szCs w:val="22"/>
              </w:rPr>
              <w:t>BDI</w:t>
            </w:r>
          </w:p>
        </w:tc>
        <w:tc>
          <w:tcPr>
            <w:tcW w:w="181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R$ 4.752,89</w:t>
            </w:r>
          </w:p>
        </w:tc>
        <w:tc>
          <w:tcPr>
            <w:tcW w:w="1810"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R$ 8.426,67</w:t>
            </w:r>
          </w:p>
        </w:tc>
        <w:tc>
          <w:tcPr>
            <w:tcW w:w="1815"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ntedodatabela"/>
              <w:jc w:val="right"/>
              <w:rPr>
                <w:rFonts w:ascii="Maiandra GD" w:eastAsia="Times New Roman" w:hAnsi="Maiandra GD" w:cs="Courier New"/>
                <w:sz w:val="22"/>
                <w:szCs w:val="22"/>
              </w:rPr>
            </w:pPr>
            <w:r>
              <w:rPr>
                <w:rFonts w:ascii="Maiandra GD" w:eastAsia="Times New Roman" w:hAnsi="Maiandra GD" w:cs="Courier New"/>
                <w:sz w:val="22"/>
                <w:szCs w:val="22"/>
              </w:rPr>
              <w:t>R$ 12.887,33</w:t>
            </w:r>
          </w:p>
        </w:tc>
      </w:tr>
      <w:tr w:rsidR="00750246">
        <w:trPr>
          <w:trHeight w:val="610"/>
        </w:trPr>
        <w:tc>
          <w:tcPr>
            <w:tcW w:w="3624" w:type="dxa"/>
            <w:gridSpan w:val="2"/>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sz w:val="22"/>
                <w:szCs w:val="22"/>
              </w:rPr>
            </w:pPr>
            <w:r>
              <w:rPr>
                <w:rFonts w:ascii="Maiandra GD" w:hAnsi="Maiandra GD" w:cs="Courier New"/>
                <w:b/>
                <w:bCs/>
                <w:sz w:val="22"/>
                <w:szCs w:val="22"/>
              </w:rPr>
              <w:t>Totais</w:t>
            </w:r>
          </w:p>
        </w:tc>
        <w:tc>
          <w:tcPr>
            <w:tcW w:w="3622" w:type="dxa"/>
            <w:gridSpan w:val="2"/>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b/>
                <w:bCs/>
                <w:sz w:val="22"/>
                <w:szCs w:val="22"/>
              </w:rPr>
            </w:pPr>
            <w:r>
              <w:rPr>
                <w:rFonts w:ascii="Maiandra GD" w:hAnsi="Maiandra GD" w:cs="Courier New"/>
                <w:b/>
                <w:bCs/>
                <w:sz w:val="22"/>
                <w:szCs w:val="22"/>
              </w:rPr>
              <w:t>R$ 73.549,38</w:t>
            </w:r>
          </w:p>
        </w:tc>
        <w:tc>
          <w:tcPr>
            <w:tcW w:w="1815"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line="360" w:lineRule="auto"/>
              <w:jc w:val="center"/>
              <w:rPr>
                <w:rFonts w:ascii="Maiandra GD" w:hAnsi="Maiandra GD" w:cs="Courier New"/>
                <w:b/>
                <w:bCs/>
                <w:sz w:val="22"/>
                <w:szCs w:val="22"/>
              </w:rPr>
            </w:pPr>
            <w:r>
              <w:rPr>
                <w:rFonts w:ascii="Maiandra GD" w:hAnsi="Maiandra GD" w:cs="Courier New"/>
                <w:b/>
                <w:bCs/>
                <w:sz w:val="22"/>
                <w:szCs w:val="22"/>
              </w:rPr>
              <w:t>R$ 65.479,09</w:t>
            </w:r>
          </w:p>
        </w:tc>
      </w:tr>
    </w:tbl>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Assim, pode-se observar que a melhor opção para o Município de Ibiraiaras é a </w:t>
      </w:r>
      <w:r>
        <w:rPr>
          <w:rFonts w:ascii="Maiandra GD" w:hAnsi="Maiandra GD" w:cs="Courier New"/>
          <w:szCs w:val="24"/>
        </w:rPr>
        <w:t>contratação dos serviços de forma aglutinada, por ser a solução financeiramente mais viável, além das justificativas detalhadas anteriormente.</w:t>
      </w:r>
    </w:p>
    <w:p w:rsidR="00750246" w:rsidRDefault="00A60FE0">
      <w:pPr>
        <w:pStyle w:val="Estilo1"/>
      </w:pPr>
      <w:r>
        <w:t>DESCRIÇÃO DETALHADA DOS SERVIÇOS:</w:t>
      </w:r>
    </w:p>
    <w:p w:rsidR="00750246" w:rsidRDefault="00A60FE0">
      <w:pPr>
        <w:pStyle w:val="Estilo2"/>
        <w:ind w:left="0" w:firstLine="851"/>
      </w:pPr>
      <w:r>
        <w:t xml:space="preserve">LOTE 01: coleta convencional e seletiva, transporte, triagem, e </w:t>
      </w:r>
      <w:r>
        <w:t>destinação final de resíduos sólidos domiciliares e comerciais do perímetro urbano do município: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Os serviços de coleta de resíduos sólidos domiciliares e comerciais compreendem a execução das atividades de coleta conforme as especificações a seguir:</w:t>
      </w:r>
    </w:p>
    <w:p w:rsidR="00750246" w:rsidRDefault="00A60FE0">
      <w:pPr>
        <w:pStyle w:val="Estilo3"/>
      </w:pPr>
      <w:r>
        <w:t>Locais de prestação dos serviços: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O serviço de coleta domiciliar será prestado em toda a área urbana do Município, conforme Planta Baixa n° 01, inclusive aquelas onde não existe a possibilidade de tráfego de veículos, tais como becos ou vias estreitas. Serão também abrangidas pelo serviço quaisquer vias que vierem a ser criadas no decorrer da vigência do contrato.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seguir são detalhados os trechos de coleta considerados para elaboração deste projeto, que também são apresentados nas Pranchas 05 a 09.</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Trecho 01:</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O recolhimento urbano considera o seguinte percurso: chegando na área urbana pela ERS 126, sentido Caseiros </w:t>
      </w:r>
      <w:r>
        <w:rPr>
          <w:rFonts w:ascii="Arial" w:hAnsi="Arial" w:cs="Arial"/>
          <w:szCs w:val="24"/>
        </w:rPr>
        <w:t>→</w:t>
      </w:r>
      <w:r>
        <w:rPr>
          <w:rFonts w:ascii="Maiandra GD" w:hAnsi="Maiandra GD" w:cs="Courier New"/>
          <w:szCs w:val="24"/>
        </w:rPr>
        <w:t xml:space="preserve"> Ibiraiaras, ser</w:t>
      </w:r>
      <w:r>
        <w:rPr>
          <w:rFonts w:ascii="Maiandra GD" w:hAnsi="Maiandra GD" w:cs="Maiandra GD"/>
          <w:szCs w:val="24"/>
        </w:rPr>
        <w:t>ã</w:t>
      </w:r>
      <w:r>
        <w:rPr>
          <w:rFonts w:ascii="Maiandra GD" w:hAnsi="Maiandra GD" w:cs="Courier New"/>
          <w:szCs w:val="24"/>
        </w:rPr>
        <w:t>o atendidas as vias longitudinais do munic</w:t>
      </w:r>
      <w:r>
        <w:rPr>
          <w:rFonts w:ascii="Maiandra GD" w:hAnsi="Maiandra GD" w:cs="Maiandra GD"/>
          <w:szCs w:val="24"/>
        </w:rPr>
        <w:t>í</w:t>
      </w:r>
      <w:r>
        <w:rPr>
          <w:rFonts w:ascii="Maiandra GD" w:hAnsi="Maiandra GD" w:cs="Courier New"/>
          <w:szCs w:val="24"/>
        </w:rPr>
        <w:t>pio, iniciando pela Rua Frei Aleixo, seguindo para a Rua S</w:t>
      </w:r>
      <w:r>
        <w:rPr>
          <w:rFonts w:ascii="Maiandra GD" w:hAnsi="Maiandra GD" w:cs="Maiandra GD"/>
          <w:szCs w:val="24"/>
        </w:rPr>
        <w:t>ã</w:t>
      </w:r>
      <w:r>
        <w:rPr>
          <w:rFonts w:ascii="Maiandra GD" w:hAnsi="Maiandra GD" w:cs="Courier New"/>
          <w:szCs w:val="24"/>
        </w:rPr>
        <w:t>o Jos</w:t>
      </w:r>
      <w:r>
        <w:rPr>
          <w:rFonts w:ascii="Maiandra GD" w:hAnsi="Maiandra GD" w:cs="Maiandra GD"/>
          <w:szCs w:val="24"/>
        </w:rPr>
        <w:t>é</w:t>
      </w:r>
      <w:r>
        <w:rPr>
          <w:rFonts w:ascii="Maiandra GD" w:hAnsi="Maiandra GD" w:cs="Courier New"/>
          <w:szCs w:val="24"/>
        </w:rPr>
        <w:t xml:space="preserve"> do Carreiro, Rua Jo</w:t>
      </w:r>
      <w:r>
        <w:rPr>
          <w:rFonts w:ascii="Maiandra GD" w:hAnsi="Maiandra GD" w:cs="Maiandra GD"/>
          <w:szCs w:val="24"/>
        </w:rPr>
        <w:t>ã</w:t>
      </w:r>
      <w:r>
        <w:rPr>
          <w:rFonts w:ascii="Maiandra GD" w:hAnsi="Maiandra GD" w:cs="Courier New"/>
          <w:szCs w:val="24"/>
        </w:rPr>
        <w:t>o Luiz Canevese, Rua Albino Piva, Rua Faustino Dal Piva, seguindo para atender as vias do Loteamento Guilhermina e do Bairro Santo Isidoro, Rua Antônio Stella, Carlos Alberto Guerra, Aurélio Barbiero, Guilhermina Bragagnollo e Guilhermina Bragagnollo Sul, Beco 19 de Abril, Beco A, Ruas A e B, Avenida Leda Accorsi Rech, Ruas do Loteamento Colina do Sol, prolongame</w:t>
      </w:r>
      <w:r>
        <w:rPr>
          <w:rFonts w:ascii="Maiandra GD" w:hAnsi="Maiandra GD" w:cs="Courier New"/>
          <w:szCs w:val="24"/>
        </w:rPr>
        <w:t>nto da Av. Leda Accorsi Rech,  Estrada Municipal Linha Esperança, Ruas do Loteamento Cidade Nova, retornando pela Estrada Velha e Rua João Domingos Baldasso, passando pelos Becos 24 de Agosto e Beco B.</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Trecho 02:</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Seguindo pela Rua João Domingos Baldasso em direção ao Loteamento Pomatti, atendendo as ruas Leolindo Luiz Pomatti, Prolongamento da Rua Longino Zacharias Guadagnin, Rua Vicente Pomatti, Rua Osvaldo Antonio Leite, Rua João Stella, Rua João Luiz Zatti, vias do núcleo conhecido como “Roso”, seguindo pela ERS 126 em direção à São Jorge, para atendimento à “Área Industrial”, o Desvio e o loteamento conhecido como “XV da Boa Vista (Cazanatto)”, retornando pela ERS 126, entrando pela Rua Umberto Roso, entrando na</w:t>
      </w:r>
      <w:r>
        <w:rPr>
          <w:rFonts w:ascii="Maiandra GD" w:hAnsi="Maiandra GD" w:cs="Courier New"/>
          <w:szCs w:val="24"/>
        </w:rPr>
        <w:t xml:space="preserve"> Rua Cirilo Rossoni, em seguida Rua João Luiz Zatti.</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 xml:space="preserve">Trecho 03: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Entrando pela Rua Antônio Fabris em direção ao Bairro Jardim Esperança, atendendo Rua José Bedin, Osvaldo Antônio Leite, Rua 01, Rua 02, Rua 03, Rua Ângelo Sgarbossa, Rua Antônio Francisco dos Santos, Rua 25 de Janeiro, 1º de Maio e 12 de Outubro. Seguindo pela Rua Osvaldo Antônio Leite pelo “desvio”, sentido ao núcleo conhecido por “Loteamento Christianetti”, retornando pela Linha 12 de Outubro, atendendo as vias que compõe o “Loteamento Ademar Pomatti”. A partir daí, seguindo em direção ao centro pela Rua</w:t>
      </w:r>
      <w:r>
        <w:rPr>
          <w:rFonts w:ascii="Maiandra GD" w:hAnsi="Maiandra GD" w:cs="Courier New"/>
          <w:szCs w:val="24"/>
        </w:rPr>
        <w:t xml:space="preserve"> Augusto Pomatti, até a Avenida Leda A. Rech, seguindo para a Rua Antônio Stella, Rua Longino Zacharias Guadagnin e seu trecho em direção à “Linha Café”, até o núcleo conhecido como “Loteamento Bedin”.</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Trecho 04:</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Do “Loteamento Bedin”, retornando para atendimento às vias transversais Avenida Leda Accorsi Rech, Longino Zacharias Guadagnin, José Bedin, Ângelo Sgarbossa, seguindo em direção ao Loteamento Jardim Planalto atendendo às Ruas Projetadas 01, 02, 03 e 04, Rua Maximino Sgarbossa, retornando pela ERS 126 para atendimento ao Bairro São José – Ruas São José do Carreiro, Dionizio Luchesi, João Luiz Canevese e João Luchesi, retornando atendendo a Rua Guerino Catapan, e por fim em direção à saída da cidade pela Rua </w:t>
      </w:r>
      <w:r>
        <w:rPr>
          <w:rFonts w:ascii="Maiandra GD" w:hAnsi="Maiandra GD" w:cs="Courier New"/>
          <w:szCs w:val="24"/>
        </w:rPr>
        <w:t>Frei Aleixo em direção à ERS 126.</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tabela abaixo resume a quilometragem a ser percorrida para atendimento à coleta urbana.</w:t>
      </w:r>
    </w:p>
    <w:tbl>
      <w:tblPr>
        <w:tblW w:w="9067" w:type="dxa"/>
        <w:tblInd w:w="-113" w:type="dxa"/>
        <w:tblLayout w:type="fixed"/>
        <w:tblLook w:val="0000" w:firstRow="0" w:lastRow="0" w:firstColumn="0" w:lastColumn="0" w:noHBand="0" w:noVBand="0"/>
      </w:tblPr>
      <w:tblGrid>
        <w:gridCol w:w="1302"/>
        <w:gridCol w:w="2663"/>
        <w:gridCol w:w="2552"/>
        <w:gridCol w:w="2550"/>
      </w:tblGrid>
      <w:tr w:rsidR="00750246">
        <w:trPr>
          <w:trHeight w:val="811"/>
        </w:trPr>
        <w:tc>
          <w:tcPr>
            <w:tcW w:w="1301"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Trecho</w:t>
            </w:r>
          </w:p>
        </w:tc>
        <w:tc>
          <w:tcPr>
            <w:tcW w:w="2663"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Percurso percorrido para atendimento ao trecho (km)</w:t>
            </w:r>
          </w:p>
        </w:tc>
        <w:tc>
          <w:tcPr>
            <w:tcW w:w="2552"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Frequência semanal da coleta em cada trecho:</w:t>
            </w:r>
          </w:p>
        </w:tc>
        <w:tc>
          <w:tcPr>
            <w:tcW w:w="255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Turno de execução do serviço:</w:t>
            </w:r>
          </w:p>
        </w:tc>
      </w:tr>
      <w:tr w:rsidR="00750246">
        <w:trPr>
          <w:trHeight w:val="654"/>
        </w:trPr>
        <w:tc>
          <w:tcPr>
            <w:tcW w:w="130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01</w:t>
            </w:r>
          </w:p>
        </w:tc>
        <w:tc>
          <w:tcPr>
            <w:tcW w:w="2663"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sz w:val="22"/>
                <w:szCs w:val="22"/>
              </w:rPr>
            </w:pPr>
            <w:r>
              <w:rPr>
                <w:rFonts w:ascii="Maiandra GD" w:hAnsi="Maiandra GD" w:cs="Courier New"/>
                <w:sz w:val="22"/>
                <w:szCs w:val="22"/>
              </w:rPr>
              <w:t>12,6</w:t>
            </w:r>
          </w:p>
        </w:tc>
        <w:tc>
          <w:tcPr>
            <w:tcW w:w="2552"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4x por semana</w:t>
            </w:r>
          </w:p>
        </w:tc>
        <w:tc>
          <w:tcPr>
            <w:tcW w:w="255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Manhã</w:t>
            </w:r>
          </w:p>
        </w:tc>
      </w:tr>
      <w:tr w:rsidR="00750246">
        <w:trPr>
          <w:trHeight w:val="637"/>
        </w:trPr>
        <w:tc>
          <w:tcPr>
            <w:tcW w:w="1301"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02</w:t>
            </w:r>
          </w:p>
        </w:tc>
        <w:tc>
          <w:tcPr>
            <w:tcW w:w="2663"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13,8</w:t>
            </w:r>
          </w:p>
        </w:tc>
        <w:tc>
          <w:tcPr>
            <w:tcW w:w="2552"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4x por semana</w:t>
            </w:r>
          </w:p>
        </w:tc>
        <w:tc>
          <w:tcPr>
            <w:tcW w:w="255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Manhã</w:t>
            </w:r>
          </w:p>
        </w:tc>
      </w:tr>
      <w:tr w:rsidR="00750246">
        <w:trPr>
          <w:trHeight w:val="637"/>
        </w:trPr>
        <w:tc>
          <w:tcPr>
            <w:tcW w:w="130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03</w:t>
            </w:r>
          </w:p>
        </w:tc>
        <w:tc>
          <w:tcPr>
            <w:tcW w:w="2663"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11,5</w:t>
            </w:r>
          </w:p>
        </w:tc>
        <w:tc>
          <w:tcPr>
            <w:tcW w:w="2552"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4x por semana</w:t>
            </w:r>
          </w:p>
        </w:tc>
        <w:tc>
          <w:tcPr>
            <w:tcW w:w="255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Tarde</w:t>
            </w:r>
          </w:p>
        </w:tc>
      </w:tr>
      <w:tr w:rsidR="00750246">
        <w:trPr>
          <w:trHeight w:val="625"/>
        </w:trPr>
        <w:tc>
          <w:tcPr>
            <w:tcW w:w="1301"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04</w:t>
            </w:r>
          </w:p>
        </w:tc>
        <w:tc>
          <w:tcPr>
            <w:tcW w:w="2663"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5,6</w:t>
            </w:r>
          </w:p>
        </w:tc>
        <w:tc>
          <w:tcPr>
            <w:tcW w:w="2552"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tabs>
                <w:tab w:val="left" w:pos="405"/>
                <w:tab w:val="center" w:pos="1168"/>
              </w:tabs>
              <w:spacing w:before="240" w:line="360" w:lineRule="auto"/>
              <w:jc w:val="left"/>
              <w:rPr>
                <w:rFonts w:ascii="Maiandra GD" w:hAnsi="Maiandra GD" w:cs="Courier New"/>
                <w:sz w:val="22"/>
                <w:szCs w:val="22"/>
              </w:rPr>
            </w:pPr>
            <w:r>
              <w:rPr>
                <w:rFonts w:ascii="Maiandra GD" w:hAnsi="Maiandra GD" w:cs="Courier New"/>
                <w:sz w:val="22"/>
                <w:szCs w:val="22"/>
              </w:rPr>
              <w:tab/>
            </w:r>
            <w:r>
              <w:rPr>
                <w:rFonts w:ascii="Maiandra GD" w:hAnsi="Maiandra GD" w:cs="Courier New"/>
                <w:sz w:val="22"/>
                <w:szCs w:val="22"/>
              </w:rPr>
              <w:tab/>
              <w:t>4x por semana</w:t>
            </w:r>
          </w:p>
        </w:tc>
        <w:tc>
          <w:tcPr>
            <w:tcW w:w="255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Tarde</w:t>
            </w:r>
          </w:p>
        </w:tc>
      </w:tr>
      <w:tr w:rsidR="00750246">
        <w:trPr>
          <w:trHeight w:val="687"/>
        </w:trPr>
        <w:tc>
          <w:tcPr>
            <w:tcW w:w="130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sz w:val="22"/>
                <w:szCs w:val="22"/>
              </w:rPr>
            </w:pPr>
            <w:r>
              <w:rPr>
                <w:rFonts w:ascii="Maiandra GD" w:hAnsi="Maiandra GD" w:cs="Courier New"/>
                <w:b/>
                <w:bCs/>
                <w:sz w:val="22"/>
                <w:szCs w:val="22"/>
              </w:rPr>
              <w:t>Totais</w:t>
            </w:r>
          </w:p>
        </w:tc>
        <w:tc>
          <w:tcPr>
            <w:tcW w:w="2663"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sz w:val="22"/>
                <w:szCs w:val="22"/>
              </w:rPr>
            </w:pPr>
            <w:r>
              <w:rPr>
                <w:rFonts w:ascii="Maiandra GD" w:hAnsi="Maiandra GD" w:cs="Courier New"/>
                <w:b/>
                <w:bCs/>
                <w:sz w:val="22"/>
                <w:szCs w:val="22"/>
              </w:rPr>
              <w:t>43,50 km percorridos por semana</w:t>
            </w:r>
          </w:p>
        </w:tc>
        <w:tc>
          <w:tcPr>
            <w:tcW w:w="255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b/>
                <w:bCs/>
                <w:sz w:val="22"/>
                <w:szCs w:val="22"/>
              </w:rPr>
            </w:pPr>
            <w:r>
              <w:rPr>
                <w:rFonts w:ascii="Maiandra GD" w:hAnsi="Maiandra GD" w:cs="Courier New"/>
                <w:b/>
                <w:bCs/>
                <w:sz w:val="22"/>
                <w:szCs w:val="22"/>
              </w:rPr>
              <w:t xml:space="preserve">696 km </w:t>
            </w:r>
            <w:r>
              <w:rPr>
                <w:rFonts w:ascii="Maiandra GD" w:hAnsi="Maiandra GD" w:cs="Courier New"/>
                <w:b/>
                <w:bCs/>
                <w:sz w:val="22"/>
                <w:szCs w:val="22"/>
              </w:rPr>
              <w:t>percorridos mensalmente</w:t>
            </w:r>
          </w:p>
        </w:tc>
        <w:tc>
          <w:tcPr>
            <w:tcW w:w="255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widowControl w:val="0"/>
              <w:jc w:val="center"/>
              <w:rPr>
                <w:rFonts w:ascii="Maiandra GD" w:hAnsi="Maiandra GD" w:cs="Courier New"/>
                <w:b/>
                <w:bCs/>
                <w:sz w:val="22"/>
                <w:szCs w:val="22"/>
              </w:rPr>
            </w:pPr>
            <w:r>
              <w:rPr>
                <w:rFonts w:ascii="Maiandra GD" w:hAnsi="Maiandra GD" w:cs="Courier New"/>
                <w:b/>
                <w:bCs/>
                <w:sz w:val="22"/>
                <w:szCs w:val="22"/>
              </w:rPr>
              <w:t>-</w:t>
            </w:r>
          </w:p>
        </w:tc>
      </w:tr>
    </w:tbl>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Para elaboração do presente projeto foi considerado que todos os trechos citados acima serão atendidos em um dia de coleta. Também foi considerada a quantidade 76,5 km para a chegada do caminhão coletor até o ponto de </w:t>
      </w:r>
      <w:r>
        <w:rPr>
          <w:rFonts w:ascii="Maiandra GD" w:hAnsi="Maiandra GD" w:cs="Courier New"/>
          <w:szCs w:val="24"/>
        </w:rPr>
        <w:t>início dos trabalhos de coleta. Ainda, foi considerada a quantidade de 76,5 km para ida do caminhão coletor até a destinação final, passando pela triagem.</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percurso até o destino final foi escolhido tendo em vista que existem três aterros sanitários existentes em um raio de 76,5 km do município de Ibiraiaras, de acordo com o Plano Estadual de Resíduos Sólidos do Rio Grande do Sul 2015-2034.</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quilometragem total considerada será, então:</w:t>
      </w:r>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Coletanoper</m:t>
        </m:r>
        <m:r>
          <w:rPr>
            <w:rFonts w:ascii="Cambria Math" w:hAnsi="Cambria Math"/>
          </w:rPr>
          <m:t>í</m:t>
        </m:r>
        <m:r>
          <w:rPr>
            <w:rFonts w:ascii="Cambria Math" w:hAnsi="Cambria Math"/>
          </w:rPr>
          <m:t>metrourbano</m:t>
        </m:r>
        <m:r>
          <w:rPr>
            <w:rFonts w:ascii="Cambria Math" w:hAnsi="Cambria Math"/>
          </w:rPr>
          <m:t>:43,50</m:t>
        </m:r>
        <m:r>
          <w:rPr>
            <w:rFonts w:ascii="Cambria Math" w:hAnsi="Cambria Math"/>
          </w:rPr>
          <m:t>kmporcoleta</m:t>
        </m:r>
        <m:r>
          <w:rPr>
            <w:rFonts w:ascii="Cambria Math" w:hAnsi="Cambria Math"/>
          </w:rPr>
          <m:t>×4</m:t>
        </m:r>
        <m:r>
          <w:rPr>
            <w:rFonts w:ascii="Cambria Math" w:hAnsi="Cambria Math"/>
          </w:rPr>
          <m:t>vezesporsemana</m:t>
        </m:r>
        <m:r>
          <w:rPr>
            <w:rFonts w:ascii="Cambria Math" w:hAnsi="Cambria Math"/>
          </w:rPr>
          <m:t>×4</m:t>
        </m:r>
        <m:r>
          <w:rPr>
            <w:rFonts w:ascii="Cambria Math" w:hAnsi="Cambria Math"/>
          </w:rPr>
          <m:t>semanasnom</m:t>
        </m:r>
        <m:r>
          <w:rPr>
            <w:rFonts w:ascii="Cambria Math" w:hAnsi="Cambria Math"/>
          </w:rPr>
          <m:t>ê</m:t>
        </m:r>
        <m:r>
          <w:rPr>
            <w:rFonts w:ascii="Cambria Math" w:hAnsi="Cambria Math"/>
          </w:rPr>
          <m:t>s</m:t>
        </m:r>
        <m:r>
          <w:rPr>
            <w:rFonts w:ascii="Cambria Math" w:hAnsi="Cambria Math"/>
          </w:rPr>
          <m:t>=696</m:t>
        </m:r>
        <m:r>
          <w:rPr>
            <w:rFonts w:ascii="Cambria Math" w:hAnsi="Cambria Math"/>
          </w:rPr>
          <m:t>km</m:t>
        </m:r>
      </m:oMath>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Transporteat</m:t>
        </m:r>
        <m:r>
          <w:rPr>
            <w:rFonts w:ascii="Cambria Math" w:hAnsi="Cambria Math"/>
          </w:rPr>
          <m:t>é</m:t>
        </m:r>
        <m:r>
          <w:rPr>
            <w:rFonts w:ascii="Cambria Math" w:hAnsi="Cambria Math"/>
          </w:rPr>
          <m:t>destina</m:t>
        </m:r>
        <m:r>
          <w:rPr>
            <w:rFonts w:ascii="Cambria Math" w:hAnsi="Cambria Math"/>
          </w:rPr>
          <m:t>çã</m:t>
        </m:r>
        <m:r>
          <w:rPr>
            <w:rFonts w:ascii="Cambria Math" w:hAnsi="Cambria Math"/>
          </w:rPr>
          <m:t>ofinal</m:t>
        </m:r>
        <m:r>
          <w:rPr>
            <w:rFonts w:ascii="Cambria Math" w:hAnsi="Cambria Math"/>
          </w:rPr>
          <m:t>:76,50</m:t>
        </m:r>
        <m:r>
          <w:rPr>
            <w:rFonts w:ascii="Cambria Math" w:hAnsi="Cambria Math"/>
          </w:rPr>
          <m:t>km</m:t>
        </m:r>
        <m:r>
          <w:rPr>
            <w:rFonts w:ascii="Cambria Math" w:hAnsi="Cambria Math"/>
          </w:rPr>
          <m:t>×4</m:t>
        </m:r>
        <m:r>
          <w:rPr>
            <w:rFonts w:ascii="Cambria Math" w:hAnsi="Cambria Math"/>
          </w:rPr>
          <m:t>vezesporsemana</m:t>
        </m:r>
        <m:r>
          <w:rPr>
            <w:rFonts w:ascii="Cambria Math" w:hAnsi="Cambria Math"/>
          </w:rPr>
          <m:t>×4</m:t>
        </m:r>
        <m:r>
          <w:rPr>
            <w:rFonts w:ascii="Cambria Math" w:hAnsi="Cambria Math"/>
          </w:rPr>
          <m:t>semanasnom</m:t>
        </m:r>
        <m:r>
          <w:rPr>
            <w:rFonts w:ascii="Cambria Math" w:hAnsi="Cambria Math"/>
          </w:rPr>
          <m:t>ê</m:t>
        </m:r>
        <m:r>
          <w:rPr>
            <w:rFonts w:ascii="Cambria Math" w:hAnsi="Cambria Math"/>
          </w:rPr>
          <m:t>s</m:t>
        </m:r>
        <m:r>
          <w:rPr>
            <w:rFonts w:ascii="Cambria Math" w:hAnsi="Cambria Math"/>
          </w:rPr>
          <m:t>=1224</m:t>
        </m:r>
        <m:r>
          <w:rPr>
            <w:rFonts w:ascii="Cambria Math" w:hAnsi="Cambria Math"/>
          </w:rPr>
          <m:t>km</m:t>
        </m:r>
      </m:oMath>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Deslocamentoat</m:t>
        </m:r>
        <m:r>
          <w:rPr>
            <w:rFonts w:ascii="Cambria Math" w:hAnsi="Cambria Math"/>
          </w:rPr>
          <m:t>é</m:t>
        </m:r>
        <m:r>
          <w:rPr>
            <w:rFonts w:ascii="Cambria Math" w:hAnsi="Cambria Math"/>
          </w:rPr>
          <m:t>olocaldein</m:t>
        </m:r>
        <m:r>
          <w:rPr>
            <w:rFonts w:ascii="Cambria Math" w:hAnsi="Cambria Math"/>
          </w:rPr>
          <m:t>í</m:t>
        </m:r>
        <m:r>
          <w:rPr>
            <w:rFonts w:ascii="Cambria Math" w:hAnsi="Cambria Math"/>
          </w:rPr>
          <m:t>ciodacoleta</m:t>
        </m:r>
        <m:r>
          <w:rPr>
            <w:rFonts w:ascii="Cambria Math" w:hAnsi="Cambria Math"/>
          </w:rPr>
          <m:t>:76,50</m:t>
        </m:r>
        <m:r>
          <w:rPr>
            <w:rFonts w:ascii="Cambria Math" w:hAnsi="Cambria Math"/>
          </w:rPr>
          <m:t>km</m:t>
        </m:r>
        <m:r>
          <w:rPr>
            <w:rFonts w:ascii="Cambria Math" w:hAnsi="Cambria Math"/>
          </w:rPr>
          <m:t>×4</m:t>
        </m:r>
        <m:r>
          <w:rPr>
            <w:rFonts w:ascii="Cambria Math" w:hAnsi="Cambria Math"/>
          </w:rPr>
          <m:t>vezesporsemana</m:t>
        </m:r>
        <m:r>
          <w:rPr>
            <w:rFonts w:ascii="Cambria Math" w:hAnsi="Cambria Math"/>
          </w:rPr>
          <m:t>×4</m:t>
        </m:r>
        <m:r>
          <w:rPr>
            <w:rFonts w:ascii="Cambria Math" w:hAnsi="Cambria Math"/>
          </w:rPr>
          <m:t>semanasnom</m:t>
        </m:r>
        <m:r>
          <w:rPr>
            <w:rFonts w:ascii="Cambria Math" w:hAnsi="Cambria Math"/>
          </w:rPr>
          <m:t>ê</m:t>
        </m:r>
        <m:r>
          <w:rPr>
            <w:rFonts w:ascii="Cambria Math" w:hAnsi="Cambria Math"/>
          </w:rPr>
          <m:t>s</m:t>
        </m:r>
        <m:r>
          <w:rPr>
            <w:rFonts w:ascii="Cambria Math" w:hAnsi="Cambria Math"/>
          </w:rPr>
          <m:t>=1224</m:t>
        </m:r>
        <m:r>
          <w:rPr>
            <w:rFonts w:ascii="Cambria Math" w:hAnsi="Cambria Math"/>
          </w:rPr>
          <m:t>km</m:t>
        </m:r>
      </m:oMath>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somatório dos deslocamentos será, portanto:</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696</m:t>
          </m:r>
          <m:r>
            <w:rPr>
              <w:rFonts w:ascii="Cambria Math" w:hAnsi="Cambria Math"/>
            </w:rPr>
            <m:t>km</m:t>
          </m:r>
          <m:r>
            <w:rPr>
              <w:rFonts w:ascii="Cambria Math" w:hAnsi="Cambria Math"/>
            </w:rPr>
            <m:t>+1224</m:t>
          </m:r>
          <m:r>
            <w:rPr>
              <w:rFonts w:ascii="Cambria Math" w:hAnsi="Cambria Math"/>
            </w:rPr>
            <m:t>km</m:t>
          </m:r>
          <m:r>
            <w:rPr>
              <w:rFonts w:ascii="Cambria Math" w:hAnsi="Cambria Math"/>
            </w:rPr>
            <m:t>+1224</m:t>
          </m:r>
          <m:r>
            <w:rPr>
              <w:rFonts w:ascii="Cambria Math" w:hAnsi="Cambria Math"/>
            </w:rPr>
            <m:t>km</m:t>
          </m:r>
          <m:r>
            <w:rPr>
              <w:rFonts w:ascii="Cambria Math" w:hAnsi="Cambria Math"/>
            </w:rPr>
            <m:t>=3144</m:t>
          </m:r>
          <m:r>
            <w:rPr>
              <w:rFonts w:ascii="Cambria Math" w:hAnsi="Cambria Math"/>
            </w:rPr>
            <m:t>km</m:t>
          </m:r>
        </m:oMath>
      </m:oMathPara>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Assim, a quilometragem de 3.144,00 km mensais que consta na planilha orçamentária se refere à chegada do caminhão até o município, a coleta dentro da área urbana, e o transporte até a destinação final, passando pela triagem.</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empresa participante deverá adequar a quilometragem estimada até o início da coleta e até o destino final, levando em consideração a realidade da empresa vencedora. Portanto, na elaboração da proposta, as empresas participantes deverão acrescer ao roteiro mensal de 696 km a quilometragem mensal de acordo com sua real necessidade.</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Novas vias que vierem a ser criadas no </w:t>
      </w:r>
      <w:r>
        <w:rPr>
          <w:rFonts w:ascii="Maiandra GD" w:hAnsi="Maiandra GD" w:cs="Courier New"/>
          <w:szCs w:val="24"/>
        </w:rPr>
        <w:t>decorrer da vigência do contrato poderão ser objeto de reequilíbrio desde que comprovado impacto financeiro para o cumprimento contrato, porém, novas edificações ou o crescimento populacional não ensejarão esta espécie de repactuação.</w:t>
      </w:r>
    </w:p>
    <w:p w:rsidR="00750246" w:rsidRDefault="00A60FE0">
      <w:pPr>
        <w:pStyle w:val="Estilo3"/>
      </w:pPr>
      <w:r>
        <w:t>Frequência da prestação dos serviços: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As coletas de resíduos sólidos domiciliares e comerciais deverão ser executados de acordo com as duas modalidades de frequência definidas a seguir: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a) Coleta de resíduos recicláveis e volumosos:</w:t>
      </w:r>
      <w:r>
        <w:rPr>
          <w:rFonts w:ascii="Maiandra GD" w:hAnsi="Maiandra GD" w:cs="Courier New"/>
          <w:szCs w:val="24"/>
        </w:rPr>
        <w:t xml:space="preserve"> Os serviços serão executados nas terças-feiras;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b) Coleta de resíduos não recicláveis (rejeitos e orgânicos):</w:t>
      </w:r>
      <w:r>
        <w:rPr>
          <w:rFonts w:ascii="Maiandra GD" w:hAnsi="Maiandra GD" w:cs="Courier New"/>
          <w:szCs w:val="24"/>
        </w:rPr>
        <w:t xml:space="preserve"> Os serviços serão executados nas segundas-feiras, quintas-feiras e sábados.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 coletas dos resíduos sólidos domiciliares e comerciais deverão ser executados inclusive nos feriados e em qualquer condição climática.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dias de coleta poderão ser modificados no período da vigência do contrato.</w:t>
      </w:r>
    </w:p>
    <w:p w:rsidR="00750246" w:rsidRDefault="00A60FE0">
      <w:pPr>
        <w:pStyle w:val="Estilo3"/>
      </w:pPr>
      <w:r>
        <w:t>Definição dos horários da prestação dos serviços: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w:t>
      </w:r>
      <w:r>
        <w:rPr>
          <w:rFonts w:ascii="Maiandra GD" w:hAnsi="Maiandra GD" w:cs="Courier New"/>
          <w:b/>
          <w:bCs/>
          <w:szCs w:val="24"/>
        </w:rPr>
        <w:t>a) Diurno:</w:t>
      </w:r>
      <w:r>
        <w:rPr>
          <w:rFonts w:ascii="Maiandra GD" w:hAnsi="Maiandra GD" w:cs="Courier New"/>
          <w:szCs w:val="24"/>
        </w:rPr>
        <w:t xml:space="preserve"> O início da coleta deverá iniciar a partir das 06h00min;</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b) Vespertino:</w:t>
      </w:r>
      <w:r>
        <w:rPr>
          <w:rFonts w:ascii="Maiandra GD" w:hAnsi="Maiandra GD" w:cs="Courier New"/>
          <w:szCs w:val="24"/>
        </w:rPr>
        <w:t xml:space="preserve"> o início da coleta deverá ser a partir das 13h00min.</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horário de início da coleta é considerado como o horário em que as equipes de coleta iniciam a execução do recolhimento dos resíduos nos seus respectivos setores de coleta. A frequência e horários de coleta poderão ser modificados no período da vigência do contrato, mediante aprovação do executivo municipal.</w:t>
      </w:r>
    </w:p>
    <w:p w:rsidR="00750246" w:rsidRDefault="00A60FE0">
      <w:pPr>
        <w:pStyle w:val="Estilo3"/>
      </w:pPr>
      <w:r>
        <w:t>Metodologia de execução: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A coleta regular de resíduos sólidos domiciliares e comerciais será realizada com a utilização de caminhões dotados de equipamentos coletores compactadores de resíduos com capacidade mínima de 12 m³ (doze metros cúbicos) de resíduos. Ainda, o caminhão deverá possuir sistema mecanizado de coleta dos resíduos diretamente dos containers.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empresa contratada deverá conter uma equipe de coleta composta por 1 (um) motorista e 2 (dois) coletores para o veículo. Não foi considerado encarregado/supervisor de coleta por entender que não existe a necessidade do acompanhamento do serviço por supervisor, já que haverá fiscal e gestor designados pelo município e que os próprios cidadãos participam ativamente da fiscalização do serviço de coleta.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setores de coleta deverão ser executados obedecendo aos respectivos roteiros planejados, adequados ao sistema viário e à legislação de trânsito, de forma a conferir uma constância de horários de atendimento em cada imóvel (domicílio ou ponto comercial).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impossibilidade de cumprimento dos roteiros definidos, seja por obras nas vias públicas, alterações no trânsito, ou qualquer outra razão, deverá ser comunicada imediatamente à Secretaria Municipal de Agricultura, Desenvolvimento Econômico e Meio Ambiente e o Setor de Engenharia do Município, de forma que estes possam orientar a Contratada quanto a alternativa a ser seguida.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Em qualquer circunstância deverá ser assegurada a coleta dos resíduos sólidos em todos os containers do perímetro urbano. Nos casos em que houver a impossibilidade de acesso ao veículo coletor, os coletores deverão transportar os resíduos até o caminhão coletor. Os resíduos deverão estar acondicionados em sacos plásticos, preferencialmente com capacidade de até 100 litros ou outro recipiente adequado.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Na execução dos serviços de coleta, os veículos coletores deverão deslocar-se em velocidade reduzida, realizando paradas, sempre que necessário, de modo a evitar correrias que possam prejudicar a qualidade do serviço e a segurança da equipe e de terceiros.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veículo em operação de coleta, durante o roteiro, deverá transitar com os faróis (luz baixa) e sinalizador visual ligado. Sempre que possível, o motorista do veículo coletor deverá permitir o livre trânsito dos demais veículos nas vias públicas.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roteiro deverá ser executado pelo veículo coletor dentro do horário estabelecido para o turno, completando quantas cargas forem necessárias para a coleta de todo o resíduo disposto no perímetro urbano.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Deverão ser recolhidos todos os resíduos sólidos que estejam dispostos para a coleta, conforme definidos, dentro da região de abrangência definida na Planta Baixa n° 01 deste projeto, e dispostos dentro ou no entorno dos contêineres. Os resíduos que eventualmente venham a cair dos sacos plásticos ou recipientes, durante a execução do serviço, deverão ser recolhidos imediatamente.</w:t>
      </w:r>
    </w:p>
    <w:p w:rsidR="00750246" w:rsidRDefault="00A60FE0">
      <w:pPr>
        <w:pStyle w:val="Estilo3"/>
      </w:pPr>
      <w:r>
        <w:t>Dimensionamento para o lote 01:</w:t>
      </w:r>
    </w:p>
    <w:p w:rsidR="00750246" w:rsidRDefault="00A60FE0">
      <w:pPr>
        <w:pStyle w:val="Corpodetexto"/>
        <w:spacing w:before="240" w:after="240" w:line="360" w:lineRule="auto"/>
        <w:ind w:firstLine="708"/>
        <w:rPr>
          <w:rFonts w:ascii="Maiandra GD" w:hAnsi="Maiandra GD" w:cs="Courier New"/>
          <w:szCs w:val="24"/>
        </w:rPr>
      </w:pPr>
      <w:r>
        <w:rPr>
          <w:rFonts w:ascii="Maiandra GD" w:hAnsi="Maiandra GD" w:cs="Courier New"/>
          <w:szCs w:val="24"/>
        </w:rPr>
        <w:t>Durante o ano de 2020 foram feitas pesagens do resíduo coletado no município de Ibiraiaras, durante o período de três meses. Com base nas pesagens, foi possível calcular a média de resíduos sólidos domiciliares não recicláveis gerados na área urbana. Os dados coletados foram reunidos na tabela abaixo, e os originais podem ser verificados no Processo Licitatório Nº 82/2019, fls. 437 a 445 e 494 a 518.</w:t>
      </w:r>
    </w:p>
    <w:tbl>
      <w:tblPr>
        <w:tblW w:w="9060" w:type="dxa"/>
        <w:tblInd w:w="-113" w:type="dxa"/>
        <w:tblLayout w:type="fixed"/>
        <w:tblLook w:val="0000" w:firstRow="0" w:lastRow="0" w:firstColumn="0" w:lastColumn="0" w:noHBand="0" w:noVBand="0"/>
      </w:tblPr>
      <w:tblGrid>
        <w:gridCol w:w="3020"/>
        <w:gridCol w:w="3020"/>
        <w:gridCol w:w="3020"/>
      </w:tblGrid>
      <w:tr w:rsidR="00750246">
        <w:trPr>
          <w:trHeight w:val="370"/>
        </w:trPr>
        <w:tc>
          <w:tcPr>
            <w:tcW w:w="30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Mês de análise</w:t>
            </w:r>
          </w:p>
        </w:tc>
        <w:tc>
          <w:tcPr>
            <w:tcW w:w="30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Resíduo não reciclável (kg)</w:t>
            </w:r>
          </w:p>
        </w:tc>
        <w:tc>
          <w:tcPr>
            <w:tcW w:w="3020"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Resíduo reciclável (kg)</w:t>
            </w:r>
          </w:p>
        </w:tc>
      </w:tr>
      <w:tr w:rsidR="00750246">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rPr>
                <w:rFonts w:ascii="Maiandra GD" w:hAnsi="Maiandra GD" w:cs="Courier New"/>
                <w:sz w:val="22"/>
                <w:szCs w:val="22"/>
              </w:rPr>
            </w:pPr>
            <w:r>
              <w:rPr>
                <w:rFonts w:ascii="Maiandra GD" w:hAnsi="Maiandra GD" w:cs="Courier New"/>
                <w:b/>
                <w:bCs/>
                <w:sz w:val="22"/>
                <w:szCs w:val="22"/>
              </w:rPr>
              <w:t>Maio/2020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63.530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16.770</w:t>
            </w:r>
          </w:p>
        </w:tc>
      </w:tr>
      <w:tr w:rsidR="00750246">
        <w:tc>
          <w:tcPr>
            <w:tcW w:w="302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rPr>
                <w:rFonts w:ascii="Maiandra GD" w:hAnsi="Maiandra GD" w:cs="Courier New"/>
                <w:sz w:val="22"/>
                <w:szCs w:val="22"/>
              </w:rPr>
            </w:pPr>
            <w:r>
              <w:rPr>
                <w:rFonts w:ascii="Maiandra GD" w:hAnsi="Maiandra GD" w:cs="Courier New"/>
                <w:b/>
                <w:bCs/>
                <w:sz w:val="22"/>
                <w:szCs w:val="22"/>
              </w:rPr>
              <w:t>Outubro/2020</w:t>
            </w:r>
          </w:p>
        </w:tc>
        <w:tc>
          <w:tcPr>
            <w:tcW w:w="302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65.478</w:t>
            </w:r>
          </w:p>
        </w:tc>
        <w:tc>
          <w:tcPr>
            <w:tcW w:w="302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19.430</w:t>
            </w:r>
          </w:p>
        </w:tc>
      </w:tr>
      <w:tr w:rsidR="00750246">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rPr>
                <w:rFonts w:ascii="Maiandra GD" w:hAnsi="Maiandra GD" w:cs="Courier New"/>
                <w:sz w:val="22"/>
                <w:szCs w:val="22"/>
              </w:rPr>
            </w:pPr>
            <w:r>
              <w:rPr>
                <w:rFonts w:ascii="Maiandra GD" w:hAnsi="Maiandra GD" w:cs="Courier New"/>
                <w:b/>
                <w:bCs/>
                <w:sz w:val="22"/>
                <w:szCs w:val="22"/>
              </w:rPr>
              <w:t>Novembro/2020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53.160</w:t>
            </w:r>
          </w:p>
        </w:tc>
        <w:tc>
          <w:tcPr>
            <w:tcW w:w="3020"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19.230</w:t>
            </w:r>
          </w:p>
        </w:tc>
      </w:tr>
      <w:tr w:rsidR="00750246">
        <w:tc>
          <w:tcPr>
            <w:tcW w:w="302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rPr>
                <w:rFonts w:ascii="Maiandra GD" w:hAnsi="Maiandra GD" w:cs="Courier New"/>
                <w:sz w:val="22"/>
                <w:szCs w:val="22"/>
              </w:rPr>
            </w:pPr>
            <w:r>
              <w:rPr>
                <w:rFonts w:ascii="Maiandra GD" w:hAnsi="Maiandra GD" w:cs="Courier New"/>
                <w:b/>
                <w:bCs/>
                <w:sz w:val="22"/>
                <w:szCs w:val="22"/>
              </w:rPr>
              <w:t>Média de resíduo coletado</w:t>
            </w:r>
          </w:p>
        </w:tc>
        <w:tc>
          <w:tcPr>
            <w:tcW w:w="302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60.723</w:t>
            </w:r>
          </w:p>
        </w:tc>
        <w:tc>
          <w:tcPr>
            <w:tcW w:w="3020" w:type="dxa"/>
            <w:tcBorders>
              <w:top w:val="single" w:sz="4" w:space="0" w:color="BFBFBF"/>
              <w:left w:val="single" w:sz="4" w:space="0" w:color="BFBFBF"/>
              <w:bottom w:val="single" w:sz="4" w:space="0" w:color="BFBFBF"/>
              <w:right w:val="single" w:sz="4" w:space="0" w:color="BFBFBF"/>
            </w:tcBorders>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18.476</w:t>
            </w:r>
          </w:p>
        </w:tc>
      </w:tr>
    </w:tbl>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Em virtude de serem as informações mais atualizadas e precisas existentes no município, esses dados médios serão utilizados para o </w:t>
      </w:r>
      <w:r>
        <w:rPr>
          <w:rFonts w:ascii="Maiandra GD" w:hAnsi="Maiandra GD" w:cs="Courier New"/>
          <w:szCs w:val="24"/>
        </w:rPr>
        <w:t>dimensionamento do Lote 01. O projeto considera também o custo de pesagem do caminhão antes e depois do roteiro de coleta, em balança externa. O serviço de pesagem deverá ser feito em todas as coletas, para que seja possível determinar a média mais precisa de resíduos gerados no município, e que será considerada para futura elaboração de projetos desta natureza.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Definida a quantidade de resíduos, passa-se ao dimensionamento dos demais itens necessários à coleta.</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a) Dimensionamento da frota de veículos: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Serão considerados 12 dias de coleta para resíduos não recicláveis por mês, e 4 dias para resíduos recicláveis por mês. Assim, a quantidade a ser coletada em um dia de coleta (Qc) será:</w:t>
      </w:r>
    </w:p>
    <w:p w:rsidR="00750246" w:rsidRDefault="00A60FE0">
      <w:pPr>
        <w:pStyle w:val="Corpodetexto"/>
        <w:spacing w:before="240" w:line="360" w:lineRule="auto"/>
        <w:jc w:val="center"/>
        <w:rPr>
          <w:rFonts w:ascii="Maiandra GD" w:hAnsi="Maiandra GD" w:cs="Courier New"/>
          <w:szCs w:val="24"/>
        </w:rPr>
      </w:pPr>
      <m:oMathPara>
        <m:oMathParaPr>
          <m:jc m:val="center"/>
        </m:oMathParaPr>
        <m:oMath>
          <m:r>
            <w:rPr>
              <w:rFonts w:ascii="Cambria Math" w:hAnsi="Cambria Math"/>
            </w:rPr>
            <m:t>Qc</m:t>
          </m:r>
          <m:r>
            <w:rPr>
              <w:rFonts w:ascii="Cambria Math" w:hAnsi="Cambria Math"/>
            </w:rPr>
            <m:t>=</m:t>
          </m:r>
          <m:f>
            <m:fPr>
              <m:ctrlPr>
                <w:rPr>
                  <w:rFonts w:ascii="Cambria Math" w:hAnsi="Cambria Math"/>
                </w:rPr>
              </m:ctrlPr>
            </m:fPr>
            <m:num>
              <m:r>
                <w:rPr>
                  <w:rFonts w:ascii="Cambria Math" w:hAnsi="Cambria Math"/>
                </w:rPr>
                <m:t>60.723</m:t>
              </m:r>
            </m:num>
            <m:den>
              <m:r>
                <w:rPr>
                  <w:rFonts w:ascii="Cambria Math" w:hAnsi="Cambria Math"/>
                </w:rPr>
                <m:t>12</m:t>
              </m:r>
            </m:den>
          </m:f>
        </m:oMath>
      </m:oMathPara>
    </w:p>
    <w:p w:rsidR="00750246" w:rsidRDefault="00A60FE0">
      <w:pPr>
        <w:pStyle w:val="Corpodetexto"/>
        <w:spacing w:before="240" w:line="360" w:lineRule="auto"/>
        <w:jc w:val="center"/>
        <w:rPr>
          <w:rFonts w:ascii="Maiandra GD" w:hAnsi="Maiandra GD" w:cs="Courier New"/>
          <w:b/>
          <w:bCs/>
          <w:szCs w:val="24"/>
        </w:rPr>
      </w:pPr>
      <m:oMath>
        <m:r>
          <w:rPr>
            <w:rFonts w:ascii="Cambria Math" w:hAnsi="Cambria Math"/>
          </w:rPr>
          <m:t>Qc</m:t>
        </m:r>
        <m:r>
          <w:rPr>
            <w:rFonts w:ascii="Cambria Math" w:hAnsi="Cambria Math"/>
          </w:rPr>
          <m:t>=5,06</m:t>
        </m:r>
      </m:oMath>
      <w:r>
        <w:rPr>
          <w:rFonts w:ascii="Maiandra GD" w:hAnsi="Maiandra GD" w:cs="Courier New"/>
          <w:b/>
          <w:bCs/>
          <w:szCs w:val="24"/>
        </w:rPr>
        <w:t>ton</w:t>
      </w:r>
    </w:p>
    <w:p w:rsidR="00750246" w:rsidRDefault="00A60FE0">
      <w:pPr>
        <w:pStyle w:val="Corpodetexto"/>
        <w:spacing w:before="240" w:line="360" w:lineRule="auto"/>
        <w:jc w:val="left"/>
        <w:rPr>
          <w:rFonts w:ascii="Maiandra GD" w:hAnsi="Maiandra GD" w:cs="Courier New"/>
          <w:szCs w:val="24"/>
        </w:rPr>
      </w:pPr>
      <w:r>
        <w:rPr>
          <w:rFonts w:ascii="Maiandra GD" w:hAnsi="Maiandra GD" w:cs="Courier New"/>
          <w:szCs w:val="24"/>
        </w:rPr>
        <w:tab/>
        <w:t>No dia de coleta seletiva, teríamos:</w:t>
      </w:r>
    </w:p>
    <w:p w:rsidR="00750246" w:rsidRDefault="00A60FE0">
      <w:pPr>
        <w:pStyle w:val="Corpodetexto"/>
        <w:spacing w:before="240" w:line="360" w:lineRule="auto"/>
        <w:jc w:val="center"/>
        <w:rPr>
          <w:rFonts w:ascii="Maiandra GD" w:hAnsi="Maiandra GD" w:cs="Courier New"/>
          <w:szCs w:val="24"/>
        </w:rPr>
      </w:pPr>
      <m:oMathPara>
        <m:oMathParaPr>
          <m:jc m:val="center"/>
        </m:oMathParaPr>
        <m:oMath>
          <m:r>
            <w:rPr>
              <w:rFonts w:ascii="Cambria Math" w:hAnsi="Cambria Math"/>
            </w:rPr>
            <m:t>Qc</m:t>
          </m:r>
          <m:r>
            <w:rPr>
              <w:rFonts w:ascii="Cambria Math" w:hAnsi="Cambria Math"/>
            </w:rPr>
            <m:t>=</m:t>
          </m:r>
          <m:f>
            <m:fPr>
              <m:ctrlPr>
                <w:rPr>
                  <w:rFonts w:ascii="Cambria Math" w:hAnsi="Cambria Math"/>
                </w:rPr>
              </m:ctrlPr>
            </m:fPr>
            <m:num>
              <m:r>
                <w:rPr>
                  <w:rFonts w:ascii="Cambria Math" w:hAnsi="Cambria Math"/>
                </w:rPr>
                <m:t>18.476</m:t>
              </m:r>
            </m:num>
            <m:den>
              <m:r>
                <w:rPr>
                  <w:rFonts w:ascii="Cambria Math" w:hAnsi="Cambria Math"/>
                </w:rPr>
                <m:t>4</m:t>
              </m:r>
            </m:den>
          </m:f>
        </m:oMath>
      </m:oMathPara>
    </w:p>
    <w:p w:rsidR="00750246" w:rsidRDefault="00A60FE0">
      <w:pPr>
        <w:pStyle w:val="Corpodetexto"/>
        <w:spacing w:before="240" w:line="360" w:lineRule="auto"/>
        <w:jc w:val="center"/>
        <w:rPr>
          <w:rFonts w:ascii="Maiandra GD" w:hAnsi="Maiandra GD" w:cs="Courier New"/>
          <w:szCs w:val="24"/>
        </w:rPr>
      </w:pPr>
      <m:oMath>
        <m:r>
          <w:rPr>
            <w:rFonts w:ascii="Cambria Math" w:hAnsi="Cambria Math"/>
          </w:rPr>
          <m:t>Qc</m:t>
        </m:r>
        <m:r>
          <w:rPr>
            <w:rFonts w:ascii="Cambria Math" w:hAnsi="Cambria Math"/>
          </w:rPr>
          <m:t>=4,62</m:t>
        </m:r>
      </m:oMath>
      <w:r>
        <w:rPr>
          <w:rFonts w:ascii="Maiandra GD" w:hAnsi="Maiandra GD" w:cs="Courier New"/>
          <w:szCs w:val="24"/>
        </w:rPr>
        <w:t>ton</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Como a quantia de resíduos não recicláveis é mais expressiva, o cálculo da frota será feito para a quantidade de 5,06 toneladas. Entende-se que, se o caminhão for capaz de coletar os resíduos não recicláveis, será também capaz de coletar os recicláveis, já que são em menor quantidade.      </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 xml:space="preserve"> b) Número de cargas: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Considerando os seguintes dados: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Nc – Número total de cargas por dia de coleta </w:t>
      </w:r>
      <m:oMath>
        <m:r>
          <w:rPr>
            <w:rFonts w:ascii="Cambria Math" w:hAnsi="Cambria Math"/>
          </w:rPr>
          <m:t>→</m:t>
        </m:r>
      </m:oMath>
      <w:r>
        <w:rPr>
          <w:rFonts w:ascii="Maiandra GD" w:hAnsi="Maiandra GD" w:cs="Courier New"/>
          <w:szCs w:val="24"/>
        </w:rPr>
        <w:t xml:space="preserve">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Qc – Quantitativo de resíduos por dia de coleta, em toneladas </w:t>
      </w:r>
      <m:oMath>
        <m:r>
          <w:rPr>
            <w:rFonts w:ascii="Cambria Math" w:hAnsi="Cambria Math"/>
          </w:rPr>
          <m:t>→</m:t>
        </m:r>
      </m:oMath>
      <w:r>
        <w:rPr>
          <w:rFonts w:ascii="Maiandra GD" w:hAnsi="Maiandra GD" w:cs="Courier New"/>
          <w:szCs w:val="24"/>
        </w:rPr>
        <w:t xml:space="preserve"> 5,06 ton;</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Cc – Capacidade de carga do veículo de coleta, ton/carga </w:t>
      </w:r>
      <m:oMath>
        <m:r>
          <w:rPr>
            <w:rFonts w:ascii="Cambria Math" w:hAnsi="Cambria Math"/>
          </w:rPr>
          <m:t>→</m:t>
        </m:r>
      </m:oMath>
      <w:r>
        <w:rPr>
          <w:rFonts w:ascii="Maiandra GD" w:hAnsi="Maiandra GD" w:cs="Courier New"/>
          <w:szCs w:val="24"/>
        </w:rPr>
        <w:t xml:space="preserve"> 6ton/carga.</w:t>
      </w:r>
    </w:p>
    <w:p w:rsidR="00750246" w:rsidRDefault="00A60FE0">
      <w:pPr>
        <w:widowControl w:val="0"/>
        <w:jc w:val="both"/>
        <w:rPr>
          <w:rFonts w:ascii="Courier New" w:hAnsi="Courier New" w:cs="Courier New"/>
          <w:sz w:val="26"/>
          <w:szCs w:val="26"/>
        </w:rPr>
      </w:pPr>
      <w:r>
        <w:rPr>
          <w:rFonts w:ascii="Courier New" w:hAnsi="Courier New" w:cs="Courier New"/>
          <w:sz w:val="26"/>
          <w:szCs w:val="26"/>
        </w:rPr>
        <w:tab/>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número de cargas em um caminhão toco de 12m³ com compactador será:</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Nc</m:t>
          </m:r>
          <m:r>
            <w:rPr>
              <w:rFonts w:ascii="Cambria Math" w:hAnsi="Cambria Math"/>
            </w:rPr>
            <m:t>=</m:t>
          </m:r>
          <m:f>
            <m:fPr>
              <m:ctrlPr>
                <w:rPr>
                  <w:rFonts w:ascii="Cambria Math" w:hAnsi="Cambria Math"/>
                </w:rPr>
              </m:ctrlPr>
            </m:fPr>
            <m:num>
              <m:r>
                <w:rPr>
                  <w:rFonts w:ascii="Cambria Math" w:hAnsi="Cambria Math"/>
                </w:rPr>
                <m:t>Qc</m:t>
              </m:r>
            </m:num>
            <m:den>
              <m:r>
                <w:rPr>
                  <w:rFonts w:ascii="Cambria Math" w:hAnsi="Cambria Math"/>
                </w:rPr>
                <m:t>Cc</m:t>
              </m:r>
            </m:den>
          </m:f>
          <m:r>
            <w:rPr>
              <w:rFonts w:ascii="Cambria Math" w:hAnsi="Cambria Math"/>
            </w:rPr>
            <m:t>=</m:t>
          </m:r>
          <m:f>
            <m:fPr>
              <m:ctrlPr>
                <w:rPr>
                  <w:rFonts w:ascii="Cambria Math" w:hAnsi="Cambria Math"/>
                </w:rPr>
              </m:ctrlPr>
            </m:fPr>
            <m:num>
              <m:r>
                <w:rPr>
                  <w:rFonts w:ascii="Cambria Math" w:hAnsi="Cambria Math"/>
                </w:rPr>
                <m:t>5,06</m:t>
              </m:r>
            </m:num>
            <m:den>
              <m:r>
                <w:rPr>
                  <w:rFonts w:ascii="Cambria Math" w:hAnsi="Cambria Math"/>
                </w:rPr>
                <m:t>6</m:t>
              </m:r>
            </m:den>
          </m:f>
        </m:oMath>
      </m:oMathPara>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Nc</m:t>
          </m:r>
          <m:r>
            <w:rPr>
              <w:rFonts w:ascii="Cambria Math" w:hAnsi="Cambria Math"/>
            </w:rPr>
            <m:t>=0,84</m:t>
          </m:r>
          <m:f>
            <m:fPr>
              <m:type m:val="lin"/>
              <m:ctrlPr>
                <w:rPr>
                  <w:rFonts w:ascii="Cambria Math" w:hAnsi="Cambria Math"/>
                </w:rPr>
              </m:ctrlPr>
            </m:fPr>
            <m:num>
              <m:r>
                <w:rPr>
                  <w:rFonts w:ascii="Cambria Math" w:hAnsi="Cambria Math"/>
                </w:rPr>
                <m:t>carga</m:t>
              </m:r>
            </m:num>
            <m:den>
              <m:r>
                <w:rPr>
                  <w:rFonts w:ascii="Cambria Math" w:hAnsi="Cambria Math"/>
                </w:rPr>
                <m:t>dia</m:t>
              </m:r>
            </m:den>
          </m:f>
        </m:oMath>
      </m:oMathPara>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Assim, é possível atender ao município com um caminhão compactador de 12m³ e capacidade de carga 6 toneladas, fazendo uma carga por dia. </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 xml:space="preserve"> c) Capacidade de carga do Caminhão – Justificativa pela utilização de compactador: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No caso de utilização de caminhão caçamba, a fim de reduzir o esforço de carregamento, deve-se restringir a altura máxima da caçamba em 2 m. Neste sentido, recomenda-se pelo TCE – RS a adoção de caminhões toco com caçamba de 7 m³, que possuem chassis estendido e caçamba mais baixa. Cabe salientar ainda, que, para fins de dimensionamento da frota de caminhões caçamba (resíduos soltos), recomenda-se pelo TCE-RS a adoção de um peso específico de 180 kg/m³ quando o caminhão caçamba é utilizado.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Portanto, a capacidade máxima de um caminhão caçamba é de 1,26 toneladas de acordo com as orientações do TCE -RS. No entanto, a necessidade diária estimada para o município é de 5,06 toneladas por carga conforme cálculo realizado anteriormente neste projeto básico.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Neste sentido, se torna inviável financeiramente contratar mais equipes de trabalho e quatro caminhões caçamba para realizar a coleta de resíduos sólidos domiciliares do perímetro urbano, sendo que com apenas uma equipe de trabalho e apenas um caminhão compactador satisfaz a necessidade do município.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Há de se considerar também o crescimento populacional nas áreas urbanas e a diminuição da população na zona rural.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Portanto, é suficiente para a realização da coleta convencional e seletiva no perímetro urbano do município </w:t>
      </w:r>
      <w:r>
        <w:rPr>
          <w:rFonts w:ascii="Maiandra GD" w:hAnsi="Maiandra GD" w:cs="Courier New"/>
          <w:b/>
          <w:bCs/>
          <w:szCs w:val="24"/>
        </w:rPr>
        <w:t>um</w:t>
      </w:r>
      <w:r>
        <w:rPr>
          <w:rFonts w:ascii="Maiandra GD" w:hAnsi="Maiandra GD" w:cs="Courier New"/>
          <w:szCs w:val="24"/>
        </w:rPr>
        <w:t xml:space="preserve"> </w:t>
      </w:r>
      <w:r>
        <w:rPr>
          <w:rFonts w:ascii="Maiandra GD" w:hAnsi="Maiandra GD" w:cs="Courier New"/>
          <w:b/>
          <w:bCs/>
          <w:szCs w:val="24"/>
        </w:rPr>
        <w:t>caminhão toco, chassi de 6 toneladas, equipado com coletor compactador com capacidade de no mínimo 12 m³ de resíduos compactados, com ano de fabricação não superior a 10 anos</w:t>
      </w:r>
      <w:r>
        <w:rPr>
          <w:rFonts w:ascii="Maiandra GD" w:hAnsi="Maiandra GD" w:cs="Courier New"/>
          <w:szCs w:val="24"/>
        </w:rPr>
        <w:t>.</w:t>
      </w:r>
    </w:p>
    <w:p w:rsidR="00750246" w:rsidRDefault="00A60FE0">
      <w:pPr>
        <w:pStyle w:val="Corpodetexto"/>
        <w:spacing w:before="240" w:line="360" w:lineRule="auto"/>
        <w:ind w:firstLine="708"/>
        <w:rPr>
          <w:rFonts w:ascii="Courier New" w:hAnsi="Courier New" w:cs="Courier New"/>
          <w:b/>
          <w:sz w:val="26"/>
          <w:szCs w:val="26"/>
        </w:rPr>
      </w:pPr>
      <w:r>
        <w:rPr>
          <w:rFonts w:ascii="Maiandra GD" w:hAnsi="Maiandra GD" w:cs="Courier New"/>
          <w:b/>
          <w:bCs/>
          <w:szCs w:val="24"/>
        </w:rPr>
        <w:t>d) Das especificações do caminhão toco equipado com coletor compactador: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I - O veículo deverá </w:t>
      </w:r>
      <w:r>
        <w:rPr>
          <w:rFonts w:ascii="Maiandra GD" w:hAnsi="Maiandra GD" w:cs="Courier New"/>
          <w:szCs w:val="24"/>
        </w:rPr>
        <w:t>possuir dispositivo de visualização ótica e/ou eletrônica que garantam a visão, por parte do motorista, da boca de carga do equipamento e da sua região periférica, com o objetivo de proporcionar maior segurança à equipe de coleta;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II - Na boca de carga deverá ser instalada iluminação que possibilite a visualização noturna deste compartimento, de forma a minimizar o risco de acidentes com os Coletores;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III - O sistema de compactação deverá ser hidráulico, de carga traseira, com placas e prensas acionadas pela traseira do equipamento;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IV - O compartimento de carga deverá ser estanque, de forma a evitar o vazamento de líquidos e ter compartimento ou suporte para a guarda de pás e vassouras;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V - O equipamento de carga deve ser dotado de dispositivos que minimizem ruídos no momento da compactação de resíduos;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VI – O caminhão deve estar dotado de sistema de rastreamento via satélite – GPS;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VII – O caminhão deverá possuir sistema traseiro de basculamento automatizado de containers (lifting);</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VIII - O caminhão deverá possuir idade não superior a 10 anos.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custo adotado para a manutenção do caminhão na planilha orçamentária foi aquele indicado no item 7.1.2.4 da Orientação Técnica do TCE, ou seja, R$0,74/km - segundo dados informados em 2016 ao sistema LicitaCon.</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e) Guarnição de coleta: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De acordo com recomendação do TCE, deve-se considerar a produtividade de 4 ton./(coletor.dia) para o dimensionamento dos funcionários que irão atuar como coletores. Assim:</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Coletores</m:t>
          </m:r>
          <m:r>
            <w:rPr>
              <w:rFonts w:ascii="Cambria Math" w:hAnsi="Cambria Math"/>
            </w:rPr>
            <m:t>=</m:t>
          </m:r>
          <m:f>
            <m:fPr>
              <m:ctrlPr>
                <w:rPr>
                  <w:rFonts w:ascii="Cambria Math" w:hAnsi="Cambria Math"/>
                </w:rPr>
              </m:ctrlPr>
            </m:fPr>
            <m:num>
              <m:r>
                <w:rPr>
                  <w:rFonts w:ascii="Cambria Math" w:hAnsi="Cambria Math"/>
                </w:rPr>
                <m:t>5,06</m:t>
              </m:r>
              <m:f>
                <m:fPr>
                  <m:type m:val="lin"/>
                  <m:ctrlPr>
                    <w:rPr>
                      <w:rFonts w:ascii="Cambria Math" w:hAnsi="Cambria Math"/>
                    </w:rPr>
                  </m:ctrlPr>
                </m:fPr>
                <m:num>
                  <m:r>
                    <w:rPr>
                      <w:rFonts w:ascii="Cambria Math" w:hAnsi="Cambria Math"/>
                    </w:rPr>
                    <m:t>ton</m:t>
                  </m:r>
                </m:num>
                <m:den>
                  <m:r>
                    <w:rPr>
                      <w:rFonts w:ascii="Cambria Math" w:hAnsi="Cambria Math"/>
                    </w:rPr>
                    <m:t>dia</m:t>
                  </m:r>
                </m:den>
              </m:f>
            </m:num>
            <m:den>
              <m:r>
                <w:rPr>
                  <w:rFonts w:ascii="Cambria Math" w:hAnsi="Cambria Math"/>
                </w:rPr>
                <m:t>4</m:t>
              </m:r>
              <m:f>
                <m:fPr>
                  <m:type m:val="lin"/>
                  <m:ctrlPr>
                    <w:rPr>
                      <w:rFonts w:ascii="Cambria Math" w:hAnsi="Cambria Math"/>
                    </w:rPr>
                  </m:ctrlPr>
                </m:fPr>
                <m:num>
                  <m:r>
                    <w:rPr>
                      <w:rFonts w:ascii="Cambria Math" w:hAnsi="Cambria Math"/>
                    </w:rPr>
                    <m:t>ton</m:t>
                  </m:r>
                </m:num>
                <m:den>
                  <m:d>
                    <m:dPr>
                      <m:ctrlPr>
                        <w:rPr>
                          <w:rFonts w:ascii="Cambria Math" w:hAnsi="Cambria Math"/>
                        </w:rPr>
                      </m:ctrlPr>
                    </m:dPr>
                    <m:e>
                      <m:r>
                        <w:rPr>
                          <w:rFonts w:ascii="Cambria Math" w:hAnsi="Cambria Math"/>
                        </w:rPr>
                        <m:t>coletor</m:t>
                      </m:r>
                      <m:r>
                        <w:rPr>
                          <w:rFonts w:ascii="Cambria Math" w:hAnsi="Cambria Math"/>
                        </w:rPr>
                        <m:t>.</m:t>
                      </m:r>
                      <m:r>
                        <w:rPr>
                          <w:rFonts w:ascii="Cambria Math" w:hAnsi="Cambria Math"/>
                        </w:rPr>
                        <m:t>dia</m:t>
                      </m:r>
                    </m:e>
                  </m:d>
                </m:den>
              </m:f>
            </m:den>
          </m:f>
        </m:oMath>
      </m:oMathPara>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Coletores</m:t>
          </m:r>
          <m:r>
            <w:rPr>
              <w:rFonts w:ascii="Cambria Math" w:hAnsi="Cambria Math"/>
            </w:rPr>
            <m:t>=1,265</m:t>
          </m:r>
        </m:oMath>
      </m:oMathPara>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Portanto, para atender a demanda do município são necessários 2 funcionários trabalhando na coleta de resíduos.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empresa contratada deverá fornecer aos funcionários os equipamentos de proteção necessários para a prestação dos serviços em segurança.</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f) Fator de Utilização: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fator de utilização foi calculado conforme a Orientação Técnica referente aos serviços coleta de resíduos sólidos domiciliares do Tribunal de Contas do Estado, publicado em 2019.</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De acordo com o </w:t>
      </w:r>
      <w:r>
        <w:rPr>
          <w:rFonts w:ascii="Maiandra GD" w:hAnsi="Maiandra GD" w:cs="Courier New"/>
          <w:szCs w:val="24"/>
        </w:rPr>
        <w:t>documento citado acima, o fator de utilização é o percentual referente ao tempo em que os equipamentos, veículos e mão de obra ficam envolvidos com a prestação dos serviços contratados. É calculado em função das horas trabalhadas por semana no cumprimento do contrato. Sempre que um projeto básico determinar que o serviço de coleta de resíduos sólidos irá utilizar todas 44 horas de trabalho semanais dos empregados da empresa (turno integral), o fator de utilização é 100%. Em municípios de pequeno porte, se o</w:t>
      </w:r>
      <w:r>
        <w:rPr>
          <w:rFonts w:ascii="Maiandra GD" w:hAnsi="Maiandra GD" w:cs="Courier New"/>
          <w:szCs w:val="24"/>
        </w:rPr>
        <w:t xml:space="preserve"> projeto básico determinar uma jornada de trabalho inferior a 44 horas semanais, o fator de utilização será menor.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Assim, para o caso do município de Ibiraiaras, o fator de utilização foi calculado de acordo com a seguinte fórmula, retirado da Orientação Técnica do TCE:</w:t>
      </w:r>
    </w:p>
    <w:p w:rsidR="00750246" w:rsidRDefault="00A60FE0">
      <w:pPr>
        <w:pStyle w:val="Corpodetexto"/>
        <w:keepNext/>
        <w:spacing w:before="240" w:line="360" w:lineRule="auto"/>
        <w:jc w:val="center"/>
      </w:pPr>
      <w:r>
        <w:rPr>
          <w:noProof/>
        </w:rPr>
        <w:drawing>
          <wp:inline distT="0" distB="0" distL="0" distR="0">
            <wp:extent cx="4362450" cy="2181225"/>
            <wp:effectExtent l="0" t="0" r="0" b="0"/>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9"/>
                    <a:srcRect l="36199" t="33804" r="14501" b="22328"/>
                    <a:stretch>
                      <a:fillRect/>
                    </a:stretch>
                  </pic:blipFill>
                  <pic:spPr bwMode="auto">
                    <a:xfrm>
                      <a:off x="0" y="0"/>
                      <a:ext cx="4362450" cy="2181225"/>
                    </a:xfrm>
                    <a:prstGeom prst="rect">
                      <a:avLst/>
                    </a:prstGeom>
                  </pic:spPr>
                </pic:pic>
              </a:graphicData>
            </a:graphic>
          </wp:inline>
        </w:drawing>
      </w:r>
    </w:p>
    <w:p w:rsidR="00750246" w:rsidRDefault="00A60FE0">
      <w:pPr>
        <w:pStyle w:val="caption1"/>
        <w:jc w:val="center"/>
        <w:rPr>
          <w:rFonts w:ascii="Maiandra GD" w:hAnsi="Maiandra GD" w:cs="Courier New"/>
          <w:szCs w:val="24"/>
        </w:rPr>
      </w:pPr>
      <w:r>
        <w:t xml:space="preserve">Figura </w:t>
      </w:r>
      <w:r>
        <w:fldChar w:fldCharType="begin"/>
      </w:r>
      <w:r>
        <w:instrText xml:space="preserve"> SEQ Figura \* ARABIC </w:instrText>
      </w:r>
      <w:r>
        <w:fldChar w:fldCharType="separate"/>
      </w:r>
      <w:r>
        <w:t>2</w:t>
      </w:r>
      <w:r>
        <w:fldChar w:fldCharType="end"/>
      </w:r>
      <w:r>
        <w:t>: Recorte da Orientação Técnica do TCE, página 49.</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Assim, para o Lote 01 o Fator de Utilização foi calculado dividindo as horas semanais trabalhadas por 44 horas. Considerando o trabalho de 8 horas por dia, com a coleta sendo feita quatro dias da semana, tem-se 32 horas trabalhadas semanais. Assim:</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Fu</m:t>
          </m:r>
          <m:r>
            <w:rPr>
              <w:rFonts w:ascii="Cambria Math" w:hAnsi="Cambria Math"/>
            </w:rPr>
            <m:t>=</m:t>
          </m:r>
          <m:f>
            <m:fPr>
              <m:ctrlPr>
                <w:rPr>
                  <w:rFonts w:ascii="Cambria Math" w:hAnsi="Cambria Math"/>
                </w:rPr>
              </m:ctrlPr>
            </m:fPr>
            <m:num>
              <m:r>
                <w:rPr>
                  <w:rFonts w:ascii="Cambria Math" w:hAnsi="Cambria Math"/>
                </w:rPr>
                <m:t>32</m:t>
              </m:r>
              <m:r>
                <w:rPr>
                  <w:rFonts w:ascii="Cambria Math" w:hAnsi="Cambria Math"/>
                </w:rPr>
                <m:t>h</m:t>
              </m:r>
              <m:r>
                <w:rPr>
                  <w:rFonts w:ascii="Cambria Math" w:hAnsi="Cambria Math"/>
                </w:rPr>
                <m:t>orastrabal</m:t>
              </m:r>
              <m:r>
                <w:rPr>
                  <w:rFonts w:ascii="Cambria Math" w:hAnsi="Cambria Math"/>
                </w:rPr>
                <m:t>h</m:t>
              </m:r>
              <m:r>
                <w:rPr>
                  <w:rFonts w:ascii="Cambria Math" w:hAnsi="Cambria Math"/>
                </w:rPr>
                <m:t>adas</m:t>
              </m:r>
            </m:num>
            <m:den>
              <m:r>
                <w:rPr>
                  <w:rFonts w:ascii="Cambria Math" w:hAnsi="Cambria Math"/>
                </w:rPr>
                <m:t>44</m:t>
              </m:r>
              <m:r>
                <w:rPr>
                  <w:rFonts w:ascii="Cambria Math" w:hAnsi="Cambria Math"/>
                </w:rPr>
                <m:t>h</m:t>
              </m:r>
              <m:r>
                <w:rPr>
                  <w:rFonts w:ascii="Cambria Math" w:hAnsi="Cambria Math"/>
                </w:rPr>
                <m:t>orasnasemana</m:t>
              </m:r>
            </m:den>
          </m:f>
          <m:r>
            <w:rPr>
              <w:rFonts w:ascii="Cambria Math" w:hAnsi="Cambria Math"/>
            </w:rPr>
            <m:t>=0,7272</m:t>
          </m:r>
        </m:oMath>
      </m:oMathPara>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Fu</m:t>
          </m:r>
          <m:r>
            <w:rPr>
              <w:rFonts w:ascii="Cambria Math" w:hAnsi="Cambria Math"/>
            </w:rPr>
            <m:t>=72,72</m:t>
          </m:r>
          <m:r>
            <m:rPr>
              <m:lit/>
              <m:nor/>
            </m:rPr>
            <w:rPr>
              <w:rFonts w:ascii="Cambria Math" w:hAnsi="Cambria Math"/>
            </w:rPr>
            <m:t>%</m:t>
          </m:r>
        </m:oMath>
      </m:oMathPara>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g) Estação de Transbordo: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 empresa participante poderá optar pela </w:t>
      </w:r>
      <w:r>
        <w:rPr>
          <w:rFonts w:ascii="Maiandra GD" w:hAnsi="Maiandra GD" w:cs="Courier New"/>
          <w:szCs w:val="24"/>
        </w:rPr>
        <w:t>utilização de estação de transbordo intermediária, com posterior transporte do resíduo em caminhão de maior porte até o destino final. Porém a utilização de transbordo não poderá acrescer ao valor global estabelecido neste projeto básico, e os custos para tal não poderão ser adicionados à planilha orçamentária. Os custos desde a coleta até a destinação final deverão correr por conta da contratada.</w:t>
      </w:r>
    </w:p>
    <w:p w:rsidR="00750246" w:rsidRDefault="00A60FE0">
      <w:pPr>
        <w:pStyle w:val="Estilo3"/>
      </w:pPr>
      <w:r>
        <w:t xml:space="preserve"> Do pagamento para o Lote 01:</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pagamento mensal será em valor fixo, conforme a planilha orçamentária apresentada pela empresa vencedora, observados os termos deste Projeto Básico e do edital de licitação. Este é o caso mais adequado aos municípios de menor porte, onde a frequência de coleta e os percursos são reduzidos.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Todos os custos desde o fornecimento dos contentores, coleta, até a disposição final em aterro serão por conta da contratada. Desta forma a remuneração se dará por preço fixo mensal.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Poderá haver alteração de valores para readequação conforme disposições a serem definidas no edital de licitação, principalmente quanto a quilometragem em virtude da fiscalização por rastreamento do veículo por GPS.</w:t>
      </w:r>
    </w:p>
    <w:p w:rsidR="00750246" w:rsidRDefault="00A60FE0">
      <w:pPr>
        <w:pStyle w:val="Estilo3"/>
      </w:pPr>
      <w:r>
        <w:t>Higienização dos contentores: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contentores (containers) deverão receber higienização trimestral, executada com uso de jato d’água, vassoura e aplicação de agentes desodorizantes e antibactericidas. Na sequência será feito o enxágue do contentor.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Para obtenção do custo da limpeza dos containers foi considerado o valor de transporte dos equipamentos até o local da lavagem, o gasto com água e luz para utilização do jato de água e os produtos de higienização.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Foram utilizados os seguintes dados para a definição dos custos: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A lavagem de cada container levará o tempo médio de 30 minutos;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A lavadora de alta pressão possui o gasto médio de 5 litros de água por minuto;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A lavadora de alta pressão possui o gasto médio de energia de 1,5 Kw/h;</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O custo unitário de energia na Concessionária RGE é de R$ 429,09 / MWh;</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O custo unitário de água na Concessionária Corsan para tarifa Empresarial com consumo até 1000m³ é de R$ 10,04 /m³;</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O custo médio do detergente para limpeza pesada, do tipo “uso universal”, é de R$ 103,52 por embalagem de 5 litros (ou seja, R$ 20,704 por litro);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O uso estimado de detergente é de 250 ml para limpeza de cada container;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Distância média de transporte considerada para cada container é de 12km, sendo 6km para chegar ao local da lavagem, e 6km para retornar ao local de origem.</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Rendimento do caminhão é de 3km/l e o custo do diesel é de R$5,58 reais por litro.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Com esses dados, foram obtidos os seguintes valores de limpeza para cada container:</w:t>
      </w:r>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Gastocom</m:t>
        </m:r>
        <m:r>
          <w:rPr>
            <w:rFonts w:ascii="Cambria Math" w:hAnsi="Cambria Math"/>
          </w:rPr>
          <m:t>á</m:t>
        </m:r>
        <m:r>
          <w:rPr>
            <w:rFonts w:ascii="Cambria Math" w:hAnsi="Cambria Math"/>
          </w:rPr>
          <m:t>gua</m:t>
        </m:r>
        <m:r>
          <w:rPr>
            <w:rFonts w:ascii="Cambria Math" w:hAnsi="Cambria Math"/>
          </w:rPr>
          <m:t>=5</m:t>
        </m:r>
        <m:f>
          <m:fPr>
            <m:ctrlPr>
              <w:rPr>
                <w:rFonts w:ascii="Cambria Math" w:hAnsi="Cambria Math"/>
              </w:rPr>
            </m:ctrlPr>
          </m:fPr>
          <m:num>
            <m:r>
              <w:rPr>
                <w:rFonts w:ascii="Cambria Math" w:hAnsi="Cambria Math"/>
              </w:rPr>
              <m:t>litros</m:t>
            </m:r>
          </m:num>
          <m:den>
            <m:r>
              <w:rPr>
                <w:rFonts w:ascii="Cambria Math" w:hAnsi="Cambria Math"/>
              </w:rPr>
              <m:t>minuto</m:t>
            </m:r>
          </m:den>
        </m:f>
        <m:r>
          <w:rPr>
            <w:rFonts w:ascii="Cambria Math" w:hAnsi="Cambria Math"/>
          </w:rPr>
          <m:t>×60</m:t>
        </m:r>
        <m:f>
          <m:fPr>
            <m:ctrlPr>
              <w:rPr>
                <w:rFonts w:ascii="Cambria Math" w:hAnsi="Cambria Math"/>
              </w:rPr>
            </m:ctrlPr>
          </m:fPr>
          <m:num>
            <m:r>
              <w:rPr>
                <w:rFonts w:ascii="Cambria Math" w:hAnsi="Cambria Math"/>
              </w:rPr>
              <m:t>minutos</m:t>
            </m:r>
          </m:num>
          <m:den>
            <m:r>
              <w:rPr>
                <w:rFonts w:ascii="Cambria Math" w:hAnsi="Cambria Math"/>
              </w:rPr>
              <m:t>container</m:t>
            </m:r>
          </m:den>
        </m:f>
        <m:r>
          <w:rPr>
            <w:rFonts w:ascii="Cambria Math" w:hAnsi="Cambria Math"/>
          </w:rPr>
          <m:t>×10,04</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m</m:t>
            </m:r>
            <m:r>
              <w:rPr>
                <w:rFonts w:ascii="Cambria Math" w:hAnsi="Cambria Math"/>
              </w:rPr>
              <m:t>³</m:t>
            </m:r>
          </m:den>
        </m:f>
        <m:r>
          <w:rPr>
            <w:rFonts w:ascii="Cambria Math" w:hAnsi="Cambria Math"/>
          </w:rPr>
          <m:t>×0,001</m:t>
        </m:r>
        <m:f>
          <m:fPr>
            <m:ctrlPr>
              <w:rPr>
                <w:rFonts w:ascii="Cambria Math" w:hAnsi="Cambria Math"/>
              </w:rPr>
            </m:ctrlPr>
          </m:fPr>
          <m:num>
            <m:r>
              <w:rPr>
                <w:rFonts w:ascii="Cambria Math" w:hAnsi="Cambria Math"/>
              </w:rPr>
              <m:t>m</m:t>
            </m:r>
            <m:r>
              <w:rPr>
                <w:rFonts w:ascii="Cambria Math" w:hAnsi="Cambria Math"/>
              </w:rPr>
              <m:t>³</m:t>
            </m:r>
          </m:num>
          <m:den>
            <m:r>
              <w:rPr>
                <w:rFonts w:ascii="Cambria Math" w:hAnsi="Cambria Math"/>
              </w:rPr>
              <m:t>litro</m:t>
            </m:r>
          </m:den>
        </m:f>
        <m:r>
          <w:rPr>
            <w:rFonts w:ascii="Cambria Math" w:hAnsi="Cambria Math"/>
          </w:rPr>
          <m:t>=3,012</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Gastocomenergia</m:t>
        </m:r>
        <m:r>
          <w:rPr>
            <w:rFonts w:ascii="Cambria Math" w:hAnsi="Cambria Math"/>
          </w:rPr>
          <m:t>=1,5</m:t>
        </m:r>
        <m:f>
          <m:fPr>
            <m:ctrlPr>
              <w:rPr>
                <w:rFonts w:ascii="Cambria Math" w:hAnsi="Cambria Math"/>
              </w:rPr>
            </m:ctrlPr>
          </m:fPr>
          <m:num>
            <m:r>
              <w:rPr>
                <w:rFonts w:ascii="Cambria Math" w:hAnsi="Cambria Math"/>
              </w:rPr>
              <m:t>kw</m:t>
            </m:r>
          </m:num>
          <m:den>
            <m:r>
              <w:rPr>
                <w:rFonts w:ascii="Cambria Math" w:hAnsi="Cambria Math"/>
              </w:rPr>
              <m:t>h</m:t>
            </m:r>
          </m:den>
        </m:f>
        <m:r>
          <w:rPr>
            <w:rFonts w:ascii="Cambria Math" w:hAnsi="Cambria Math"/>
          </w:rPr>
          <m:t>×1</m:t>
        </m:r>
        <m:f>
          <m:fPr>
            <m:ctrlPr>
              <w:rPr>
                <w:rFonts w:ascii="Cambria Math" w:hAnsi="Cambria Math"/>
              </w:rPr>
            </m:ctrlPr>
          </m:fPr>
          <m:num>
            <m:r>
              <w:rPr>
                <w:rFonts w:ascii="Cambria Math" w:hAnsi="Cambria Math"/>
              </w:rPr>
              <m:t>h</m:t>
            </m:r>
            <m:r>
              <w:rPr>
                <w:rFonts w:ascii="Cambria Math" w:hAnsi="Cambria Math"/>
              </w:rPr>
              <m:t>ora</m:t>
            </m:r>
          </m:num>
          <m:den>
            <m:r>
              <w:rPr>
                <w:rFonts w:ascii="Cambria Math" w:hAnsi="Cambria Math"/>
              </w:rPr>
              <m:t>container</m:t>
            </m:r>
          </m:den>
        </m:f>
        <m:r>
          <w:rPr>
            <w:rFonts w:ascii="Cambria Math" w:hAnsi="Cambria Math"/>
          </w:rPr>
          <m:t>×429,09</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MW</m:t>
            </m:r>
            <m:r>
              <w:rPr>
                <w:rFonts w:ascii="Cambria Math" w:hAnsi="Cambria Math"/>
              </w:rPr>
              <m:t>h</m:t>
            </m:r>
          </m:den>
        </m:f>
        <m:r>
          <w:rPr>
            <w:rFonts w:ascii="Cambria Math" w:hAnsi="Cambria Math"/>
          </w:rPr>
          <m:t>×0,001</m:t>
        </m:r>
        <m:f>
          <m:fPr>
            <m:ctrlPr>
              <w:rPr>
                <w:rFonts w:ascii="Cambria Math" w:hAnsi="Cambria Math"/>
              </w:rPr>
            </m:ctrlPr>
          </m:fPr>
          <m:num>
            <m:r>
              <w:rPr>
                <w:rFonts w:ascii="Cambria Math" w:hAnsi="Cambria Math"/>
              </w:rPr>
              <m:t>kW</m:t>
            </m:r>
            <m:r>
              <w:rPr>
                <w:rFonts w:ascii="Cambria Math" w:hAnsi="Cambria Math"/>
              </w:rPr>
              <m:t>h</m:t>
            </m:r>
          </m:num>
          <m:den>
            <m:r>
              <w:rPr>
                <w:rFonts w:ascii="Cambria Math" w:hAnsi="Cambria Math"/>
              </w:rPr>
              <m:t>MW</m:t>
            </m:r>
            <m:r>
              <w:rPr>
                <w:rFonts w:ascii="Cambria Math" w:hAnsi="Cambria Math"/>
              </w:rPr>
              <m:t>h</m:t>
            </m:r>
          </m:den>
        </m:f>
        <m:r>
          <w:rPr>
            <w:rFonts w:ascii="Cambria Math" w:hAnsi="Cambria Math"/>
          </w:rPr>
          <m:t>=0,644</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Assim, os custos com água e energia serão de R$ 3,656 para higienizar cada container.</w:t>
      </w:r>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Gastocomprodutodelimpeza</m:t>
        </m:r>
        <m:r>
          <w:rPr>
            <w:rFonts w:ascii="Cambria Math" w:hAnsi="Cambria Math"/>
          </w:rPr>
          <m:t>=0,250</m:t>
        </m:r>
        <m:f>
          <m:fPr>
            <m:ctrlPr>
              <w:rPr>
                <w:rFonts w:ascii="Cambria Math" w:hAnsi="Cambria Math"/>
              </w:rPr>
            </m:ctrlPr>
          </m:fPr>
          <m:num>
            <m:r>
              <w:rPr>
                <w:rFonts w:ascii="Cambria Math" w:hAnsi="Cambria Math"/>
              </w:rPr>
              <m:t>litros</m:t>
            </m:r>
          </m:num>
          <m:den>
            <m:r>
              <w:rPr>
                <w:rFonts w:ascii="Cambria Math" w:hAnsi="Cambria Math"/>
              </w:rPr>
              <m:t>container</m:t>
            </m:r>
          </m:den>
        </m:f>
        <m:r>
          <w:rPr>
            <w:rFonts w:ascii="Cambria Math" w:hAnsi="Cambria Math"/>
          </w:rPr>
          <m:t>×20,704</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litro</m:t>
            </m:r>
          </m:den>
        </m:f>
        <m:r>
          <w:rPr>
            <w:rFonts w:ascii="Cambria Math" w:hAnsi="Cambria Math"/>
          </w:rPr>
          <m:t>=5,176</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Então, será utilizado o valor de R$ 5,176 em produtos para higienizar cada container.</w:t>
      </w:r>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Transporte</m:t>
        </m:r>
        <m:r>
          <w:rPr>
            <w:rFonts w:ascii="Cambria Math" w:hAnsi="Cambria Math"/>
          </w:rPr>
          <m:t>:12</m:t>
        </m:r>
        <m:f>
          <m:fPr>
            <m:ctrlPr>
              <w:rPr>
                <w:rFonts w:ascii="Cambria Math" w:hAnsi="Cambria Math"/>
              </w:rPr>
            </m:ctrlPr>
          </m:fPr>
          <m:num>
            <m:r>
              <w:rPr>
                <w:rFonts w:ascii="Cambria Math" w:hAnsi="Cambria Math"/>
              </w:rPr>
              <m:t>km</m:t>
            </m:r>
          </m:num>
          <m:den>
            <m:r>
              <w:rPr>
                <w:rFonts w:ascii="Cambria Math" w:hAnsi="Cambria Math"/>
              </w:rPr>
              <m:t>container</m:t>
            </m:r>
          </m:den>
        </m:f>
        <m:r>
          <w:rPr>
            <w:rFonts w:ascii="Cambria Math" w:hAnsi="Cambria Math"/>
          </w:rPr>
          <m:t>×5,58</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litrodediesel</m:t>
            </m:r>
          </m:den>
        </m:f>
        <m:r>
          <w:rPr>
            <w:rFonts w:ascii="Cambria Math" w:hAnsi="Cambria Math"/>
          </w:rPr>
          <m:t>×0,3333</m:t>
        </m:r>
        <m:f>
          <m:fPr>
            <m:ctrlPr>
              <w:rPr>
                <w:rFonts w:ascii="Cambria Math" w:hAnsi="Cambria Math"/>
              </w:rPr>
            </m:ctrlPr>
          </m:fPr>
          <m:num>
            <m:r>
              <w:rPr>
                <w:rFonts w:ascii="Cambria Math" w:hAnsi="Cambria Math"/>
              </w:rPr>
              <m:t>litros</m:t>
            </m:r>
          </m:num>
          <m:den>
            <m:r>
              <w:rPr>
                <w:rFonts w:ascii="Cambria Math" w:hAnsi="Cambria Math"/>
              </w:rPr>
              <m:t>km</m:t>
            </m:r>
          </m:den>
        </m:f>
        <m:r>
          <w:rPr>
            <w:rFonts w:ascii="Cambria Math" w:hAnsi="Cambria Math"/>
          </w:rPr>
          <m:t>=22,32</m:t>
        </m:r>
        <m:f>
          <m:fPr>
            <m:ctrlPr>
              <w:rPr>
                <w:rFonts w:ascii="Cambria Math" w:hAnsi="Cambria Math"/>
              </w:rPr>
            </m:ctrlPr>
          </m:fPr>
          <m:num>
            <m:r>
              <w:rPr>
                <w:rFonts w:ascii="Cambria Math" w:hAnsi="Cambria Math"/>
              </w:rPr>
              <m:t>R</m:t>
            </m:r>
            <m:r>
              <w:rPr>
                <w:rFonts w:ascii="Cambria Math" w:hAnsi="Cambria Math"/>
              </w:rPr>
              <m:t>$</m:t>
            </m:r>
          </m:num>
          <m:den>
            <m:r>
              <w:rPr>
                <w:rFonts w:ascii="Cambria Math" w:hAnsi="Cambria Math"/>
              </w:rPr>
              <m:t>container</m:t>
            </m:r>
          </m:den>
        </m:f>
      </m:oMath>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Então, o valor médio estimado para transporte de cada container é de R$ 22,32.</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Estes valores calculados foram inseridos na Planilha Orçamentária.</w:t>
      </w:r>
    </w:p>
    <w:p w:rsidR="00750246" w:rsidRDefault="00A60FE0">
      <w:pPr>
        <w:pStyle w:val="Estilo2"/>
        <w:ind w:left="0" w:firstLine="851"/>
      </w:pPr>
      <w:r>
        <w:t xml:space="preserve">Lote 02: coleta seletiva, transporte, triagem e destinação final de resíduos </w:t>
      </w:r>
      <w:r>
        <w:t>recicláveis domiciliares da zona rural do município: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Deverá obedecer à mesma metodologia de execução da coleta seletiva dos resíduos urbanos, observadas as particularidades especificadas abaixo, sendo que os recolhimentos dos resíduos serão realizados pelo menos uma vez por mês em cada roteiro definido abaixo:</w:t>
      </w:r>
    </w:p>
    <w:p w:rsidR="00750246" w:rsidRDefault="00750246">
      <w:pPr>
        <w:widowControl w:val="0"/>
        <w:jc w:val="both"/>
        <w:rPr>
          <w:rFonts w:ascii="Courier New" w:hAnsi="Courier New" w:cs="Courier New"/>
          <w:sz w:val="26"/>
          <w:szCs w:val="26"/>
        </w:rPr>
      </w:pPr>
    </w:p>
    <w:tbl>
      <w:tblPr>
        <w:tblW w:w="8926" w:type="dxa"/>
        <w:tblInd w:w="-113" w:type="dxa"/>
        <w:tblLayout w:type="fixed"/>
        <w:tblLook w:val="0000" w:firstRow="0" w:lastRow="0" w:firstColumn="0" w:lastColumn="0" w:noHBand="0" w:noVBand="0"/>
      </w:tblPr>
      <w:tblGrid>
        <w:gridCol w:w="1352"/>
        <w:gridCol w:w="4313"/>
        <w:gridCol w:w="3261"/>
      </w:tblGrid>
      <w:tr w:rsidR="00750246">
        <w:trPr>
          <w:trHeight w:val="809"/>
        </w:trPr>
        <w:tc>
          <w:tcPr>
            <w:tcW w:w="1352"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Roteiro</w:t>
            </w:r>
          </w:p>
        </w:tc>
        <w:tc>
          <w:tcPr>
            <w:tcW w:w="4313"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Comunidades abrangidas</w:t>
            </w:r>
          </w:p>
        </w:tc>
        <w:tc>
          <w:tcPr>
            <w:tcW w:w="3261" w:type="dxa"/>
            <w:tcBorders>
              <w:top w:val="single" w:sz="4" w:space="0" w:color="BFBFBF"/>
              <w:left w:val="single" w:sz="4" w:space="0" w:color="BFBFBF"/>
              <w:bottom w:val="single" w:sz="4" w:space="0" w:color="BFBFBF"/>
              <w:right w:val="single" w:sz="4" w:space="0" w:color="BFBFBF"/>
            </w:tcBorders>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Quilometragem estimada por viagem.</w:t>
            </w:r>
          </w:p>
        </w:tc>
      </w:tr>
      <w:tr w:rsidR="00750246">
        <w:tc>
          <w:tcPr>
            <w:tcW w:w="1352"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750246">
            <w:pPr>
              <w:pStyle w:val="Corpodetexto"/>
              <w:spacing w:before="240" w:line="360" w:lineRule="auto"/>
              <w:jc w:val="center"/>
              <w:rPr>
                <w:rFonts w:ascii="Maiandra GD" w:hAnsi="Maiandra GD" w:cs="Courier New"/>
                <w:sz w:val="22"/>
                <w:szCs w:val="22"/>
              </w:rPr>
            </w:pPr>
          </w:p>
          <w:p w:rsidR="00750246" w:rsidRDefault="00750246">
            <w:pPr>
              <w:pStyle w:val="Corpodetexto"/>
              <w:spacing w:before="240" w:line="360" w:lineRule="auto"/>
              <w:jc w:val="center"/>
              <w:rPr>
                <w:rFonts w:ascii="Maiandra GD" w:hAnsi="Maiandra GD" w:cs="Courier New"/>
                <w:sz w:val="22"/>
                <w:szCs w:val="22"/>
              </w:rPr>
            </w:pPr>
          </w:p>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b/>
                <w:bCs/>
                <w:sz w:val="22"/>
                <w:szCs w:val="22"/>
              </w:rPr>
              <w:t>01</w:t>
            </w:r>
          </w:p>
        </w:tc>
        <w:tc>
          <w:tcPr>
            <w:tcW w:w="4313"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de Lourdes;</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Francisco;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Rafael (escola);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Sagrado Coração de Maria;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 xml:space="preserve">São Sebastião </w:t>
            </w:r>
            <w:r>
              <w:rPr>
                <w:rFonts w:ascii="Maiandra GD" w:hAnsi="Maiandra GD" w:cs="Courier New"/>
                <w:sz w:val="22"/>
                <w:szCs w:val="22"/>
              </w:rPr>
              <w:t>(depósito).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da Salete;</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Pedro;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Santa Lúcia;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pStyle w:val="Corpodetexto"/>
              <w:spacing w:before="240" w:line="360" w:lineRule="auto"/>
              <w:jc w:val="center"/>
              <w:rPr>
                <w:rFonts w:ascii="Maiandra GD" w:hAnsi="Maiandra GD" w:cs="Courier New"/>
                <w:sz w:val="22"/>
                <w:szCs w:val="22"/>
              </w:rPr>
            </w:pPr>
            <w:r>
              <w:rPr>
                <w:rFonts w:ascii="Maiandra GD" w:hAnsi="Maiandra GD" w:cs="Courier New"/>
                <w:sz w:val="22"/>
                <w:szCs w:val="22"/>
              </w:rPr>
              <w:t>46,58 km</w:t>
            </w:r>
          </w:p>
        </w:tc>
      </w:tr>
      <w:tr w:rsidR="00750246">
        <w:tc>
          <w:tcPr>
            <w:tcW w:w="1352" w:type="dxa"/>
            <w:tcBorders>
              <w:top w:val="single" w:sz="4" w:space="0" w:color="BFBFBF"/>
              <w:left w:val="single" w:sz="4" w:space="0" w:color="BFBFBF"/>
              <w:bottom w:val="single" w:sz="4" w:space="0" w:color="BFBFBF"/>
              <w:right w:val="single" w:sz="4" w:space="0" w:color="BFBFBF"/>
            </w:tcBorders>
          </w:tcPr>
          <w:p w:rsidR="00750246" w:rsidRDefault="00750246">
            <w:pPr>
              <w:widowControl w:val="0"/>
              <w:jc w:val="center"/>
              <w:rPr>
                <w:rFonts w:ascii="Maiandra GD" w:hAnsi="Maiandra GD" w:cs="Courier New"/>
                <w:sz w:val="22"/>
                <w:szCs w:val="22"/>
              </w:rPr>
            </w:pPr>
          </w:p>
          <w:p w:rsidR="00750246" w:rsidRDefault="00750246">
            <w:pPr>
              <w:widowControl w:val="0"/>
              <w:jc w:val="center"/>
              <w:rPr>
                <w:rFonts w:ascii="Maiandra GD" w:hAnsi="Maiandra GD" w:cs="Courier New"/>
                <w:sz w:val="22"/>
                <w:szCs w:val="22"/>
              </w:rPr>
            </w:pPr>
          </w:p>
          <w:p w:rsidR="00750246" w:rsidRDefault="00750246">
            <w:pPr>
              <w:widowControl w:val="0"/>
              <w:jc w:val="center"/>
              <w:rPr>
                <w:rFonts w:ascii="Maiandra GD" w:hAnsi="Maiandra GD" w:cs="Courier New"/>
                <w:sz w:val="22"/>
                <w:szCs w:val="22"/>
              </w:rPr>
            </w:pPr>
          </w:p>
          <w:p w:rsidR="00750246" w:rsidRDefault="00750246">
            <w:pPr>
              <w:widowControl w:val="0"/>
              <w:jc w:val="center"/>
              <w:rPr>
                <w:rFonts w:ascii="Maiandra GD" w:hAnsi="Maiandra GD" w:cs="Courier New"/>
                <w:sz w:val="22"/>
                <w:szCs w:val="22"/>
              </w:rPr>
            </w:pPr>
          </w:p>
          <w:p w:rsidR="00750246" w:rsidRDefault="00A60FE0">
            <w:pPr>
              <w:widowControl w:val="0"/>
              <w:jc w:val="center"/>
              <w:rPr>
                <w:rFonts w:ascii="Maiandra GD" w:hAnsi="Maiandra GD" w:cs="Courier New"/>
                <w:sz w:val="22"/>
                <w:szCs w:val="22"/>
              </w:rPr>
            </w:pPr>
            <w:r>
              <w:rPr>
                <w:rFonts w:ascii="Maiandra GD" w:hAnsi="Maiandra GD" w:cs="Courier New"/>
                <w:b/>
                <w:bCs/>
                <w:sz w:val="22"/>
                <w:szCs w:val="22"/>
              </w:rPr>
              <w:t>02</w:t>
            </w:r>
          </w:p>
        </w:tc>
        <w:tc>
          <w:tcPr>
            <w:tcW w:w="4313" w:type="dxa"/>
            <w:tcBorders>
              <w:top w:val="single" w:sz="4" w:space="0" w:color="BFBFBF"/>
              <w:left w:val="single" w:sz="4" w:space="0" w:color="BFBFBF"/>
              <w:bottom w:val="single" w:sz="4" w:space="0" w:color="BFBFBF"/>
              <w:right w:val="single" w:sz="4" w:space="0" w:color="BFBFBF"/>
            </w:tcBorders>
          </w:tcPr>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Pio X;</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Santo Expedito;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Santa Clara;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Aparecida;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Luiz;</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Cristóvão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Jaboticabal;</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Roque;</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Santa Terezinha;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vAlign w:val="center"/>
          </w:tcPr>
          <w:p w:rsidR="00750246" w:rsidRDefault="00A60FE0">
            <w:pPr>
              <w:widowControl w:val="0"/>
              <w:jc w:val="center"/>
              <w:rPr>
                <w:rFonts w:ascii="Maiandra GD" w:hAnsi="Maiandra GD" w:cs="Courier New"/>
                <w:sz w:val="22"/>
                <w:szCs w:val="22"/>
              </w:rPr>
            </w:pPr>
            <w:r>
              <w:rPr>
                <w:rFonts w:ascii="Maiandra GD" w:hAnsi="Maiandra GD" w:cs="Courier New"/>
                <w:sz w:val="22"/>
                <w:szCs w:val="22"/>
              </w:rPr>
              <w:t>42,64 km</w:t>
            </w:r>
          </w:p>
        </w:tc>
      </w:tr>
      <w:tr w:rsidR="00750246">
        <w:tc>
          <w:tcPr>
            <w:tcW w:w="1352"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750246">
            <w:pPr>
              <w:widowControl w:val="0"/>
              <w:jc w:val="center"/>
              <w:rPr>
                <w:rFonts w:ascii="Maiandra GD" w:hAnsi="Maiandra GD" w:cs="Courier New"/>
                <w:sz w:val="22"/>
                <w:szCs w:val="22"/>
              </w:rPr>
            </w:pPr>
          </w:p>
          <w:p w:rsidR="00750246" w:rsidRDefault="00750246">
            <w:pPr>
              <w:widowControl w:val="0"/>
              <w:jc w:val="center"/>
              <w:rPr>
                <w:rFonts w:ascii="Maiandra GD" w:hAnsi="Maiandra GD" w:cs="Courier New"/>
                <w:sz w:val="22"/>
                <w:szCs w:val="22"/>
              </w:rPr>
            </w:pPr>
          </w:p>
          <w:p w:rsidR="00750246" w:rsidRDefault="00750246">
            <w:pPr>
              <w:widowControl w:val="0"/>
              <w:jc w:val="center"/>
              <w:rPr>
                <w:rFonts w:ascii="Maiandra GD" w:hAnsi="Maiandra GD" w:cs="Courier New"/>
                <w:sz w:val="22"/>
                <w:szCs w:val="22"/>
              </w:rPr>
            </w:pPr>
          </w:p>
          <w:p w:rsidR="00750246" w:rsidRDefault="00A60FE0">
            <w:pPr>
              <w:widowControl w:val="0"/>
              <w:jc w:val="center"/>
              <w:rPr>
                <w:rFonts w:ascii="Maiandra GD" w:hAnsi="Maiandra GD" w:cs="Courier New"/>
                <w:sz w:val="22"/>
                <w:szCs w:val="22"/>
              </w:rPr>
            </w:pPr>
            <w:r>
              <w:rPr>
                <w:rFonts w:ascii="Maiandra GD" w:hAnsi="Maiandra GD" w:cs="Courier New"/>
                <w:b/>
                <w:bCs/>
                <w:sz w:val="22"/>
                <w:szCs w:val="22"/>
              </w:rPr>
              <w:t>03</w:t>
            </w:r>
          </w:p>
        </w:tc>
        <w:tc>
          <w:tcPr>
            <w:tcW w:w="4313" w:type="dxa"/>
            <w:tcBorders>
              <w:top w:val="single" w:sz="4" w:space="0" w:color="BFBFBF"/>
              <w:left w:val="single" w:sz="4" w:space="0" w:color="BFBFBF"/>
              <w:bottom w:val="single" w:sz="4" w:space="0" w:color="BFBFBF"/>
              <w:right w:val="single" w:sz="4" w:space="0" w:color="BFBFBF"/>
            </w:tcBorders>
            <w:shd w:val="clear" w:color="auto" w:fill="F2F2F2"/>
          </w:tcPr>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do Caravaggio;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Santa Rita;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Divino;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do Rosário (escola);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da Saúde (escola);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São Brás (campo de futebol);</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sz w:val="22"/>
                <w:szCs w:val="22"/>
              </w:rPr>
            </w:pPr>
            <w:r>
              <w:rPr>
                <w:rFonts w:ascii="Maiandra GD" w:hAnsi="Maiandra GD" w:cs="Courier New"/>
                <w:sz w:val="22"/>
                <w:szCs w:val="22"/>
              </w:rPr>
              <w:t>35,90 km</w:t>
            </w:r>
          </w:p>
        </w:tc>
      </w:tr>
      <w:tr w:rsidR="00750246">
        <w:tc>
          <w:tcPr>
            <w:tcW w:w="1352" w:type="dxa"/>
            <w:tcBorders>
              <w:top w:val="single" w:sz="4" w:space="0" w:color="BFBFBF"/>
              <w:left w:val="single" w:sz="4" w:space="0" w:color="BFBFBF"/>
              <w:bottom w:val="single" w:sz="4" w:space="0" w:color="BFBFBF"/>
              <w:right w:val="single" w:sz="4" w:space="0" w:color="BFBFBF"/>
            </w:tcBorders>
            <w:vAlign w:val="center"/>
          </w:tcPr>
          <w:p w:rsidR="00750246" w:rsidRDefault="00A60FE0">
            <w:pPr>
              <w:widowControl w:val="0"/>
              <w:jc w:val="center"/>
              <w:rPr>
                <w:rFonts w:ascii="Maiandra GD" w:hAnsi="Maiandra GD" w:cs="Courier New"/>
                <w:sz w:val="22"/>
                <w:szCs w:val="22"/>
              </w:rPr>
            </w:pPr>
            <w:r>
              <w:rPr>
                <w:rFonts w:ascii="Maiandra GD" w:hAnsi="Maiandra GD" w:cs="Courier New"/>
                <w:b/>
                <w:bCs/>
                <w:sz w:val="22"/>
                <w:szCs w:val="22"/>
              </w:rPr>
              <w:t>04</w:t>
            </w:r>
          </w:p>
        </w:tc>
        <w:tc>
          <w:tcPr>
            <w:tcW w:w="4313" w:type="dxa"/>
            <w:tcBorders>
              <w:top w:val="single" w:sz="4" w:space="0" w:color="BFBFBF"/>
              <w:left w:val="single" w:sz="4" w:space="0" w:color="BFBFBF"/>
              <w:bottom w:val="single" w:sz="4" w:space="0" w:color="BFBFBF"/>
              <w:right w:val="single" w:sz="4" w:space="0" w:color="BFBFBF"/>
            </w:tcBorders>
          </w:tcPr>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Santo Antão;</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Nossa Senhora Consoladora;</w:t>
            </w:r>
          </w:p>
          <w:p w:rsidR="00750246" w:rsidRDefault="00A60FE0">
            <w:pPr>
              <w:widowControl w:val="0"/>
              <w:jc w:val="both"/>
              <w:rPr>
                <w:rFonts w:ascii="Maiandra GD" w:hAnsi="Maiandra GD" w:cs="Courier New"/>
                <w:sz w:val="22"/>
                <w:szCs w:val="22"/>
              </w:rPr>
            </w:pPr>
            <w:r>
              <w:rPr>
                <w:rFonts w:ascii="Maiandra GD" w:hAnsi="Maiandra GD" w:cs="Courier New"/>
                <w:sz w:val="22"/>
                <w:szCs w:val="22"/>
              </w:rPr>
              <w:t>Cidade.</w:t>
            </w:r>
          </w:p>
        </w:tc>
        <w:tc>
          <w:tcPr>
            <w:tcW w:w="3261" w:type="dxa"/>
            <w:tcBorders>
              <w:top w:val="single" w:sz="4" w:space="0" w:color="BFBFBF"/>
              <w:left w:val="single" w:sz="4" w:space="0" w:color="BFBFBF"/>
              <w:bottom w:val="single" w:sz="4" w:space="0" w:color="BFBFBF"/>
              <w:right w:val="single" w:sz="4" w:space="0" w:color="BFBFBF"/>
            </w:tcBorders>
            <w:vAlign w:val="center"/>
          </w:tcPr>
          <w:p w:rsidR="00750246" w:rsidRDefault="00A60FE0">
            <w:pPr>
              <w:widowControl w:val="0"/>
              <w:jc w:val="center"/>
              <w:rPr>
                <w:rFonts w:ascii="Maiandra GD" w:hAnsi="Maiandra GD" w:cs="Courier New"/>
                <w:sz w:val="22"/>
                <w:szCs w:val="22"/>
              </w:rPr>
            </w:pPr>
            <w:r>
              <w:rPr>
                <w:rFonts w:ascii="Maiandra GD" w:hAnsi="Maiandra GD" w:cs="Courier New"/>
                <w:sz w:val="22"/>
                <w:szCs w:val="22"/>
              </w:rPr>
              <w:t>12,73 km</w:t>
            </w:r>
          </w:p>
        </w:tc>
      </w:tr>
      <w:tr w:rsidR="00750246">
        <w:trPr>
          <w:trHeight w:val="686"/>
        </w:trPr>
        <w:tc>
          <w:tcPr>
            <w:tcW w:w="5665" w:type="dxa"/>
            <w:gridSpan w:val="2"/>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sz w:val="22"/>
                <w:szCs w:val="22"/>
              </w:rPr>
            </w:pPr>
            <w:r>
              <w:rPr>
                <w:rFonts w:ascii="Maiandra GD" w:hAnsi="Maiandra GD" w:cs="Courier New"/>
                <w:b/>
                <w:bCs/>
                <w:sz w:val="22"/>
                <w:szCs w:val="22"/>
              </w:rPr>
              <w:t>Total</w:t>
            </w:r>
          </w:p>
        </w:tc>
        <w:tc>
          <w:tcPr>
            <w:tcW w:w="3261" w:type="dxa"/>
            <w:tcBorders>
              <w:top w:val="single" w:sz="4" w:space="0" w:color="BFBFBF"/>
              <w:left w:val="single" w:sz="4" w:space="0" w:color="BFBFBF"/>
              <w:bottom w:val="single" w:sz="4" w:space="0" w:color="BFBFBF"/>
              <w:right w:val="single" w:sz="4" w:space="0" w:color="BFBFBF"/>
            </w:tcBorders>
            <w:shd w:val="clear" w:color="auto" w:fill="F2F2F2"/>
            <w:vAlign w:val="center"/>
          </w:tcPr>
          <w:p w:rsidR="00750246" w:rsidRDefault="00A60FE0">
            <w:pPr>
              <w:widowControl w:val="0"/>
              <w:jc w:val="center"/>
              <w:rPr>
                <w:rFonts w:ascii="Maiandra GD" w:hAnsi="Maiandra GD" w:cs="Courier New"/>
                <w:b/>
                <w:bCs/>
                <w:sz w:val="22"/>
                <w:szCs w:val="22"/>
              </w:rPr>
            </w:pPr>
            <w:r>
              <w:rPr>
                <w:rFonts w:ascii="Maiandra GD" w:hAnsi="Maiandra GD" w:cs="Courier New"/>
                <w:b/>
                <w:bCs/>
                <w:sz w:val="22"/>
                <w:szCs w:val="22"/>
              </w:rPr>
              <w:t>137,85 km</w:t>
            </w:r>
          </w:p>
        </w:tc>
      </w:tr>
    </w:tbl>
    <w:p w:rsidR="00750246" w:rsidRDefault="00750246">
      <w:pPr>
        <w:widowControl w:val="0"/>
        <w:jc w:val="both"/>
        <w:rPr>
          <w:rFonts w:ascii="Courier New" w:hAnsi="Courier New" w:cs="Courier New"/>
          <w:sz w:val="26"/>
          <w:szCs w:val="26"/>
        </w:rPr>
      </w:pP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Foi considerado que todos os roteiros serão atendidos em um dia. Também foi considerada a quantidade de 76,50km para a chegada do caminhão coletor até o município, e foi considerada a quantidade de 76,50km para ida do caminhão coletor até a destinação final, passando pela triagem.</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Assim, a quilometragem total considerada será:</w:t>
      </w:r>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Coletanos</m:t>
        </m:r>
        <m:r>
          <w:rPr>
            <w:rFonts w:ascii="Cambria Math" w:hAnsi="Cambria Math"/>
          </w:rPr>
          <m:t>4</m:t>
        </m:r>
        <m:r>
          <w:rPr>
            <w:rFonts w:ascii="Cambria Math" w:hAnsi="Cambria Math"/>
          </w:rPr>
          <m:t>roteiros</m:t>
        </m:r>
        <m:r>
          <w:rPr>
            <w:rFonts w:ascii="Cambria Math" w:hAnsi="Cambria Math"/>
          </w:rPr>
          <m:t>:137,85</m:t>
        </m:r>
        <m:r>
          <w:rPr>
            <w:rFonts w:ascii="Cambria Math" w:hAnsi="Cambria Math"/>
          </w:rPr>
          <m:t>km</m:t>
        </m:r>
      </m:oMath>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Transporteat</m:t>
        </m:r>
        <m:r>
          <w:rPr>
            <w:rFonts w:ascii="Cambria Math" w:hAnsi="Cambria Math"/>
          </w:rPr>
          <m:t>é</m:t>
        </m:r>
        <m:r>
          <w:rPr>
            <w:rFonts w:ascii="Cambria Math" w:hAnsi="Cambria Math"/>
          </w:rPr>
          <m:t>destina</m:t>
        </m:r>
        <m:r>
          <w:rPr>
            <w:rFonts w:ascii="Cambria Math" w:hAnsi="Cambria Math"/>
          </w:rPr>
          <m:t>çã</m:t>
        </m:r>
        <m:r>
          <w:rPr>
            <w:rFonts w:ascii="Cambria Math" w:hAnsi="Cambria Math"/>
          </w:rPr>
          <m:t>ofinal</m:t>
        </m:r>
        <m:r>
          <w:rPr>
            <w:rFonts w:ascii="Cambria Math" w:hAnsi="Cambria Math"/>
          </w:rPr>
          <m:t>:76,50</m:t>
        </m:r>
        <m:r>
          <w:rPr>
            <w:rFonts w:ascii="Cambria Math" w:hAnsi="Cambria Math"/>
          </w:rPr>
          <m:t>km</m:t>
        </m:r>
      </m:oMath>
    </w:p>
    <w:p w:rsidR="00750246" w:rsidRDefault="00A60FE0">
      <w:pPr>
        <w:pStyle w:val="Corpodetexto"/>
        <w:numPr>
          <w:ilvl w:val="0"/>
          <w:numId w:val="2"/>
        </w:numPr>
        <w:spacing w:before="240" w:line="360" w:lineRule="auto"/>
        <w:jc w:val="left"/>
        <w:rPr>
          <w:rFonts w:ascii="Maiandra GD" w:hAnsi="Maiandra GD" w:cs="Courier New"/>
          <w:szCs w:val="24"/>
        </w:rPr>
      </w:pPr>
      <m:oMath>
        <m:r>
          <w:rPr>
            <w:rFonts w:ascii="Cambria Math" w:hAnsi="Cambria Math"/>
          </w:rPr>
          <m:t>Deslocamentoat</m:t>
        </m:r>
        <m:r>
          <w:rPr>
            <w:rFonts w:ascii="Cambria Math" w:hAnsi="Cambria Math"/>
          </w:rPr>
          <m:t>é</m:t>
        </m:r>
        <m:r>
          <w:rPr>
            <w:rFonts w:ascii="Cambria Math" w:hAnsi="Cambria Math"/>
          </w:rPr>
          <m:t>olocalde</m:t>
        </m:r>
        <m:r>
          <w:rPr>
            <w:rFonts w:ascii="Cambria Math" w:hAnsi="Cambria Math"/>
          </w:rPr>
          <m:t>in</m:t>
        </m:r>
        <m:r>
          <w:rPr>
            <w:rFonts w:ascii="Cambria Math" w:hAnsi="Cambria Math"/>
          </w:rPr>
          <m:t>í</m:t>
        </m:r>
        <m:r>
          <w:rPr>
            <w:rFonts w:ascii="Cambria Math" w:hAnsi="Cambria Math"/>
          </w:rPr>
          <m:t>ciodacoleta</m:t>
        </m:r>
        <m:r>
          <w:rPr>
            <w:rFonts w:ascii="Cambria Math" w:hAnsi="Cambria Math"/>
          </w:rPr>
          <m:t>:76,50</m:t>
        </m:r>
        <m:r>
          <w:rPr>
            <w:rFonts w:ascii="Cambria Math" w:hAnsi="Cambria Math"/>
          </w:rPr>
          <m:t>km</m:t>
        </m:r>
      </m:oMath>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somatório dos deslocamentos será, portanto:</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137,85</m:t>
          </m:r>
          <m:r>
            <w:rPr>
              <w:rFonts w:ascii="Cambria Math" w:hAnsi="Cambria Math"/>
            </w:rPr>
            <m:t>km</m:t>
          </m:r>
          <m:r>
            <w:rPr>
              <w:rFonts w:ascii="Cambria Math" w:hAnsi="Cambria Math"/>
            </w:rPr>
            <m:t>+76,50</m:t>
          </m:r>
          <m:r>
            <w:rPr>
              <w:rFonts w:ascii="Cambria Math" w:hAnsi="Cambria Math"/>
            </w:rPr>
            <m:t>km</m:t>
          </m:r>
          <m:r>
            <w:rPr>
              <w:rFonts w:ascii="Cambria Math" w:hAnsi="Cambria Math"/>
            </w:rPr>
            <m:t>+76,50</m:t>
          </m:r>
          <m:r>
            <w:rPr>
              <w:rFonts w:ascii="Cambria Math" w:hAnsi="Cambria Math"/>
            </w:rPr>
            <m:t>km</m:t>
          </m:r>
          <m:r>
            <w:rPr>
              <w:rFonts w:ascii="Cambria Math" w:hAnsi="Cambria Math"/>
            </w:rPr>
            <m:t>=290,85</m:t>
          </m:r>
          <m:r>
            <w:rPr>
              <w:rFonts w:ascii="Cambria Math" w:hAnsi="Cambria Math"/>
            </w:rPr>
            <m:t>km</m:t>
          </m:r>
        </m:oMath>
      </m:oMathPara>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Assim, a quilometragem de 290,85 km que consta na planilha orçamentária se refere à chegada do caminhão até o município, a </w:t>
      </w:r>
      <w:r>
        <w:rPr>
          <w:rFonts w:ascii="Maiandra GD" w:hAnsi="Maiandra GD" w:cs="Courier New"/>
          <w:szCs w:val="24"/>
        </w:rPr>
        <w:t>coleta nos roteiros descritos acima, e o transporte até a destinação final, passando pela triagem.</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 datas das coletas em cada roteiro serão previamente fixadas, com a finalidade de realizar a devida ciência aos munícipes.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Duas localidades rurais receberão também contentores, tendo em vista que produzem um maior volume de resíduos. Nesses casos poderão ser definidos roteiros excedentes aos inicialmente previstos, sendo que tais roteiros serão definidos pela Secretaria Municipal de Agricultura, Desenvolvimento Econômico e Meio Ambiente em conjunto com a EMATER em virtude da necessidade de coleta de cada comunidade.</w:t>
      </w:r>
    </w:p>
    <w:p w:rsidR="00750246" w:rsidRDefault="00A60FE0">
      <w:pPr>
        <w:pStyle w:val="Estilo3"/>
      </w:pPr>
      <w:r>
        <w:t>Locais de prestação dos serviços: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coleta na zona rural dos resíduos sólidos domiciliares será efetuada em 04 roteiros definidos no item acima, podendo ser fixados roteiros excedentes pela Secretaria Municipal de Agricultura, Desenvolvimento Econômico e Meio Ambiente em conjunto com a EMATER.</w:t>
      </w:r>
    </w:p>
    <w:p w:rsidR="00750246" w:rsidRDefault="00A60FE0">
      <w:pPr>
        <w:pStyle w:val="Estilo3"/>
      </w:pPr>
      <w:r>
        <w:t>Metodologia de execução: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coleta na zona rural dos resíduos sólidos domiciliares será realizada por 01 (uma) equipe, composta de 1 (um) motorista e 1 (um) coletor.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impossibilidade de cumprimento de qualquer roteiro devido a intempéries, ou qualquer outra razão, deverá ser comunicada imediatamente à Secretaria Municipal de Agricultura, Desenvolvimento Econômico e Meio Ambiente, de forma que esta possa orientar a Contratada quanto à alternativa a ser seguida.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veículo em operação de coleta, durante o dia, deverá transitar com os faróis (luz baixa) e sinalização de alerta ligado.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Sempre que possível, o motorista do caminhão coletor deverá permitir o livre trânsito dos demais veículos nas vias públicas.</w:t>
      </w:r>
    </w:p>
    <w:p w:rsidR="00750246" w:rsidRDefault="00A60FE0">
      <w:pPr>
        <w:pStyle w:val="Estilo3"/>
      </w:pPr>
      <w:r>
        <w:t>Dimensionamento do caminhão para coleta seletiva da zona rural: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remuneração dos serviços de coleta seletiva, transporte, triagem e destinação final na zona rural será por km/rodado, sendo que o pagamento apenas será realizado caso haja prestação dos serviços.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A aferição dos km/rodados será realizada através do roteiro definido pelo Município e com quilometragem fixada pelo Município, confrontada pelo rastreamento via GPS do caminhão coletor.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 coleta dos resíduos no Lote 02 deverá ser feito utilizando o mesmo caminhão compactador definido para o Lote 01: </w:t>
      </w:r>
      <w:r>
        <w:rPr>
          <w:rFonts w:ascii="Maiandra GD" w:hAnsi="Maiandra GD" w:cs="Courier New"/>
          <w:b/>
          <w:bCs/>
          <w:szCs w:val="24"/>
        </w:rPr>
        <w:t>um</w:t>
      </w:r>
      <w:r>
        <w:rPr>
          <w:rFonts w:ascii="Maiandra GD" w:hAnsi="Maiandra GD" w:cs="Courier New"/>
          <w:szCs w:val="24"/>
        </w:rPr>
        <w:t xml:space="preserve"> </w:t>
      </w:r>
      <w:r>
        <w:rPr>
          <w:rFonts w:ascii="Maiandra GD" w:hAnsi="Maiandra GD" w:cs="Courier New"/>
          <w:b/>
          <w:bCs/>
          <w:szCs w:val="24"/>
        </w:rPr>
        <w:t>caminhão toco, chassi de 6 toneladas, equipado com coletor compactador com capacidade de no mínimo 12 m³ de resíduos compactados, com ano de fabricação não superior a 10 anos</w:t>
      </w:r>
      <w:r>
        <w:rPr>
          <w:rFonts w:ascii="Maiandra GD" w:hAnsi="Maiandra GD" w:cs="Courier New"/>
          <w:szCs w:val="24"/>
        </w:rPr>
        <w:t>, com especificações dadas no Item 3.1.5 – d, acima.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a composição da Planilha Orçamentária foi considerado caminhão com ano-modelo 2024, e seu preço foi identificado por meio da Tabela Fipe. Assim, chegou-se ao valor para o caminhão de R$ 538.222,00.</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determinação do equipamento compactador, utilizou-se o valor dado no Banco de Preços para um caminhão com o compactador incluso, de R$ 398.350,00, e foi descontado o preço da Tabela Fipe correspondente ao chassi daquele caminhão. Assim:</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Valordocompactador</m:t>
          </m:r>
          <m:r>
            <w:rPr>
              <w:rFonts w:ascii="Cambria Math" w:hAnsi="Cambria Math"/>
            </w:rPr>
            <m:t>=</m:t>
          </m:r>
          <m:r>
            <w:rPr>
              <w:rFonts w:ascii="Cambria Math" w:hAnsi="Cambria Math"/>
            </w:rPr>
            <m:t>valorcompleto</m:t>
          </m:r>
          <m:r>
            <w:rPr>
              <w:rFonts w:ascii="Cambria Math" w:hAnsi="Cambria Math"/>
            </w:rPr>
            <m:t>-</m:t>
          </m:r>
          <m:r>
            <w:rPr>
              <w:rFonts w:ascii="Cambria Math" w:hAnsi="Cambria Math"/>
            </w:rPr>
            <m:t>valordocamin</m:t>
          </m:r>
          <m:r>
            <w:rPr>
              <w:rFonts w:ascii="Cambria Math" w:hAnsi="Cambria Math"/>
            </w:rPr>
            <m:t>h</m:t>
          </m:r>
          <m:r>
            <w:rPr>
              <w:rFonts w:ascii="Cambria Math" w:hAnsi="Cambria Math"/>
            </w:rPr>
            <m:t>ã</m:t>
          </m:r>
          <m:r>
            <w:rPr>
              <w:rFonts w:ascii="Cambria Math" w:hAnsi="Cambria Math"/>
            </w:rPr>
            <m:t>o</m:t>
          </m:r>
        </m:oMath>
      </m:oMathPara>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Valordocompactador</m:t>
          </m:r>
          <m:r>
            <w:rPr>
              <w:rFonts w:ascii="Cambria Math" w:hAnsi="Cambria Math"/>
            </w:rPr>
            <m:t>=</m:t>
          </m:r>
          <m:r>
            <w:rPr>
              <w:rFonts w:ascii="Cambria Math" w:hAnsi="Cambria Math"/>
            </w:rPr>
            <m:t>R</m:t>
          </m:r>
          <m:r>
            <w:rPr>
              <w:rFonts w:ascii="Cambria Math" w:hAnsi="Cambria Math"/>
            </w:rPr>
            <m:t>$398.350,00-</m:t>
          </m:r>
          <m:r>
            <w:rPr>
              <w:rFonts w:ascii="Cambria Math" w:hAnsi="Cambria Math"/>
            </w:rPr>
            <m:t>R</m:t>
          </m:r>
          <m:r>
            <w:rPr>
              <w:rFonts w:ascii="Cambria Math" w:hAnsi="Cambria Math"/>
            </w:rPr>
            <m:t>$269.244,00</m:t>
          </m:r>
        </m:oMath>
      </m:oMathPara>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Valordocompactador</m:t>
          </m:r>
          <m:r>
            <w:rPr>
              <w:rFonts w:ascii="Cambria Math" w:hAnsi="Cambria Math"/>
            </w:rPr>
            <m:t>=</m:t>
          </m:r>
          <m:r>
            <w:rPr>
              <w:rFonts w:ascii="Cambria Math" w:hAnsi="Cambria Math"/>
            </w:rPr>
            <m:t>R</m:t>
          </m:r>
          <m:r>
            <w:rPr>
              <w:rFonts w:ascii="Cambria Math" w:hAnsi="Cambria Math"/>
            </w:rPr>
            <m:t>$129.106,00</m:t>
          </m:r>
        </m:oMath>
      </m:oMathPara>
    </w:p>
    <w:p w:rsidR="00750246" w:rsidRDefault="00A60FE0">
      <w:pPr>
        <w:pStyle w:val="Estilo3"/>
      </w:pPr>
      <w:r>
        <w:t>Fator de utilização:</w:t>
      </w:r>
    </w:p>
    <w:p w:rsidR="00750246" w:rsidRDefault="00A60FE0">
      <w:pPr>
        <w:pStyle w:val="Corpodetexto"/>
        <w:spacing w:before="240" w:line="360" w:lineRule="auto"/>
        <w:ind w:firstLine="708"/>
        <w:rPr>
          <w:rFonts w:ascii="Maiandra GD" w:hAnsi="Maiandra GD" w:cs="Courier New"/>
          <w:bCs/>
          <w:szCs w:val="24"/>
        </w:rPr>
      </w:pPr>
      <w:r>
        <w:rPr>
          <w:rFonts w:ascii="Maiandra GD" w:hAnsi="Maiandra GD" w:cs="Courier New"/>
          <w:szCs w:val="24"/>
        </w:rPr>
        <w:t>Para o Lote 02 a coleta foi definida para acontecer</w:t>
      </w:r>
      <w:r>
        <w:rPr>
          <w:rFonts w:ascii="Maiandra GD" w:hAnsi="Maiandra GD" w:cs="Courier New"/>
          <w:bCs/>
          <w:szCs w:val="24"/>
        </w:rPr>
        <w:t xml:space="preserve"> uma vez por mês. Assim, foi necessário adequar o cálculo do fator de utilização para que as unidades fossem compatíveis. </w:t>
      </w:r>
    </w:p>
    <w:p w:rsidR="00750246" w:rsidRDefault="00A60FE0">
      <w:pPr>
        <w:pStyle w:val="Corpodetexto"/>
        <w:spacing w:before="240" w:line="360" w:lineRule="auto"/>
        <w:ind w:firstLine="708"/>
        <w:rPr>
          <w:rFonts w:ascii="Maiandra GD" w:hAnsi="Maiandra GD" w:cs="Courier New"/>
          <w:bCs/>
          <w:szCs w:val="24"/>
        </w:rPr>
      </w:pPr>
      <w:r>
        <w:rPr>
          <w:rFonts w:ascii="Maiandra GD" w:hAnsi="Maiandra GD" w:cs="Courier New"/>
          <w:bCs/>
          <w:szCs w:val="24"/>
        </w:rPr>
        <w:t>Considerando as horas que seriam trabalhadas ao total de um mês, temos:</w:t>
      </w:r>
    </w:p>
    <w:p w:rsidR="00750246" w:rsidRDefault="00A60FE0">
      <w:pPr>
        <w:pStyle w:val="Corpodetexto"/>
        <w:spacing w:before="240" w:line="360" w:lineRule="auto"/>
        <w:ind w:firstLine="708"/>
        <w:jc w:val="center"/>
        <w:rPr>
          <w:rFonts w:ascii="Maiandra GD" w:hAnsi="Maiandra GD" w:cs="Courier New"/>
          <w:bCs/>
          <w:szCs w:val="24"/>
        </w:rPr>
      </w:pPr>
      <m:oMathPara>
        <m:oMathParaPr>
          <m:jc m:val="center"/>
        </m:oMathParaPr>
        <m:oMath>
          <m:r>
            <w:rPr>
              <w:rFonts w:ascii="Cambria Math" w:hAnsi="Cambria Math"/>
            </w:rPr>
            <m:t>44</m:t>
          </m:r>
          <m:f>
            <m:fPr>
              <m:ctrlPr>
                <w:rPr>
                  <w:rFonts w:ascii="Cambria Math" w:hAnsi="Cambria Math"/>
                </w:rPr>
              </m:ctrlPr>
            </m:fPr>
            <m:num>
              <m:r>
                <w:rPr>
                  <w:rFonts w:ascii="Cambria Math" w:hAnsi="Cambria Math"/>
                </w:rPr>
                <m:t>h</m:t>
              </m:r>
              <m:r>
                <w:rPr>
                  <w:rFonts w:ascii="Cambria Math" w:hAnsi="Cambria Math"/>
                </w:rPr>
                <m:t>oras</m:t>
              </m:r>
            </m:num>
            <m:den>
              <m:r>
                <w:rPr>
                  <w:rFonts w:ascii="Cambria Math" w:hAnsi="Cambria Math"/>
                </w:rPr>
                <m:t>semana</m:t>
              </m:r>
            </m:den>
          </m:f>
          <m:r>
            <w:rPr>
              <w:rFonts w:ascii="Cambria Math" w:hAnsi="Cambria Math"/>
            </w:rPr>
            <m:t>×4</m:t>
          </m:r>
          <m:f>
            <m:fPr>
              <m:ctrlPr>
                <w:rPr>
                  <w:rFonts w:ascii="Cambria Math" w:hAnsi="Cambria Math"/>
                </w:rPr>
              </m:ctrlPr>
            </m:fPr>
            <m:num>
              <m:r>
                <w:rPr>
                  <w:rFonts w:ascii="Cambria Math" w:hAnsi="Cambria Math"/>
                </w:rPr>
                <m:t>semanas</m:t>
              </m:r>
            </m:num>
            <m:den>
              <m:r>
                <w:rPr>
                  <w:rFonts w:ascii="Cambria Math" w:hAnsi="Cambria Math"/>
                </w:rPr>
                <m:t>m</m:t>
              </m:r>
              <m:r>
                <w:rPr>
                  <w:rFonts w:ascii="Cambria Math" w:hAnsi="Cambria Math"/>
                </w:rPr>
                <m:t>ê</m:t>
              </m:r>
              <m:r>
                <w:rPr>
                  <w:rFonts w:ascii="Cambria Math" w:hAnsi="Cambria Math"/>
                </w:rPr>
                <m:t>s</m:t>
              </m:r>
            </m:den>
          </m:f>
          <m:r>
            <w:rPr>
              <w:rFonts w:ascii="Cambria Math" w:hAnsi="Cambria Math"/>
            </w:rPr>
            <m:t>=176</m:t>
          </m:r>
          <m:f>
            <m:fPr>
              <m:ctrlPr>
                <w:rPr>
                  <w:rFonts w:ascii="Cambria Math" w:hAnsi="Cambria Math"/>
                </w:rPr>
              </m:ctrlPr>
            </m:fPr>
            <m:num>
              <m:r>
                <w:rPr>
                  <w:rFonts w:ascii="Cambria Math" w:hAnsi="Cambria Math"/>
                </w:rPr>
                <m:t>h</m:t>
              </m:r>
              <m:r>
                <w:rPr>
                  <w:rFonts w:ascii="Cambria Math" w:hAnsi="Cambria Math"/>
                </w:rPr>
                <m:t>oras</m:t>
              </m:r>
            </m:num>
            <m:den>
              <m:r>
                <w:rPr>
                  <w:rFonts w:ascii="Cambria Math" w:hAnsi="Cambria Math"/>
                </w:rPr>
                <m:t>m</m:t>
              </m:r>
              <m:r>
                <w:rPr>
                  <w:rFonts w:ascii="Cambria Math" w:hAnsi="Cambria Math"/>
                </w:rPr>
                <m:t>ê</m:t>
              </m:r>
              <m:r>
                <w:rPr>
                  <w:rFonts w:ascii="Cambria Math" w:hAnsi="Cambria Math"/>
                </w:rPr>
                <m:t>s</m:t>
              </m:r>
            </m:den>
          </m:f>
        </m:oMath>
      </m:oMathPara>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Considerando que serão feitos os quatro roteiros em um dia, que possui 8 horas de trabalho, temos que o Fator de Utilização será:</w:t>
      </w:r>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Fu</m:t>
          </m:r>
          <m:r>
            <w:rPr>
              <w:rFonts w:ascii="Cambria Math" w:hAnsi="Cambria Math"/>
            </w:rPr>
            <m:t>=</m:t>
          </m:r>
          <m:f>
            <m:fPr>
              <m:ctrlPr>
                <w:rPr>
                  <w:rFonts w:ascii="Cambria Math" w:hAnsi="Cambria Math"/>
                </w:rPr>
              </m:ctrlPr>
            </m:fPr>
            <m:num>
              <m:r>
                <w:rPr>
                  <w:rFonts w:ascii="Cambria Math" w:hAnsi="Cambria Math"/>
                </w:rPr>
                <m:t>8</m:t>
              </m:r>
              <m:r>
                <w:rPr>
                  <w:rFonts w:ascii="Cambria Math" w:hAnsi="Cambria Math"/>
                </w:rPr>
                <m:t>h</m:t>
              </m:r>
              <m:r>
                <w:rPr>
                  <w:rFonts w:ascii="Cambria Math" w:hAnsi="Cambria Math"/>
                </w:rPr>
                <m:t>oras</m:t>
              </m:r>
              <m:r>
                <w:rPr>
                  <w:rFonts w:ascii="Cambria Math" w:hAnsi="Cambria Math"/>
                </w:rPr>
                <m:t>trabal</m:t>
              </m:r>
              <m:r>
                <w:rPr>
                  <w:rFonts w:ascii="Cambria Math" w:hAnsi="Cambria Math"/>
                </w:rPr>
                <m:t>h</m:t>
              </m:r>
              <m:r>
                <w:rPr>
                  <w:rFonts w:ascii="Cambria Math" w:hAnsi="Cambria Math"/>
                </w:rPr>
                <m:t>adasnom</m:t>
              </m:r>
              <m:r>
                <w:rPr>
                  <w:rFonts w:ascii="Cambria Math" w:hAnsi="Cambria Math"/>
                </w:rPr>
                <m:t>ê</m:t>
              </m:r>
              <m:r>
                <w:rPr>
                  <w:rFonts w:ascii="Cambria Math" w:hAnsi="Cambria Math"/>
                </w:rPr>
                <m:t>s</m:t>
              </m:r>
            </m:num>
            <m:den>
              <m:r>
                <w:rPr>
                  <w:rFonts w:ascii="Cambria Math" w:hAnsi="Cambria Math"/>
                </w:rPr>
                <m:t>176</m:t>
              </m:r>
              <m:r>
                <w:rPr>
                  <w:rFonts w:ascii="Cambria Math" w:hAnsi="Cambria Math"/>
                </w:rPr>
                <m:t>h</m:t>
              </m:r>
              <m:r>
                <w:rPr>
                  <w:rFonts w:ascii="Cambria Math" w:hAnsi="Cambria Math"/>
                </w:rPr>
                <m:t>orasporm</m:t>
              </m:r>
              <m:r>
                <w:rPr>
                  <w:rFonts w:ascii="Cambria Math" w:hAnsi="Cambria Math"/>
                </w:rPr>
                <m:t>ê</m:t>
              </m:r>
              <m:r>
                <w:rPr>
                  <w:rFonts w:ascii="Cambria Math" w:hAnsi="Cambria Math"/>
                </w:rPr>
                <m:t>s</m:t>
              </m:r>
            </m:den>
          </m:f>
          <m:r>
            <w:rPr>
              <w:rFonts w:ascii="Cambria Math" w:hAnsi="Cambria Math"/>
            </w:rPr>
            <m:t>=0,04545</m:t>
          </m:r>
        </m:oMath>
      </m:oMathPara>
    </w:p>
    <w:p w:rsidR="00750246" w:rsidRDefault="00A60FE0">
      <w:pPr>
        <w:pStyle w:val="Corpodetexto"/>
        <w:spacing w:before="240" w:line="360" w:lineRule="auto"/>
        <w:ind w:firstLine="708"/>
        <w:jc w:val="center"/>
        <w:rPr>
          <w:rFonts w:ascii="Maiandra GD" w:hAnsi="Maiandra GD" w:cs="Courier New"/>
          <w:szCs w:val="24"/>
        </w:rPr>
      </w:pPr>
      <m:oMathPara>
        <m:oMathParaPr>
          <m:jc m:val="center"/>
        </m:oMathParaPr>
        <m:oMath>
          <m:r>
            <w:rPr>
              <w:rFonts w:ascii="Cambria Math" w:hAnsi="Cambria Math"/>
            </w:rPr>
            <m:t>Fu</m:t>
          </m:r>
          <m:r>
            <w:rPr>
              <w:rFonts w:ascii="Cambria Math" w:hAnsi="Cambria Math"/>
            </w:rPr>
            <m:t>=4,54</m:t>
          </m:r>
          <m:r>
            <m:rPr>
              <m:lit/>
              <m:nor/>
            </m:rPr>
            <w:rPr>
              <w:rFonts w:ascii="Cambria Math" w:hAnsi="Cambria Math"/>
            </w:rPr>
            <m:t>%</m:t>
          </m:r>
        </m:oMath>
      </m:oMathPara>
    </w:p>
    <w:p w:rsidR="00750246" w:rsidRDefault="00A60FE0">
      <w:pPr>
        <w:pStyle w:val="Estilo3"/>
      </w:pPr>
      <w:r>
        <w:t>Higienização dos contentores: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Os contentores (containers) locados na área rural deverão receber higienização trimestral, executada com uso de jato d’água, vassoura e aplicação de agentes desodorizantes e antibactericidas. Na sequência será feito o enxágue do contentor.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Para obtenção do custo da limpeza dos containers foi considerado o valor de transporte dos equipamentos até o local da lavagem, o gasto com água e luz para </w:t>
      </w:r>
      <w:r>
        <w:rPr>
          <w:rFonts w:ascii="Maiandra GD" w:hAnsi="Maiandra GD" w:cs="Courier New"/>
          <w:szCs w:val="24"/>
        </w:rPr>
        <w:t>utilização do jato de água e os produtos de higienização. Este custo foi detalhado no item 4.1.7.</w:t>
      </w:r>
    </w:p>
    <w:p w:rsidR="00750246" w:rsidRDefault="00A60FE0">
      <w:pPr>
        <w:pStyle w:val="Estilo1"/>
      </w:pPr>
      <w:r>
        <w:t>LOTES 01 E 02 - SISTEMA DE MONITORAMENTO E CONTRATAÇÃO DE SEGURO PARA OS VEÍCULOS DE TRANSPORTE:</w:t>
      </w:r>
    </w:p>
    <w:p w:rsidR="00750246" w:rsidRDefault="00A60FE0">
      <w:pPr>
        <w:pStyle w:val="Estilo2"/>
        <w:ind w:left="0" w:firstLine="851"/>
      </w:pPr>
      <w:r>
        <w:t>Do sistema de monitoramento por GPS: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As empresas vencedoras da coleta convencional e seletiva do perímetro urbano e da coleta seletiva da zona rural deverão contratar rastreamento para os veículos por satélite - GPS.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sistema de rastreamento deverá possibilitar: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a)</w:t>
      </w:r>
      <w:r>
        <w:rPr>
          <w:rFonts w:ascii="Maiandra GD" w:hAnsi="Maiandra GD" w:cs="Courier New"/>
          <w:szCs w:val="24"/>
        </w:rPr>
        <w:t xml:space="preserve"> Emissão de relatórios gerenciais em plataforma web e em aplicativo, com resumo da rota do veículo e as paradas do dia;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b)</w:t>
      </w:r>
      <w:r>
        <w:rPr>
          <w:rFonts w:ascii="Maiandra GD" w:hAnsi="Maiandra GD" w:cs="Courier New"/>
          <w:szCs w:val="24"/>
        </w:rPr>
        <w:t xml:space="preserve"> Localização georreferenciada, em tempo real e histórica, expressa em mapa viário, da posição de cada veículo coletor;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 xml:space="preserve">c) </w:t>
      </w:r>
      <w:r>
        <w:rPr>
          <w:rFonts w:ascii="Maiandra GD" w:hAnsi="Maiandra GD" w:cs="Courier New"/>
          <w:szCs w:val="24"/>
        </w:rPr>
        <w:t>Velocidades instantâneas dos veículos coletores e transportadores;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d)</w:t>
      </w:r>
      <w:r>
        <w:rPr>
          <w:rFonts w:ascii="Maiandra GD" w:hAnsi="Maiandra GD" w:cs="Courier New"/>
          <w:szCs w:val="24"/>
        </w:rPr>
        <w:t xml:space="preserve"> Tempo de parada (quando a velocidade for 0 km/h);</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e)</w:t>
      </w:r>
      <w:r>
        <w:rPr>
          <w:rFonts w:ascii="Maiandra GD" w:hAnsi="Maiandra GD" w:cs="Courier New"/>
          <w:szCs w:val="24"/>
        </w:rPr>
        <w:t xml:space="preserve"> Possibilidade de consulta de passagem de veículo por endereço, com a prerrogativa de estabelecer a área de pesquisa e o período;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f)</w:t>
      </w:r>
      <w:r>
        <w:rPr>
          <w:rFonts w:ascii="Maiandra GD" w:hAnsi="Maiandra GD" w:cs="Courier New"/>
          <w:szCs w:val="24"/>
        </w:rPr>
        <w:t xml:space="preserve"> O histórico das informações deverá estar armazenado e disponível por um período de, no mínimo, 2 (dois) meses.</w:t>
      </w:r>
    </w:p>
    <w:p w:rsidR="00750246" w:rsidRDefault="00A60FE0">
      <w:pPr>
        <w:pStyle w:val="Estilo2"/>
        <w:ind w:left="0" w:firstLine="851"/>
      </w:pPr>
      <w:r>
        <w:t>Da contratação de seguro: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As empresas vencedoras deverão contratar seguro dos veículos que realizam a coleta e transporte até a destinação final devendo ter no mínimo a seguinte cobertura: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Danos Materiais de Terceiros, no valor mínimo de R$ 150.000,00.</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Danos Corporais de Terceiros, no valor mínimo de R$ R$ 150.000,00.</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Danos Materiais e Corporais de Passageiros, no valor mínimo de R$ 200.000,00.</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 APP – Morte e Invalidez, no valor mínimo de R$ 60.000,00.</w:t>
      </w:r>
    </w:p>
    <w:p w:rsidR="00750246" w:rsidRDefault="00A60FE0">
      <w:pPr>
        <w:pStyle w:val="Corpodetexto"/>
        <w:spacing w:before="240" w:line="360" w:lineRule="auto"/>
        <w:ind w:firstLine="708"/>
        <w:rPr>
          <w:rFonts w:ascii="Courier New" w:hAnsi="Courier New" w:cs="Courier New"/>
          <w:sz w:val="26"/>
          <w:szCs w:val="26"/>
        </w:rPr>
      </w:pPr>
      <w:r>
        <w:rPr>
          <w:rFonts w:ascii="Maiandra GD" w:hAnsi="Maiandra GD" w:cs="Courier New"/>
          <w:szCs w:val="24"/>
        </w:rPr>
        <w:t>Danos Morais- verba adicional, passageiros e terceiros não transportados, verba única valor mínimo 60.000,00 por pessoa.</w:t>
      </w:r>
    </w:p>
    <w:p w:rsidR="00750246" w:rsidRDefault="00A60FE0">
      <w:pPr>
        <w:pStyle w:val="Estilo1"/>
      </w:pPr>
      <w:r>
        <w:t xml:space="preserve"> LOTES 01 E 02 - DA TRIAGEM E TRANSBORDO: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 empresas vencedoras das coletas urbanas e rurais deverão encaminhar todos os resíduos coletados para um local de triagem e de transbordo devidamente licenciado pelo órgão ambiental competente.</w:t>
      </w:r>
    </w:p>
    <w:p w:rsidR="00750246" w:rsidRDefault="00A60FE0">
      <w:pPr>
        <w:pStyle w:val="Corpodetexto"/>
        <w:spacing w:before="240" w:line="360" w:lineRule="auto"/>
        <w:ind w:firstLine="708"/>
        <w:rPr>
          <w:rFonts w:ascii="Courier New" w:hAnsi="Courier New" w:cs="Courier New"/>
          <w:sz w:val="26"/>
          <w:szCs w:val="26"/>
        </w:rPr>
      </w:pPr>
      <w:r>
        <w:rPr>
          <w:rFonts w:ascii="Maiandra GD" w:hAnsi="Maiandra GD" w:cs="Courier New"/>
          <w:szCs w:val="24"/>
        </w:rPr>
        <w:t>O transporte do material até o centro de triagem será feito pela empresa e sua quilometragem prevista está inclusa no item “transporte até a destinação final”.</w:t>
      </w:r>
    </w:p>
    <w:p w:rsidR="00750246" w:rsidRDefault="00A60FE0">
      <w:pPr>
        <w:pStyle w:val="Estilo1"/>
      </w:pPr>
      <w:r>
        <w:t xml:space="preserve"> LOTES 01 E 02 - DA DESTINAÇÃO FINAL: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 destinação final consiste em um local onde ocorre distribuição ordenada de rejeitos em aterro, observando normas operacionais específicas de modo a evitar danos ou riscos à saúde pública e à segurança e a </w:t>
      </w:r>
      <w:r>
        <w:rPr>
          <w:rFonts w:ascii="Maiandra GD" w:hAnsi="Maiandra GD" w:cs="Courier New"/>
          <w:szCs w:val="24"/>
        </w:rPr>
        <w:t>minimizar os impactos ambientais diversos.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composição da Planilha de Cálculo foi utilizado o valor de 60,72 toneladas de resíduo que será destinado a aterro sanitário, que é o valor estimado de coleta orgânica no município. Como no lote 02 será feita somente coleta seletiva, não será considerado resíduo com destinação a aterro.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Como o custo com a disposição final poderá ser subcontratado pela empresa, a porcentagem de BDI para o item “destinação final” foi reduzida,</w:t>
      </w:r>
      <w:r>
        <w:t xml:space="preserve"> </w:t>
      </w:r>
      <w:r>
        <w:rPr>
          <w:rFonts w:ascii="Maiandra GD" w:hAnsi="Maiandra GD" w:cs="Courier New"/>
          <w:szCs w:val="24"/>
        </w:rPr>
        <w:t>a fim de evitar a reincidência de BDI na subcontratação do serviço.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 valor unitário considerado para a disposição final empregado na planilha orçamentária foi obtido por meio de pesquisa no Banco de Preços.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As empresas vencedoras dos Lotes 01 e 02 deverão realizar a destinação final em aterro sanitário, que atenda os seguintes requisitos: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a)</w:t>
      </w:r>
      <w:r>
        <w:rPr>
          <w:rFonts w:ascii="Maiandra GD" w:hAnsi="Maiandra GD" w:cs="Courier New"/>
          <w:szCs w:val="24"/>
        </w:rPr>
        <w:t xml:space="preserve"> Licença Ambiental vigente expedida pelo órgão ambiental competente, em nome do licitante ou de terceiros proprietários dos aterros de destinação final, compatível com os termos do presente Projeto Básico;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b)</w:t>
      </w:r>
      <w:r>
        <w:rPr>
          <w:rFonts w:ascii="Maiandra GD" w:hAnsi="Maiandra GD" w:cs="Courier New"/>
          <w:szCs w:val="24"/>
        </w:rPr>
        <w:t xml:space="preserve"> Em caso de o aterro ser de propriedade de terceiro, deverá haver autorização expedida em favor da licitante no sentido que esta pode efetuar o depósito dos resíduos do Município de Ibiraiaras, nos termos do edital de licitação e pelo prazo contratual estabelecido;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c)</w:t>
      </w:r>
      <w:r>
        <w:rPr>
          <w:rFonts w:ascii="Maiandra GD" w:hAnsi="Maiandra GD" w:cs="Courier New"/>
          <w:szCs w:val="24"/>
        </w:rPr>
        <w:t xml:space="preserve"> Atestado do responsável técnico pelo aterro sanitário, no sentido de que:</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I -</w:t>
      </w:r>
      <w:r>
        <w:rPr>
          <w:rFonts w:ascii="Maiandra GD" w:hAnsi="Maiandra GD" w:cs="Courier New"/>
          <w:szCs w:val="24"/>
        </w:rPr>
        <w:t xml:space="preserve"> A carga projetada de resíduos do Município de Ibiraiaras durante a vigência do contrato é compatível com a disponibilidade de carga do aterro sanitário, considerado todas as demais obrigações já contratadas para o referido aterro até o momento da emissão do atestado;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b/>
          <w:bCs/>
          <w:szCs w:val="24"/>
        </w:rPr>
        <w:t>II -</w:t>
      </w:r>
      <w:r>
        <w:rPr>
          <w:rFonts w:ascii="Maiandra GD" w:hAnsi="Maiandra GD" w:cs="Courier New"/>
          <w:szCs w:val="24"/>
        </w:rPr>
        <w:t xml:space="preserve"> Que durante a vigência contratual será observado o resguardo da capacidade do aterro sanitário para o cumprimento do contrato com o Município de Ibiraiaras, sendo comunicado no prazo de 5 dias qualquer desconformidade que advenha.</w:t>
      </w:r>
    </w:p>
    <w:p w:rsidR="00750246" w:rsidRDefault="00A60FE0">
      <w:pPr>
        <w:pStyle w:val="Estilo1"/>
      </w:pPr>
      <w:r>
        <w:t>ESPECIFICAÇÕES DOS CONTENTORES (CONTAINERS) DE LIXO A SEREM LOCADOS: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Conforme já indicado anteriormente, a empresa vencedora deverá dispor e manter containers na área urbana do município para recebimento dos resíduos, conforme indicado na Planta Baixa nº 01. Além desses locais, deverão ser dispostos também na área rural: quatro pontos de coleta (oito containers) na Reserva Indígena Monte Caseros, e três pontos de coleta (seis containers) na Comunidade de São Sebastião.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O posicionamento dos containers deverá ser feito dispondo-os em duplas, sendo um container de 1.000 litros na cor marrom, e outro de 1.000 litros na cor verde. Eles deverão ter adesivo indicativo do </w:t>
      </w:r>
      <w:r>
        <w:rPr>
          <w:rFonts w:ascii="Maiandra GD" w:hAnsi="Maiandra GD" w:cs="Courier New"/>
          <w:szCs w:val="24"/>
        </w:rPr>
        <w:t>tipo de lixo a que se destinam, conforme modelo que consta na Planta Baixa nº 01.</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cálculo da quantidade necessária de contentores, o projeto considerou como parâmetro que o trajeto percorrido pelo munícipe até o container fosse de, no máximo, cem metros. Isso por que essa será a primeira vez que a modalidade containerizada será empregada no município, e a pequena distância de trajeto pretende facilitar que os cidadãos criem o hábito de levar o resíduo até o local de coleta. Assim, partiu-se das vias centrais da área urbana (Rua Antônio Stella e Rua Longino Zacharias Guadagnin) e rep</w:t>
      </w:r>
      <w:r>
        <w:rPr>
          <w:rFonts w:ascii="Maiandra GD" w:hAnsi="Maiandra GD" w:cs="Courier New"/>
          <w:szCs w:val="24"/>
        </w:rPr>
        <w:t>licando para as demais vias e bairros, utilizando o mesmo parâmetro para posicionamento de containers. Foi escolhido o container com a capacidade de mil litros para que possam ser armazenados os resíduos entre os dias de coleta, e para que haja espaço disponível para serem acondicionados os lixos recicláveis e também os resíduos volumosos.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containers deverão ser de material plástico de alta qualidade e durabilidade, com proteção UV e com munhão nas duas laterais, para basculamento automatizado (lifting) na traseira do caminhão. Os contentores deverão possuir 04 rodas, sendo que deve ter travas em pelo menos duas delas. Deverão receber manutenção periódica para que se mantenham em perfeito funcionamento durante todo o período de duração do contrato. Caso sejam quebrados e/ou inutilizados por qualquer motivo, deverá ser feita sua imediata re</w:t>
      </w:r>
      <w:r>
        <w:rPr>
          <w:rFonts w:ascii="Maiandra GD" w:hAnsi="Maiandra GD" w:cs="Courier New"/>
          <w:szCs w:val="24"/>
        </w:rPr>
        <w:t xml:space="preserve">posição pela empresa contratada.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containers deverão ser de fácil higienização, com paredes lisas e cantos arredondados, de forma a facilitar a limpeza pela equipe de coleta. Se houverem resíduos soltos dentro do container, deverão ser recolhidos pelos coletores, colocados em sacolas e levados para o caminhão. Deve ser evitado o acúmulo de lixo para impedir o aparecimento de vetores.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empresa contratada deverá fazer a higienização de todos os containers, pelo menos uma vez a cada mês, com uso de jato d’água e produtos higienizantes. Não poderá ser executada a limpeza na via pública, mas sim em local apropriado e licenciado. Caso os containers sejam levados a outro local para higienização, deverá ser deixado outro em seu lugar. Não será permitido deixar pontos sem contentores em nenhuma hipótese.</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Caberá a contratada dar a devida destinação dos resíduos recolhidos nos containers, quer seja aqueles que comportam a reciclagem, quer aqueles classificados como resíduos.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manutenção dos contentores deverá correr por conta da contratada, que deverá manter os containers em boa aparência e em boas condições de uso. Havendo a necessidade de substituição, a contratada deverá fazê-lo em até 48 horas a partir do recebimento de notificação.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cálculo do custo da locação dos contentores, obteve-se cotação no Banco de Preços para o produto, e aplicou-se os custos de depreciação e remuneração de capital, conforme planilhas orçamentárias.</w:t>
      </w:r>
    </w:p>
    <w:p w:rsidR="00750246" w:rsidRDefault="00A60FE0">
      <w:pPr>
        <w:pStyle w:val="Estilo1"/>
      </w:pPr>
      <w:r>
        <w:t>CONSCIENTIZAÇÃO DA POPULAÇÃO.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Paralelamente a este projeto se recomenda a realização de campanha para a divulgação do novo formato de coleta. Isso por que a utilização de containers para a disposição do lixo não é uma prática comum no município e, assim, os cidadãos poderão ser conscientizados sobre a mudança no recolhimento de resíduos.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É importante que os munícipes sejam conscientizados a utilizar corretamente os equipamentos, com a separação do lixo seco e orgânico e com a disposição correta deles dentro dos containers. Faz-se necessário sensibilizar a população para que os containers sejam mantidos, cuidados e não sejam vandalizados.</w:t>
      </w:r>
    </w:p>
    <w:p w:rsidR="00750246" w:rsidRDefault="00A60FE0">
      <w:pPr>
        <w:pStyle w:val="Estilo1"/>
      </w:pPr>
      <w:r>
        <w:t>DOS REQUISITOS PARA CONTRATAÇÃO: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empresa a ser contratada deverá atender as condições de habilitação e apresentação de propostas a serem exigidas no Edital, tais como as condições mínimas de qualificação econômica, fiscal, trabalhista e técnica, tudo nos termos mínimos previstos no Capítulo VI da Lei Federal no 14.133/21, sendo vencedora a empresa que apresentar o MENOR VALOR POR LOTE.</w:t>
      </w:r>
    </w:p>
    <w:p w:rsidR="00750246" w:rsidRDefault="00A60FE0">
      <w:pPr>
        <w:pStyle w:val="Estilo1"/>
      </w:pPr>
      <w:r>
        <w:t>DA FORMA DE EXECUÇÃO E FISCALIZAÇÃO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11.1. O serviço deverá ser executado em conformidade com os itens deste projeto básico/termo de referência.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11.2. A </w:t>
      </w:r>
      <w:r>
        <w:rPr>
          <w:rFonts w:ascii="Maiandra GD" w:hAnsi="Maiandra GD" w:cs="Courier New"/>
          <w:szCs w:val="24"/>
        </w:rPr>
        <w:t>contratada deverá também comunicar imediatamente a Secretaria de Infraestrutura (Setor de Serviços Urbanos) qualquer intercorrência que configure a inexecução da realização do serviço;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11.3. A Contratante terá plena autoridade para suspender, por meios amigáveis ou não, o fornecimento do serviço prestado em desacordo com as exigências deste Projeto Básico/Termo ou do Edital e seus Anexos dele decorrentes, total ou parcialmente, fixando prazo a critério da contratante para a devida notificação e regularização.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11.4. A Contratada deverá assumir todas as responsabilidades por eventuais danos, de qualquer natureza, e, dentro do prazo estipulado no total ou em parte, do serviço/produto em que se verifiquem vícios, defeitos, falhas ou correção.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11.5. O contrato será fiscalizado responsável técnico da prefeitura municipal, que será o responsável pelo acompanhamento do objeto e registrará todas as ocorrências e as deficiências verificadas em relatório, cuja cópia será encaminhada à contratada objetivando a imediata correção das irregularidades apontadas.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11.6. A Contratante, através da Secretaria de Secretaria de Infraestrutura (Setor de Serviços Urbanos) e Setor de Engenharia, reserva-se o direito de averiguar, fazer a conferência do serviço/produto de que trata esse Projeto Básico/Termo.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11.7. As exigências e a atuação da fiscalização do responsável técnico em nada restringe a responsabilidade, única, integral e exclusiva da contratada no que concerne à execução do objeto do contrato.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11.8. A Contratante terá plena autoridade para suspender, por meios amigáveis ou não, o fornecimento dos serviços em desacordo com as exigências deste Projeto Básico/Termo ou do Edital e seus Anexos dele decorrentes, total ou parcialmente, fixando prazo a critério da Contratante para a devida notificação e regularização.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11.9. Em caso de descumprimento das regras estabelecidas neste Projeto Básico/Termo, a contratada estará sujeita, onde e na forma que couber as penalidades previstas na Lei Federal nº 14.133/21, além de uma multa no valor de 10% (dez por cento) do valor global do contrato assinado, a ser aplicada observando o princípio da ampla defesa e contraditório sem prejuízo de outras penalidades previstas na Lei.</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12.</w:t>
      </w:r>
      <w:r>
        <w:rPr>
          <w:rFonts w:ascii="Maiandra GD" w:hAnsi="Maiandra GD" w:cs="Courier New"/>
          <w:b/>
          <w:bCs/>
          <w:szCs w:val="24"/>
        </w:rPr>
        <w:tab/>
        <w:t>DOS CRITÉRIOS DE MEDIÇÃO E PAGAMENTO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12.1. A contratada deverá entregar juntamente com a NF, relatório/medição referente aos serviços prestados conforme solicitado no contrato.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12.2. A Secretaria de Infraestrutura (Setor de Serviços Urbanos), através do Secretário, será responsável pela conferência e ateste dos documentos.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12.3. O Município efetuará o pagamento de forma mensal, até o 5º (quinto) dia útil do mês subsequente a efetiva prestação dos serviços, mediante expedição da(s) respectiva(s) nota(s) fiscal(is) aprovada pelo servidor responsável pela fiscalização do contrato.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12.4. O CNPJ da contratada constante na Nota Fiscal de fatura deverá ser o mesmo da documentação apresentada no processo licitatório, bem como a empresa deverá possuir conta bancária vinculada a este CNPJ para fins de recebimento dos valores.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12.5. O Município pode exigir que as licitantes vencedoras apresentem cópia das folhas de pagamento, guias de recolhimento de obrigações sociais e previdenciárias com seus prestadores de serviço, mediante a apresentação de cópia autenticada, sempre até o dia 20 (vinte) do mês seguinte a realização dos serviços prestados, sob pena de não recebimento do valor da próxima fatura mensal.</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12.6. O Município efetuará as retenções tributárias e previdenciárias nos termos da lei que regula a matéria, quando for o caso.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12.7. O pagamento será suspenso se observado algum descumprimento das obrigações assumidas pelo(a) contratado(a) no que se refere à habilitação e qualificação exigidas na licitação, bem como na execução do objeto.</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13.</w:t>
      </w:r>
      <w:r>
        <w:rPr>
          <w:rFonts w:ascii="Maiandra GD" w:hAnsi="Maiandra GD" w:cs="Courier New"/>
          <w:b/>
          <w:bCs/>
          <w:szCs w:val="24"/>
        </w:rPr>
        <w:tab/>
        <w:t>DA FORMA E CRITÉRIOS DE SELEÇÃO DO FORNECEDOR:</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A empresa a ser contratada deverá ser aquela que oferecer o MENOR PREÇO POR LOTE.</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14.</w:t>
      </w:r>
      <w:r>
        <w:rPr>
          <w:rFonts w:ascii="Maiandra GD" w:hAnsi="Maiandra GD" w:cs="Courier New"/>
          <w:b/>
          <w:bCs/>
          <w:szCs w:val="24"/>
        </w:rPr>
        <w:tab/>
        <w:t>DOS RISCOS: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Trata-se de contratação sem risco iminente pela sua natureza de execução conforme quantitativos previstos neste projeto básico/termo, inclusive porque em caso de eventual descumprimento está coberto com a previsão de aplicação de penalidades, respeitado sempre a garantia de defesa e do contraditório nos termos da Lei, bem como não se trata de contração de serviços especiais, dispensando-se qualquer outra previsão neste Termo ou no futuro contrato neste sentido.</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15.</w:t>
      </w:r>
      <w:r>
        <w:rPr>
          <w:rFonts w:ascii="Maiandra GD" w:hAnsi="Maiandra GD" w:cs="Courier New"/>
          <w:b/>
          <w:bCs/>
          <w:szCs w:val="24"/>
        </w:rPr>
        <w:tab/>
        <w:t>DO PRAZO DE VIGÊNCIA: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15.1. O prazo de vigência do contrato será de 12 (doze) meses, podendo, nos termos do art. 106, § 2º Lei n.º 14.133/21, ser prorrogado até atingir o prazo de 60 (sessenta) meses ou 05 (cinco) anos, a contar de sua assinatura, sendo que os valores poderão ser reajustados pelo índice acumulado da variação do IPCA do período ou outro índice que vier a substituí-lo, devendo a renovação ser objeto de termo aditivo.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15.1.1. Nos termos do art. 107 da Lei n.º 14.133/21, poderão ocorrer prorrogações anuais até o prazo máximo de 10 anos, desde que se observem condições e preços vantajosos para a administração, permitida a negociação com o contratado ou a extinção contratual sem ônus para qualquer das partes.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15.1.2. As alterações e prorrogações do prazo contratual, aceitas e concedidas pela CONTRATANTE, serão formalizadas por escrito, sendo objeto de respectivo termo aditivo.</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16.</w:t>
      </w:r>
      <w:r>
        <w:rPr>
          <w:rFonts w:ascii="Maiandra GD" w:hAnsi="Maiandra GD" w:cs="Courier New"/>
          <w:b/>
          <w:bCs/>
          <w:szCs w:val="24"/>
        </w:rPr>
        <w:tab/>
        <w:t>DA DOTAÇÃO ORÇAMENTÁRIA: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As despesas com a </w:t>
      </w:r>
      <w:r>
        <w:rPr>
          <w:rFonts w:ascii="Maiandra GD" w:hAnsi="Maiandra GD" w:cs="Courier New"/>
          <w:szCs w:val="24"/>
        </w:rPr>
        <w:t>execução do contrato oriundo do presente Projeto Básico/Termo de Referência serão cobertas pelas dotações vigentes no orçamento de 2024, a serem dispostas no Edital e contrato em campo próprio e, para os anos vindouros em caso de prorrogação deverá haver a previsão das dotações necessárias e suficientes para sua execução.</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17. DA OBRIGAÇÃO DA CONTRATADA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17.1. A CONTRATADA se obriga a executar os serviços sob sua responsabilidade, com presteza, segurança e eficácia, de acordo com as técnicas profissionais e com estreita observância as Leis vigentes, com a finalidade de garantir o objeto do presente Contrato.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17.2. A CONTRATADA será a única responsável, perante terceiros, pelos atos praticados pelos seus funcionários, no atendimento do objeto </w:t>
      </w:r>
      <w:r>
        <w:rPr>
          <w:rFonts w:ascii="Maiandra GD" w:hAnsi="Maiandra GD" w:cs="Courier New"/>
          <w:szCs w:val="24"/>
        </w:rPr>
        <w:t>contratado, excluída a CONTRATANTE de quaisquer reclamações e indenizações, bem como pelos encargos sociais, de seguros, fiscais, trabalhistas e outros com o seu quadro funcional ou perante terceiros.</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18. SUSPENSÃO OU EXTINÇÃO DO CONTRATO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18.1. Suspensão: O Contrato poderá ser suspensos nos seguintes casos: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18.1.1. Pelo MUNICÍPIO DE IBIRAIARAS, por meio de Edital, quando por ele julgado que o fornecedor esteja temporariamente impossibilitado de cumprir as exigências do processo licitatório que deu origem ou, ainda, por interesse do MUNICÍPIO DE IBIRAIARAS, ressalvadas as contratações já levadas a efeito até a data da decisão;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18.1.2. Pelo fornecedor, quando mediante solicitação por escrito e devidamente aceitas pelo MUNICÍPIO DE IBIRAIARAS, comprovar estar temporariamente impossibilitado de cumprir as exigências do processo licitatório.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18.2. Extinção: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18.2.1. O Contrato poderá ser extinto de acordo com o Art. 137 da Lei nº 14.133/2021.</w:t>
      </w:r>
    </w:p>
    <w:p w:rsidR="00750246" w:rsidRDefault="00A60FE0">
      <w:pPr>
        <w:pStyle w:val="Corpodetexto"/>
        <w:spacing w:before="240" w:line="360" w:lineRule="auto"/>
        <w:ind w:firstLine="708"/>
        <w:rPr>
          <w:rFonts w:ascii="Maiandra GD" w:hAnsi="Maiandra GD" w:cs="Courier New"/>
          <w:b/>
          <w:bCs/>
          <w:szCs w:val="24"/>
        </w:rPr>
      </w:pPr>
      <w:r>
        <w:rPr>
          <w:rFonts w:ascii="Maiandra GD" w:hAnsi="Maiandra GD" w:cs="Courier New"/>
          <w:b/>
          <w:bCs/>
          <w:szCs w:val="24"/>
        </w:rPr>
        <w:t>19. DO PREÇO</w:t>
      </w:r>
    </w:p>
    <w:tbl>
      <w:tblPr>
        <w:tblW w:w="9795" w:type="dxa"/>
        <w:tblInd w:w="-118" w:type="dxa"/>
        <w:tblLayout w:type="fixed"/>
        <w:tblLook w:val="0000" w:firstRow="0" w:lastRow="0" w:firstColumn="0" w:lastColumn="0" w:noHBand="0" w:noVBand="0"/>
      </w:tblPr>
      <w:tblGrid>
        <w:gridCol w:w="710"/>
        <w:gridCol w:w="990"/>
        <w:gridCol w:w="849"/>
        <w:gridCol w:w="4681"/>
        <w:gridCol w:w="1275"/>
        <w:gridCol w:w="1290"/>
      </w:tblGrid>
      <w:tr w:rsidR="00750246">
        <w:trPr>
          <w:trHeight w:val="299"/>
        </w:trPr>
        <w:tc>
          <w:tcPr>
            <w:tcW w:w="709"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b/>
              </w:rPr>
            </w:pPr>
            <w:r>
              <w:rPr>
                <w:rFonts w:ascii="Maiandra GD" w:hAnsi="Maiandra GD" w:cs="Courier New"/>
                <w:b/>
              </w:rPr>
              <w:t>Lote</w:t>
            </w:r>
          </w:p>
        </w:tc>
        <w:tc>
          <w:tcPr>
            <w:tcW w:w="990"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b/>
              </w:rPr>
            </w:pPr>
            <w:r>
              <w:rPr>
                <w:rFonts w:ascii="Maiandra GD" w:hAnsi="Maiandra GD" w:cs="Courier New"/>
                <w:b/>
              </w:rPr>
              <w:t>Quant.</w:t>
            </w:r>
          </w:p>
        </w:tc>
        <w:tc>
          <w:tcPr>
            <w:tcW w:w="849"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b/>
              </w:rPr>
            </w:pPr>
            <w:r>
              <w:rPr>
                <w:rFonts w:ascii="Maiandra GD" w:hAnsi="Maiandra GD" w:cs="Courier New"/>
                <w:b/>
              </w:rPr>
              <w:t>Un.</w:t>
            </w:r>
          </w:p>
        </w:tc>
        <w:tc>
          <w:tcPr>
            <w:tcW w:w="4681"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b/>
              </w:rPr>
            </w:pPr>
            <w:r>
              <w:rPr>
                <w:rFonts w:ascii="Maiandra GD" w:hAnsi="Maiandra GD" w:cs="Courier New"/>
                <w:b/>
              </w:rPr>
              <w:t>Descrição dos serviços</w:t>
            </w:r>
          </w:p>
        </w:tc>
        <w:tc>
          <w:tcPr>
            <w:tcW w:w="1275"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b/>
              </w:rPr>
            </w:pPr>
            <w:r>
              <w:rPr>
                <w:rFonts w:ascii="Maiandra GD" w:hAnsi="Maiandra GD" w:cs="Courier New"/>
                <w:b/>
              </w:rPr>
              <w:t>Valor</w:t>
            </w:r>
          </w:p>
          <w:p w:rsidR="00750246" w:rsidRDefault="00A60FE0">
            <w:pPr>
              <w:widowControl w:val="0"/>
              <w:jc w:val="center"/>
              <w:rPr>
                <w:rFonts w:ascii="Maiandra GD" w:hAnsi="Maiandra GD" w:cs="Courier New"/>
                <w:b/>
              </w:rPr>
            </w:pPr>
            <w:r>
              <w:rPr>
                <w:rFonts w:ascii="Maiandra GD" w:hAnsi="Maiandra GD" w:cs="Courier New"/>
                <w:b/>
              </w:rPr>
              <w:t>mensal</w:t>
            </w:r>
          </w:p>
        </w:tc>
        <w:tc>
          <w:tcPr>
            <w:tcW w:w="1290"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b/>
              </w:rPr>
            </w:pPr>
            <w:r>
              <w:rPr>
                <w:rFonts w:ascii="Maiandra GD" w:hAnsi="Maiandra GD" w:cs="Courier New"/>
                <w:b/>
              </w:rPr>
              <w:t>Valor Total</w:t>
            </w:r>
          </w:p>
        </w:tc>
      </w:tr>
      <w:tr w:rsidR="00750246">
        <w:trPr>
          <w:trHeight w:val="236"/>
        </w:trPr>
        <w:tc>
          <w:tcPr>
            <w:tcW w:w="709" w:type="dxa"/>
            <w:tcBorders>
              <w:top w:val="single" w:sz="4" w:space="0" w:color="000000"/>
              <w:left w:val="single" w:sz="4" w:space="0" w:color="000000"/>
              <w:bottom w:val="single" w:sz="4" w:space="0" w:color="000000"/>
              <w:right w:val="single" w:sz="4" w:space="0" w:color="000000"/>
            </w:tcBorders>
          </w:tcPr>
          <w:p w:rsidR="00750246" w:rsidRDefault="00A60FE0">
            <w:pPr>
              <w:pStyle w:val="NormalWeb"/>
              <w:widowControl w:val="0"/>
              <w:spacing w:before="0" w:after="0"/>
              <w:jc w:val="center"/>
              <w:rPr>
                <w:rFonts w:ascii="Maiandra GD" w:hAnsi="Maiandra GD" w:cs="Courier New"/>
                <w:sz w:val="20"/>
                <w:szCs w:val="20"/>
              </w:rPr>
            </w:pPr>
            <w:r>
              <w:rPr>
                <w:rFonts w:ascii="Maiandra GD" w:hAnsi="Maiandra GD" w:cs="Courier New"/>
                <w:sz w:val="20"/>
                <w:szCs w:val="20"/>
              </w:rPr>
              <w:t>01</w:t>
            </w:r>
          </w:p>
        </w:tc>
        <w:tc>
          <w:tcPr>
            <w:tcW w:w="990"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rPr>
            </w:pPr>
            <w:r>
              <w:rPr>
                <w:rFonts w:ascii="Maiandra GD" w:hAnsi="Maiandra GD" w:cs="Courier New"/>
              </w:rPr>
              <w:t>12</w:t>
            </w:r>
          </w:p>
        </w:tc>
        <w:tc>
          <w:tcPr>
            <w:tcW w:w="849"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both"/>
              <w:rPr>
                <w:rFonts w:ascii="Maiandra GD" w:hAnsi="Maiandra GD" w:cs="Courier New"/>
              </w:rPr>
            </w:pPr>
            <w:r>
              <w:rPr>
                <w:rFonts w:ascii="Maiandra GD" w:hAnsi="Maiandra GD" w:cs="Courier New"/>
              </w:rPr>
              <w:t>Meses</w:t>
            </w:r>
          </w:p>
        </w:tc>
        <w:tc>
          <w:tcPr>
            <w:tcW w:w="4681"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both"/>
              <w:rPr>
                <w:rFonts w:ascii="Maiandra GD" w:hAnsi="Maiandra GD" w:cs="Courier New"/>
                <w:color w:val="FF0000"/>
              </w:rPr>
            </w:pPr>
            <w:r>
              <w:rPr>
                <w:rFonts w:ascii="Maiandra GD" w:hAnsi="Maiandra GD" w:cs="Courier New"/>
              </w:rPr>
              <w:t xml:space="preserve">Coleta convencional e seletiva, transporte, triagem, locação e higienização de contêiners e destinação final de resíduos sólidos domiciliares e comerciais recicláveis e não recicláveis do perímetro urbano do município, com a </w:t>
            </w:r>
            <w:r>
              <w:rPr>
                <w:rFonts w:ascii="Maiandra GD" w:hAnsi="Maiandra GD" w:cs="Courier New"/>
              </w:rPr>
              <w:t>disponibilização de todos os serviços constantes na planilha orçamentária, termo de referência e plantas baixas 01, 02, 05, 06, 07, 08 e 09.</w:t>
            </w:r>
          </w:p>
          <w:p w:rsidR="00750246" w:rsidRDefault="00750246">
            <w:pPr>
              <w:widowControl w:val="0"/>
              <w:jc w:val="both"/>
              <w:rPr>
                <w:rFonts w:ascii="Maiandra GD" w:hAnsi="Maiandra GD" w:cs="Courier New"/>
              </w:rPr>
            </w:pPr>
          </w:p>
        </w:tc>
        <w:tc>
          <w:tcPr>
            <w:tcW w:w="1275" w:type="dxa"/>
            <w:tcBorders>
              <w:top w:val="single" w:sz="4" w:space="0" w:color="000000"/>
              <w:left w:val="single" w:sz="4" w:space="0" w:color="000000"/>
              <w:bottom w:val="single" w:sz="4" w:space="0" w:color="000000"/>
              <w:right w:val="single" w:sz="4" w:space="0" w:color="000000"/>
            </w:tcBorders>
          </w:tcPr>
          <w:p w:rsidR="00750246" w:rsidRDefault="00A60FE0">
            <w:pPr>
              <w:pStyle w:val="Contedodatabela"/>
              <w:widowControl/>
              <w:suppressAutoHyphens/>
              <w:jc w:val="center"/>
              <w:rPr>
                <w:rFonts w:ascii="Maiandra GD" w:hAnsi="Maiandra GD" w:cs="Courier New"/>
              </w:rPr>
            </w:pPr>
            <w:r>
              <w:rPr>
                <w:rFonts w:ascii="Maiandra GD" w:hAnsi="Maiandra GD" w:cs="Courier New"/>
              </w:rPr>
              <w:t>R$</w:t>
            </w:r>
          </w:p>
          <w:p w:rsidR="00750246" w:rsidRDefault="00A60FE0">
            <w:pPr>
              <w:pStyle w:val="Contedodatabela"/>
              <w:widowControl/>
              <w:suppressAutoHyphens/>
              <w:jc w:val="center"/>
              <w:rPr>
                <w:rFonts w:ascii="Maiandra GD" w:hAnsi="Maiandra GD" w:cs="Courier New"/>
              </w:rPr>
            </w:pPr>
            <w:r>
              <w:rPr>
                <w:rFonts w:ascii="Maiandra GD" w:hAnsi="Maiandra GD" w:cs="Courier New"/>
              </w:rPr>
              <w:t>65.479,09</w:t>
            </w:r>
          </w:p>
        </w:tc>
        <w:tc>
          <w:tcPr>
            <w:tcW w:w="1290"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rPr>
            </w:pPr>
            <w:r>
              <w:rPr>
                <w:rFonts w:ascii="Maiandra GD" w:hAnsi="Maiandra GD" w:cs="Courier New"/>
              </w:rPr>
              <w:t>R$ 785.749,08</w:t>
            </w:r>
          </w:p>
        </w:tc>
      </w:tr>
      <w:tr w:rsidR="00750246">
        <w:trPr>
          <w:trHeight w:val="236"/>
        </w:trPr>
        <w:tc>
          <w:tcPr>
            <w:tcW w:w="709" w:type="dxa"/>
            <w:tcBorders>
              <w:top w:val="single" w:sz="4" w:space="0" w:color="000000"/>
              <w:left w:val="single" w:sz="4" w:space="0" w:color="000000"/>
              <w:bottom w:val="single" w:sz="4" w:space="0" w:color="000000"/>
              <w:right w:val="single" w:sz="4" w:space="0" w:color="000000"/>
            </w:tcBorders>
          </w:tcPr>
          <w:p w:rsidR="00750246" w:rsidRDefault="00A60FE0">
            <w:pPr>
              <w:pStyle w:val="NormalWeb"/>
              <w:widowControl w:val="0"/>
              <w:spacing w:before="0" w:after="0"/>
              <w:jc w:val="center"/>
              <w:rPr>
                <w:rFonts w:ascii="Maiandra GD" w:hAnsi="Maiandra GD" w:cs="Courier New"/>
                <w:sz w:val="20"/>
                <w:szCs w:val="20"/>
              </w:rPr>
            </w:pPr>
            <w:r>
              <w:rPr>
                <w:rFonts w:ascii="Maiandra GD" w:hAnsi="Maiandra GD" w:cs="Courier New"/>
                <w:sz w:val="20"/>
                <w:szCs w:val="20"/>
              </w:rPr>
              <w:t>02</w:t>
            </w:r>
          </w:p>
        </w:tc>
        <w:tc>
          <w:tcPr>
            <w:tcW w:w="990"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rPr>
            </w:pPr>
            <w:r>
              <w:rPr>
                <w:rFonts w:ascii="Maiandra GD" w:hAnsi="Maiandra GD" w:cs="Courier New"/>
              </w:rPr>
              <w:t>12</w:t>
            </w:r>
          </w:p>
          <w:p w:rsidR="00750246" w:rsidRDefault="00750246">
            <w:pPr>
              <w:widowControl w:val="0"/>
              <w:jc w:val="center"/>
              <w:rPr>
                <w:rFonts w:ascii="Maiandra GD" w:hAnsi="Maiandra GD" w:cs="Courier New"/>
              </w:rPr>
            </w:pPr>
          </w:p>
          <w:p w:rsidR="00750246" w:rsidRDefault="00750246">
            <w:pPr>
              <w:widowControl w:val="0"/>
              <w:jc w:val="center"/>
              <w:rPr>
                <w:rFonts w:ascii="Maiandra GD" w:hAnsi="Maiandra GD" w:cs="Courier New"/>
              </w:rPr>
            </w:pPr>
          </w:p>
        </w:tc>
        <w:tc>
          <w:tcPr>
            <w:tcW w:w="849"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both"/>
              <w:rPr>
                <w:rFonts w:ascii="Maiandra GD" w:hAnsi="Maiandra GD" w:cs="Courier New"/>
              </w:rPr>
            </w:pPr>
            <w:r>
              <w:rPr>
                <w:rFonts w:ascii="Maiandra GD" w:hAnsi="Maiandra GD" w:cs="Courier New"/>
              </w:rPr>
              <w:t>Meses</w:t>
            </w:r>
          </w:p>
        </w:tc>
        <w:tc>
          <w:tcPr>
            <w:tcW w:w="4681"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both"/>
              <w:rPr>
                <w:rFonts w:ascii="Maiandra GD" w:hAnsi="Maiandra GD" w:cs="Courier New"/>
              </w:rPr>
            </w:pPr>
            <w:r>
              <w:rPr>
                <w:rFonts w:ascii="Maiandra GD" w:hAnsi="Maiandra GD" w:cs="Courier New"/>
              </w:rPr>
              <w:t xml:space="preserve">Coleta seletiva, transporte, triagem e destinação final de </w:t>
            </w:r>
            <w:r>
              <w:rPr>
                <w:rFonts w:ascii="Maiandra GD" w:hAnsi="Maiandra GD" w:cs="Courier New"/>
              </w:rPr>
              <w:t>resíduos recicláveis domiciliares da zona rural do município com a disponibilização de todos os serviços constantes na planilha orçamentária, termo de referência e plantas 03 e 04.</w:t>
            </w:r>
          </w:p>
        </w:tc>
        <w:tc>
          <w:tcPr>
            <w:tcW w:w="1275"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rPr>
            </w:pPr>
            <w:r>
              <w:rPr>
                <w:rFonts w:ascii="Maiandra GD" w:hAnsi="Maiandra GD" w:cs="Courier New"/>
              </w:rPr>
              <w:t>R$ 2.817,68</w:t>
            </w:r>
          </w:p>
        </w:tc>
        <w:tc>
          <w:tcPr>
            <w:tcW w:w="1290" w:type="dxa"/>
            <w:tcBorders>
              <w:top w:val="single" w:sz="4" w:space="0" w:color="000000"/>
              <w:left w:val="single" w:sz="4" w:space="0" w:color="000000"/>
              <w:bottom w:val="single" w:sz="4" w:space="0" w:color="000000"/>
              <w:right w:val="single" w:sz="4" w:space="0" w:color="000000"/>
            </w:tcBorders>
          </w:tcPr>
          <w:p w:rsidR="00750246" w:rsidRDefault="00A60FE0">
            <w:pPr>
              <w:widowControl w:val="0"/>
              <w:jc w:val="center"/>
              <w:rPr>
                <w:rFonts w:ascii="Maiandra GD" w:hAnsi="Maiandra GD" w:cs="Courier New"/>
              </w:rPr>
            </w:pPr>
            <w:r>
              <w:rPr>
                <w:rFonts w:ascii="Maiandra GD" w:hAnsi="Maiandra GD" w:cs="Courier New"/>
              </w:rPr>
              <w:t>R$ 33.812,16</w:t>
            </w:r>
          </w:p>
        </w:tc>
      </w:tr>
    </w:tbl>
    <w:p w:rsidR="00750246" w:rsidRDefault="00750246">
      <w:pPr>
        <w:pStyle w:val="Corpodetexto"/>
        <w:spacing w:before="240" w:line="360" w:lineRule="auto"/>
        <w:ind w:firstLine="708"/>
        <w:rPr>
          <w:rFonts w:ascii="Maiandra GD" w:hAnsi="Maiandra GD" w:cs="Courier New"/>
          <w:szCs w:val="24"/>
        </w:rPr>
      </w:pPr>
    </w:p>
    <w:p w:rsidR="00750246" w:rsidRDefault="00A60FE0">
      <w:pPr>
        <w:pStyle w:val="Default"/>
        <w:spacing w:before="240" w:line="360" w:lineRule="auto"/>
        <w:ind w:firstLine="709"/>
        <w:jc w:val="both"/>
        <w:rPr>
          <w:rFonts w:ascii="Maiandra GD" w:hAnsi="Maiandra GD"/>
          <w:b/>
          <w:bCs/>
        </w:rPr>
      </w:pPr>
      <w:r>
        <w:rPr>
          <w:rFonts w:ascii="Maiandra GD" w:hAnsi="Maiandra GD"/>
          <w:b/>
          <w:bCs/>
        </w:rPr>
        <w:t xml:space="preserve">20. DA SUBCONTRATAÇÃO </w:t>
      </w:r>
    </w:p>
    <w:p w:rsidR="00750246" w:rsidRDefault="00A60FE0">
      <w:pPr>
        <w:pStyle w:val="Default"/>
        <w:spacing w:before="240" w:line="360" w:lineRule="auto"/>
        <w:ind w:firstLine="709"/>
        <w:jc w:val="both"/>
        <w:rPr>
          <w:rFonts w:ascii="Maiandra GD" w:hAnsi="Maiandra GD"/>
        </w:rPr>
      </w:pPr>
      <w:r>
        <w:rPr>
          <w:rFonts w:ascii="Maiandra GD" w:hAnsi="Maiandra GD"/>
          <w:b/>
          <w:bCs/>
        </w:rPr>
        <w:t xml:space="preserve">Será permitida a subcontratação para a destinação final em aterro sanitário licenciado pela FEPAM. </w:t>
      </w:r>
    </w:p>
    <w:p w:rsidR="00750246" w:rsidRDefault="00A60FE0">
      <w:pPr>
        <w:pStyle w:val="Default"/>
        <w:spacing w:before="240" w:line="360" w:lineRule="auto"/>
        <w:ind w:firstLine="709"/>
        <w:jc w:val="both"/>
        <w:rPr>
          <w:rFonts w:ascii="Maiandra GD" w:hAnsi="Maiandra GD"/>
        </w:rPr>
      </w:pPr>
      <w:r>
        <w:rPr>
          <w:rFonts w:ascii="Maiandra GD" w:hAnsi="Maiandra GD"/>
          <w:b/>
          <w:bCs/>
        </w:rPr>
        <w:t xml:space="preserve">21. DA FORMA E CRITÉRIOS DE SELEÇÃO DO FORNECEDOR: </w:t>
      </w:r>
    </w:p>
    <w:p w:rsidR="00750246" w:rsidRDefault="00A60FE0">
      <w:pPr>
        <w:pStyle w:val="Default"/>
        <w:spacing w:before="240" w:line="360" w:lineRule="auto"/>
        <w:ind w:firstLine="709"/>
        <w:jc w:val="both"/>
        <w:rPr>
          <w:rFonts w:ascii="Maiandra GD" w:hAnsi="Maiandra GD"/>
        </w:rPr>
      </w:pPr>
      <w:r>
        <w:rPr>
          <w:rFonts w:ascii="Maiandra GD" w:hAnsi="Maiandra GD"/>
        </w:rPr>
        <w:t xml:space="preserve">A empresa a ser contratada deverá ser aquela que oferecer o menor preço por lote, de acordo com o resultado adjudicado e homologado no processo licitatório. </w:t>
      </w:r>
    </w:p>
    <w:p w:rsidR="00750246" w:rsidRDefault="00A60FE0">
      <w:pPr>
        <w:pStyle w:val="Default"/>
        <w:spacing w:before="240" w:line="360" w:lineRule="auto"/>
        <w:ind w:firstLine="709"/>
        <w:jc w:val="both"/>
        <w:rPr>
          <w:rFonts w:ascii="Maiandra GD" w:hAnsi="Maiandra GD"/>
        </w:rPr>
      </w:pPr>
      <w:r>
        <w:rPr>
          <w:rFonts w:ascii="Maiandra GD" w:hAnsi="Maiandra GD"/>
          <w:b/>
          <w:bCs/>
        </w:rPr>
        <w:t xml:space="preserve">22. DAS GARANTIAS </w:t>
      </w:r>
    </w:p>
    <w:p w:rsidR="00750246" w:rsidRDefault="00A60FE0">
      <w:pPr>
        <w:pStyle w:val="Default"/>
        <w:spacing w:before="240" w:line="360" w:lineRule="auto"/>
        <w:ind w:firstLine="709"/>
        <w:jc w:val="both"/>
        <w:rPr>
          <w:rFonts w:ascii="Maiandra GD" w:hAnsi="Maiandra GD"/>
        </w:rPr>
      </w:pPr>
      <w:r>
        <w:rPr>
          <w:rFonts w:ascii="Maiandra GD" w:hAnsi="Maiandra GD"/>
        </w:rPr>
        <w:t xml:space="preserve">A Contratada deverá prestar garantias, previstas na Lei nº 14.133/21, de acordo com o Art. 96, II e Art. 97, através de seguro-garantia, no valor do contrato, tendo a obrigação de manter o seguro-garantia, pelo tempo total do contrato, que tem por objetivo garantir o fiel cumprimento das obrigações assumidas pelo contratado perante a Administração, inclusive as multas, os prejuízos e as indenizações decorrentes de inadimplemento. </w:t>
      </w:r>
    </w:p>
    <w:p w:rsidR="00750246" w:rsidRDefault="00A60FE0">
      <w:pPr>
        <w:pStyle w:val="Default"/>
        <w:spacing w:before="240" w:line="360" w:lineRule="auto"/>
        <w:ind w:firstLine="709"/>
        <w:jc w:val="both"/>
        <w:rPr>
          <w:rFonts w:ascii="Maiandra GD" w:hAnsi="Maiandra GD"/>
        </w:rPr>
      </w:pPr>
      <w:r>
        <w:rPr>
          <w:rFonts w:ascii="Maiandra GD" w:hAnsi="Maiandra GD"/>
          <w:b/>
          <w:bCs/>
        </w:rPr>
        <w:t xml:space="preserve">23.  DOS RISCOS </w:t>
      </w:r>
    </w:p>
    <w:p w:rsidR="00750246" w:rsidRDefault="00A60FE0">
      <w:pPr>
        <w:pStyle w:val="Estilo1"/>
        <w:numPr>
          <w:ilvl w:val="0"/>
          <w:numId w:val="0"/>
        </w:numPr>
        <w:ind w:firstLine="709"/>
        <w:rPr>
          <w:b w:val="0"/>
          <w:bCs/>
        </w:rPr>
      </w:pPr>
      <w:r>
        <w:rPr>
          <w:b w:val="0"/>
          <w:bCs/>
        </w:rPr>
        <w:t>Trata-se de contratação sem risco iminente pela sua natureza de execução conforme quantitativos previstos neste termo, inclusive porque em caso de eventual descumprimento está coberto com a previsão de aplicação de penalidades, respeitado sempre a garantia de defesa e do contraditório nos termos da Lei, bem como não se trata de contração de serviços especiais, dispensando-se qualquer outra previsão neste Termo ou no futuro contrato neste sentido.</w:t>
      </w:r>
    </w:p>
    <w:p w:rsidR="00750246" w:rsidRDefault="00A60FE0">
      <w:pPr>
        <w:pStyle w:val="Estilo1"/>
        <w:numPr>
          <w:ilvl w:val="0"/>
          <w:numId w:val="0"/>
        </w:numPr>
        <w:ind w:firstLine="709"/>
      </w:pPr>
      <w:r>
        <w:t>24. DA ESCOLHA DA MODALIDADE</w:t>
      </w:r>
    </w:p>
    <w:p w:rsidR="00750246" w:rsidRDefault="00A60FE0">
      <w:pPr>
        <w:pStyle w:val="Estilo1"/>
        <w:numPr>
          <w:ilvl w:val="0"/>
          <w:numId w:val="0"/>
        </w:numPr>
        <w:ind w:firstLine="709"/>
        <w:rPr>
          <w:b w:val="0"/>
          <w:bCs/>
        </w:rPr>
      </w:pPr>
      <w:r>
        <w:rPr>
          <w:b w:val="0"/>
          <w:bCs/>
        </w:rPr>
        <w:t xml:space="preserve">Frente ao exposto, </w:t>
      </w:r>
      <w:r>
        <w:rPr>
          <w:b w:val="0"/>
          <w:bCs/>
        </w:rPr>
        <w:t>considera a prestação do serviço, como: SERVIÇO ESPECIAL DE ENGENHARIA, ao qual outros arranjos logísticos operacionais podem ser viabilizados pelas empresas prestadoras do serviço, e que estiverem em conformidade com as normas ambientais, desenvolvidos em estabelecimentos e processos licenciados, serão válidos e os custos respeitados, já que o julgamento será pelo menor preço.</w:t>
      </w:r>
    </w:p>
    <w:p w:rsidR="00750246" w:rsidRDefault="00A60FE0">
      <w:pPr>
        <w:pStyle w:val="Estilo1"/>
        <w:numPr>
          <w:ilvl w:val="0"/>
          <w:numId w:val="5"/>
        </w:numPr>
      </w:pPr>
      <w:r>
        <w:t xml:space="preserve"> DISPOSIÇÕES FINAIS.</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resíduos volumosos deverão ser recolhidos nas terças-feiras, juntamente com os resíduos recicláveis, e deverão passar por triagem e posterior destinação final adequada.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Para composição dos custos unitários de insumos e materiais foram utilizadas licitações vigentes no Município de Ibiraiaras, cotações feitas com fornecedores e relatórios obtidos no Banco de Preços. Já para os custos com mão de obra foram utilizadas as Convenções Trabalhistas vigentes para cada categoria.</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Os valores da pesagem do caminhão deverão ser encaminhados mensalmente ao município para que seja determinada a geração de resíduos média mensal e anual no município.</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 xml:space="preserve">As condições estabelecidas neste projeto deverão ser executadas e mantidas durante todo o transcurso do contrato. </w:t>
      </w:r>
    </w:p>
    <w:p w:rsidR="00750246" w:rsidRDefault="00A60FE0">
      <w:pPr>
        <w:pStyle w:val="Corpodetexto"/>
        <w:spacing w:before="240" w:line="360" w:lineRule="auto"/>
        <w:ind w:firstLine="708"/>
        <w:rPr>
          <w:rFonts w:ascii="Maiandra GD" w:hAnsi="Maiandra GD" w:cs="Courier New"/>
          <w:szCs w:val="24"/>
        </w:rPr>
      </w:pPr>
      <w:r>
        <w:rPr>
          <w:rFonts w:ascii="Maiandra GD" w:hAnsi="Maiandra GD" w:cs="Courier New"/>
          <w:szCs w:val="24"/>
        </w:rPr>
        <w:t>Por fim, cabe informar que fazem parte deste Projeto Básico as Plantas Baixas Nº 01 a 09, onde estão definidas as rotas utilizadas para o cálculo e as posições dos containers. Também são partes integrantes as Planilhas Orçamentárias 01 e 02, que trazem os custos calculados para a Coleta Urbana (Lote 01) e a Coleta Rural (Lote 02).</w:t>
      </w:r>
    </w:p>
    <w:p w:rsidR="00750246" w:rsidRDefault="00A60FE0">
      <w:pPr>
        <w:pStyle w:val="Corpodetexto"/>
        <w:spacing w:before="240" w:line="360" w:lineRule="auto"/>
        <w:ind w:firstLine="708"/>
        <w:jc w:val="center"/>
        <w:rPr>
          <w:rFonts w:ascii="Maiandra GD" w:hAnsi="Maiandra GD" w:cs="Courier New"/>
          <w:szCs w:val="24"/>
        </w:rPr>
      </w:pPr>
      <w:r>
        <w:rPr>
          <w:rFonts w:ascii="Maiandra GD" w:hAnsi="Maiandra GD" w:cs="Courier New"/>
          <w:szCs w:val="24"/>
        </w:rPr>
        <w:t>Ibiraiaras, 23 de maio de 2024.</w:t>
      </w:r>
    </w:p>
    <w:p w:rsidR="00750246" w:rsidRDefault="00750246">
      <w:pPr>
        <w:sectPr w:rsidR="00750246">
          <w:headerReference w:type="default" r:id="rId10"/>
          <w:footerReference w:type="default" r:id="rId11"/>
          <w:pgSz w:w="11906" w:h="16838"/>
          <w:pgMar w:top="2269" w:right="1134" w:bottom="1701" w:left="1701" w:header="510" w:footer="709" w:gutter="0"/>
          <w:cols w:space="720"/>
          <w:formProt w:val="0"/>
          <w:docGrid w:linePitch="360"/>
        </w:sectPr>
      </w:pPr>
    </w:p>
    <w:p w:rsidR="00750246" w:rsidRDefault="00750246">
      <w:pPr>
        <w:pStyle w:val="Corpodetexto"/>
        <w:ind w:firstLine="708"/>
        <w:jc w:val="center"/>
        <w:rPr>
          <w:rFonts w:ascii="Maiandra GD" w:hAnsi="Maiandra GD" w:cs="Courier New"/>
          <w:sz w:val="22"/>
          <w:szCs w:val="22"/>
        </w:rPr>
      </w:pPr>
    </w:p>
    <w:p w:rsidR="00750246" w:rsidRDefault="00750246">
      <w:pPr>
        <w:pStyle w:val="Corpodetexto"/>
        <w:ind w:firstLine="708"/>
        <w:jc w:val="center"/>
        <w:rPr>
          <w:rFonts w:ascii="Maiandra GD" w:hAnsi="Maiandra GD" w:cs="Courier New"/>
          <w:sz w:val="22"/>
          <w:szCs w:val="22"/>
        </w:rPr>
      </w:pPr>
    </w:p>
    <w:p w:rsidR="00750246" w:rsidRDefault="00A60FE0">
      <w:pPr>
        <w:pStyle w:val="Corpodetexto"/>
        <w:spacing w:line="276" w:lineRule="auto"/>
        <w:jc w:val="center"/>
        <w:rPr>
          <w:rFonts w:ascii="Maiandra GD" w:hAnsi="Maiandra GD" w:cs="Courier New"/>
          <w:szCs w:val="24"/>
        </w:rPr>
      </w:pPr>
      <w:r>
        <w:rPr>
          <w:rFonts w:ascii="Maiandra GD" w:hAnsi="Maiandra GD" w:cs="Courier New"/>
          <w:szCs w:val="24"/>
        </w:rPr>
        <w:t>Pâmela Hentz Cappellari</w:t>
      </w:r>
    </w:p>
    <w:p w:rsidR="00750246" w:rsidRDefault="00A60FE0">
      <w:pPr>
        <w:pStyle w:val="Corpodetexto"/>
        <w:spacing w:line="276" w:lineRule="auto"/>
        <w:jc w:val="center"/>
        <w:rPr>
          <w:rFonts w:ascii="Maiandra GD" w:hAnsi="Maiandra GD" w:cs="Courier New"/>
          <w:szCs w:val="24"/>
        </w:rPr>
      </w:pPr>
      <w:r>
        <w:rPr>
          <w:rFonts w:ascii="Maiandra GD" w:hAnsi="Maiandra GD" w:cs="Courier New"/>
          <w:szCs w:val="24"/>
        </w:rPr>
        <w:t>Engenheira Civil – CREA RS 231775</w:t>
      </w:r>
    </w:p>
    <w:p w:rsidR="00750246" w:rsidRDefault="00750246">
      <w:pPr>
        <w:pStyle w:val="Corpodetexto"/>
        <w:spacing w:line="276" w:lineRule="auto"/>
        <w:jc w:val="center"/>
        <w:rPr>
          <w:rFonts w:ascii="Maiandra GD" w:hAnsi="Maiandra GD" w:cs="Courier New"/>
          <w:szCs w:val="24"/>
        </w:rPr>
      </w:pPr>
    </w:p>
    <w:p w:rsidR="00750246" w:rsidRDefault="00750246">
      <w:pPr>
        <w:pStyle w:val="Corpodetexto"/>
        <w:spacing w:line="276" w:lineRule="auto"/>
        <w:jc w:val="center"/>
        <w:rPr>
          <w:rFonts w:ascii="Maiandra GD" w:hAnsi="Maiandra GD" w:cs="Courier New"/>
          <w:szCs w:val="24"/>
        </w:rPr>
      </w:pPr>
    </w:p>
    <w:p w:rsidR="00750246" w:rsidRDefault="00A60FE0">
      <w:pPr>
        <w:pStyle w:val="Corpodetexto"/>
        <w:spacing w:line="276" w:lineRule="auto"/>
        <w:jc w:val="center"/>
        <w:rPr>
          <w:rFonts w:ascii="Maiandra GD" w:hAnsi="Maiandra GD" w:cs="Courier New"/>
          <w:szCs w:val="24"/>
        </w:rPr>
      </w:pPr>
      <w:r>
        <w:rPr>
          <w:rFonts w:ascii="Maiandra GD" w:hAnsi="Maiandra GD" w:cs="Courier New"/>
          <w:szCs w:val="24"/>
        </w:rPr>
        <w:t>Douglas Rossoni</w:t>
      </w:r>
    </w:p>
    <w:p w:rsidR="00750246" w:rsidRDefault="00A60FE0">
      <w:pPr>
        <w:pStyle w:val="Corpodetexto"/>
        <w:spacing w:line="276" w:lineRule="auto"/>
        <w:jc w:val="center"/>
        <w:rPr>
          <w:rFonts w:ascii="Maiandra GD" w:hAnsi="Maiandra GD" w:cs="Courier New"/>
          <w:szCs w:val="24"/>
        </w:rPr>
      </w:pPr>
      <w:r>
        <w:rPr>
          <w:rFonts w:ascii="Maiandra GD" w:hAnsi="Maiandra GD" w:cs="Courier New"/>
          <w:szCs w:val="24"/>
        </w:rPr>
        <w:t>Prefeito Municipal</w:t>
      </w:r>
    </w:p>
    <w:sectPr w:rsidR="00750246">
      <w:type w:val="continuous"/>
      <w:pgSz w:w="11906" w:h="16838"/>
      <w:pgMar w:top="2269" w:right="1134" w:bottom="1701" w:left="1701" w:header="51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60FE0" w:rsidRDefault="00A60FE0">
      <w:r>
        <w:separator/>
      </w:r>
    </w:p>
  </w:endnote>
  <w:endnote w:type="continuationSeparator" w:id="0">
    <w:p w:rsidR="00A60FE0" w:rsidRDefault="00A60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Maiandra GD">
    <w:panose1 w:val="020E0502030308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roman"/>
    <w:pitch w:val="variable"/>
  </w:font>
  <w:font w:name="Liberation Sans">
    <w:altName w:val="Arial"/>
    <w:charset w:val="00"/>
    <w:family w:val="roman"/>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Open Sans">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50246" w:rsidRDefault="00750246">
    <w:pPr>
      <w:pStyle w:val="Rodap"/>
      <w:rPr>
        <w:rFonts w:ascii="Courier New" w:hAnsi="Courier New" w:cs="Courier New"/>
        <w:sz w:val="18"/>
        <w:szCs w:val="18"/>
      </w:rPr>
    </w:pPr>
  </w:p>
  <w:p w:rsidR="00750246" w:rsidRDefault="00A60FE0">
    <w:pPr>
      <w:pStyle w:val="Rodap"/>
      <w:jc w:val="center"/>
      <w:rPr>
        <w:rFonts w:ascii="Courier New" w:hAnsi="Courier New" w:cs="Courier New"/>
        <w:sz w:val="18"/>
        <w:szCs w:val="18"/>
      </w:rPr>
    </w:pPr>
    <w:r>
      <w:rPr>
        <w:noProof/>
      </w:rPr>
      <mc:AlternateContent>
        <mc:Choice Requires="wps">
          <w:drawing>
            <wp:anchor distT="5080" distB="5715" distL="5080" distR="5715" simplePos="0" relativeHeight="86" behindDoc="1" locked="0" layoutInCell="1" allowOverlap="1">
              <wp:simplePos x="0" y="0"/>
              <wp:positionH relativeFrom="column">
                <wp:posOffset>-52070</wp:posOffset>
              </wp:positionH>
              <wp:positionV relativeFrom="paragraph">
                <wp:posOffset>-86995</wp:posOffset>
              </wp:positionV>
              <wp:extent cx="5848350" cy="635"/>
              <wp:effectExtent l="5080" t="5080" r="5715" b="5715"/>
              <wp:wrapNone/>
              <wp:docPr id="5" name="Conector de Seta Reta 2"/>
              <wp:cNvGraphicFramePr/>
              <a:graphic xmlns:a="http://schemas.openxmlformats.org/drawingml/2006/main">
                <a:graphicData uri="http://schemas.microsoft.com/office/word/2010/wordprocessingShape">
                  <wps:wsp>
                    <wps:cNvCnPr/>
                    <wps:spPr>
                      <a:xfrm>
                        <a:off x="0" y="0"/>
                        <a:ext cx="5848200" cy="720"/>
                      </a:xfrm>
                      <a:prstGeom prst="straightConnector1">
                        <a:avLst/>
                      </a:prstGeom>
                      <a:noFill/>
                      <a:ln w="93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shapetype w14:anchorId="09ECB622" id="_x0000_t32" coordsize="21600,21600" o:spt="32" o:oned="t" path="m,l21600,21600e" filled="f">
              <v:path arrowok="t" fillok="f" o:connecttype="none"/>
              <o:lock v:ext="edit" shapetype="t"/>
            </v:shapetype>
            <v:shape id="Conector de Seta Reta 2" o:spid="_x0000_s1026" type="#_x0000_t32" style="position:absolute;margin-left:-4.1pt;margin-top:-6.85pt;width:460.5pt;height:.05pt;z-index:-503316394;visibility:visible;mso-wrap-style:square;mso-wrap-distance-left:.4pt;mso-wrap-distance-top:.4pt;mso-wrap-distance-right:.45pt;mso-wrap-distance-bottom:.45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" strokeweight=".26mm"/>
          </w:pict>
        </mc:Fallback>
      </mc:AlternateContent>
    </w:r>
    <w:r>
      <w:rPr>
        <w:rFonts w:ascii="Courier New" w:hAnsi="Courier New" w:cs="Courier New"/>
        <w:sz w:val="18"/>
        <w:szCs w:val="18"/>
      </w:rPr>
      <w:t>MUNICÍPIO DE IBIRAIARAS – RS CNPJ 87.613.584/0001-59</w:t>
    </w:r>
  </w:p>
  <w:p w:rsidR="00750246" w:rsidRDefault="00A60FE0">
    <w:pPr>
      <w:pStyle w:val="Rodap"/>
      <w:tabs>
        <w:tab w:val="left" w:pos="240"/>
        <w:tab w:val="right" w:pos="9071"/>
      </w:tabs>
      <w:jc w:val="center"/>
      <w:rPr>
        <w:rFonts w:ascii="Courier New" w:hAnsi="Courier New" w:cs="Courier New"/>
        <w:sz w:val="18"/>
        <w:szCs w:val="18"/>
      </w:rPr>
    </w:pPr>
    <w:r>
      <w:rPr>
        <w:rFonts w:ascii="Courier New" w:hAnsi="Courier New" w:cs="Courier New"/>
        <w:sz w:val="18"/>
        <w:szCs w:val="18"/>
      </w:rPr>
      <w:t>Rua João Stella, 55 – CEP 95305-000 – Ibiraiaras – RS – Fone: 54 3355 1122</w:t>
    </w:r>
  </w:p>
  <w:p w:rsidR="00750246" w:rsidRDefault="00A60FE0">
    <w:pPr>
      <w:pStyle w:val="Rodap"/>
      <w:jc w:val="center"/>
      <w:rPr>
        <w:rFonts w:ascii="Courier New" w:hAnsi="Courier New" w:cs="Courier New"/>
        <w:sz w:val="18"/>
        <w:szCs w:val="18"/>
        <w:lang w:val="en-US"/>
      </w:rPr>
    </w:pPr>
    <w:hyperlink r:id="rId1">
      <w:r>
        <w:rPr>
          <w:rStyle w:val="Hyperlink"/>
          <w:rFonts w:ascii="Courier New" w:hAnsi="Courier New" w:cs="Courier New"/>
          <w:color w:val="auto"/>
          <w:sz w:val="18"/>
          <w:szCs w:val="18"/>
          <w:u w:val="none"/>
          <w:lang w:val="en-US"/>
        </w:rPr>
        <w:t>www.ibiraiaras.rs.gov.br</w:t>
      </w:r>
    </w:hyperlink>
    <w:r>
      <w:rPr>
        <w:rFonts w:ascii="Courier New" w:hAnsi="Courier New" w:cs="Courier New"/>
        <w:sz w:val="18"/>
        <w:szCs w:val="18"/>
        <w:lang w:val="en-US"/>
      </w:rPr>
      <w:t xml:space="preserve"> – Email: </w:t>
    </w:r>
    <w:hyperlink r:id="rId2">
      <w:r>
        <w:rPr>
          <w:rStyle w:val="Hyperlink"/>
          <w:rFonts w:ascii="Courier New" w:hAnsi="Courier New" w:cs="Courier New"/>
          <w:color w:val="auto"/>
          <w:sz w:val="18"/>
          <w:szCs w:val="18"/>
          <w:u w:val="none"/>
          <w:lang w:val="en-US"/>
        </w:rPr>
        <w:t>administracao@pmibiraiaras.com.br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60FE0" w:rsidRDefault="00A60FE0">
      <w:r>
        <w:separator/>
      </w:r>
    </w:p>
  </w:footnote>
  <w:footnote w:type="continuationSeparator" w:id="0">
    <w:p w:rsidR="00A60FE0" w:rsidRDefault="00A60F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50246" w:rsidRDefault="00A60FE0">
    <w:pPr>
      <w:pStyle w:val="Cabealho"/>
      <w:jc w:val="right"/>
      <w:rPr>
        <w:rFonts w:cs="Calibri"/>
        <w:sz w:val="18"/>
        <w:szCs w:val="18"/>
      </w:rPr>
    </w:pPr>
    <w:r>
      <w:rPr>
        <w:rFonts w:cs="Calibri"/>
        <w:sz w:val="18"/>
        <w:szCs w:val="18"/>
      </w:rPr>
      <w:t xml:space="preserve">Página </w:t>
    </w:r>
    <w:r>
      <w:rPr>
        <w:rFonts w:cs="Calibri"/>
        <w:bCs/>
        <w:sz w:val="18"/>
        <w:szCs w:val="18"/>
      </w:rPr>
      <w:fldChar w:fldCharType="begin"/>
    </w:r>
    <w:r>
      <w:rPr>
        <w:rFonts w:cs="Calibri"/>
        <w:bCs/>
        <w:sz w:val="18"/>
        <w:szCs w:val="18"/>
      </w:rPr>
      <w:instrText xml:space="preserve"> PAGE </w:instrText>
    </w:r>
    <w:r>
      <w:rPr>
        <w:rFonts w:cs="Calibri"/>
        <w:bCs/>
        <w:sz w:val="18"/>
        <w:szCs w:val="18"/>
      </w:rPr>
      <w:fldChar w:fldCharType="separate"/>
    </w:r>
    <w:r>
      <w:rPr>
        <w:rFonts w:cs="Calibri"/>
        <w:bCs/>
        <w:sz w:val="18"/>
        <w:szCs w:val="18"/>
      </w:rPr>
      <w:t>41</w:t>
    </w:r>
    <w:r>
      <w:rPr>
        <w:rFonts w:cs="Calibri"/>
        <w:bCs/>
        <w:sz w:val="18"/>
        <w:szCs w:val="18"/>
      </w:rPr>
      <w:fldChar w:fldCharType="end"/>
    </w:r>
    <w:r>
      <w:rPr>
        <w:rFonts w:cs="Calibri"/>
        <w:sz w:val="18"/>
        <w:szCs w:val="18"/>
      </w:rPr>
      <w:t xml:space="preserve"> de </w:t>
    </w:r>
    <w:r>
      <w:rPr>
        <w:rFonts w:cs="Calibri"/>
        <w:bCs/>
        <w:sz w:val="18"/>
        <w:szCs w:val="18"/>
      </w:rPr>
      <w:fldChar w:fldCharType="begin"/>
    </w:r>
    <w:r>
      <w:rPr>
        <w:rFonts w:cs="Calibri"/>
        <w:bCs/>
        <w:sz w:val="18"/>
        <w:szCs w:val="18"/>
      </w:rPr>
      <w:instrText xml:space="preserve"> NUMPAGES </w:instrText>
    </w:r>
    <w:r>
      <w:rPr>
        <w:rFonts w:cs="Calibri"/>
        <w:bCs/>
        <w:sz w:val="18"/>
        <w:szCs w:val="18"/>
      </w:rPr>
      <w:fldChar w:fldCharType="separate"/>
    </w:r>
    <w:r>
      <w:rPr>
        <w:rFonts w:cs="Calibri"/>
        <w:bCs/>
        <w:sz w:val="18"/>
        <w:szCs w:val="18"/>
      </w:rPr>
      <w:t>41</w:t>
    </w:r>
    <w:r>
      <w:rPr>
        <w:rFonts w:cs="Calibri"/>
        <w:bCs/>
        <w:sz w:val="18"/>
        <w:szCs w:val="18"/>
      </w:rPr>
      <w:fldChar w:fldCharType="end"/>
    </w:r>
  </w:p>
  <w:tbl>
    <w:tblPr>
      <w:tblW w:w="4950" w:type="pct"/>
      <w:jc w:val="center"/>
      <w:tblLayout w:type="fixed"/>
      <w:tblLook w:val="0000" w:firstRow="0" w:lastRow="0" w:firstColumn="0" w:lastColumn="0" w:noHBand="0" w:noVBand="0"/>
    </w:tblPr>
    <w:tblGrid>
      <w:gridCol w:w="1452"/>
      <w:gridCol w:w="6221"/>
      <w:gridCol w:w="1307"/>
    </w:tblGrid>
    <w:tr w:rsidR="00750246">
      <w:trPr>
        <w:trHeight w:val="1203"/>
        <w:jc w:val="center"/>
      </w:trPr>
      <w:tc>
        <w:tcPr>
          <w:tcW w:w="1452" w:type="dxa"/>
        </w:tcPr>
        <w:p w:rsidR="00750246" w:rsidRDefault="00A60FE0">
          <w:pPr>
            <w:pStyle w:val="Cabealho"/>
            <w:jc w:val="center"/>
            <w:rPr>
              <w:rFonts w:ascii="Courier New" w:hAnsi="Courier New" w:cs="Courier New"/>
              <w:sz w:val="22"/>
              <w:szCs w:val="22"/>
            </w:rPr>
          </w:pPr>
          <w:r>
            <w:rPr>
              <w:rFonts w:ascii="Courier New" w:hAnsi="Courier New" w:cs="Courier New"/>
              <w:noProof/>
              <w:sz w:val="22"/>
              <w:szCs w:val="22"/>
            </w:rPr>
            <w:drawing>
              <wp:anchor distT="0" distB="0" distL="114300" distR="114300" simplePos="0" relativeHeight="44" behindDoc="1" locked="0" layoutInCell="1" allowOverlap="1">
                <wp:simplePos x="0" y="0"/>
                <wp:positionH relativeFrom="margin">
                  <wp:posOffset>133350</wp:posOffset>
                </wp:positionH>
                <wp:positionV relativeFrom="margin">
                  <wp:posOffset>81280</wp:posOffset>
                </wp:positionV>
                <wp:extent cx="525145" cy="582930"/>
                <wp:effectExtent l="0" t="0" r="0" b="0"/>
                <wp:wrapSquare wrapText="bothSides"/>
                <wp:docPr id="4"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4"/>
                        <pic:cNvPicPr>
                          <a:picLocks noChangeAspect="1" noChangeArrowheads="1"/>
                        </pic:cNvPicPr>
                      </pic:nvPicPr>
                      <pic:blipFill>
                        <a:blip r:embed="rId1"/>
                        <a:stretch>
                          <a:fillRect/>
                        </a:stretch>
                      </pic:blipFill>
                      <pic:spPr bwMode="auto">
                        <a:xfrm>
                          <a:off x="0" y="0"/>
                          <a:ext cx="525145" cy="582930"/>
                        </a:xfrm>
                        <a:prstGeom prst="rect">
                          <a:avLst/>
                        </a:prstGeom>
                      </pic:spPr>
                    </pic:pic>
                  </a:graphicData>
                </a:graphic>
              </wp:anchor>
            </w:drawing>
          </w:r>
        </w:p>
      </w:tc>
      <w:tc>
        <w:tcPr>
          <w:tcW w:w="6221" w:type="dxa"/>
        </w:tcPr>
        <w:p w:rsidR="00750246" w:rsidRDefault="00750246">
          <w:pPr>
            <w:pStyle w:val="Cabealho"/>
            <w:jc w:val="center"/>
            <w:rPr>
              <w:rFonts w:ascii="Courier New" w:hAnsi="Courier New" w:cs="Courier New"/>
            </w:rPr>
          </w:pPr>
        </w:p>
        <w:p w:rsidR="00750246" w:rsidRDefault="00A60FE0">
          <w:pPr>
            <w:pStyle w:val="Cabealho"/>
            <w:ind w:right="35"/>
            <w:jc w:val="center"/>
            <w:rPr>
              <w:rFonts w:ascii="Courier New" w:hAnsi="Courier New" w:cs="Courier New"/>
              <w:b/>
              <w:sz w:val="32"/>
            </w:rPr>
          </w:pPr>
          <w:r>
            <w:rPr>
              <w:rFonts w:ascii="Courier New" w:hAnsi="Courier New" w:cs="Courier New"/>
              <w:b/>
              <w:sz w:val="32"/>
            </w:rPr>
            <w:t>Estado do Rio Grande do Sul</w:t>
          </w:r>
        </w:p>
        <w:p w:rsidR="00750246" w:rsidRDefault="00A60FE0">
          <w:pPr>
            <w:pStyle w:val="Cabealho"/>
            <w:pBdr>
              <w:bottom w:val="single" w:sz="6" w:space="1" w:color="000000"/>
            </w:pBdr>
            <w:tabs>
              <w:tab w:val="clear" w:pos="4252"/>
              <w:tab w:val="center" w:pos="3969"/>
              <w:tab w:val="left" w:pos="6663"/>
            </w:tabs>
            <w:ind w:right="35"/>
            <w:jc w:val="center"/>
            <w:rPr>
              <w:rFonts w:ascii="Courier New" w:hAnsi="Courier New" w:cs="Courier New"/>
              <w:b/>
              <w:sz w:val="40"/>
              <w:szCs w:val="40"/>
            </w:rPr>
          </w:pPr>
          <w:r>
            <w:rPr>
              <w:rFonts w:ascii="Courier New" w:hAnsi="Courier New" w:cs="Courier New"/>
              <w:b/>
              <w:sz w:val="40"/>
              <w:szCs w:val="40"/>
            </w:rPr>
            <w:t>Município de Ibiraiaras</w:t>
          </w:r>
        </w:p>
      </w:tc>
      <w:tc>
        <w:tcPr>
          <w:tcW w:w="1307" w:type="dxa"/>
        </w:tcPr>
        <w:p w:rsidR="00750246" w:rsidRDefault="00750246">
          <w:pPr>
            <w:pStyle w:val="Cabealho"/>
            <w:jc w:val="center"/>
            <w:rPr>
              <w:rFonts w:ascii="Courier New" w:hAnsi="Courier New" w:cs="Courier New"/>
              <w:sz w:val="22"/>
              <w:szCs w:val="22"/>
            </w:rPr>
          </w:pPr>
        </w:p>
      </w:tc>
    </w:tr>
  </w:tbl>
  <w:p w:rsidR="00750246" w:rsidRDefault="00750246">
    <w:pPr>
      <w:pStyle w:val="Cabealho"/>
      <w:rPr>
        <w:rFonts w:ascii="Courier New" w:hAnsi="Courier New" w:cs="Courier New"/>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3961F1"/>
    <w:multiLevelType w:val="multilevel"/>
    <w:tmpl w:val="5F580994"/>
    <w:lvl w:ilvl="0">
      <w:start w:val="1"/>
      <w:numFmt w:val="decimal"/>
      <w:lvlText w:val="%1."/>
      <w:lvlJc w:val="left"/>
      <w:pPr>
        <w:tabs>
          <w:tab w:val="num" w:pos="0"/>
        </w:tabs>
        <w:ind w:left="1070" w:hanging="360"/>
      </w:pPr>
    </w:lvl>
    <w:lvl w:ilvl="1">
      <w:start w:val="1"/>
      <w:numFmt w:val="decimal"/>
      <w:lvlText w:val="%1.%2."/>
      <w:lvlJc w:val="left"/>
      <w:pPr>
        <w:tabs>
          <w:tab w:val="num" w:pos="0"/>
        </w:tabs>
        <w:ind w:left="1428" w:hanging="720"/>
      </w:pPr>
      <w:rPr>
        <w:rFonts w:ascii="Maiandra GD" w:hAnsi="Maiandra GD"/>
        <w:b/>
        <w:bCs w:val="0"/>
        <w:sz w:val="24"/>
        <w:szCs w:val="24"/>
      </w:rPr>
    </w:lvl>
    <w:lvl w:ilvl="2">
      <w:start w:val="1"/>
      <w:numFmt w:val="decimal"/>
      <w:lvlText w:val="%1.%2.%3."/>
      <w:lvlJc w:val="left"/>
      <w:pPr>
        <w:tabs>
          <w:tab w:val="num" w:pos="0"/>
        </w:tabs>
        <w:ind w:left="1428" w:hanging="720"/>
      </w:pPr>
    </w:lvl>
    <w:lvl w:ilvl="3">
      <w:start w:val="1"/>
      <w:numFmt w:val="decimal"/>
      <w:lvlText w:val="%1.%2.%3.%4."/>
      <w:lvlJc w:val="left"/>
      <w:pPr>
        <w:tabs>
          <w:tab w:val="num" w:pos="0"/>
        </w:tabs>
        <w:ind w:left="1788" w:hanging="108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abstractNum w:abstractNumId="1" w15:restartNumberingAfterBreak="0">
    <w:nsid w:val="3B2C4221"/>
    <w:multiLevelType w:val="multilevel"/>
    <w:tmpl w:val="43744FD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4696A98"/>
    <w:multiLevelType w:val="multilevel"/>
    <w:tmpl w:val="29700C60"/>
    <w:lvl w:ilvl="0">
      <w:start w:val="1"/>
      <w:numFmt w:val="decimal"/>
      <w:pStyle w:val="Estilo1"/>
      <w:lvlText w:val="%1."/>
      <w:lvlJc w:val="left"/>
      <w:pPr>
        <w:tabs>
          <w:tab w:val="num" w:pos="0"/>
        </w:tabs>
        <w:ind w:left="1070" w:hanging="360"/>
      </w:pPr>
    </w:lvl>
    <w:lvl w:ilvl="1">
      <w:start w:val="1"/>
      <w:numFmt w:val="decimal"/>
      <w:pStyle w:val="Estilo2"/>
      <w:lvlText w:val="%1.%2."/>
      <w:lvlJc w:val="left"/>
      <w:pPr>
        <w:tabs>
          <w:tab w:val="num" w:pos="0"/>
        </w:tabs>
        <w:ind w:left="1428" w:hanging="720"/>
      </w:pPr>
      <w:rPr>
        <w:rFonts w:ascii="Maiandra GD" w:hAnsi="Maiandra GD"/>
        <w:b/>
        <w:bCs w:val="0"/>
        <w:sz w:val="24"/>
        <w:szCs w:val="24"/>
      </w:rPr>
    </w:lvl>
    <w:lvl w:ilvl="2">
      <w:start w:val="1"/>
      <w:numFmt w:val="decimal"/>
      <w:pStyle w:val="Estilo3"/>
      <w:lvlText w:val="%1.%2.%3."/>
      <w:lvlJc w:val="left"/>
      <w:pPr>
        <w:tabs>
          <w:tab w:val="num" w:pos="0"/>
        </w:tabs>
        <w:ind w:left="1428" w:hanging="720"/>
      </w:pPr>
    </w:lvl>
    <w:lvl w:ilvl="3">
      <w:start w:val="1"/>
      <w:numFmt w:val="decimal"/>
      <w:lvlText w:val="%1.%2.%3.%4."/>
      <w:lvlJc w:val="left"/>
      <w:pPr>
        <w:tabs>
          <w:tab w:val="num" w:pos="0"/>
        </w:tabs>
        <w:ind w:left="1788" w:hanging="1080"/>
      </w:pPr>
    </w:lvl>
    <w:lvl w:ilvl="4">
      <w:start w:val="1"/>
      <w:numFmt w:val="decimal"/>
      <w:lvlText w:val="%1.%2.%3.%4.%5."/>
      <w:lvlJc w:val="left"/>
      <w:pPr>
        <w:tabs>
          <w:tab w:val="num" w:pos="0"/>
        </w:tabs>
        <w:ind w:left="1788" w:hanging="1080"/>
      </w:pPr>
    </w:lvl>
    <w:lvl w:ilvl="5">
      <w:start w:val="1"/>
      <w:numFmt w:val="decimal"/>
      <w:lvlText w:val="%1.%2.%3.%4.%5.%6."/>
      <w:lvlJc w:val="left"/>
      <w:pPr>
        <w:tabs>
          <w:tab w:val="num" w:pos="0"/>
        </w:tabs>
        <w:ind w:left="2148" w:hanging="1440"/>
      </w:pPr>
    </w:lvl>
    <w:lvl w:ilvl="6">
      <w:start w:val="1"/>
      <w:numFmt w:val="decimal"/>
      <w:lvlText w:val="%1.%2.%3.%4.%5.%6.%7."/>
      <w:lvlJc w:val="left"/>
      <w:pPr>
        <w:tabs>
          <w:tab w:val="num" w:pos="0"/>
        </w:tabs>
        <w:ind w:left="2148" w:hanging="1440"/>
      </w:pPr>
    </w:lvl>
    <w:lvl w:ilvl="7">
      <w:start w:val="1"/>
      <w:numFmt w:val="decimal"/>
      <w:lvlText w:val="%1.%2.%3.%4.%5.%6.%7.%8."/>
      <w:lvlJc w:val="left"/>
      <w:pPr>
        <w:tabs>
          <w:tab w:val="num" w:pos="0"/>
        </w:tabs>
        <w:ind w:left="2508" w:hanging="1800"/>
      </w:pPr>
    </w:lvl>
    <w:lvl w:ilvl="8">
      <w:start w:val="1"/>
      <w:numFmt w:val="decimal"/>
      <w:lvlText w:val="%1.%2.%3.%4.%5.%6.%7.%8.%9."/>
      <w:lvlJc w:val="left"/>
      <w:pPr>
        <w:tabs>
          <w:tab w:val="num" w:pos="0"/>
        </w:tabs>
        <w:ind w:left="2868" w:hanging="2160"/>
      </w:pPr>
    </w:lvl>
  </w:abstractNum>
  <w:abstractNum w:abstractNumId="3" w15:restartNumberingAfterBreak="0">
    <w:nsid w:val="6E561CF0"/>
    <w:multiLevelType w:val="multilevel"/>
    <w:tmpl w:val="9BF46FC8"/>
    <w:lvl w:ilvl="0">
      <w:start w:val="1"/>
      <w:numFmt w:val="bullet"/>
      <w:lvlText w:val=""/>
      <w:lvlJc w:val="left"/>
      <w:pPr>
        <w:tabs>
          <w:tab w:val="num" w:pos="0"/>
        </w:tabs>
        <w:ind w:left="1428" w:hanging="360"/>
      </w:pPr>
      <w:rPr>
        <w:rFonts w:ascii="Symbol" w:hAnsi="Symbol" w:cs="Symbol" w:hint="default"/>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num w:numId="1" w16cid:durableId="1480927872">
    <w:abstractNumId w:val="2"/>
  </w:num>
  <w:num w:numId="2" w16cid:durableId="706609338">
    <w:abstractNumId w:val="3"/>
  </w:num>
  <w:num w:numId="3" w16cid:durableId="1107966368">
    <w:abstractNumId w:val="0"/>
  </w:num>
  <w:num w:numId="4" w16cid:durableId="18285271">
    <w:abstractNumId w:val="1"/>
  </w:num>
  <w:num w:numId="5" w16cid:durableId="1961259613">
    <w:abstractNumId w:val="2"/>
    <w:lvlOverride w:ilvl="0">
      <w:startOverride w:val="2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246"/>
    <w:rsid w:val="00750246"/>
    <w:rsid w:val="00A60FE0"/>
    <w:rsid w:val="00F43C3D"/>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FB2BB7-B3F2-4A48-B12E-8D0EC402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val="0"/>
      <w:overflowPunct w:val="0"/>
    </w:pPr>
    <w:rPr>
      <w:rFonts w:cs="Arial"/>
      <w:sz w:val="20"/>
      <w:szCs w:val="20"/>
      <w:lang w:eastAsia="pt-BR"/>
    </w:rPr>
  </w:style>
  <w:style w:type="paragraph" w:styleId="Ttulo1">
    <w:name w:val="heading 1"/>
    <w:basedOn w:val="Normal"/>
    <w:next w:val="Normal"/>
    <w:link w:val="Ttulo1Char"/>
    <w:uiPriority w:val="9"/>
    <w:qFormat/>
    <w:pPr>
      <w:keepNext/>
      <w:keepLines/>
      <w:spacing w:before="240"/>
      <w:outlineLvl w:val="0"/>
    </w:pPr>
    <w:rPr>
      <w:rFonts w:ascii="Calibri Light" w:hAnsi="Calibri Light" w:cs="Tahoma"/>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style>
  <w:style w:type="character" w:customStyle="1" w:styleId="RodapChar">
    <w:name w:val="Rodapé Char"/>
    <w:basedOn w:val="Fontepargpadro"/>
    <w:link w:val="Rodap"/>
    <w:qFormat/>
  </w:style>
  <w:style w:type="character" w:customStyle="1" w:styleId="TextodenotaderodapChar">
    <w:name w:val="Texto de nota de rodapé Char"/>
    <w:basedOn w:val="Fontepargpadro"/>
    <w:link w:val="Textodenotaderodap"/>
    <w:qFormat/>
    <w:rPr>
      <w:rFonts w:ascii="Calibri" w:eastAsia="Calibri" w:hAnsi="Calibri" w:cs="Arial"/>
      <w:sz w:val="20"/>
      <w:szCs w:val="20"/>
      <w:lang w:eastAsia="pt-BR"/>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styleId="nfase">
    <w:name w:val="Emphasis"/>
    <w:basedOn w:val="Fontepargpadro"/>
    <w:qFormat/>
    <w:rPr>
      <w:i/>
      <w:iCs/>
    </w:rPr>
  </w:style>
  <w:style w:type="character" w:customStyle="1" w:styleId="TextodebaloChar">
    <w:name w:val="Texto de balão Char"/>
    <w:basedOn w:val="Fontepargpadro"/>
    <w:link w:val="Textodebalo"/>
    <w:qFormat/>
    <w:rPr>
      <w:rFonts w:ascii="Segoe UI" w:eastAsia="Calibri" w:hAnsi="Segoe UI" w:cs="Segoe UI"/>
      <w:sz w:val="18"/>
      <w:szCs w:val="18"/>
      <w:lang w:eastAsia="pt-BR"/>
    </w:rPr>
  </w:style>
  <w:style w:type="character" w:customStyle="1" w:styleId="CorpodetextoChar">
    <w:name w:val="Corpo de texto Char"/>
    <w:basedOn w:val="Fontepargpadro"/>
    <w:link w:val="Corpodetexto"/>
    <w:qFormat/>
    <w:rPr>
      <w:rFonts w:ascii="Times New Roman" w:eastAsia="Times New Roman" w:hAnsi="Times New Roman" w:cs="Times New Roman"/>
      <w:sz w:val="24"/>
      <w:szCs w:val="20"/>
      <w:lang w:eastAsia="pt-BR"/>
    </w:rPr>
  </w:style>
  <w:style w:type="character" w:styleId="TextodoEspaoReservado">
    <w:name w:val="Placeholder Text"/>
    <w:basedOn w:val="Fontepargpadro"/>
    <w:qFormat/>
    <w:rPr>
      <w:color w:val="808080"/>
    </w:rPr>
  </w:style>
  <w:style w:type="character" w:customStyle="1" w:styleId="Ttulo1Char">
    <w:name w:val="Título 1 Char"/>
    <w:basedOn w:val="Fontepargpadro"/>
    <w:link w:val="Ttulo1"/>
    <w:qFormat/>
    <w:rPr>
      <w:rFonts w:ascii="Calibri Light" w:eastAsia="Calibri" w:hAnsi="Calibri Light" w:cs="Tahoma"/>
      <w:color w:val="2E74B5" w:themeColor="accent1" w:themeShade="BF"/>
      <w:sz w:val="32"/>
      <w:szCs w:val="32"/>
      <w:lang w:eastAsia="pt-BR"/>
    </w:rPr>
  </w:style>
  <w:style w:type="character" w:customStyle="1" w:styleId="Estilo1Char">
    <w:name w:val="Estilo1 Char"/>
    <w:basedOn w:val="CorpodetextoChar"/>
    <w:link w:val="Estilo1"/>
    <w:qFormat/>
    <w:rPr>
      <w:rFonts w:ascii="Maiandra GD" w:eastAsia="Times New Roman" w:hAnsi="Maiandra GD" w:cs="Courier New"/>
      <w:b/>
      <w:sz w:val="24"/>
      <w:szCs w:val="24"/>
      <w:lang w:eastAsia="pt-BR"/>
    </w:rPr>
  </w:style>
  <w:style w:type="character" w:customStyle="1" w:styleId="Estilo2Char">
    <w:name w:val="Estilo2 Char"/>
    <w:basedOn w:val="CorpodetextoChar"/>
    <w:link w:val="Estilo2"/>
    <w:qFormat/>
    <w:rPr>
      <w:rFonts w:ascii="Maiandra GD" w:eastAsia="Times New Roman" w:hAnsi="Maiandra GD" w:cs="Courier New"/>
      <w:b/>
      <w:sz w:val="24"/>
      <w:szCs w:val="24"/>
      <w:lang w:eastAsia="pt-BR"/>
    </w:rPr>
  </w:style>
  <w:style w:type="character" w:customStyle="1" w:styleId="PargrafodaListaChar">
    <w:name w:val="Parágrafo da Lista Char"/>
    <w:basedOn w:val="Fontepargpadro"/>
    <w:link w:val="PargrafodaLista"/>
    <w:qFormat/>
    <w:rPr>
      <w:rFonts w:ascii="Calibri" w:eastAsia="Calibri" w:hAnsi="Calibri" w:cs="Arial"/>
      <w:sz w:val="20"/>
      <w:szCs w:val="20"/>
      <w:lang w:eastAsia="pt-BR"/>
    </w:rPr>
  </w:style>
  <w:style w:type="character" w:customStyle="1" w:styleId="Estilo3Char">
    <w:name w:val="Estilo3 Char"/>
    <w:basedOn w:val="PargrafodaListaChar"/>
    <w:link w:val="Estilo3"/>
    <w:qFormat/>
    <w:rPr>
      <w:rFonts w:ascii="Maiandra GD" w:eastAsia="Calibri" w:hAnsi="Maiandra GD" w:cs="Courier New"/>
      <w:b/>
      <w:iCs/>
      <w:sz w:val="24"/>
      <w:szCs w:val="24"/>
      <w:lang w:eastAsia="pt-BR"/>
    </w:rPr>
  </w:style>
  <w:style w:type="character" w:styleId="Hyperlink">
    <w:name w:val="Hyperlink"/>
    <w:basedOn w:val="Fontepargpadro"/>
    <w:rPr>
      <w:color w:val="0563C1" w:themeColor="hyperlink"/>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pPr>
      <w:tabs>
        <w:tab w:val="left" w:pos="0"/>
      </w:tabs>
      <w:jc w:val="both"/>
    </w:pPr>
    <w:rPr>
      <w:rFonts w:ascii="Times New Roman" w:eastAsia="Times New Roman" w:hAnsi="Times New Roman" w:cs="Times New Roman"/>
      <w:sz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PargrafodaLista">
    <w:name w:val="List Paragraph"/>
    <w:basedOn w:val="Normal"/>
    <w:link w:val="PargrafodaListaChar"/>
    <w:qFormat/>
    <w:pPr>
      <w:ind w:left="720"/>
      <w:contextualSpacing/>
    </w:pPr>
  </w:style>
  <w:style w:type="paragraph" w:styleId="Textodenotaderodap">
    <w:name w:val="footnote text"/>
    <w:basedOn w:val="Normal"/>
    <w:link w:val="TextodenotaderodapChar"/>
  </w:style>
  <w:style w:type="paragraph" w:styleId="Textodebalo">
    <w:name w:val="Balloon Text"/>
    <w:basedOn w:val="Normal"/>
    <w:link w:val="TextodebaloChar"/>
    <w:qFormat/>
    <w:rPr>
      <w:rFonts w:ascii="Segoe UI" w:hAnsi="Segoe UI" w:cs="Segoe UI"/>
      <w:sz w:val="18"/>
      <w:szCs w:val="18"/>
    </w:rPr>
  </w:style>
  <w:style w:type="paragraph" w:styleId="Ttulodendiceremissivo">
    <w:name w:val="index heading"/>
    <w:basedOn w:val="Ttulo"/>
  </w:style>
  <w:style w:type="paragraph" w:styleId="CabealhodoSumrio">
    <w:name w:val="TOC Heading"/>
    <w:basedOn w:val="Ttulo1"/>
    <w:next w:val="Normal"/>
    <w:qFormat/>
    <w:pPr>
      <w:spacing w:line="259" w:lineRule="auto"/>
      <w:outlineLvl w:val="9"/>
    </w:pPr>
  </w:style>
  <w:style w:type="paragraph" w:customStyle="1" w:styleId="Estilo1">
    <w:name w:val="Estilo1"/>
    <w:basedOn w:val="Corpodetexto"/>
    <w:link w:val="Estilo1Char"/>
    <w:qFormat/>
    <w:pPr>
      <w:numPr>
        <w:numId w:val="1"/>
      </w:numPr>
      <w:spacing w:before="240" w:line="360" w:lineRule="auto"/>
    </w:pPr>
    <w:rPr>
      <w:rFonts w:ascii="Maiandra GD" w:hAnsi="Maiandra GD" w:cs="Courier New"/>
      <w:b/>
      <w:szCs w:val="24"/>
    </w:rPr>
  </w:style>
  <w:style w:type="paragraph" w:customStyle="1" w:styleId="Estilo2">
    <w:name w:val="Estilo2"/>
    <w:basedOn w:val="Corpodetexto"/>
    <w:link w:val="Estilo2Char"/>
    <w:qFormat/>
    <w:pPr>
      <w:numPr>
        <w:ilvl w:val="1"/>
        <w:numId w:val="1"/>
      </w:numPr>
      <w:spacing w:before="240" w:line="360" w:lineRule="auto"/>
    </w:pPr>
    <w:rPr>
      <w:rFonts w:ascii="Maiandra GD" w:hAnsi="Maiandra GD" w:cs="Courier New"/>
      <w:b/>
      <w:szCs w:val="24"/>
    </w:rPr>
  </w:style>
  <w:style w:type="paragraph" w:customStyle="1" w:styleId="Estilo3">
    <w:name w:val="Estilo3"/>
    <w:basedOn w:val="PargrafodaLista"/>
    <w:link w:val="Estilo3Char"/>
    <w:qFormat/>
    <w:pPr>
      <w:widowControl w:val="0"/>
      <w:numPr>
        <w:ilvl w:val="2"/>
        <w:numId w:val="1"/>
      </w:numPr>
      <w:spacing w:before="240" w:line="360" w:lineRule="auto"/>
      <w:jc w:val="both"/>
    </w:pPr>
    <w:rPr>
      <w:rFonts w:ascii="Maiandra GD" w:hAnsi="Maiandra GD" w:cs="Courier New"/>
      <w:b/>
      <w:iCs/>
      <w:sz w:val="24"/>
      <w:szCs w:val="24"/>
    </w:rPr>
  </w:style>
  <w:style w:type="paragraph" w:styleId="Sumrio2">
    <w:name w:val="toc 2"/>
    <w:basedOn w:val="Normal"/>
    <w:next w:val="Normal"/>
    <w:autoRedefine/>
    <w:pPr>
      <w:spacing w:after="100" w:line="259" w:lineRule="auto"/>
      <w:ind w:left="220"/>
    </w:pPr>
    <w:rPr>
      <w:rFonts w:cs="Times New Roman"/>
      <w:sz w:val="22"/>
      <w:szCs w:val="22"/>
    </w:rPr>
  </w:style>
  <w:style w:type="paragraph" w:styleId="Sumrio1">
    <w:name w:val="toc 1"/>
    <w:basedOn w:val="Normal"/>
    <w:next w:val="Normal"/>
    <w:autoRedefine/>
    <w:pPr>
      <w:spacing w:after="100" w:line="259" w:lineRule="auto"/>
    </w:pPr>
    <w:rPr>
      <w:rFonts w:cs="Times New Roman"/>
      <w:sz w:val="22"/>
      <w:szCs w:val="22"/>
    </w:rPr>
  </w:style>
  <w:style w:type="paragraph" w:styleId="Sumrio3">
    <w:name w:val="toc 3"/>
    <w:basedOn w:val="Normal"/>
    <w:next w:val="Normal"/>
    <w:autoRedefine/>
    <w:pPr>
      <w:spacing w:after="100" w:line="259" w:lineRule="auto"/>
      <w:ind w:left="440"/>
    </w:pPr>
    <w:rPr>
      <w:rFonts w:cs="Times New Roman"/>
      <w:sz w:val="22"/>
      <w:szCs w:val="22"/>
    </w:rPr>
  </w:style>
  <w:style w:type="paragraph" w:styleId="NormalWeb">
    <w:name w:val="Normal (Web)"/>
    <w:basedOn w:val="Normal"/>
    <w:qFormat/>
    <w:pPr>
      <w:spacing w:before="280" w:after="280"/>
    </w:pPr>
    <w:rPr>
      <w:rFonts w:ascii="Times New Roman" w:eastAsia="Times New Roman" w:hAnsi="Times New Roman" w:cs="Times New Roman"/>
      <w:sz w:val="24"/>
      <w:szCs w:val="24"/>
    </w:rPr>
  </w:style>
  <w:style w:type="paragraph" w:customStyle="1" w:styleId="caption1">
    <w:name w:val="caption1"/>
    <w:basedOn w:val="Normal"/>
    <w:next w:val="Normal"/>
    <w:qFormat/>
    <w:pPr>
      <w:spacing w:after="200"/>
    </w:pPr>
    <w:rPr>
      <w:rFonts w:cs="Tahoma"/>
      <w:i/>
      <w:iCs/>
      <w:color w:val="44546A" w:themeColor="dark2"/>
      <w:kern w:val="2"/>
      <w:sz w:val="18"/>
      <w:szCs w:val="18"/>
      <w:lang w:eastAsia="en-US"/>
    </w:rPr>
  </w:style>
  <w:style w:type="paragraph" w:customStyle="1" w:styleId="Default">
    <w:name w:val="Default"/>
    <w:qFormat/>
    <w:pPr>
      <w:overflowPunct w:val="0"/>
    </w:pPr>
    <w:rPr>
      <w:rFonts w:ascii="Arial" w:hAnsi="Arial" w:cs="Arial"/>
      <w:color w:val="000000"/>
      <w:sz w:val="24"/>
      <w:szCs w:val="24"/>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hyperlink" Target="mailto:administracao@pmibiraiaras.com.br" TargetMode="External"/><Relationship Id="rId1" Type="http://schemas.openxmlformats.org/officeDocument/2006/relationships/hyperlink" Target="http://www.ibiraiaras.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9777</Words>
  <Characters>52799</Characters>
  <Application>Microsoft Office Word</Application>
  <DocSecurity>0</DocSecurity>
  <Lines>439</Lines>
  <Paragraphs>124</Paragraphs>
  <ScaleCrop>false</ScaleCrop>
  <Company/>
  <LinksUpToDate>false</LinksUpToDate>
  <CharactersWithSpaces>62452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Regina</dc:creator>
  <dc:description/>
  <cp:lastModifiedBy>Eduarda Festa</cp:lastModifiedBy>
  <cp:revision>2</cp:revision>
  <cp:lastPrinted>2024-04-17T16:27:00Z</cp:lastPrinted>
  <dcterms:created xsi:type="dcterms:W3CDTF">2024-05-24T14:14:00Z</dcterms:created>
  <dcterms:modified xsi:type="dcterms:W3CDTF">2024-05-24T14:14:00Z</dcterms:modified>
  <dc:language>pt-BR</dc:language>
</cp:coreProperties>
</file>