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ESTUDO TÉCNICO PRELIMINAR</w:t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INTRODUÇÃO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O presente documento caracteriza a primeira etapa da fase de planejamento e apresenta os devidos estudos para a contratação de solução que atenderá à necessidade abaixo especificada.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1- DESCRIÇÃO DA NECESSIDADE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bCs/>
          <w:color w:val="000000"/>
          <w:sz w:val="24"/>
        </w:rPr>
        <w:tab/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A aquisição de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armário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, para educação infantil é fundamental para garantir um ambiente seguro, confortável e propício ao desenvolvimento das crianças. Esse móve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l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é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essencia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l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para proporcionar um espaço adequado, que é crucial para o crescimento saudável e o bem-estar emocional dos pequenos. A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escolha de mobilha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apropriad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a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contribui para a organização do espaço, permitindo que a instituiç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ão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acomode um número maior de crianças de forma eficiente. Móveis adequados não apenas promovem a segurança, mas também favorecem a rotina pedagógica, criando um ambiente acolhedor que estimula a aprendizagem e o desenvolvimento integral das crianças. Portanto, a aquisição desses itens é uma prioridade para assegurar a qualidade do atendimento na educação infantil.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  <w:bCs/>
        </w:rPr>
        <w:t xml:space="preserve"> </w:t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2– REQUISITOS DA CONTRATAÇÃO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 xml:space="preserve">São requisitos para o presente estudo, empresas que supram as necessidades do solicitado e que tenha identificação com a finalidade do mesmo. 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Além disso, serão observados os requisitos de habilitação dos fornecedores tais como: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3– LEVANTAMENTO DE MERCADO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4- DESCRIÇÃO DA SOLUÇÃO COMO UM TODO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5– ESTIMATIVA DAS QUANTIDADES</w:t>
      </w:r>
    </w:p>
    <w:tbl>
      <w:tblPr>
        <w:tblStyle w:val="Tabelacomgrade"/>
        <w:tblW w:w="10020" w:type="dxa"/>
        <w:jc w:val="left"/>
        <w:tblInd w:w="-4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7"/>
        <w:gridCol w:w="7935"/>
        <w:gridCol w:w="1188"/>
      </w:tblGrid>
      <w:tr>
        <w:trPr>
          <w:trHeight w:val="360" w:hRule="atLeast"/>
        </w:trPr>
        <w:tc>
          <w:tcPr>
            <w:tcW w:w="897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ITEM</w:t>
            </w:r>
          </w:p>
        </w:tc>
        <w:tc>
          <w:tcPr>
            <w:tcW w:w="7935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DESCRIÇÃO</w:t>
            </w:r>
          </w:p>
        </w:tc>
        <w:tc>
          <w:tcPr>
            <w:tcW w:w="1188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QUANT.</w:t>
            </w:r>
          </w:p>
        </w:tc>
      </w:tr>
      <w:tr>
        <w:trPr>
          <w:trHeight w:val="360" w:hRule="atLeast"/>
        </w:trPr>
        <w:tc>
          <w:tcPr>
            <w:tcW w:w="897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1</w:t>
            </w:r>
          </w:p>
        </w:tc>
        <w:tc>
          <w:tcPr>
            <w:tcW w:w="7935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Armário em MDF 18mm, 2,40x2,60 na cor bran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c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a</w:t>
            </w:r>
          </w:p>
        </w:tc>
        <w:tc>
          <w:tcPr>
            <w:tcW w:w="1188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01</w:t>
            </w:r>
          </w:p>
        </w:tc>
      </w:tr>
    </w:tbl>
    <w:p>
      <w:pPr>
        <w:pStyle w:val="TableParagraph"/>
        <w:tabs>
          <w:tab w:val="clear" w:pos="708"/>
          <w:tab w:val="left" w:pos="743" w:leader="none"/>
        </w:tabs>
        <w:spacing w:before="112" w:after="0"/>
        <w:ind w:hanging="0" w:left="0"/>
        <w:rPr>
          <w:rFonts w:ascii="Courier New" w:hAnsi="Courier New" w:cs="Courier New"/>
          <w:sz w:val="24"/>
        </w:rPr>
      </w:pPr>
      <w:r>
        <w:rPr/>
      </w:r>
    </w:p>
    <w:p>
      <w:pPr>
        <w:pStyle w:val="NormalWeb"/>
        <w:spacing w:beforeAutospacing="0" w:before="0" w:afterAutospacing="0" w:after="0"/>
        <w:jc w:val="both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6– ESTIMATIVA DO PREÇO DA CONTRATAÇÃO</w:t>
      </w:r>
    </w:p>
    <w:tbl>
      <w:tblPr>
        <w:tblStyle w:val="Tabelacomgrade"/>
        <w:tblW w:w="10020" w:type="dxa"/>
        <w:jc w:val="left"/>
        <w:tblInd w:w="-48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7"/>
        <w:gridCol w:w="4368"/>
        <w:gridCol w:w="1020"/>
        <w:gridCol w:w="1875"/>
        <w:gridCol w:w="1920"/>
      </w:tblGrid>
      <w:tr>
        <w:trPr/>
        <w:tc>
          <w:tcPr>
            <w:tcW w:w="8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cs="Arial" w:ascii="Arial" w:hAnsi="Arial"/>
                <w:b/>
                <w:kern w:val="0"/>
                <w:lang w:val="pt-BR" w:eastAsia="en-US" w:bidi="ar-SA"/>
              </w:rPr>
              <w:t>Item</w:t>
            </w:r>
          </w:p>
        </w:tc>
        <w:tc>
          <w:tcPr>
            <w:tcW w:w="436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cs="Arial" w:ascii="Arial" w:hAnsi="Arial"/>
                <w:b/>
                <w:kern w:val="0"/>
                <w:lang w:val="pt-BR" w:eastAsia="en-US" w:bidi="ar-SA"/>
              </w:rPr>
              <w:t>Descrição</w:t>
            </w:r>
          </w:p>
        </w:tc>
        <w:tc>
          <w:tcPr>
            <w:tcW w:w="10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cs="Arial" w:ascii="Arial" w:hAnsi="Arial"/>
                <w:b/>
                <w:kern w:val="0"/>
                <w:lang w:val="pt-BR" w:eastAsia="en-US" w:bidi="ar-SA"/>
              </w:rPr>
              <w:t>Quant.</w:t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cs="Arial" w:ascii="Arial" w:hAnsi="Arial"/>
                <w:b/>
                <w:kern w:val="0"/>
                <w:lang w:val="pt-BR" w:eastAsia="en-US" w:bidi="ar-SA"/>
              </w:rPr>
              <w:t>Valor médio unitário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cs="Arial" w:ascii="Arial" w:hAnsi="Arial"/>
                <w:b/>
                <w:kern w:val="0"/>
                <w:lang w:val="pt-BR" w:eastAsia="en-US" w:bidi="ar-SA"/>
              </w:rPr>
              <w:t>Valor médio total</w:t>
            </w:r>
          </w:p>
        </w:tc>
      </w:tr>
      <w:tr>
        <w:trPr>
          <w:trHeight w:val="513" w:hRule="atLeast"/>
        </w:trPr>
        <w:tc>
          <w:tcPr>
            <w:tcW w:w="8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Cs/>
                <w:lang w:val="pt-BR"/>
              </w:rPr>
            </w:pPr>
            <w:r>
              <w:rPr>
                <w:rFonts w:cs="Arial" w:ascii="Arial" w:hAnsi="Arial"/>
                <w:bCs/>
                <w:kern w:val="0"/>
                <w:lang w:val="pt-BR" w:eastAsia="en-US" w:bidi="ar-SA"/>
              </w:rPr>
              <w:t>1</w:t>
            </w:r>
          </w:p>
        </w:tc>
        <w:tc>
          <w:tcPr>
            <w:tcW w:w="4368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Armário em MDF 18mm, 2,40x2,60 na cor bran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c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a</w:t>
            </w:r>
          </w:p>
        </w:tc>
        <w:tc>
          <w:tcPr>
            <w:tcW w:w="1020" w:type="dxa"/>
            <w:tcBorders/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01 un</w:t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ind w:hanging="0"/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R$ 3.960,00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0"/>
              <w:ind w:hanging="0"/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R$ 3.960,00</w:t>
            </w:r>
          </w:p>
        </w:tc>
      </w:tr>
      <w:tr>
        <w:trPr>
          <w:trHeight w:val="513" w:hRule="atLeast"/>
        </w:trPr>
        <w:tc>
          <w:tcPr>
            <w:tcW w:w="8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Cs/>
                <w:lang w:val="pt-BR"/>
              </w:rPr>
            </w:pPr>
            <w:r>
              <w:rPr>
                <w:rFonts w:cs="Arial" w:ascii="Arial" w:hAnsi="Arial"/>
                <w:bCs/>
                <w:lang w:val="pt-BR"/>
              </w:rPr>
            </w:r>
          </w:p>
        </w:tc>
        <w:tc>
          <w:tcPr>
            <w:tcW w:w="4368" w:type="dxa"/>
            <w:tcBorders>
              <w:top w:val="nil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jc w:val="center"/>
              <w:rPr>
                <w:b/>
                <w:bCs/>
              </w:rPr>
            </w:pPr>
            <w:r>
              <w:rPr>
                <w:rFonts w:cs="Courier New" w:ascii="Courier New" w:hAnsi="Courier New"/>
                <w:b/>
                <w:bCs/>
                <w:sz w:val="24"/>
              </w:rPr>
              <w:t>Total</w:t>
            </w: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Arial" w:hAnsi="Arial" w:cs="Arial"/>
                <w:b/>
                <w:bCs/>
                <w:lang w:val="pt-BR"/>
              </w:rPr>
            </w:pPr>
            <w:r>
              <w:rPr>
                <w:rFonts w:cs="Arial" w:ascii="Arial" w:hAnsi="Arial"/>
                <w:b/>
                <w:bCs/>
                <w:lang w:val="pt-BR"/>
              </w:rPr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rFonts w:ascii="Calibri" w:hAnsi="Calibri" w:cs="Arial"/>
                <w:b/>
                <w:bCs/>
                <w:lang w:val="pt-BR"/>
              </w:rPr>
            </w:pPr>
            <w:r>
              <w:rPr>
                <w:rFonts w:cs="Arial"/>
                <w:b/>
                <w:bCs/>
                <w:lang w:val="pt-BR"/>
              </w:rPr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hanging="0"/>
              <w:jc w:val="center"/>
              <w:rPr>
                <w:b/>
                <w:bCs/>
              </w:rPr>
            </w:pPr>
            <w:r>
              <w:rPr>
                <w:rFonts w:cs="Arial"/>
                <w:b/>
                <w:bCs/>
                <w:lang w:val="pt-BR"/>
              </w:rPr>
              <w:t xml:space="preserve">R$ </w:t>
            </w:r>
            <w:r>
              <w:rPr>
                <w:rFonts w:cs="Arial"/>
                <w:b/>
                <w:bCs/>
                <w:lang w:val="pt-BR"/>
              </w:rPr>
              <w:t>3.960,00</w:t>
            </w:r>
          </w:p>
        </w:tc>
      </w:tr>
    </w:tbl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Os valores estimados para estas aquisições foram baseados na consulta de valores, também com base nos parâmetros da IN 73/2020. Tendo em mãos 3 orçamentos, será contratado o de menor valor.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 xml:space="preserve">O valor total estimado dessas demandas ficará em </w:t>
      </w:r>
      <w:r>
        <w:rPr/>
        <w:t xml:space="preserve">R$ </w:t>
      </w:r>
      <w:r>
        <w:rPr/>
        <w:t>3.960</w:t>
      </w:r>
      <w:r>
        <w:rPr/>
        <w:t>,00</w:t>
      </w:r>
      <w:r>
        <w:rPr>
          <w:rFonts w:cs="Courier New" w:ascii="Courier New" w:hAnsi="Courier New"/>
        </w:rPr>
        <w:t xml:space="preserve"> (</w:t>
      </w:r>
      <w:r>
        <w:rPr>
          <w:rFonts w:cs="Courier New" w:ascii="Courier New" w:hAnsi="Courier New"/>
        </w:rPr>
        <w:t>três mil, novecentos e sessenta</w:t>
      </w:r>
      <w:r>
        <w:rPr>
          <w:rFonts w:cs="Courier New" w:ascii="Courier New" w:hAnsi="Courier New"/>
        </w:rPr>
        <w:t xml:space="preserve"> reais)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7– JUSTIFICATIVA PARA PARCELAMENTO</w:t>
      </w:r>
    </w:p>
    <w:p>
      <w:pPr>
        <w:pStyle w:val="Normal"/>
        <w:rPr>
          <w:rFonts w:ascii="Courier New" w:hAnsi="Courier New"/>
        </w:rPr>
      </w:pPr>
      <w:r>
        <w:rPr>
          <w:rFonts w:cs="Courier New" w:ascii="Courier New" w:hAnsi="Courier New"/>
        </w:rPr>
        <w:t>Ficará critério da equipe de contratações avaliar a forma de contratação.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8– CONTRATAÇÕES CORRELATAS/INTERDEPENDENTES</w:t>
      </w:r>
    </w:p>
    <w:p>
      <w:pPr>
        <w:pStyle w:val="Normal"/>
        <w:rPr>
          <w:rFonts w:ascii="Courier New" w:hAnsi="Courier New" w:cs="Courier New"/>
          <w:color w:val="FF0000"/>
          <w:u w:val="single"/>
        </w:rPr>
      </w:pPr>
      <w:r>
        <w:rPr>
          <w:rFonts w:cs="Courier New" w:ascii="Courier New" w:hAnsi="Courier New"/>
        </w:rPr>
        <w:t>Não se observam contratações correlatas com a referida demanda.</w:t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9– ALINHAMENTO COM PAC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A presente demanda tem previsão no PAC justificado no Item N°50 do referido plano.</w:t>
      </w:r>
    </w:p>
    <w:p>
      <w:pPr>
        <w:pStyle w:val="Normal"/>
        <w:ind w:hanging="0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10- DEMONSTRAÇÃO DOS RESULTADOS PRETENDIDOS</w:t>
      </w:r>
    </w:p>
    <w:p>
      <w:pPr>
        <w:pStyle w:val="Normal"/>
        <w:ind w:hanging="0"/>
        <w:rPr>
          <w:rFonts w:ascii="Courier New" w:hAnsi="Courier New" w:cs="Courier New"/>
        </w:rPr>
      </w:pPr>
      <w:r>
        <w:rPr>
          <w:rFonts w:cs="Courier New" w:ascii="Courier New" w:hAnsi="Courier New"/>
        </w:rPr>
        <w:tab/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A aquisição de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armário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, para educação infantil é fundamental para garantir um ambiente seguro, confortável e propício ao desenvolvimento das crianças. Esse móve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l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é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essencia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l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para proporcionar um espaço adequado, que é crucial para o crescimento saudável e o bem-estar emocional dos pequenos. A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escolha de mobilha 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apropriad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a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contribui para a organização do espaço, permitindo que a instituiç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>ão</w:t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sz w:val="24"/>
        </w:rPr>
        <w:t xml:space="preserve"> acomode um número maior de crianças de forma eficiente. Móveis adequados não apenas promovem a segurança, mas também favorecem a rotina pedagógica, criando um ambiente acolhedor que estimula a aprendizagem e o desenvolvimento integral das crianças. Portanto, a aquisição desses itens é uma prioridade para assegurar a qualidade do atendimento na educação infantil.</w:t>
      </w:r>
    </w:p>
    <w:p>
      <w:pPr>
        <w:pStyle w:val="Normal"/>
        <w:ind w:hanging="0"/>
        <w:rPr>
          <w:rFonts w:ascii="Courier New" w:hAnsi="Courier New" w:cs="Courier New"/>
        </w:rPr>
      </w:pPr>
      <w:r>
        <w:rPr/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11– PROVIDÊNCIAS PRÉVIAS AO CONTRATO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Por parte da administração, serão indicados servidores para acompanhar a entrega dos itens e atestar a qualidade dos mesmos.</w:t>
      </w:r>
    </w:p>
    <w:p>
      <w:pPr>
        <w:pStyle w:val="Normal"/>
        <w:ind w:hanging="0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12– IMPACTOS AMBIENTAIS</w:t>
      </w:r>
    </w:p>
    <w:p>
      <w:pPr>
        <w:pStyle w:val="Normal"/>
        <w:rPr>
          <w:u w:val="none"/>
        </w:rPr>
      </w:pPr>
      <w:r>
        <w:rPr>
          <w:rFonts w:cs="Courier New" w:ascii="Courier New" w:hAnsi="Courier New"/>
          <w:color w:val="000000"/>
          <w:u w:val="none"/>
        </w:rPr>
        <w:t>Esta contratação não causará impactos ambientais.</w:t>
      </w:r>
    </w:p>
    <w:p>
      <w:pPr>
        <w:pStyle w:val="Normal"/>
        <w:rPr>
          <w:u w:val="none"/>
        </w:rPr>
      </w:pPr>
      <w:r>
        <w:rPr/>
      </w:r>
    </w:p>
    <w:p>
      <w:pPr>
        <w:pStyle w:val="Normal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13– VIABILIDADE DA CONTRATAÇÃO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  <w:color w:val="000000"/>
        </w:rPr>
        <w:t>Portanto, diante do presente estudo, entende-se pela viabilidade da contratação da empresa para aquisição dos produtos citados acima.</w:t>
      </w:r>
    </w:p>
    <w:p>
      <w:pPr>
        <w:pStyle w:val="Normal"/>
        <w:spacing w:before="0" w:after="160"/>
        <w:rPr>
          <w:rFonts w:ascii="Courier New" w:hAnsi="Courier New" w:cs="Courier New"/>
          <w:color w:val="FF0000"/>
          <w:u w:val="single"/>
        </w:rPr>
      </w:pPr>
      <w:r>
        <w:rPr>
          <w:rFonts w:cs="Courier New" w:ascii="Courier New" w:hAnsi="Courier New"/>
          <w:color w:val="FF0000"/>
          <w:u w:val="singl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auto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4" wp14:anchorId="4836EAED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wp14:anchorId="4836EAED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administracao@pmibiraiaras.com.br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4" wp14:anchorId="4836EAED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wp14:anchorId="4836EAED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administracao@pmibiraiaras.com.br</w:t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314561422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542740105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lineRule="auto" w:line="240"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0c6d2e"/>
    <w:rPr>
      <w:rFonts w:ascii="Carlito" w:hAnsi="Carlito" w:eastAsia="Carlito" w:cs="Carlito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0c6d2e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hanging="0"/>
      <w:jc w:val="left"/>
    </w:pPr>
    <w:rPr>
      <w:rFonts w:ascii="Times New Roman" w:hAnsi="Times New Roman" w:eastAsia="Times New Roman"/>
      <w:lang w:eastAsia="pt-BR"/>
    </w:rPr>
  </w:style>
  <w:style w:type="paragraph" w:styleId="TableParagraph" w:customStyle="1">
    <w:name w:val="Table Paragraph"/>
    <w:basedOn w:val="Normal"/>
    <w:uiPriority w:val="1"/>
    <w:qFormat/>
    <w:rsid w:val="00d6196b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6196b"/>
    <w:pPr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Application>LibreOffice/24.8.5.2$Windows_X86_64 LibreOffice_project/fddf2685c70b461e7832239a0162a77216259f22</Application>
  <AppVersion>15.0000</AppVersion>
  <Pages>4</Pages>
  <Words>726</Words>
  <Characters>3925</Characters>
  <CharactersWithSpaces>4642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2024-07-25T18:30:00Z</dcterms:created>
  <dc:creator>Leonilce</dc:creator>
  <dc:description/>
  <dc:language>pt-BR</dc:language>
  <cp:lastModifiedBy/>
  <cp:lastPrinted>2025-03-06T09:23:34Z</cp:lastPrinted>
  <dcterms:modified xsi:type="dcterms:W3CDTF">2025-03-26T16:23:40Z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