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spacing w:line="36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C9C9C9" tmshd="1677721856, 0, 13224393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PROCESSO DE DISPENSA DE LICITAÇÃO</w:t>
      </w:r>
    </w:p>
    <w:p>
      <w:pPr>
        <w:spacing w:line="360" w:lineRule="auto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r>
    </w:p>
    <w:p>
      <w:pPr>
        <w:spacing w:line="36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C9C9C9" tmshd="1677721856, 0, 13224393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DISPENSA Nº 01/2026</w:t>
      </w:r>
    </w:p>
    <w:p>
      <w:pPr>
        <w:spacing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left="708" w:hanging="708"/>
        <w:spacing w:line="360" w:lineRule="auto"/>
        <w:jc w:val="both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Órgão Contemplado: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Secretaria de Planejamento, Industria, Comércio e Turismo</w:t>
      </w:r>
    </w:p>
    <w:p>
      <w:pPr>
        <w:ind w:left="708" w:hanging="708"/>
        <w:spacing w:line="360" w:lineRule="auto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left="708" w:hanging="708"/>
        <w:spacing w:line="360" w:lineRule="auto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left="708" w:hanging="708"/>
        <w:spacing w:line="360" w:lineRule="auto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Objeto</w:t>
      </w: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: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Contratação de serviços técnicos especializados para a elaboração do projeto básico e executivo de um Sistema de Cercamento Eletrônico e Videomonitoramento Urbano, em conformidade com as diretrizes da Secretaria Nacional de Segurança Pública, abrangendo o desenvolvimento completo do projeto, incluindo diagnóstico situacional, estudos de viabilidade, definição da arquitetura do sistema, especificação da infraestrutura e dos equipamentos necessários, bem como a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elaboração de memoriais, plantas, diagramas e demais documentos técnicos exigidos. O objeto inclui ainda o acompanhamento técnico da implantação, testes, validação e entrega final, assegurando que o  istema atenda às normas vigentes, às melhores práticas de segurança pública e às necessidades operacionais do município.</w:t>
      </w:r>
    </w:p>
    <w:p>
      <w:pPr>
        <w:spacing w:line="360" w:lineRule="auto"/>
        <w:jc w:val="both"/>
        <w:rPr>
          <w:rFonts w:ascii="Calibri" w:hAnsi="Calibri" w:eastAsia="Calibri" w:cs="Calibri"/>
          <w:color w:val="000000"/>
          <w:kern w:val="1"/>
          <w:sz w:val="22"/>
          <w:szCs w:val="22"/>
        </w:rPr>
      </w:pPr>
      <w:r>
        <w:rPr>
          <w:rFonts w:ascii="Calibri" w:hAnsi="Calibri" w:eastAsia="Calibri" w:cs="Calibri"/>
          <w:color w:val="000000"/>
          <w:kern w:val="1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pPr>
      <w:r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  <w:t>Data de abertura: 02.01.2026.</w:t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pPr>
      <w:r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pPr>
      <w:r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pPr>
      <w:r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pPr>
      <w:r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pPr>
      <w:r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r>
    </w:p>
    <w:p>
      <w:pPr>
        <w:spacing w:line="36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pPr>
      <w:r>
        <w:rPr>
          <w:rFonts w:ascii="Calibri" w:hAnsi="Calibri" w:eastAsia="Calibri" w:cs="Calibri"/>
          <w:color w:val="000000"/>
          <w:sz w:val="22"/>
          <w:szCs w:val="22"/>
          <w:shd w:val="clear" w:fill="ffffff"/>
        </w:rPr>
      </w:r>
    </w:p>
    <w:p>
      <w:pPr>
        <w:spacing w:line="360" w:lineRule="auto"/>
        <w:jc w:val="center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br w:type="page"/>
      </w: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PROCESSO DE DISPENSA DE LICITAÇÃO Nº 01/2026</w:t>
      </w:r>
    </w:p>
    <w:p>
      <w:pPr>
        <w:spacing w:line="36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 xml:space="preserve">Processo administrativo de compras e contratações </w:t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Secretaria de Planejamento, Industria, Comércio e Turismo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ind w:left="708" w:hanging="708"/>
        <w:spacing w:line="360" w:lineRule="auto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left="708" w:hanging="708"/>
        <w:spacing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Objeto</w:t>
      </w: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: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Contratação de serviços técnicos especializados para a elaboração do projeto básico e executivo de um Sistema de Cercamento Eletrônico e Videomonitoramento Urbano, em conformidade com as diretrizes da Secretaria Nacional de Segurança Pública, abrangendo o desenvolvimento completo do projeto, incluindo diagnóstico situacional, estudos de viabilidade, definição da arquitetura do sistema, especificação da infraestrutura e dos equipamentos necessários, bem como a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elaboração de memoriais, plantas, diagramas e demais documentos técnicos exigidos. O objeto inclui ainda o acompanhamento técnico da implantação, testes, validação e entrega final, assegurando que o  istema atenda às normas vigentes, às melhores práticas de segurança pública e às necessidades operacionais do município.</w:t>
      </w:r>
    </w:p>
    <w:p>
      <w:pPr>
        <w:spacing w:line="360" w:lineRule="auto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 xml:space="preserve">CERTIDÃO DE AUTUAÇÃO </w:t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Certifico que, nesta data, 02 de janeiro de 2026,  na Sala da Seção de Licitações e Contratos, autuei o presente procedimento licitatório, com os documentos que o instruem e, para constar, faço esta autuação.</w:t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_____/_____/________</w:t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________________________________________</w:t>
      </w:r>
    </w:p>
    <w:p>
      <w:pPr>
        <w:spacing w:line="360" w:lineRule="auto"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Presidente da Comissão de Licitação</w:t>
      </w:r>
    </w:p>
    <w:p>
      <w:pPr>
        <w:spacing w:line="360" w:lineRule="auto"/>
        <w:jc w:val="center"/>
        <w:rPr>
          <w:rFonts w:ascii="Calibri" w:hAnsi="Calibri" w:eastAsia="Calibri" w:cs="Calibri"/>
          <w:b/>
          <w:bCs w:val="0"/>
          <w:color w:val="000000"/>
          <w:sz w:val="22"/>
          <w:szCs w:val="22"/>
        </w:rPr>
      </w:pPr>
      <w:r>
        <w:br w:type="page"/>
      </w: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>JUSTIFICATIVA DE DISPENSA DE LICITAÇÃO Nº 01/2026</w:t>
      </w:r>
    </w:p>
    <w:p>
      <w:pPr>
        <w:spacing w:line="360" w:lineRule="auto"/>
        <w:jc w:val="center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Nos termos do art. 75, inciso II, da Lei Federal nº 14.133/2021, é dispensável a licitação para contratação que envolva valores inferiores a</w:t>
      </w:r>
      <w:r>
        <w:rPr>
          <w:rFonts w:ascii="Calibri" w:hAnsi="Calibri" w:eastAsia="Calibri" w:cs="Calibri"/>
          <w:b/>
          <w:color w:val="000000"/>
          <w:sz w:val="22"/>
          <w:szCs w:val="22"/>
        </w:rPr>
        <w:t xml:space="preserve"> R$ </w:t>
      </w:r>
      <w:r>
        <w:rPr>
          <w:rFonts w:ascii="Calibri" w:hAnsi="Calibri" w:eastAsia="Calibri" w:cs="Calibri"/>
          <w:b/>
          <w:color w:val="333333"/>
          <w:sz w:val="22"/>
          <w:szCs w:val="22"/>
          <w:shd w:val="clear" w:fill="ffffff"/>
        </w:rPr>
        <w:t>65.492,11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(sessenta e cinco mi, quatrocentos e noventa e dois reais com onze centavos), valores referentes ao ano de 2025, no caso de outros serviços e compras. Na aplicação deste princípio, o § 1º do mesmo art. 75 estabelece que deverão ser observadoso somatório do que for despendido no exercício financeiro pela respectiva unidade gestora e o somatório da despesa realizada com objetos de mesma natureza, entendidos como tais aqueles relativos a contratações no mesmo ramo de atividade. 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A contratação será por dispensa licitação, baseado no Inciso II, Art. 75 da Lei Federal nº 14.133/2021 que prevê que nos casos em que a contratação que envolva valores inferiores ao previsto neste inciso, podendo assim,  ser contratado a empresa especializada para execução de serviços técnicos visando à regularização e obtenção de outorga para sete poços artesianos.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A contratação dos serviços técnicos especializados é necessária para viabilizar a execução do objeto referente à emenda parlamentar destinada à implantação de um Sistema de Videomonitoramento Urbano Inteligente no Município de Tuparendi/RS, cuja proposta já se encontra aprovada. Para a correta aplicação dos recursos e o atendimento às diretrizes da Secretaria Nacional de Segurança Pública, faz-se indispensável a elaboração de um projeto básico e executivo que contemple o diagnóstico situacional, os estudos de viabilidade, a definição da arquitetura do sistema, as especificações da infraestrutura e dos equipamentos, bem como a produção de memoriais, plantas, diagramas e demais documentos técnicos obrigatórios.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 xml:space="preserve"> A elaboração desse projeto é imprescindível para caracterizar adequadamente o objeto, definir soluções técnicas viáveis, permitir a estimativa precisa dos custos e estruturar o termo de referência. Tais elementos são necessários para instruir corretamente o processo licitatório referente à implantação do sistema, garantindo eficiência administrativa, reduzindo riscos de execução inadequada e assegurando a correta utilização dos recursos oriundos da emenda parlamentar. Dessa forma, a contratação justifica-se pela necessidade de cumprir as exigências legais de planejamento, garantir segurança técnica ao processo e assegurar a execução regular, eficiente e alinhada às demandas operacionais do município.</w:t>
      </w:r>
    </w:p>
    <w:p>
      <w:pPr>
        <w:ind w:firstLine="708"/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O serviço Projeto Técnico de Videomonitoramento e Cercamento Eletrônico Urbano têm natureza de bens/serviços comuns, tendo em vista que seus padrões de desempenho e qualidade podem ser objetivamente definidos pelo edital, por meio de especificações usuais de mercado, nos termos do art. 6º, inciso X I, da Lei Federal nº 14.133/2021. A contratação será realizada por meio de licitação, na Dispensa de Licitação, com critério de julgamento por menor preço, nos termos dos artigos 6º, inciso XLI, 17, § 2º, e 34, todos da Lei Federal nº 14.133/2021.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Dotação:</w:t>
      </w:r>
    </w:p>
    <w:p>
      <w:pPr>
        <w:spacing w:line="360" w:lineRule="auto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sz w:val="22"/>
          <w:szCs w:val="22"/>
        </w:rPr>
      </w:pPr>
      <w:r>
        <w:rPr>
          <w:rFonts w:ascii="Calibri" w:hAnsi="Calibri" w:eastAsia="Calibri" w:cs="Calibri"/>
          <w:sz w:val="22"/>
          <w:szCs w:val="22"/>
        </w:rPr>
        <w:t xml:space="preserve">As despesas decorrentes da contratação correrão à conta da seguinte dotação orçamentária: 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Rubrica 210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Projeto 2142 – Manutenção das Atividades da Secretaria Municipal de Planejamento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Despesa 3390 39 00 00 000 Outros Serviços de Terceiros – Pessoa Jurídica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Vinculado: 500 – Recursos Não Vinculado de Impostos</w:t>
      </w:r>
    </w:p>
    <w:p>
      <w:pPr>
        <w:spacing w:line="360" w:lineRule="auto"/>
        <w:jc w:val="right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Tuparendi, 09 de janeiro de 2026.</w:t>
      </w:r>
    </w:p>
    <w:p>
      <w:pPr>
        <w:spacing w:line="36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spacing w:line="36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________________________________________________</w:t>
      </w:r>
    </w:p>
    <w:p>
      <w:pPr>
        <w:spacing/>
        <w:jc w:val="both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Secretaria de Planejamento, Industria, Comércio e Turismo</w:t>
      </w:r>
    </w:p>
    <w:p>
      <w:pPr>
        <w:ind w:right="17"/>
        <w:spacing w:before="188"/>
        <w:jc w:val="center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pacing w:val="-7" w:percent="94"/>
          <w:sz w:val="22"/>
          <w:szCs w:val="22"/>
          <w:u w:color="auto" w:val="single"/>
        </w:rPr>
        <w:t xml:space="preserve"> </w:t>
      </w:r>
      <w:r>
        <w:rPr>
          <w:rFonts w:ascii="Calibri" w:hAnsi="Calibri" w:eastAsia="Calibri" w:cs="Calibri"/>
          <w:b/>
          <w:color w:val="000000"/>
          <w:sz w:val="22"/>
          <w:szCs w:val="22"/>
          <w:u w:color="auto" w:val="single"/>
        </w:rPr>
        <w:t>PARECER JURÍDICO</w:t>
      </w:r>
      <w:r>
        <w:rPr>
          <w:rFonts w:ascii="Calibri" w:hAnsi="Calibri" w:eastAsia="Calibri" w:cs="Calibri"/>
          <w:b/>
          <w:color w:val="000000"/>
          <w:spacing w:val="-7" w:percent="94"/>
          <w:sz w:val="22"/>
          <w:szCs w:val="22"/>
          <w:u w:color="auto" w:val="single"/>
        </w:rPr>
        <w:t xml:space="preserve"> </w:t>
      </w:r>
      <w:r>
        <w:rPr>
          <w:rFonts w:ascii="Calibri" w:hAnsi="Calibri" w:eastAsia="Calibri" w:cs="Calibri"/>
          <w:b/>
          <w:color w:val="000000"/>
          <w:spacing w:val="-2" w:percent="98"/>
          <w:sz w:val="22"/>
          <w:szCs w:val="22"/>
          <w:u w:color="auto" w:val="single"/>
        </w:rPr>
        <w:t>PRÉVIO</w:t>
      </w:r>
      <w:r>
        <w:rPr>
          <w:rFonts w:ascii="Calibri" w:hAnsi="Calibri" w:eastAsia="Calibri" w:cs="Calibri"/>
          <w:b/>
          <w:color w:val="000000"/>
          <w:sz w:val="22"/>
          <w:szCs w:val="22"/>
        </w:rPr>
      </w:r>
    </w:p>
    <w:p>
      <w:pPr>
        <w:pStyle w:val="para12"/>
        <w:ind w:right="1359"/>
        <w:spacing/>
        <w:jc w:val="center"/>
        <w:rPr>
          <w:rFonts w:ascii="Calibri" w:hAnsi="Calibri" w:eastAsia="Calibri" w:cs="Calibri"/>
          <w:bCs w:val="0"/>
          <w:color w:val="000000"/>
          <w:sz w:val="22"/>
          <w:szCs w:val="22"/>
          <w:u w:color="auto" w:val="single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 xml:space="preserve">                          </w:t>
      </w:r>
      <w:r>
        <w:rPr>
          <w:rFonts w:ascii="Calibri" w:hAnsi="Calibri" w:eastAsia="Calibri" w:cs="Calibri"/>
          <w:bCs w:val="0"/>
          <w:color w:val="000000"/>
          <w:sz w:val="22"/>
          <w:szCs w:val="22"/>
          <w:u w:color="auto" w:val="single"/>
        </w:rPr>
        <w:t>(ART. 53, inciso I e II da Lei nº 14.133, de 2021).</w:t>
      </w:r>
      <w:r>
        <w:rPr>
          <w:rFonts w:ascii="Calibri" w:hAnsi="Calibri" w:eastAsia="Calibri" w:cs="Calibri"/>
          <w:bCs w:val="0"/>
          <w:color w:val="000000"/>
          <w:sz w:val="22"/>
          <w:szCs w:val="22"/>
          <w:u w:color="auto" w:val="single"/>
        </w:rPr>
      </w:r>
    </w:p>
    <w:p>
      <w:pPr>
        <w:pStyle w:val="para12"/>
        <w:ind w:right="83"/>
        <w:spacing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Assunto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 xml:space="preserve">: </w:t>
      </w:r>
      <w:r>
        <w:rPr>
          <w:rFonts w:ascii="Calibri" w:hAnsi="Calibri" w:eastAsia="Calibri" w:cs="Calibri"/>
          <w:b/>
          <w:color w:val="000000"/>
          <w:sz w:val="22"/>
          <w:szCs w:val="22"/>
          <w:u w:color="auto" w:val="single"/>
        </w:rPr>
        <w:t>Dispensa 01/2026.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83"/>
        <w:spacing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Interessado:</w:t>
      </w:r>
      <w:r>
        <w:rPr>
          <w:rFonts w:ascii="Calibri" w:hAnsi="Calibri" w:eastAsia="Calibri" w:cs="Calibri"/>
          <w:bCs w:val="0"/>
          <w:color w:val="000000"/>
          <w:spacing w:val="-7" w:percent="94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Pregoeiro(a)</w:t>
      </w:r>
      <w:r>
        <w:rPr>
          <w:rFonts w:ascii="Calibri" w:hAnsi="Calibri" w:eastAsia="Calibri" w:cs="Calibri"/>
          <w:bCs w:val="0"/>
          <w:color w:val="000000"/>
          <w:spacing w:val="-5" w:percent="96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oficial</w:t>
      </w:r>
      <w:r>
        <w:rPr>
          <w:rFonts w:ascii="Calibri" w:hAnsi="Calibri" w:eastAsia="Calibri" w:cs="Calibri"/>
          <w:bCs w:val="0"/>
          <w:color w:val="000000"/>
          <w:spacing w:val="-7" w:percent="94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e</w:t>
      </w:r>
      <w:r>
        <w:rPr>
          <w:rFonts w:ascii="Calibri" w:hAnsi="Calibri" w:eastAsia="Calibri" w:cs="Calibri"/>
          <w:bCs w:val="0"/>
          <w:color w:val="000000"/>
          <w:spacing w:val="-7" w:percent="94"/>
          <w:sz w:val="22"/>
          <w:szCs w:val="22"/>
        </w:rPr>
        <w:t>/ou Setor de Licitações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.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114" w:firstLine="1701"/>
        <w:spacing w:before="280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A presente análise jurídica, realizada nos termos do art. 53, I e II da Lei nº 14.133/2021 (Nova Lei de Licitações e Contratos - NLLC), versa sobre a legalidade das minutas do Edital e seus anexos para a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 Contratação de serviços técnicos especializados para a elaboração do projeto básico e executivo de um Sistema de Cercamento Eletrônico e Videomonitoramento Urbano, em conformidade com as diretrizes da Secretaria Nacional de Segurança Pública, abrangendo o desenvolvimento completo do projeto, incluindo diagnóstico situacional, estudos de viabilidade, definição da arquitetura do sistema, especificação da infraestrutura e dos equipamentos necessários, bem como a elaboração de memoriais, plantas, diagramas e demais documentos técnicos exigidos. O objeto inclui ainda o acompanhamento técnico da implantação, testes, validação e entrega final, assegurando que o  istema atenda às normas vigentes, às melhores práticas de segurança pública e às necessidades operacionais do município.</w:t>
      </w:r>
    </w:p>
    <w:p>
      <w:pPr>
        <w:spacing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bCs w:val="0"/>
          <w:color w:val="000000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ab/>
        <w:tab/>
        <w:t xml:space="preserve">   O serviço Projeto Técnico de Videomonitoramento e Cercamento Eletrônico Urbano têm natureza de bens/serviços comuns, tendo em vista que seus padrões de desempenho e qualidade podem ser objetivamente definidos pelo edital, por meio de especificações usuais de mercado, nos termos do art. 6º, inciso X I, da Lei Federal nº 14.133/2021. A contratação será realizada por meio de licitação, na Dispensa de Licitação, com critério de julgamento por menor preço, nos termos dos artigos 6º, inciso XLI, 17, § 2º, e 34, todos da Lei Federal nº 14.133/2021.</w:t>
      </w:r>
    </w:p>
    <w:p>
      <w:pPr>
        <w:spacing/>
        <w:jc w:val="both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ind w:firstLine="1701"/>
        <w:spacing/>
        <w:jc w:val="both"/>
        <w:tabs defTabSz="708">
          <w:tab w:val="left" w:pos="1644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É o breve relatório.</w:t>
      </w:r>
    </w:p>
    <w:p>
      <w:pPr>
        <w:ind w:firstLine="1701"/>
        <w:spacing/>
        <w:jc w:val="both"/>
        <w:tabs defTabSz="708">
          <w:tab w:val="left" w:pos="1644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Vieram os autos para exame e parecer.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Com efeito, nos termos do art. 37, inciso XXI, da Constituição da República, ressalvados os casos especificados na legislação, as obras, serviços, compras e alienações serão contratados mediante processo de licitação pública que assegure igualdade de condições a todos os concorrentes, com cláusulas que estabeleçam obrigações de pagamento, mantidas as condições efetivas da proposta, nos termos da lei, o qual somente permitirá as exigências de qualificação técnica e econômica indispensáveis à garantia do cumprimento das obrigações.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No que tange à contratação pretendia, a Lei nº 14.133/2021 efetivamente prevê a hipótese de dispensa de licitação nos termos do artigo 75, inciso XV. Neste sentido, não há o que opor, sob o aspecto jurídico.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Consta nos autos documentos de formalização da demanda (estudo técnico preliminar, termo de referência) que discrimina o objeto da contratação almejada, atendendo o disposto no art. 72, inciso II, da Lei nº 14.133/2021.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Houve estimativa de despesa, calculada na forma estabelecida no art. 23 da Lei nº 14.133/2021 (art. 72, inciso II), estando este, por conseguinte, justificado (art. 72, inciso VII).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A compatibilidade da previsão de recursos orçamentários com o compromisso a ser assumido (art. 72, inciso IV) restou comprovada na análise do termo de referência. Os documentos do futuro contratado anexos ao presente feito corroboram que o particular preenche os requisitos de habilitação e qualificação mínima necessária (art. 72, inciso V).</w:t>
      </w:r>
    </w:p>
    <w:p>
      <w:pPr>
        <w:ind w:firstLine="1701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A razão da escolha do futuro contrato está pautada em critério objetivo, qual seja, o menor preço ofertado, estando assim atendido o pressuposto do art. 72, inciso VI, da Lei nº 14.133/2021.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Em face do exposto, sob o aspecto jurídico, opina-se pela legalidade da contratação, nos termos do art. 75, inciso II da Lei nº 14.133/2021.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iCs w:val="0"/>
          <w:color w:val="000000"/>
          <w:sz w:val="22"/>
          <w:szCs w:val="22"/>
        </w:rPr>
      </w:pPr>
      <w:r>
        <w:rPr>
          <w:rFonts w:ascii="Calibri" w:hAnsi="Calibri" w:eastAsia="Calibri" w:cs="Calibri"/>
          <w:iCs w:val="0"/>
          <w:color w:val="000000"/>
          <w:sz w:val="22"/>
          <w:szCs w:val="22"/>
        </w:rPr>
        <w:t>Opina-se, outrossim, pela remessa dos autos à autoridade competente para promover a autorização da contratação, nos termos do art. 72, inciso VIII, da Lei nº 14.133/2021.</w:t>
      </w:r>
    </w:p>
    <w:p>
      <w:pPr>
        <w:ind w:firstLine="1701"/>
        <w:spacing/>
        <w:jc w:val="both"/>
        <w:tabs defTabSz="708">
          <w:tab w:val="left" w:pos="1701" w:leader="none"/>
        </w:tabs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  <w:u w:color="auto" w:val="single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O presente parecer, em conformidade com a NLLC, e</w:t>
      </w:r>
      <w:r>
        <w:rPr>
          <w:rFonts w:ascii="Calibri" w:hAnsi="Calibri" w:eastAsia="Calibri" w:cs="Calibri"/>
          <w:color w:val="000000"/>
          <w:spacing w:val="-3" w:percent="97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>suas</w:t>
      </w:r>
      <w:r>
        <w:rPr>
          <w:rFonts w:ascii="Calibri" w:hAnsi="Calibri" w:eastAsia="Calibri" w:cs="Calibri"/>
          <w:color w:val="000000"/>
          <w:spacing w:val="-3" w:percent="97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>modificações</w:t>
      </w:r>
      <w:r>
        <w:rPr>
          <w:rFonts w:ascii="Calibri" w:hAnsi="Calibri" w:eastAsia="Calibri" w:cs="Calibri"/>
          <w:color w:val="000000"/>
          <w:spacing w:val="-3" w:percent="97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>posteriores,</w:t>
      </w:r>
      <w:r>
        <w:rPr>
          <w:rFonts w:ascii="Calibri" w:hAnsi="Calibri" w:eastAsia="Calibri" w:cs="Calibri"/>
          <w:color w:val="000000"/>
          <w:spacing w:val="-1" w:percent="99"/>
          <w:sz w:val="22"/>
          <w:szCs w:val="22"/>
        </w:rPr>
        <w:t xml:space="preserve"> 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a Lei Complementar nº 123/2006 e suas alterações, e demais legislações correlatas, 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  <w:t>recomenda o prosseguimento regular do Edital e anexos d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  <w:t>a Dispensa de Licitação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  <w:t xml:space="preserve"> analisado, desde que todas as recomendações constantes neste parecer sejam atendidas, e mediante as publicações de estilo e a paginação dos autos.</w:t>
      </w:r>
      <w:r>
        <w:rPr>
          <w:rFonts w:ascii="Calibri" w:hAnsi="Calibri" w:eastAsia="Calibri" w:cs="Calibri"/>
          <w:color w:val="000000"/>
          <w:sz w:val="22"/>
          <w:szCs w:val="22"/>
          <w:u w:color="auto" w:val="single"/>
        </w:rPr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Este parecer é opinativo e não vincula o administrador. A responsabilidade pela gestão do bem público é da administração, que tem a liberdade de decidir sobre a continuidade do procedimento licitatório.</w:t>
      </w:r>
    </w:p>
    <w:p>
      <w:pPr>
        <w:ind w:firstLine="1644"/>
        <w:spacing/>
        <w:jc w:val="both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right="119" w:firstLine="1701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É</w:t>
      </w:r>
      <w:r>
        <w:rPr>
          <w:rFonts w:ascii="Calibri" w:hAnsi="Calibri" w:eastAsia="Calibri" w:cs="Calibri"/>
          <w:bCs w:val="0"/>
          <w:color w:val="000000"/>
          <w:spacing w:val="-6" w:percent="95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o</w:t>
      </w:r>
      <w:r>
        <w:rPr>
          <w:rFonts w:ascii="Calibri" w:hAnsi="Calibri" w:eastAsia="Calibri" w:cs="Calibri"/>
          <w:bCs w:val="0"/>
          <w:color w:val="000000"/>
          <w:spacing w:val="-2" w:percent="98"/>
          <w:sz w:val="22"/>
          <w:szCs w:val="22"/>
        </w:rPr>
        <w:t xml:space="preserve">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parecer.</w:t>
      </w:r>
    </w:p>
    <w:p>
      <w:pPr>
        <w:pStyle w:val="para12"/>
        <w:ind w:right="119" w:firstLine="1701"/>
        <w:spacing/>
        <w:jc w:val="righ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119" w:firstLine="1701"/>
        <w:spacing/>
        <w:jc w:val="righ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right="119" w:firstLine="1701"/>
        <w:spacing/>
        <w:jc w:val="righ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Tuparendi, 09 de janeiro de 2026.</w:t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spacing w:line="360" w:lineRule="auto"/>
        <w:jc w:val="both"/>
        <w:tabs defTabSz="720">
          <w:tab w:val="left" w:pos="1040" w:leader="none"/>
        </w:tabs>
        <w:rPr>
          <w:rFonts w:ascii="Calibri" w:hAnsi="Calibri" w:eastAsia="Calibri" w:cs="Calibri"/>
          <w:b/>
          <w:bCs w:val="0"/>
          <w:iCs w:val="0"/>
          <w:kern w:val="1"/>
          <w:sz w:val="22"/>
          <w:szCs w:val="22"/>
          <w:lang w:eastAsia="zh-cn"/>
        </w:rPr>
      </w:pPr>
      <w:r>
        <w:rPr>
          <w:rFonts w:ascii="Calibri" w:hAnsi="Calibri" w:eastAsia="Calibri" w:cs="Calibri"/>
          <w:b/>
          <w:bCs w:val="0"/>
          <w:iCs w:val="0"/>
          <w:kern w:val="1"/>
          <w:sz w:val="22"/>
          <w:szCs w:val="22"/>
          <w:lang w:eastAsia="zh-cn"/>
        </w:rPr>
        <w:t>Leila Isabel Leite Piekala</w:t>
      </w:r>
    </w:p>
    <w:p>
      <w:pPr>
        <w:spacing w:line="360" w:lineRule="auto"/>
        <w:jc w:val="both"/>
        <w:tabs defTabSz="720">
          <w:tab w:val="left" w:pos="1040" w:leader="none"/>
        </w:tabs>
        <w:rPr>
          <w:rFonts w:ascii="Calibri" w:hAnsi="Calibri" w:eastAsia="Calibri" w:cs="Calibri"/>
          <w:kern w:val="1"/>
          <w:sz w:val="22"/>
          <w:szCs w:val="22"/>
        </w:rPr>
      </w:pPr>
      <w:r>
        <w:rPr>
          <w:rFonts w:ascii="Calibri" w:hAnsi="Calibri" w:eastAsia="Calibri" w:cs="Calibri"/>
          <w:kern w:val="1"/>
          <w:sz w:val="22"/>
          <w:szCs w:val="22"/>
        </w:rPr>
        <w:t xml:space="preserve">Assessora Jurídica                              </w:t>
      </w:r>
    </w:p>
    <w:p>
      <w:pPr>
        <w:pStyle w:val="para23"/>
        <w:spacing w:line="360" w:lineRule="auto"/>
        <w:jc w:val="both"/>
        <w:rPr>
          <w:b/>
          <w:kern w:val="1"/>
          <w:sz w:val="22"/>
          <w:szCs w:val="22"/>
        </w:rPr>
      </w:pPr>
      <w:r>
        <w:rPr>
          <w:color w:val="auto"/>
          <w:kern w:val="1"/>
          <w:sz w:val="22"/>
          <w:szCs w:val="22"/>
        </w:rPr>
        <w:t>OAB/RS nº 53.642</w:t>
      </w:r>
      <w:r>
        <w:rPr>
          <w:b/>
          <w:kern w:val="1"/>
          <w:sz w:val="22"/>
          <w:szCs w:val="22"/>
        </w:rPr>
        <w:t xml:space="preserve">                               </w:t>
      </w:r>
      <w:r>
        <w:rPr>
          <w:b/>
          <w:kern w:val="1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center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ind w:left="708"/>
        <w:spacing/>
        <w:jc w:val="both"/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  <w:t xml:space="preserve">              </w:t>
      </w:r>
    </w:p>
    <w:p>
      <w:pPr>
        <w:spacing w:line="360" w:lineRule="auto"/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kern w:val="1"/>
          <w:sz w:val="22"/>
          <w:szCs w:val="22"/>
        </w:rPr>
        <w:t xml:space="preserve">         </w:t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pStyle w:val="para12"/>
        <w:ind w:left="709"/>
        <w:spacing w:before="57" w:line="360" w:lineRule="auto"/>
        <w:jc w:val="left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</w:r>
    </w:p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 xml:space="preserve">  </w:t>
      </w:r>
    </w:p>
    <w:p>
      <w:pPr>
        <w:spacing/>
        <w:jc w:val="center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Cs w:val="0"/>
          <w:color w:val="000000"/>
          <w:sz w:val="22"/>
          <w:szCs w:val="22"/>
        </w:rPr>
        <w:t xml:space="preserve"> </w:t>
      </w:r>
      <w:r>
        <w:rPr>
          <w:rFonts w:ascii="Calibri" w:hAnsi="Calibri" w:eastAsia="Calibri" w:cs="Calibri"/>
          <w:b/>
          <w:color w:val="000000"/>
          <w:sz w:val="22"/>
          <w:szCs w:val="22"/>
        </w:rPr>
        <w:t>PROCESSO DE DISPENSA DE LICITAÇÃO N° 01/202</w:t>
      </w:r>
      <w:r>
        <w:rPr>
          <w:rFonts w:ascii="Calibri" w:hAnsi="Calibri" w:eastAsia="Calibri" w:cs="Calibri"/>
          <w:b/>
          <w:color w:val="000000"/>
          <w:sz w:val="22"/>
          <w:szCs w:val="22"/>
        </w:rPr>
        <w:t>6</w:t>
      </w:r>
    </w:p>
    <w:p>
      <w:pPr>
        <w:pStyle w:val="para12"/>
        <w:ind w:left="709"/>
        <w:spacing w:before="57"/>
        <w:jc w:val="center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Gabinete do Prefeito</w:t>
      </w:r>
    </w:p>
    <w:p>
      <w:pPr>
        <w:pStyle w:val="para12"/>
        <w:ind w:left="709"/>
        <w:spacing w:before="57"/>
        <w:jc w:val="center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HOMOLOGAÇÃO E ADJUDICAÇÃO</w:t>
      </w:r>
    </w:p>
    <w:p>
      <w:pPr>
        <w:pStyle w:val="para12"/>
        <w:ind w:left="709"/>
        <w:spacing w:before="57"/>
        <w:jc w:val="center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left="1" w:firstLine="708"/>
        <w:spacing w:before="57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 xml:space="preserve">Torna-se pública a </w:t>
      </w:r>
      <w:r>
        <w:rPr>
          <w:rFonts w:ascii="Calibri" w:hAnsi="Calibri" w:eastAsia="Calibri" w:cs="Calibri"/>
          <w:b/>
          <w:color w:val="000000"/>
          <w:sz w:val="22"/>
          <w:szCs w:val="22"/>
        </w:rPr>
        <w:t>homologação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da Dispensa de Licitação n°</w:t>
      </w:r>
      <w:r>
        <w:rPr>
          <w:rFonts w:ascii="Calibri" w:hAnsi="Calibri" w:eastAsia="Calibri" w:cs="Calibri"/>
          <w:b/>
          <w:color w:val="000000"/>
          <w:sz w:val="22"/>
          <w:szCs w:val="22"/>
        </w:rPr>
        <w:t xml:space="preserve"> 01/2026,</w:t>
      </w:r>
      <w:r>
        <w:rPr>
          <w:rFonts w:ascii="Calibri" w:hAnsi="Calibri" w:eastAsia="Calibri" w:cs="Calibri"/>
          <w:color w:val="000000"/>
          <w:sz w:val="22"/>
          <w:szCs w:val="22"/>
        </w:rPr>
        <w:t xml:space="preserve"> cujo objeto é a Contratação de serviços técnicos especializados para a elaboração do projeto básico e executivo de um Sistema de Cercamento Eletrônico e Videomonitoramento Urbano, em conformidade com as diretrizes da Secretaria Nacional de Segurança Pública, abrangendo o desenvolvimento completo do projeto, incluindo diagnóstico situacional, estudos de viabilidade, definição da arquitetura do sistema, especificação da infraestrutura e dos equipamentos necessários, bem como a elaboração de memoriais, plantas, diagramas e demais documentos técnicos exigidos. O objeto inclui ainda o acompanhamento técnico da implantação, testes, validação e entrega final, assegurando que o  istema atenda às normas vigentes, às melhores práticas de segurança pública e às necessidades operacionais do município.</w:t>
      </w:r>
    </w:p>
    <w:p>
      <w:pPr>
        <w:pStyle w:val="para12"/>
        <w:ind w:left="1" w:firstLine="708"/>
        <w:spacing w:before="57" w:line="360" w:lineRule="auto"/>
        <w:rPr>
          <w:rFonts w:ascii="Calibri" w:hAnsi="Calibri" w:eastAsia="Calibri" w:cs="Calibri"/>
          <w:bCs w:val="0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 xml:space="preserve">A empresa a ser contratada será </w:t>
      </w:r>
      <w:r>
        <w:rPr>
          <w:rFonts w:ascii="Calibri" w:hAnsi="Calibri" w:eastAsia="Calibri" w:cs="Calibri"/>
          <w:bCs w:val="0"/>
          <w:sz w:val="22"/>
          <w:szCs w:val="22"/>
        </w:rPr>
        <w:t xml:space="preserve">PROTEL SUL TELECOMUNICAÇÕES E SEGURANÇA LTDA é empresa especializada na elaboração de projetos técnicos, estudos de viabilidade, especificações e acompanhamento de implantação de sistemas de segurança eletrônica, cercamento eletrônico e videomonitoramento urbano, atuando com soluções voltadas ao atendimento das necessidades do setor público. </w:t>
      </w:r>
      <w:r>
        <w:rPr>
          <w:rFonts w:ascii="Calibri" w:hAnsi="Calibri" w:eastAsia="Calibri" w:cs="Calibri"/>
          <w:bCs w:val="0"/>
          <w:color w:val="000000"/>
          <w:sz w:val="22"/>
          <w:szCs w:val="22"/>
        </w:rPr>
        <w:t>O valor a ser pago  pela contratação será de R$ 26.447,17 (vinte e seis mil, quatrocentos e quarenta e sete reais e dezessete centavos.</w:t>
      </w:r>
    </w:p>
    <w:p>
      <w:pPr>
        <w:pStyle w:val="para12"/>
        <w:ind w:left="1" w:firstLine="708"/>
        <w:spacing w:before="57"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Nestes termos, homologo e adjudico a</w:t>
      </w:r>
      <w:r>
        <w:rPr>
          <w:rFonts w:ascii="Calibri" w:hAnsi="Calibri" w:eastAsia="Calibri" w:cs="Calibri"/>
          <w:b/>
          <w:color w:val="000000"/>
          <w:sz w:val="22"/>
          <w:szCs w:val="22"/>
        </w:rPr>
        <w:t xml:space="preserve"> Dispensa de Licitação 01/2026.</w:t>
      </w: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left="709" w:firstLine="992"/>
        <w:spacing w:before="57"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left="709" w:firstLine="992"/>
        <w:spacing w:before="57"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left="709" w:firstLine="992"/>
        <w:spacing w:before="57"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left="709" w:firstLine="992"/>
        <w:spacing w:before="57" w:line="360" w:lineRule="auto"/>
        <w:jc w:val="right"/>
        <w:tabs defTabSz="708">
          <w:tab w:val="left" w:pos="9184" w:leader="none"/>
        </w:tabs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Tuparendi (RS), 09 de janeiro de 2026.</w:t>
      </w:r>
    </w:p>
    <w:p>
      <w:pPr>
        <w:pStyle w:val="para12"/>
        <w:ind w:left="709"/>
        <w:spacing w:before="57"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left="1"/>
        <w:spacing w:before="57"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left="1"/>
        <w:spacing w:before="57" w:line="360" w:lineRule="auto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</w:r>
    </w:p>
    <w:p>
      <w:pPr>
        <w:pStyle w:val="para12"/>
        <w:ind w:firstLine="851"/>
        <w:spacing w:before="57" w:line="360" w:lineRule="auto"/>
        <w:jc w:val="left"/>
        <w:rPr>
          <w:rFonts w:ascii="Calibri" w:hAnsi="Calibri" w:eastAsia="Calibri" w:cs="Calibri"/>
          <w:b/>
          <w:color w:val="000000"/>
          <w:sz w:val="22"/>
          <w:szCs w:val="22"/>
        </w:rPr>
      </w:pPr>
      <w:r>
        <w:rPr>
          <w:rFonts w:ascii="Calibri" w:hAnsi="Calibri" w:eastAsia="Calibri" w:cs="Calibri"/>
          <w:b/>
          <w:color w:val="000000"/>
          <w:sz w:val="22"/>
          <w:szCs w:val="22"/>
        </w:rPr>
        <w:t>Julio Cesar Mattiazzi,</w:t>
      </w:r>
    </w:p>
    <w:p>
      <w:pPr>
        <w:pStyle w:val="para12"/>
        <w:ind w:firstLine="851"/>
        <w:spacing w:before="57" w:line="360" w:lineRule="auto"/>
        <w:jc w:val="left"/>
        <w:rPr>
          <w:rFonts w:ascii="Calibri" w:hAnsi="Calibri" w:eastAsia="Calibri" w:cs="Calibri"/>
          <w:color w:val="000000"/>
          <w:sz w:val="22"/>
          <w:szCs w:val="22"/>
        </w:rPr>
      </w:pPr>
      <w:r>
        <w:rPr>
          <w:rFonts w:ascii="Calibri" w:hAnsi="Calibri" w:eastAsia="Calibri" w:cs="Calibri"/>
          <w:color w:val="000000"/>
          <w:sz w:val="22"/>
          <w:szCs w:val="22"/>
        </w:rPr>
        <w:t>Prefeito Municipal.</w:t>
      </w:r>
    </w:p>
    <w:p>
      <w:pPr>
        <w:spacing w:line="360" w:lineRule="auto"/>
        <w:pBdr>
          <w:top w:val="nil" w:sz="0" w:space="3" w:color="000000" tmln="20, 20, 20, 0, 60"/>
          <w:left w:val="nil" w:sz="0" w:space="3" w:color="000000" tmln="20, 20, 20, 0, 60"/>
          <w:bottom w:val="nil" w:sz="0" w:space="3" w:color="000000" tmln="20, 20, 20, 0, 60"/>
          <w:right w:val="nil" w:sz="0" w:space="3" w:color="000000" tmln="20, 20, 20, 0, 60"/>
          <w:between w:val="nil" w:sz="0" w:space="0" w:color="000000" tmln="20, 20, 20, 0, 0"/>
        </w:pBdr>
        <w:shd w:val="solid" w:color="FFFFFF" tmshd="1677721856, 0, 16777215"/>
        <w:rPr>
          <w:rFonts w:ascii="Times New Roman" w:hAnsi="Times New Roman"/>
          <w:bCs w:val="0"/>
          <w:color w:val="000000"/>
          <w:sz w:val="24"/>
          <w:szCs w:val="24"/>
        </w:rPr>
      </w:pPr>
      <w:r>
        <w:rPr>
          <w:rFonts w:ascii="Times New Roman" w:hAnsi="Times New Roman"/>
          <w:bCs w:val="0"/>
          <w:color w:val="000000"/>
          <w:sz w:val="24"/>
          <w:szCs w:val="24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headerReference w:type="default" r:id="rId8"/>
      <w:footerReference w:type="default" r:id="rId9"/>
      <w:type w:val="continuous"/>
      <w:pgSz w:h="16840" w:w="11907"/>
      <w:pgMar w:left="1701" w:top="1232" w:right="1021" w:bottom="567" w:footer="443"/>
      <w:paperSrc w:first="0" w:other="0" a="0" b="0"/>
      <w:pgNumType w:fmt="decimal"/>
      <w:tmGutter w:val="3"/>
      <w:mirrorMargins w:val="0"/>
      <w:tmSection w:h="-1">
        <w:tmHeader w:id="0" w:h="0" edge="720" text="0">
          <w:shd w:val="none"/>
        </w:tmHeader>
        <w:tmFooter w:id="0" w:h="0" edge="443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Arial">
    <w:panose1 w:val="020B0604020202020204"/>
    <w:charset w:val="00"/>
    <w:family w:val="swiss"/>
    <w:pitch w:val="default"/>
  </w:font>
  <w:font w:name="Calibri Light">
    <w:panose1 w:val="020F0302020204030204"/>
    <w:charset w:val="00"/>
    <w:family w:val="swiss"/>
    <w:pitch w:val="default"/>
  </w:font>
  <w:font w:name="Centaur">
    <w:panose1 w:val="02030504050205020304"/>
    <w:charset w:val="00"/>
    <w:family w:val="roman"/>
    <w:pitch w:val="default"/>
  </w:font>
  <w:font w:name="BernhardMod BT">
    <w:panose1 w:val="02020603050405020304"/>
    <w:charset w:val="00"/>
    <w:family w:val="roman"/>
    <w:pitch w:val="default"/>
  </w:font>
  <w:font w:name="Baskerville Old Face">
    <w:panose1 w:val="02020602080505020303"/>
    <w:charset w:val="00"/>
    <w:family w:val="roman"/>
    <w:pitch w:val="default"/>
  </w:font>
  <w:font w:name="Garamond">
    <w:panose1 w:val="02020404030301010803"/>
    <w:charset w:val="00"/>
    <w:family w:val="roman"/>
    <w:pitch w:val="default"/>
  </w:font>
  <w:font w:name="Modern No. 20">
    <w:panose1 w:val="02070704070505020303"/>
    <w:charset w:val="00"/>
    <w:family w:val="roman"/>
    <w:pitch w:val="default"/>
  </w:font>
  <w:font w:name="Tahom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ind w:right="360" w:firstLine="360"/>
      <w:rPr>
        <w:rFonts w:ascii="Times New Roman" w:hAnsi="Times New Roman"/>
        <w:color w:val="0000ff"/>
        <w:sz w:val="20"/>
        <w:lang w:val="en-us"/>
      </w:rPr>
    </w:pPr>
    <w:r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0" hidden="0" allowOverlap="1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228600" cy="145415"/>
              <wp:effectExtent l="0" t="0" r="0" b="0"/>
              <wp:wrapSquare wrapText="bothSides"/>
              <wp:docPr id="1" name="Caixa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extLst>
                        <a:ext uri="sm">
                          <sm:smNativeData xmlns:sm="sm" val="SMDATA_14_RPNgaR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hIwAAwTo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gAAQAAAAAAAAAADAAAAAQAAAAAAAAABAAAAAgAAAAEAAABoAQAA5QAAAAAAAAAeKQAAKT8AACgAAAAIAAAAAgAAAAIAAAA="/>
                        </a:ext>
                      </a:extLst>
                    </wps:cNvSpPr>
                    <wps:spPr>
                      <a:xfrm>
                        <a:off x="0" y="0"/>
                        <a:ext cx="228600" cy="145415"/>
                      </a:xfrm>
                      <a:prstGeom prst="rect">
                        <a:avLst/>
                      </a:prstGeom>
                      <a:noFill/>
                      <a:ln w="12700">
                        <a:noFill/>
                      </a:ln>
                    </wps:spPr>
                    <wps:txbx>
                      <w:txbxContent>
                        <w:p>
                          <w:pPr>
                            <w:pStyle w:val="para10"/>
                            <w:ind w:right="360"/>
                          </w:pPr>
                          <w:r/>
                        </w:p>
                      </w:txbxContent>
                    </wps:txbx>
                    <wps:bodyPr spcFirstLastPara="1" vertOverflow="clip" horzOverflow="clip" wrap="none" lIns="0" tIns="0" rIns="0" bIns="0" upright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path gradientshapeok="t" o:connecttype="rect"/>
            </v:shapetype>
            <v:shape id="CaixaTexto 2" o:spid="_x0000_s3073" type="#_x0000_t202" style="position:absolute;mso-position-horizontal:right;margin-top:0.05pt;mso-position-horizontal-relative:margin;width:18.00pt;height:11.45pt;z-index:251658241;mso-wrap-distance-left:0.00pt;mso-wrap-distance-top:0.00pt;mso-wrap-distance-right:0.00pt;mso-wrap-distance-bottom:0.00pt;mso-wrap-style:none" stroked="f" filled="f" v:ext="SMDATA_14_RPNgaRMAAAAlAAAAEgAAAA0AAAAAAAAAAAAAAAAAAAAAA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hIwAAwToAAAACAAAJAAAABAAAAAAAAAAeAAAAaAAAAAAAAAAAAAAAAAAAAAAAAAAAAAAAECcAABAnAAAAAAAAAAAAAAAAAAAAAAAAAAAAAAAAAAAAAAAAAAAAABQAAAAAAAAAwMD/AAAAAABkAAAAMgAAAAAAAABkAAAAAAAAAH9/fwAKAAAAIgAAABgAAAAAAAAAAAAAAAAAAAAAAAAAAAAAAAAAAAAkAAAAJAAAAAAAAAAHAAAAAAAAAAAAAAAAAAAAAAAAAAAAAAAAAAAAf39/ACUAAABYAAAAAAAAAAAAAAAAAAAAAAAAAAAAAAAAAAAAAAAAAAAAAAAAAAAAAAAAAAAAAAA/AAAAAAAAAKCGAQAAAAAAAAAAAAAAAAAMAAAAAQAAAAAAAAAAAAAAAAAAACEAAABAAAAAPAAAAAAAAACQogAAQAAAAAAAAAADAAAAAQAAAAAAAAABAAAAAgAAAAEAAABoAQAA5QAAAAAAAAAeKQAAKT8AACgAAAAIAAAAAgAAAAIAAAA=" o:insetmode="custom">
              <w10:wrap type="square" anchorx="margin" anchory="text"/>
              <v:textbox style="mso-fit-shape-to-text:t" inset="0.0pt,0.0pt,0.0pt,0.0pt">
                <w:txbxContent>
                  <w:p>
                    <w:pPr>
                      <w:pStyle w:val="para10"/>
                      <w:ind w:right="360"/>
                    </w:pPr>
                    <w:r/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/>
        <w:color w:val="0000ff"/>
        <w:sz w:val="20"/>
        <w:lang w:val="en-us"/>
      </w:rPr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</w:r>
  </w:p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noProof/>
      </w:rPr>
      <w:pict>
        <v:shapetype id="_x0000_t75" coordsize="21600,21600" o:spt="75" o:preferrelative="t" path="m,l,21600r21600,l21600,xe">
          <v:path gradientshapeok="t" o:connecttype="rect"/>
        </v:shapetype>
        <v:shape id="ObjetoOLE1" o:spid="_x0000_s2049" type="#_x0000_t75" style="position:absolute;margin-left:7.25pt;margin-top:1.75pt;width:63.60pt;height:59.35pt;z-index:251658242;mso-wrap-distance-left:9.00pt;mso-wrap-distance-top:0.00pt;mso-wrap-distance-right:9.00pt;mso-wrap-distance-bottom:0.00pt;mso-wrap-style:square" stroked="f" filled="f" v:ext="SMDATA_16_RPNgaR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wAACQAAAAQAAAAAAAAAHgAAAGgAAAAAAAAAAAAAAAAAAAAAAAAAAAAAABAnAAAQJwAAAAAAAAAAAAAAAAAAAAAAAAAAAAAAAAAAAAAAAAAAAAAUAAAAAAAAAMDA/wAAAAAAZAAAADIAAAAAAAAAZAAAAAAAAAB/f38AAAAAACIAAAAYAAAAAAAAAAAAAAAAAAAAAAAAAAAAAAAAAAAAJAAAACQAAAAAAAAABwAAAAAAAAAAAAAAAAAAAAAAAAAAAAAAAAAAAH9/fwAlAAAAWAAAAAAAAAAAAAAAAAAAAAAAAAAAAAAAAAAAAAAAAAAAAAAAAAAAAAAAAAAAAAAAPwAAAAAAAACghgEAAAAAAAAAAAAAAAAADAAAAAEAAAAAAAAAAAAAAAAAAAAhAAAAQAAAADwAAAABAAAAEKMAAAAAAAAAAAAAAAAAAAIAAACRAAAAAAAAAAIAAAAjAAAA+AQAAKMEAAAAAAAANgcAAPADAAAoAAAACAAAAAEAAAABAAAA">
          <v:imagedata r:id="rId1" o:title="media/image1"/>
          <w10:wrap type="tight" anchorx="text" anchory="text"/>
        </v:shape>
        <o:OLEObject Type="Embed" ProgID="Figura do Microsoft Word " ShapeID="ObjetoOLE1" DrawAspect="Content" ObjectID="_1" r:id="rId2"/>
      </w:pict>
    </w:r>
    <w:r>
      <w:rPr>
        <w:rFonts w:ascii="Arial" w:hAnsi="Arial" w:cs="Arial"/>
        <w:bCs w:val="0"/>
        <w:sz w:val="22"/>
        <w:szCs w:val="22"/>
      </w:rPr>
    </w:r>
  </w:p>
  <w:p>
    <w:pPr>
      <w:pStyle w:val="para11"/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Estado do Rio Grande do Sul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Prefeitura Municipal de Tuparendi (RS)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 xml:space="preserve">Avenida Tucunduva, 2617 – Telefone: 55 3543-00900 </w:t>
    </w:r>
  </w:p>
  <w:p>
    <w:pPr>
      <w:spacing/>
      <w:jc w:val="center"/>
      <w:rPr>
        <w:rFonts w:ascii="Arial" w:hAnsi="Arial" w:cs="Arial"/>
        <w:bCs w:val="0"/>
        <w:sz w:val="22"/>
        <w:szCs w:val="22"/>
      </w:rPr>
    </w:pPr>
    <w:r>
      <w:rPr>
        <w:rFonts w:ascii="Arial" w:hAnsi="Arial" w:cs="Arial"/>
        <w:bCs w:val="0"/>
        <w:sz w:val="22"/>
        <w:szCs w:val="22"/>
      </w:rPr>
      <w:t>CNPJ sob o nº 87.613.6009/0002-009</w:t>
    </w:r>
  </w:p>
  <w:p>
    <w:pPr>
      <w:pStyle w:val="para11"/>
      <w:spacing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Lista numerada 1"/>
    <w:lvl w:ilvl="0">
      <w:numFmt w:val="bullet"/>
      <w:suff w:val="tab"/>
      <w:lvlText w:val="-"/>
      <w:lvlJc w:val="left"/>
      <w:pPr>
        <w:ind w:left="2057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77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49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21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93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65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37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09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7817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Lista numerada 2"/>
    <w:lvl w:ilvl="0">
      <w:start w:val="1"/>
      <w:numFmt w:val="decimal"/>
      <w:suff w:val="tab"/>
      <w:lvlText w:val="%1."/>
      <w:lvlJc w:val="left"/>
      <w:pPr>
        <w:ind w:left="462" w:hanging="0"/>
      </w:pPr>
      <w:rPr>
        <w:rFonts w:ascii="Calibri Light" w:hAnsi="Calibri Light" w:eastAsia="Calibri Light" w:cs="Calibri Light"/>
        <w:b w:val="0"/>
        <w:spacing w:val="0" w:percent="100"/>
        <w:w w:val="100"/>
        <w:sz w:val="23"/>
        <w:szCs w:val="23"/>
        <w:lang w:val="pt-pt" w:eastAsia="en-us" w:bidi="ar-sa"/>
      </w:rPr>
    </w:lvl>
    <w:lvl w:ilvl="1">
      <w:numFmt w:val="bullet"/>
      <w:suff w:val="tab"/>
      <w:lvlText w:val=""/>
      <w:lvlJc w:val="left"/>
      <w:pPr>
        <w:ind w:left="462" w:hanging="0"/>
      </w:pPr>
      <w:rPr>
        <w:rFonts w:ascii="Symbol" w:hAnsi="Symbol" w:eastAsia="Symbol" w:cs="Symbol"/>
        <w:b w:val="0"/>
        <w:spacing w:val="0" w:percent="100"/>
        <w:w w:val="99"/>
        <w:sz w:val="20"/>
        <w:szCs w:val="20"/>
        <w:lang w:val="pt-pt" w:eastAsia="en-us" w:bidi="ar-sa"/>
      </w:rPr>
    </w:lvl>
    <w:lvl w:ilvl="2">
      <w:numFmt w:val="bullet"/>
      <w:suff w:val="tab"/>
      <w:lvlText w:val="•"/>
      <w:lvlJc w:val="left"/>
      <w:pPr>
        <w:ind w:left="2041" w:hanging="0"/>
      </w:pPr>
      <w:rPr>
        <w:lang w:val="pt-pt" w:eastAsia="en-us" w:bidi="ar-sa"/>
      </w:rPr>
    </w:lvl>
    <w:lvl w:ilvl="3">
      <w:numFmt w:val="bullet"/>
      <w:suff w:val="tab"/>
      <w:lvlText w:val="•"/>
      <w:lvlJc w:val="left"/>
      <w:pPr>
        <w:ind w:left="2831" w:hanging="0"/>
      </w:pPr>
      <w:rPr>
        <w:lang w:val="pt-pt" w:eastAsia="en-us" w:bidi="ar-sa"/>
      </w:rPr>
    </w:lvl>
    <w:lvl w:ilvl="4">
      <w:numFmt w:val="bullet"/>
      <w:suff w:val="tab"/>
      <w:lvlText w:val="•"/>
      <w:lvlJc w:val="left"/>
      <w:pPr>
        <w:ind w:left="3622" w:hanging="0"/>
      </w:pPr>
      <w:rPr>
        <w:lang w:val="pt-pt" w:eastAsia="en-us" w:bidi="ar-sa"/>
      </w:rPr>
    </w:lvl>
    <w:lvl w:ilvl="5">
      <w:numFmt w:val="bullet"/>
      <w:suff w:val="tab"/>
      <w:lvlText w:val="•"/>
      <w:lvlJc w:val="left"/>
      <w:pPr>
        <w:ind w:left="4413" w:hanging="0"/>
      </w:pPr>
      <w:rPr>
        <w:lang w:val="pt-pt" w:eastAsia="en-us" w:bidi="ar-sa"/>
      </w:rPr>
    </w:lvl>
    <w:lvl w:ilvl="6">
      <w:numFmt w:val="bullet"/>
      <w:suff w:val="tab"/>
      <w:lvlText w:val="•"/>
      <w:lvlJc w:val="left"/>
      <w:pPr>
        <w:ind w:left="5203" w:hanging="0"/>
      </w:pPr>
      <w:rPr>
        <w:lang w:val="pt-pt" w:eastAsia="en-us" w:bidi="ar-sa"/>
      </w:rPr>
    </w:lvl>
    <w:lvl w:ilvl="7">
      <w:numFmt w:val="bullet"/>
      <w:suff w:val="tab"/>
      <w:lvlText w:val="•"/>
      <w:lvlJc w:val="left"/>
      <w:pPr>
        <w:ind w:left="5994" w:hanging="0"/>
      </w:pPr>
      <w:rPr>
        <w:lang w:val="pt-pt" w:eastAsia="en-us" w:bidi="ar-sa"/>
      </w:rPr>
    </w:lvl>
    <w:lvl w:ilvl="8">
      <w:numFmt w:val="bullet"/>
      <w:suff w:val="tab"/>
      <w:lvlText w:val="•"/>
      <w:lvlJc w:val="left"/>
      <w:pPr>
        <w:ind w:left="6785" w:hanging="0"/>
      </w:pPr>
      <w:rPr>
        <w:lang w:val="pt-pt" w:eastAsia="en-us" w:bidi="ar-sa"/>
      </w:rPr>
    </w:lvl>
  </w:abstractNum>
  <w:abstractNum w:abstractNumId="3">
    <w:multiLevelType w:val="hybridMultilevel"/>
    <w:name w:val="Lista numerada 3"/>
    <w:lvl w:ilvl="0">
      <w:numFmt w:val="bullet"/>
      <w:suff w:val="tab"/>
      <w:lvlText w:val="-"/>
      <w:lvlJc w:val="left"/>
      <w:pPr>
        <w:ind w:left="2057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777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497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217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4937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657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377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097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7817" w:hanging="0"/>
      </w:pPr>
      <w:rPr>
        <w:rFonts w:ascii="Wingdings" w:hAnsi="Wingdings" w:eastAsia="Wingdings" w:cs="Wingdings"/>
      </w:rPr>
    </w:lvl>
  </w:abstractNum>
  <w:abstractNum w:abstractNumId="4">
    <w:multiLevelType w:val="hybridMultilevel"/>
    <w:name w:val="Lista numerada 4"/>
    <w:lvl w:ilvl="0">
      <w:numFmt w:val="bullet"/>
      <w:suff w:val="tab"/>
      <w:lvlText w:val="-"/>
      <w:lvlJc w:val="left"/>
      <w:pPr>
        <w:ind w:left="2244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964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6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4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124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8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5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84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8004" w:hanging="0"/>
      </w:pPr>
      <w:rPr>
        <w:rFonts w:ascii="Wingdings" w:hAnsi="Wingdings" w:eastAsia="Wingdings" w:cs="Wingdings"/>
      </w:rPr>
    </w:lvl>
  </w:abstractNum>
  <w:abstractNum w:abstractNumId="5">
    <w:multiLevelType w:val="hybridMultilevel"/>
    <w:name w:val="Lista numerada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 w:eastAsia="Times New Roman" w:cs="Aria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6">
    <w:multiLevelType w:val="hybridMultilevel"/>
    <w:name w:val="Lista numerada 6"/>
    <w:lvl w:ilvl="0">
      <w:numFmt w:val="bullet"/>
      <w:suff w:val="tab"/>
      <w:lvlText w:val="-"/>
      <w:lvlJc w:val="left"/>
      <w:pPr>
        <w:ind w:left="2244" w:hanging="0"/>
      </w:pPr>
      <w:rPr>
        <w:rFonts w:ascii="Times New Roman" w:hAnsi="Times New Roman" w:eastAsia="Times New Roman" w:cs="Times New Roman"/>
      </w:rPr>
    </w:lvl>
    <w:lvl w:ilvl="1">
      <w:numFmt w:val="bullet"/>
      <w:suff w:val="tab"/>
      <w:lvlText w:val="o"/>
      <w:lvlJc w:val="left"/>
      <w:pPr>
        <w:ind w:left="2964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3684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4404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5124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5844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6564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7284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8004" w:hanging="0"/>
      </w:pPr>
      <w:rPr>
        <w:rFonts w:ascii="Wingdings" w:hAnsi="Wingdings" w:eastAsia="Wingdings" w:cs="Wingdings"/>
      </w:rPr>
    </w:lvl>
  </w:abstractNum>
  <w:abstractNum w:abstractNumId="7">
    <w:multiLevelType w:val="hybridMultilevel"/>
    <w:name w:val="Lista numerada 7"/>
    <w:lvl w:ilvl="0">
      <w:numFmt w:val="bullet"/>
      <w:suff w:val="tab"/>
      <w:lvlText w:val=""/>
      <w:lvlJc w:val="left"/>
      <w:pPr>
        <w:ind w:left="795" w:hanging="0"/>
      </w:pPr>
      <w:rPr>
        <w:rFonts w:ascii="Symbol" w:hAnsi="Symbol" w:eastAsia="Times New Roman" w:cs="Arial"/>
      </w:rPr>
    </w:lvl>
    <w:lvl w:ilvl="1">
      <w:numFmt w:val="bullet"/>
      <w:suff w:val="tab"/>
      <w:lvlText w:val="o"/>
      <w:lvlJc w:val="left"/>
      <w:pPr>
        <w:ind w:left="1515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2235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955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675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4395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5115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835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555" w:hanging="0"/>
      </w:pPr>
      <w:rPr>
        <w:rFonts w:ascii="Wingdings" w:hAnsi="Wingdings" w:eastAsia="Wingdings" w:cs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view w:val="print"/>
  <w:defaultTabStop w:val="708"/>
  <w:autoHyphenation w:val="0"/>
  <w:doNotShadeFormData w:val="0"/>
  <w:captions>
    <w:caption w:name="Tabela" w:pos="below" w:numFmt="decimal"/>
    <w:caption w:name="Figura" w:pos="below" w:numFmt="decimal"/>
    <w:caption w:name="Imagem" w:pos="below" w:numFmt="decimal"/>
  </w:captions>
  <w:drawingGridHorizontalSpacing w:val="187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3074"/>
    <o:shapelayout v:ext="edit">
      <o:rules v:ext="edit"/>
    </o:shapelayout>
  </w:shapeDefaults>
  <w:tmPrefOne w:val="17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0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5"/>
    <w:tmLastPosSelect w:val="0"/>
    <w:tmLastPosFrameIdx w:val="0"/>
    <w:tmLastPosCaret>
      <w:tmLastPosPgfIdx w:val="118"/>
      <w:tmLastPosIdx w:val="32"/>
    </w:tmLastPosCaret>
    <w:tmLastPosAnchor>
      <w:tmLastPosPgfIdx w:val="0"/>
      <w:tmLastPosIdx w:val="0"/>
    </w:tmLastPosAnchor>
    <w:tmLastPosTblRect w:left="0" w:top="0" w:right="0" w:bottom="0"/>
  </w:tmLastPos>
  <w:tmAppRevision w:date="1767961412" w:val="1230" w:fileVer="342" w:fileVerOS="4"/>
  <w:guidesAndGrid showGuides="1" lockGuides="0" snapToGuides="1" snapToPageMargins="0" tolerance="8" gridDistanceHorizontal="187" gridDistanceVertical="283" showGrid="0" snapToGrid="0"/>
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\\server\Dados\COMPARTILHADA\2026\Dispensa de Licitação 2026\dispensa nº 01 Cercamento Eletrônico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0"/>
        <w:szCs w:val="20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entaur" w:hAnsi="Centaur"/>
      <w:bCs/>
      <w:iCs/>
      <w:sz w:val="28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Times New Roman" w:hAnsi="Times New Roman"/>
      <w:bCs w:val="0"/>
      <w:iCs w:val="0"/>
      <w:sz w:val="24"/>
    </w:rPr>
  </w:style>
  <w:style w:type="paragraph" w:styleId="para2">
    <w:name w:val="heading 2"/>
    <w:qFormat/>
    <w:basedOn w:val="para0"/>
    <w:next w:val="para0"/>
    <w:pPr>
      <w:spacing/>
      <w:jc w:val="center"/>
      <w:keepNext/>
      <w:outlineLvl w:val="1"/>
    </w:pPr>
    <w:rPr>
      <w:b/>
      <w:bCs w:val="0"/>
      <w:sz w:val="24"/>
    </w:rPr>
  </w:style>
  <w:style w:type="paragraph" w:styleId="para3">
    <w:name w:val="heading 3"/>
    <w:qFormat/>
    <w:basedOn w:val="para0"/>
    <w:next w:val="para0"/>
    <w:pPr>
      <w:spacing/>
      <w:jc w:val="both"/>
      <w:keepNext/>
      <w:outlineLvl w:val="2"/>
    </w:pPr>
    <w:rPr>
      <w:b/>
      <w:bCs w:val="0"/>
      <w:sz w:val="24"/>
      <w:u w:color="auto" w:val="single"/>
    </w:rPr>
  </w:style>
  <w:style w:type="paragraph" w:styleId="para4">
    <w:name w:val="heading 4"/>
    <w:qFormat/>
    <w:basedOn w:val="para0"/>
    <w:next w:val="para0"/>
    <w:pPr>
      <w:spacing/>
      <w:jc w:val="both"/>
      <w:keepNext/>
      <w:outlineLvl w:val="3"/>
    </w:pPr>
    <w:rPr>
      <w:rFonts w:ascii="BernhardMod BT" w:hAnsi="BernhardMod BT"/>
      <w:sz w:val="24"/>
      <w:u w:color="auto" w:val="single"/>
    </w:rPr>
  </w:style>
  <w:style w:type="paragraph" w:styleId="para5">
    <w:name w:val="heading 5"/>
    <w:qFormat/>
    <w:basedOn w:val="para0"/>
    <w:next w:val="para0"/>
    <w:pPr>
      <w:spacing/>
      <w:jc w:val="both"/>
      <w:keepNext/>
      <w:outlineLvl w:val="4"/>
    </w:pPr>
    <w:rPr>
      <w:rFonts w:ascii="Times New Roman" w:hAnsi="Times New Roman"/>
      <w:b/>
      <w:bCs w:val="0"/>
    </w:rPr>
  </w:style>
  <w:style w:type="paragraph" w:styleId="para6">
    <w:name w:val="heading 6"/>
    <w:qFormat/>
    <w:basedOn w:val="para0"/>
    <w:next w:val="para0"/>
    <w:pPr>
      <w:spacing w:line="360" w:lineRule="auto"/>
      <w:jc w:val="both"/>
      <w:keepNext/>
      <w:outlineLvl w:val="5"/>
    </w:pPr>
    <w:rPr>
      <w:b/>
      <w:bCs w:val="0"/>
      <w:sz w:val="24"/>
    </w:rPr>
  </w:style>
  <w:style w:type="paragraph" w:styleId="para7">
    <w:name w:val="heading 7"/>
    <w:qFormat/>
    <w:basedOn w:val="para0"/>
    <w:next w:val="para0"/>
    <w:pPr>
      <w:spacing w:line="360" w:lineRule="auto"/>
      <w:jc w:val="both"/>
      <w:keepNext/>
      <w:outlineLvl w:val="6"/>
    </w:pPr>
    <w:rPr>
      <w:b/>
      <w:bCs w:val="0"/>
      <w:i/>
      <w:iCs w:val="0"/>
      <w:sz w:val="24"/>
      <w:u w:color="auto" w:val="single"/>
    </w:rPr>
  </w:style>
  <w:style w:type="paragraph" w:styleId="para8">
    <w:name w:val="heading 8"/>
    <w:qFormat/>
    <w:basedOn w:val="para0"/>
    <w:next w:val="para0"/>
    <w:pPr>
      <w:keepNext/>
      <w:outlineLvl w:val="7"/>
    </w:pPr>
    <w:rPr>
      <w:rFonts w:ascii="Baskerville Old Face" w:hAnsi="Baskerville Old Face"/>
      <w:b/>
      <w:bCs w:val="0"/>
      <w:sz w:val="24"/>
      <w:u w:color="auto" w:val="single"/>
    </w:rPr>
  </w:style>
  <w:style w:type="paragraph" w:styleId="para9">
    <w:name w:val="heading 9"/>
    <w:qFormat/>
    <w:basedOn w:val="para0"/>
    <w:next w:val="para0"/>
    <w:pPr>
      <w:spacing/>
      <w:jc w:val="center"/>
      <w:keepNext/>
      <w:outlineLvl w:val="8"/>
    </w:pPr>
    <w:rPr>
      <w:rFonts w:ascii="Garamond" w:hAnsi="Garamond"/>
      <w:b/>
      <w:bCs w:val="0"/>
      <w:sz w:val="40"/>
      <w:u w:color="auto" w:val="single"/>
    </w:rPr>
  </w:style>
  <w:style w:type="paragraph" w:styleId="para10">
    <w:name w:val="Footer"/>
    <w:qFormat/>
    <w:basedOn w:val="para0"/>
    <w:pPr>
      <w:tabs defTabSz="708">
        <w:tab w:val="center" w:pos="4419" w:leader="none"/>
        <w:tab w:val="right" w:pos="8838" w:leader="none"/>
      </w:tabs>
    </w:pPr>
    <w:rPr>
      <w:rFonts w:ascii="Times New Roman" w:hAnsi="Times New Roman"/>
      <w:bCs w:val="0"/>
      <w:iCs w:val="0"/>
      <w:sz w:val="20"/>
    </w:rPr>
  </w:style>
  <w:style w:type="paragraph" w:styleId="para11">
    <w:name w:val="Head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12">
    <w:name w:val="Body Text"/>
    <w:qFormat/>
    <w:basedOn w:val="para0"/>
    <w:pPr>
      <w:spacing/>
      <w:jc w:val="both"/>
    </w:pPr>
    <w:rPr>
      <w:rFonts w:ascii="BernhardMod BT" w:hAnsi="BernhardMod BT"/>
      <w:sz w:val="24"/>
    </w:rPr>
  </w:style>
  <w:style w:type="paragraph" w:styleId="para13">
    <w:name w:val="Body Text 3"/>
    <w:qFormat/>
    <w:basedOn w:val="para0"/>
    <w:pPr>
      <w:spacing/>
      <w:jc w:val="center"/>
    </w:pPr>
    <w:rPr>
      <w:rFonts w:ascii="Modern No. 20" w:hAnsi="Modern No. 20"/>
      <w:b/>
    </w:rPr>
  </w:style>
  <w:style w:type="paragraph" w:styleId="para14">
    <w:name w:val="Body Text 2"/>
    <w:qFormat/>
    <w:basedOn w:val="para0"/>
    <w:pPr>
      <w:spacing/>
      <w:jc w:val="both"/>
    </w:pPr>
    <w:rPr>
      <w:rFonts w:ascii="Times New Roman" w:hAnsi="Times New Roman"/>
    </w:rPr>
  </w:style>
  <w:style w:type="paragraph" w:styleId="para15">
    <w:name w:val="Body Text Indent 3"/>
    <w:qFormat/>
    <w:basedOn w:val="para0"/>
    <w:pPr>
      <w:ind w:left="283"/>
      <w:spacing w:after="120"/>
    </w:pPr>
    <w:rPr>
      <w:rFonts w:ascii="Times New Roman" w:hAnsi="Times New Roman"/>
      <w:bCs w:val="0"/>
      <w:iCs w:val="0"/>
      <w:sz w:val="16"/>
      <w:szCs w:val="16"/>
    </w:rPr>
  </w:style>
  <w:style w:type="paragraph" w:styleId="para16" w:customStyle="1">
    <w:name w:val="Normal.R1"/>
    <w:qFormat/>
    <w:pPr>
      <w:spacing w:line="360" w:lineRule="atLeast"/>
      <w:jc w:val="both"/>
      <w:tabs defTabSz="708">
        <w:tab w:val="left" w:pos="1134" w:leader="none"/>
        <w:tab w:val="left" w:pos="1701" w:leader="none"/>
        <w:tab w:val="left" w:pos="2835" w:leader="none"/>
      </w:tabs>
    </w:pPr>
    <w:rPr>
      <w:rFonts w:ascii="Arial" w:hAnsi="Arial" w:cs="Arial"/>
      <w:color w:val="000000"/>
      <w:spacing w:val="23" w:percent="124"/>
      <w:sz w:val="22"/>
      <w:szCs w:val="22"/>
      <w:lang w:val="pt-br" w:eastAsia="pt-br" w:bidi="ar-sa"/>
    </w:rPr>
  </w:style>
  <w:style w:type="paragraph" w:styleId="para17">
    <w:name w:val="Body Text Indent"/>
    <w:qFormat/>
    <w:basedOn w:val="para0"/>
    <w:pPr>
      <w:ind w:left="2992"/>
      <w:spacing/>
      <w:jc w:val="both"/>
    </w:pPr>
  </w:style>
  <w:style w:type="paragraph" w:styleId="para18">
    <w:name w:val="Body Text Indent 2"/>
    <w:qFormat/>
    <w:basedOn w:val="para0"/>
    <w:pPr>
      <w:ind w:left="2992" w:hanging="2992"/>
      <w:spacing/>
      <w:jc w:val="both"/>
    </w:pPr>
  </w:style>
  <w:style w:type="paragraph" w:styleId="para19">
    <w:name w:val="Title"/>
    <w:qFormat/>
    <w:basedOn w:val="para0"/>
    <w:pPr>
      <w:spacing/>
      <w:jc w:val="center"/>
    </w:pPr>
    <w:rPr>
      <w:rFonts w:ascii="Arial" w:hAnsi="Arial"/>
      <w:bCs w:val="0"/>
      <w:iCs w:val="0"/>
    </w:rPr>
  </w:style>
  <w:style w:type="paragraph" w:styleId="para20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1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/>
      <w:bCs w:val="0"/>
      <w:iCs w:val="0"/>
      <w:sz w:val="24"/>
      <w:szCs w:val="24"/>
    </w:rPr>
  </w:style>
  <w:style w:type="paragraph" w:styleId="para22">
    <w:name w:val="List Paragraph"/>
    <w:qFormat/>
    <w:basedOn w:val="para0"/>
    <w:pPr>
      <w:ind w:left="328" w:hanging="226"/>
      <w:widowControl w:val="0"/>
    </w:pPr>
    <w:rPr>
      <w:rFonts w:ascii="Calibri Light" w:hAnsi="Calibri Light" w:eastAsia="Calibri Light" w:cs="Calibri Light"/>
      <w:bCs w:val="0"/>
      <w:iCs w:val="0"/>
      <w:sz w:val="22"/>
      <w:szCs w:val="22"/>
      <w:lang w:val="pt-pt" w:eastAsia="en-us"/>
    </w:rPr>
  </w:style>
  <w:style w:type="paragraph" w:styleId="para23" w:customStyle="1">
    <w:name w:val="Normal1"/>
    <w:qFormat/>
    <w:pPr>
      <w:suppressAutoHyphens/>
      <w:hyphenationLines w:val="0"/>
    </w:pPr>
    <w:rPr>
      <w:rFonts w:ascii="Calibri" w:hAnsi="Calibri" w:eastAsia="Calibri" w:cs="Calibri"/>
      <w:color w:val="000000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Page Number"/>
    <w:basedOn w:val="char0"/>
  </w:style>
  <w:style w:type="character" w:styleId="char3">
    <w:name w:val="Footnote Reference"/>
    <w:rPr>
      <w:rFonts w:ascii="Arial" w:hAnsi="Arial"/>
      <w:sz w:val="20"/>
      <w:vertAlign w:val="superscript"/>
    </w:rPr>
  </w:style>
  <w:style w:type="character" w:styleId="char4" w:customStyle="1">
    <w:name w:val="Título 1 Char"/>
    <w:basedOn w:val="char0"/>
    <w:rPr>
      <w:sz w:val="24"/>
    </w:rPr>
  </w:style>
  <w:style w:type="character" w:styleId="char5" w:customStyle="1">
    <w:name w:val="Corpo de texto Char"/>
    <w:basedOn w:val="char0"/>
    <w:rPr>
      <w:rFonts w:ascii="BernhardMod BT" w:hAnsi="BernhardMod BT"/>
      <w:bCs/>
      <w:iCs/>
      <w:sz w:val="24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0"/>
        <w:szCs w:val="20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entaur" w:hAnsi="Centaur"/>
      <w:bCs/>
      <w:iCs/>
      <w:sz w:val="28"/>
    </w:rPr>
  </w:style>
  <w:style w:type="paragraph" w:styleId="para1">
    <w:name w:val="heading 1"/>
    <w:qFormat/>
    <w:basedOn w:val="para0"/>
    <w:next w:val="para0"/>
    <w:pPr>
      <w:spacing/>
      <w:jc w:val="center"/>
      <w:keepNext/>
      <w:outlineLvl w:val="0"/>
    </w:pPr>
    <w:rPr>
      <w:rFonts w:ascii="Times New Roman" w:hAnsi="Times New Roman"/>
      <w:bCs w:val="0"/>
      <w:iCs w:val="0"/>
      <w:sz w:val="24"/>
    </w:rPr>
  </w:style>
  <w:style w:type="paragraph" w:styleId="para2">
    <w:name w:val="heading 2"/>
    <w:qFormat/>
    <w:basedOn w:val="para0"/>
    <w:next w:val="para0"/>
    <w:pPr>
      <w:spacing/>
      <w:jc w:val="center"/>
      <w:keepNext/>
      <w:outlineLvl w:val="1"/>
    </w:pPr>
    <w:rPr>
      <w:b/>
      <w:bCs w:val="0"/>
      <w:sz w:val="24"/>
    </w:rPr>
  </w:style>
  <w:style w:type="paragraph" w:styleId="para3">
    <w:name w:val="heading 3"/>
    <w:qFormat/>
    <w:basedOn w:val="para0"/>
    <w:next w:val="para0"/>
    <w:pPr>
      <w:spacing/>
      <w:jc w:val="both"/>
      <w:keepNext/>
      <w:outlineLvl w:val="2"/>
    </w:pPr>
    <w:rPr>
      <w:b/>
      <w:bCs w:val="0"/>
      <w:sz w:val="24"/>
      <w:u w:color="auto" w:val="single"/>
    </w:rPr>
  </w:style>
  <w:style w:type="paragraph" w:styleId="para4">
    <w:name w:val="heading 4"/>
    <w:qFormat/>
    <w:basedOn w:val="para0"/>
    <w:next w:val="para0"/>
    <w:pPr>
      <w:spacing/>
      <w:jc w:val="both"/>
      <w:keepNext/>
      <w:outlineLvl w:val="3"/>
    </w:pPr>
    <w:rPr>
      <w:rFonts w:ascii="BernhardMod BT" w:hAnsi="BernhardMod BT"/>
      <w:sz w:val="24"/>
      <w:u w:color="auto" w:val="single"/>
    </w:rPr>
  </w:style>
  <w:style w:type="paragraph" w:styleId="para5">
    <w:name w:val="heading 5"/>
    <w:qFormat/>
    <w:basedOn w:val="para0"/>
    <w:next w:val="para0"/>
    <w:pPr>
      <w:spacing/>
      <w:jc w:val="both"/>
      <w:keepNext/>
      <w:outlineLvl w:val="4"/>
    </w:pPr>
    <w:rPr>
      <w:rFonts w:ascii="Times New Roman" w:hAnsi="Times New Roman"/>
      <w:b/>
      <w:bCs w:val="0"/>
    </w:rPr>
  </w:style>
  <w:style w:type="paragraph" w:styleId="para6">
    <w:name w:val="heading 6"/>
    <w:qFormat/>
    <w:basedOn w:val="para0"/>
    <w:next w:val="para0"/>
    <w:pPr>
      <w:spacing w:line="360" w:lineRule="auto"/>
      <w:jc w:val="both"/>
      <w:keepNext/>
      <w:outlineLvl w:val="5"/>
    </w:pPr>
    <w:rPr>
      <w:b/>
      <w:bCs w:val="0"/>
      <w:sz w:val="24"/>
    </w:rPr>
  </w:style>
  <w:style w:type="paragraph" w:styleId="para7">
    <w:name w:val="heading 7"/>
    <w:qFormat/>
    <w:basedOn w:val="para0"/>
    <w:next w:val="para0"/>
    <w:pPr>
      <w:spacing w:line="360" w:lineRule="auto"/>
      <w:jc w:val="both"/>
      <w:keepNext/>
      <w:outlineLvl w:val="6"/>
    </w:pPr>
    <w:rPr>
      <w:b/>
      <w:bCs w:val="0"/>
      <w:i/>
      <w:iCs w:val="0"/>
      <w:sz w:val="24"/>
      <w:u w:color="auto" w:val="single"/>
    </w:rPr>
  </w:style>
  <w:style w:type="paragraph" w:styleId="para8">
    <w:name w:val="heading 8"/>
    <w:qFormat/>
    <w:basedOn w:val="para0"/>
    <w:next w:val="para0"/>
    <w:pPr>
      <w:keepNext/>
      <w:outlineLvl w:val="7"/>
    </w:pPr>
    <w:rPr>
      <w:rFonts w:ascii="Baskerville Old Face" w:hAnsi="Baskerville Old Face"/>
      <w:b/>
      <w:bCs w:val="0"/>
      <w:sz w:val="24"/>
      <w:u w:color="auto" w:val="single"/>
    </w:rPr>
  </w:style>
  <w:style w:type="paragraph" w:styleId="para9">
    <w:name w:val="heading 9"/>
    <w:qFormat/>
    <w:basedOn w:val="para0"/>
    <w:next w:val="para0"/>
    <w:pPr>
      <w:spacing/>
      <w:jc w:val="center"/>
      <w:keepNext/>
      <w:outlineLvl w:val="8"/>
    </w:pPr>
    <w:rPr>
      <w:rFonts w:ascii="Garamond" w:hAnsi="Garamond"/>
      <w:b/>
      <w:bCs w:val="0"/>
      <w:sz w:val="40"/>
      <w:u w:color="auto" w:val="single"/>
    </w:rPr>
  </w:style>
  <w:style w:type="paragraph" w:styleId="para10">
    <w:name w:val="Footer"/>
    <w:qFormat/>
    <w:basedOn w:val="para0"/>
    <w:pPr>
      <w:tabs defTabSz="708">
        <w:tab w:val="center" w:pos="4419" w:leader="none"/>
        <w:tab w:val="right" w:pos="8838" w:leader="none"/>
      </w:tabs>
    </w:pPr>
    <w:rPr>
      <w:rFonts w:ascii="Times New Roman" w:hAnsi="Times New Roman"/>
      <w:bCs w:val="0"/>
      <w:iCs w:val="0"/>
      <w:sz w:val="20"/>
    </w:rPr>
  </w:style>
  <w:style w:type="paragraph" w:styleId="para11">
    <w:name w:val="Header"/>
    <w:qFormat/>
    <w:basedOn w:val="para0"/>
    <w:pPr>
      <w:tabs defTabSz="708">
        <w:tab w:val="center" w:pos="4419" w:leader="none"/>
        <w:tab w:val="right" w:pos="8838" w:leader="none"/>
      </w:tabs>
    </w:pPr>
  </w:style>
  <w:style w:type="paragraph" w:styleId="para12">
    <w:name w:val="Body Text"/>
    <w:qFormat/>
    <w:basedOn w:val="para0"/>
    <w:pPr>
      <w:spacing/>
      <w:jc w:val="both"/>
    </w:pPr>
    <w:rPr>
      <w:rFonts w:ascii="BernhardMod BT" w:hAnsi="BernhardMod BT"/>
      <w:sz w:val="24"/>
    </w:rPr>
  </w:style>
  <w:style w:type="paragraph" w:styleId="para13">
    <w:name w:val="Body Text 3"/>
    <w:qFormat/>
    <w:basedOn w:val="para0"/>
    <w:pPr>
      <w:spacing/>
      <w:jc w:val="center"/>
    </w:pPr>
    <w:rPr>
      <w:rFonts w:ascii="Modern No. 20" w:hAnsi="Modern No. 20"/>
      <w:b/>
    </w:rPr>
  </w:style>
  <w:style w:type="paragraph" w:styleId="para14">
    <w:name w:val="Body Text 2"/>
    <w:qFormat/>
    <w:basedOn w:val="para0"/>
    <w:pPr>
      <w:spacing/>
      <w:jc w:val="both"/>
    </w:pPr>
    <w:rPr>
      <w:rFonts w:ascii="Times New Roman" w:hAnsi="Times New Roman"/>
    </w:rPr>
  </w:style>
  <w:style w:type="paragraph" w:styleId="para15">
    <w:name w:val="Body Text Indent 3"/>
    <w:qFormat/>
    <w:basedOn w:val="para0"/>
    <w:pPr>
      <w:ind w:left="283"/>
      <w:spacing w:after="120"/>
    </w:pPr>
    <w:rPr>
      <w:rFonts w:ascii="Times New Roman" w:hAnsi="Times New Roman"/>
      <w:bCs w:val="0"/>
      <w:iCs w:val="0"/>
      <w:sz w:val="16"/>
      <w:szCs w:val="16"/>
    </w:rPr>
  </w:style>
  <w:style w:type="paragraph" w:styleId="para16" w:customStyle="1">
    <w:name w:val="Normal.R1"/>
    <w:qFormat/>
    <w:pPr>
      <w:spacing w:line="360" w:lineRule="atLeast"/>
      <w:jc w:val="both"/>
      <w:tabs defTabSz="708">
        <w:tab w:val="left" w:pos="1134" w:leader="none"/>
        <w:tab w:val="left" w:pos="1701" w:leader="none"/>
        <w:tab w:val="left" w:pos="2835" w:leader="none"/>
      </w:tabs>
    </w:pPr>
    <w:rPr>
      <w:rFonts w:ascii="Arial" w:hAnsi="Arial" w:cs="Arial"/>
      <w:color w:val="000000"/>
      <w:spacing w:val="23" w:percent="124"/>
      <w:sz w:val="22"/>
      <w:szCs w:val="22"/>
      <w:lang w:val="pt-br" w:eastAsia="pt-br" w:bidi="ar-sa"/>
    </w:rPr>
  </w:style>
  <w:style w:type="paragraph" w:styleId="para17">
    <w:name w:val="Body Text Indent"/>
    <w:qFormat/>
    <w:basedOn w:val="para0"/>
    <w:pPr>
      <w:ind w:left="2992"/>
      <w:spacing/>
      <w:jc w:val="both"/>
    </w:pPr>
  </w:style>
  <w:style w:type="paragraph" w:styleId="para18">
    <w:name w:val="Body Text Indent 2"/>
    <w:qFormat/>
    <w:basedOn w:val="para0"/>
    <w:pPr>
      <w:ind w:left="2992" w:hanging="2992"/>
      <w:spacing/>
      <w:jc w:val="both"/>
    </w:pPr>
  </w:style>
  <w:style w:type="paragraph" w:styleId="para19">
    <w:name w:val="Title"/>
    <w:qFormat/>
    <w:basedOn w:val="para0"/>
    <w:pPr>
      <w:spacing/>
      <w:jc w:val="center"/>
    </w:pPr>
    <w:rPr>
      <w:rFonts w:ascii="Arial" w:hAnsi="Arial"/>
      <w:bCs w:val="0"/>
      <w:iCs w:val="0"/>
    </w:rPr>
  </w:style>
  <w:style w:type="paragraph" w:styleId="para20">
    <w:name w:val="Balloon Text"/>
    <w:qFormat/>
    <w:basedOn w:val="para0"/>
    <w:rPr>
      <w:rFonts w:ascii="Tahoma" w:hAnsi="Tahoma" w:cs="Tahoma"/>
      <w:sz w:val="16"/>
      <w:szCs w:val="16"/>
    </w:rPr>
  </w:style>
  <w:style w:type="paragraph" w:styleId="para21">
    <w:name w:val="Normal (Web)"/>
    <w:qFormat/>
    <w:basedOn w:val="para0"/>
    <w:pPr>
      <w:spacing w:before="100" w:after="100" w:beforeAutospacing="1" w:afterAutospacing="1"/>
    </w:pPr>
    <w:rPr>
      <w:rFonts w:ascii="Times New Roman" w:hAnsi="Times New Roman"/>
      <w:bCs w:val="0"/>
      <w:iCs w:val="0"/>
      <w:sz w:val="24"/>
      <w:szCs w:val="24"/>
    </w:rPr>
  </w:style>
  <w:style w:type="paragraph" w:styleId="para22">
    <w:name w:val="List Paragraph"/>
    <w:qFormat/>
    <w:basedOn w:val="para0"/>
    <w:pPr>
      <w:ind w:left="328" w:hanging="226"/>
      <w:widowControl w:val="0"/>
    </w:pPr>
    <w:rPr>
      <w:rFonts w:ascii="Calibri Light" w:hAnsi="Calibri Light" w:eastAsia="Calibri Light" w:cs="Calibri Light"/>
      <w:bCs w:val="0"/>
      <w:iCs w:val="0"/>
      <w:sz w:val="22"/>
      <w:szCs w:val="22"/>
      <w:lang w:val="pt-pt" w:eastAsia="en-us"/>
    </w:rPr>
  </w:style>
  <w:style w:type="paragraph" w:styleId="para23" w:customStyle="1">
    <w:name w:val="Normal1"/>
    <w:qFormat/>
    <w:pPr>
      <w:suppressAutoHyphens/>
      <w:hyphenationLines w:val="0"/>
    </w:pPr>
    <w:rPr>
      <w:rFonts w:ascii="Calibri" w:hAnsi="Calibri" w:eastAsia="Calibri" w:cs="Calibri"/>
      <w:color w:val="000000"/>
      <w:sz w:val="24"/>
      <w:szCs w:val="24"/>
      <w:lang w:val="pt-br" w:eastAsia="zh-cn" w:bidi="ar-sa"/>
    </w:rPr>
  </w:style>
  <w:style w:type="character" w:styleId="char0" w:default="1">
    <w:name w:val="Default Paragraph Font"/>
  </w:style>
  <w:style w:type="character" w:styleId="char1">
    <w:name w:val="Hyperlink"/>
    <w:rPr>
      <w:color w:val="0000ff"/>
      <w:u w:color="auto" w:val="single"/>
    </w:rPr>
  </w:style>
  <w:style w:type="character" w:styleId="char2">
    <w:name w:val="Page Number"/>
    <w:basedOn w:val="char0"/>
  </w:style>
  <w:style w:type="character" w:styleId="char3">
    <w:name w:val="Footnote Reference"/>
    <w:rPr>
      <w:rFonts w:ascii="Arial" w:hAnsi="Arial"/>
      <w:sz w:val="20"/>
      <w:vertAlign w:val="superscript"/>
    </w:rPr>
  </w:style>
  <w:style w:type="character" w:styleId="char4" w:customStyle="1">
    <w:name w:val="Título 1 Char"/>
    <w:basedOn w:val="char0"/>
    <w:rPr>
      <w:sz w:val="24"/>
    </w:rPr>
  </w:style>
  <w:style w:type="character" w:styleId="char5" w:customStyle="1">
    <w:name w:val="Corpo de texto Char"/>
    <w:basedOn w:val="char0"/>
    <w:rPr>
      <w:rFonts w:ascii="BernhardMod BT" w:hAnsi="BernhardMod BT"/>
      <w:bCs/>
      <w:iCs/>
      <w:sz w:val="24"/>
    </w:rPr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a com grade"/>
    <w:basedOn w:val="NormalTable"/>
    <w:tblPr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1.wmf"/><Relationship Id="rId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entaur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rev.1230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EXMO</dc:title>
  <dc:subject/>
  <dc:creator>Olavo</dc:creator>
  <cp:keywords/>
  <dc:description/>
  <cp:lastModifiedBy/>
  <cp:revision>50</cp:revision>
  <cp:lastPrinted>2025-08-14T16:53:56Z</cp:lastPrinted>
  <dcterms:created xsi:type="dcterms:W3CDTF">2025-01-21T13:02:00Z</dcterms:created>
  <dcterms:modified xsi:type="dcterms:W3CDTF">2026-01-09T12:23:32Z</dcterms:modified>
</cp:coreProperties>
</file>