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spacing w:line="360" w:lineRule="auto"/>
        <w:jc w:val="center"/>
        <w:rPr>
          <w:rFonts w:ascii="Calibri" w:hAnsi="Calibri" w:eastAsia="Calibri" w:cs="Calibri"/>
          <w:b/>
          <w:bCs w:val="0"/>
          <w:color w:val="000000"/>
          <w:sz w:val="22"/>
          <w:szCs w:val="22"/>
        </w:rPr>
      </w:pPr>
      <w:r>
        <w:rPr>
          <w:rFonts w:ascii="Calibri" w:hAnsi="Calibri" w:eastAsia="Calibri" w:cs="Calibri"/>
          <w:b/>
          <w:bCs w:val="0"/>
          <w:color w:val="000000"/>
          <w:sz w:val="22"/>
          <w:szCs w:val="22"/>
        </w:rPr>
        <w:t>JUSTIFICATIVA DE DISPENSA DE LICITAÇÃO Nº 01/2026</w:t>
      </w:r>
    </w:p>
    <w:p>
      <w:pPr>
        <w:spacing w:line="360" w:lineRule="auto"/>
        <w:jc w:val="center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ascii="Calibri" w:hAnsi="Calibri" w:eastAsia="Calibri" w:cs="Calibri"/>
          <w:color w:val="000000"/>
          <w:sz w:val="22"/>
          <w:szCs w:val="22"/>
        </w:rPr>
      </w:r>
    </w:p>
    <w:p>
      <w:pPr>
        <w:ind w:firstLine="708"/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ascii="Calibri" w:hAnsi="Calibri" w:eastAsia="Calibri" w:cs="Calibri"/>
          <w:color w:val="000000"/>
          <w:sz w:val="22"/>
          <w:szCs w:val="22"/>
        </w:rPr>
        <w:t>Nos termos do art. 75, inciso II, da Lei Federal nº 14.133/2021, é dispensável a licitação para contratação que envolva valores inferiores a</w:t>
      </w:r>
      <w:r>
        <w:rPr>
          <w:rFonts w:ascii="Calibri" w:hAnsi="Calibri" w:eastAsia="Calibri" w:cs="Calibri"/>
          <w:b/>
          <w:color w:val="000000"/>
          <w:sz w:val="22"/>
          <w:szCs w:val="22"/>
        </w:rPr>
        <w:t xml:space="preserve"> R$ </w:t>
      </w:r>
      <w:r>
        <w:rPr>
          <w:rFonts w:ascii="Calibri" w:hAnsi="Calibri" w:eastAsia="Calibri" w:cs="Calibri"/>
          <w:b/>
          <w:color w:val="333333"/>
          <w:sz w:val="22"/>
          <w:szCs w:val="22"/>
          <w:shd w:val="clear" w:fill="ffffff"/>
        </w:rPr>
        <w:t>65.492,11</w:t>
      </w:r>
      <w:r>
        <w:rPr>
          <w:rFonts w:ascii="Calibri" w:hAnsi="Calibri" w:eastAsia="Calibri" w:cs="Calibri"/>
          <w:color w:val="000000"/>
          <w:sz w:val="22"/>
          <w:szCs w:val="22"/>
        </w:rPr>
        <w:t xml:space="preserve"> (sessenta e cinco mi, quatrocentos e noventa e dois reais com onze centavos), valores referentes ao ano de 2025, no caso de outros serviços e compras. Na aplicação deste princípio, o § 1º do mesmo art. 75 estabelece que deverão ser observadoso somatório do que for despendido no exercício financeiro pela respectiva unidade gestora e o somatório da despesa realizada com objetos de mesma natureza, entendidos como tais aqueles relativos a contratações no mesmo ramo de atividade. </w:t>
      </w:r>
      <w:r>
        <w:rPr>
          <w:rFonts w:ascii="Calibri" w:hAnsi="Calibri" w:eastAsia="Calibri" w:cs="Calibri"/>
          <w:color w:val="000000"/>
          <w:sz w:val="22"/>
          <w:szCs w:val="22"/>
        </w:rPr>
      </w:r>
    </w:p>
    <w:p>
      <w:pPr>
        <w:ind w:firstLine="708"/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ascii="Calibri" w:hAnsi="Calibri" w:eastAsia="Calibri" w:cs="Calibri"/>
          <w:color w:val="000000"/>
          <w:sz w:val="22"/>
          <w:szCs w:val="22"/>
        </w:rPr>
        <w:t>A contratação será por dispensa licitação, baseado no Inciso II, Art. 75 da Lei Federal nº 14.133/2021 que prevê que nos casos em que a contratação que envolva valores inferiores ao previsto neste inciso, podendo assim,  ser contratado a empresa especializada para execução de serviços técnicos visando à regularização e obtenção de outorga para sete poços artesianos.</w:t>
      </w:r>
    </w:p>
    <w:p>
      <w:pPr>
        <w:ind w:firstLine="708"/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ascii="Calibri" w:hAnsi="Calibri" w:eastAsia="Calibri" w:cs="Calibri"/>
          <w:color w:val="000000"/>
          <w:sz w:val="22"/>
          <w:szCs w:val="22"/>
        </w:rPr>
      </w:r>
    </w:p>
    <w:p>
      <w:pPr>
        <w:ind w:firstLine="708"/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ascii="Calibri" w:hAnsi="Calibri" w:eastAsia="Calibri" w:cs="Calibri"/>
          <w:color w:val="000000"/>
          <w:sz w:val="22"/>
          <w:szCs w:val="22"/>
        </w:rPr>
        <w:t>A contratação dos serviços técnicos especializados é necessária para viabilizar a execução do objeto referente à emenda parlamentar destinada à implantação de um Sistema de Videomonitoramento Urbano Inteligente no Município de Tuparendi/RS, cuja proposta já se encontra aprovada. Para a correta aplicação dos recursos e o atendimento às diretrizes da Secretaria Nacional de Segurança Pública, faz-se indispensável a elaboração de um projeto básico e executivo que contemple o diagnóstico situacional, os estudos de viabilidade, a definição da arquitetura do sistema, as especificações da infraestrutura e dos equipamentos, bem como a produção de memoriais, plantas, diagramas e demais documentos técnicos obrigatórios.</w:t>
      </w:r>
    </w:p>
    <w:p>
      <w:pPr>
        <w:ind w:firstLine="708"/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ascii="Calibri" w:hAnsi="Calibri" w:eastAsia="Calibri" w:cs="Calibri"/>
          <w:color w:val="000000"/>
          <w:sz w:val="22"/>
          <w:szCs w:val="22"/>
        </w:rPr>
        <w:t xml:space="preserve"> A elaboração desse projeto é imprescindível para caracterizar adequadamente o objeto, definir soluções técnicas viáveis, permitir a estimativa precisa dos custos e estruturar o termo de referência. Tais elementos são necessários para instruir corretamente o processo licitatório referente à implantação do sistema, garantindo eficiência administrativa, reduzindo riscos de execução inadequada e assegurando a correta utilização dos recursos oriundos da emenda parlamentar. Dessa forma, a contratação justifica-se pela necessidade de cumprir as exigências legais de planejamento, garantir segurança técnica ao processo e assegurar a execução regular, eficiente e alinhada às demandas operacionais do município.</w:t>
      </w:r>
    </w:p>
    <w:p>
      <w:pPr>
        <w:ind w:firstLine="708"/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ascii="Calibri" w:hAnsi="Calibri" w:eastAsia="Calibri" w:cs="Calibri"/>
          <w:color w:val="000000"/>
          <w:sz w:val="22"/>
          <w:szCs w:val="22"/>
        </w:rPr>
        <w:t>O serviço Projeto Técnico de Videomonitoramento e Cercamento Eletrônico Urbano têm natureza de bens/serviços comuns, tendo em vista que seus padrões de desempenho e qualidade podem ser objetivamente definidos pelo edital, por meio de especificações usuais de mercado, nos termos do art. 6º, inciso X I, da Lei Federal nº 14.133/2021. A contratação será realizada por meio de licitação, na Dispensa de Licitação, com critério de julgamento por menor preço, nos termos dos artigos 6º, inciso XLI, 17, § 2º, e 34, todos da Lei Federal nº 14.133/2021.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ascii="Calibri" w:hAnsi="Calibri" w:eastAsia="Calibri" w:cs="Calibri"/>
          <w:color w:val="000000"/>
          <w:sz w:val="22"/>
          <w:szCs w:val="22"/>
        </w:rPr>
      </w:r>
    </w:p>
    <w:p>
      <w:pPr>
        <w:spacing w:line="360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eastAsia="Calibri" w:cs="Calibri"/>
          <w:b/>
          <w:color w:val="000000"/>
          <w:sz w:val="22"/>
          <w:szCs w:val="22"/>
        </w:rPr>
      </w:pPr>
      <w:r>
        <w:rPr>
          <w:rFonts w:ascii="Calibri" w:hAnsi="Calibri" w:eastAsia="Calibri" w:cs="Calibri"/>
          <w:b/>
          <w:color w:val="000000"/>
          <w:sz w:val="22"/>
          <w:szCs w:val="22"/>
        </w:rPr>
        <w:t>Dotação:</w:t>
      </w:r>
    </w:p>
    <w:p>
      <w:pPr>
        <w:spacing w:line="36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 w:eastAsia="Calibri" w:cs="Calibri"/>
          <w:sz w:val="22"/>
          <w:szCs w:val="22"/>
        </w:rPr>
      </w:pPr>
      <w:r>
        <w:rPr>
          <w:rFonts w:ascii="Calibri" w:hAnsi="Calibri" w:eastAsia="Calibri" w:cs="Calibri"/>
          <w:sz w:val="22"/>
          <w:szCs w:val="22"/>
        </w:rPr>
        <w:t xml:space="preserve">As despesas decorrentes da contratação correrão à conta da seguinte dotação orçamentária: 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ascii="Calibri" w:hAnsi="Calibri" w:eastAsia="Calibri" w:cs="Calibri"/>
          <w:color w:val="000000"/>
          <w:sz w:val="22"/>
          <w:szCs w:val="22"/>
        </w:rPr>
        <w:t>Rubrica 210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ascii="Calibri" w:hAnsi="Calibri" w:eastAsia="Calibri" w:cs="Calibri"/>
          <w:color w:val="000000"/>
          <w:sz w:val="22"/>
          <w:szCs w:val="22"/>
        </w:rPr>
        <w:t>Projeto 2142 – Manutenção das Atividades da Secretaria Municipal de Planejamento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ascii="Calibri" w:hAnsi="Calibri" w:eastAsia="Calibri" w:cs="Calibri"/>
          <w:color w:val="000000"/>
          <w:sz w:val="22"/>
          <w:szCs w:val="22"/>
        </w:rPr>
        <w:t>Despesa 3390 39 00 00 000 Outros Serviços de Terceiros – Pessoa Jurídica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ascii="Calibri" w:hAnsi="Calibri" w:eastAsia="Calibri" w:cs="Calibri"/>
          <w:color w:val="000000"/>
          <w:sz w:val="22"/>
          <w:szCs w:val="22"/>
        </w:rPr>
        <w:t>Vinculado: 500 – Recursos Não Vinculado de Impostos</w:t>
      </w:r>
    </w:p>
    <w:p>
      <w:pPr>
        <w:spacing w:line="360" w:lineRule="auto"/>
        <w:jc w:val="righ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ascii="Calibri" w:hAnsi="Calibri" w:eastAsia="Calibri" w:cs="Calibri"/>
          <w:color w:val="000000"/>
          <w:sz w:val="22"/>
          <w:szCs w:val="22"/>
        </w:rPr>
        <w:t>Tuparendi, 09 de janeiro de 2026.</w:t>
      </w:r>
    </w:p>
    <w:p>
      <w:pPr>
        <w:spacing w:line="360" w:lineRule="auto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ascii="Calibri" w:hAnsi="Calibri" w:eastAsia="Calibri" w:cs="Calibri"/>
          <w:color w:val="000000"/>
          <w:sz w:val="22"/>
          <w:szCs w:val="22"/>
        </w:rPr>
      </w:r>
    </w:p>
    <w:p>
      <w:pPr>
        <w:spacing w:line="360" w:lineRule="auto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ascii="Calibri" w:hAnsi="Calibri" w:eastAsia="Calibri" w:cs="Calibri"/>
          <w:color w:val="000000"/>
          <w:sz w:val="22"/>
          <w:szCs w:val="22"/>
        </w:rPr>
        <w:t>________________________________________________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 w:eastAsia="Calibri" w:cs="Calibri"/>
          <w:bCs w:val="0"/>
          <w:color w:val="000000"/>
          <w:sz w:val="22"/>
          <w:szCs w:val="22"/>
        </w:rPr>
      </w:pPr>
      <w:r>
        <w:rPr>
          <w:rFonts w:ascii="Calibri" w:hAnsi="Calibri" w:eastAsia="Calibri" w:cs="Calibri"/>
          <w:bCs w:val="0"/>
          <w:color w:val="000000"/>
          <w:sz w:val="22"/>
          <w:szCs w:val="22"/>
        </w:rPr>
        <w:t>Secretaria de Planejamento, Industria, Comércio e Turismo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headerReference w:type="default" r:id="rId8"/>
      <w:footerReference w:type="default" r:id="rId9"/>
      <w:type w:val="continuous"/>
      <w:pgSz w:h="16840" w:w="11907"/>
      <w:pgMar w:left="1701" w:top="1232" w:right="1021" w:bottom="567" w:footer="443"/>
      <w:paperSrc w:first="0" w:other="0" a="0" b="0"/>
      <w:pgNumType w:fmt="decimal"/>
      <w:tmGutter w:val="3"/>
      <w:mirrorMargins w:val="0"/>
      <w:tmSection w:h="-1">
        <w:tmHeader w:id="0" w:h="0" edge="720" text="0">
          <w:shd w:val="none"/>
        </w:tmHeader>
        <w:tmFooter w:id="0" w:h="0" edge="443" text="0">
          <w:shd w:val="none"/>
        </w:tmFoot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Arial">
    <w:panose1 w:val="020B0604020202020204"/>
    <w:charset w:val="00"/>
    <w:family w:val="swiss"/>
    <w:pitch w:val="default"/>
  </w:font>
  <w:font w:name="Calibri Light">
    <w:panose1 w:val="020F0302020204030204"/>
    <w:charset w:val="00"/>
    <w:family w:val="swiss"/>
    <w:pitch w:val="default"/>
  </w:font>
  <w:font w:name="Centaur">
    <w:panose1 w:val="02030504050205020304"/>
    <w:charset w:val="00"/>
    <w:family w:val="roman"/>
    <w:pitch w:val="default"/>
  </w:font>
  <w:font w:name="BernhardMod BT">
    <w:panose1 w:val="02020603050405020304"/>
    <w:charset w:val="00"/>
    <w:family w:val="roman"/>
    <w:pitch w:val="default"/>
  </w:font>
  <w:font w:name="Baskerville Old Face">
    <w:panose1 w:val="02020602080505020303"/>
    <w:charset w:val="00"/>
    <w:family w:val="roman"/>
    <w:pitch w:val="default"/>
  </w:font>
  <w:font w:name="Garamond">
    <w:panose1 w:val="02020404030301010803"/>
    <w:charset w:val="00"/>
    <w:family w:val="roman"/>
    <w:pitch w:val="default"/>
  </w:font>
  <w:font w:name="Modern No. 20">
    <w:panose1 w:val="02070704070505020303"/>
    <w:charset w:val="00"/>
    <w:family w:val="roman"/>
    <w:pitch w:val="default"/>
  </w:font>
  <w:font w:name="Tahoma">
    <w:panose1 w:val="020B0604030504040204"/>
    <w:charset w:val="00"/>
    <w:family w:val="swiss"/>
    <w:pitch w:val="default"/>
  </w:font>
  <w:font w:name="Calibri">
    <w:panose1 w:val="020F0502020204030204"/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11"/>
      <w:ind w:right="360" w:firstLine="360"/>
      <w:rPr>
        <w:rFonts w:ascii="Times New Roman" w:hAnsi="Times New Roman"/>
        <w:color w:val="0000ff"/>
        <w:sz w:val="20"/>
        <w:lang w:val="en-us"/>
      </w:rPr>
    </w:pPr>
    <w:r>
      <w:rPr>
        <w:noProof/>
      </w:rPr>
      <mc:AlternateContent>
        <mc:Choice Requires="wps">
          <w:drawing>
            <wp:anchor distT="0" distB="0" distL="0" distR="0" simplePos="0" relativeHeight="251658241" behindDoc="0" locked="0" layoutInCell="0" hidden="0" allowOverlap="1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228600" cy="145415"/>
              <wp:effectExtent l="0" t="0" r="0" b="0"/>
              <wp:wrapSquare wrapText="bothSides"/>
              <wp:docPr id="1" name="Caixa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extLst>
                        <a:ext uri="sm">
                          <sm:smNativeData xmlns:sm="sm" val="SMDATA_14_i/RgaRMAAAAlAAAAEg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hIwAAwTo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CQogAAQAAAAAAAAAADAAAAAQAAAAAAAAABAAAAAgAAAAEAAABoAQAA5QAAAAAAAAAeKQAAKT8AACgAAAAIAAAAAgAAAAIAAAA="/>
                        </a:ext>
                      </a:extLst>
                    </wps:cNvSpPr>
                    <wps:spPr>
                      <a:xfrm>
                        <a:off x="0" y="0"/>
                        <a:ext cx="228600" cy="145415"/>
                      </a:xfrm>
                      <a:prstGeom prst="rect">
                        <a:avLst/>
                      </a:prstGeom>
                      <a:noFill/>
                      <a:ln w="12700">
                        <a:noFill/>
                      </a:ln>
                    </wps:spPr>
                    <wps:txbx>
                      <w:txbxContent>
                        <w:p>
                          <w:pPr>
                            <w:pStyle w:val="para10"/>
                            <w:ind w:right="360"/>
                          </w:pPr>
                          <w:r/>
                        </w:p>
                      </w:txbxContent>
                    </wps:txbx>
                    <wps:bodyPr spcFirstLastPara="1" vertOverflow="clip" horzOverflow="clip" wrap="none" lIns="0" tIns="0" rIns="0" bIns="0" upright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path gradientshapeok="t" o:connecttype="rect"/>
            </v:shapetype>
            <v:shape id="CaixaTexto 2" o:spid="_x0000_s3073" type="#_x0000_t202" style="position:absolute;mso-position-horizontal:right;margin-top:0.05pt;mso-position-horizontal-relative:margin;width:18.00pt;height:11.45pt;z-index:251658241;mso-wrap-distance-left:0.00pt;mso-wrap-distance-top:0.00pt;mso-wrap-distance-right:0.00pt;mso-wrap-distance-bottom:0.00pt;mso-wrap-style:none" stroked="f" filled="f" v:ext="SMDATA_14_i/RgaRMAAAAlAAAAEg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hIwAAwTo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CQogAAQAAAAAAAAAADAAAAAQAAAAAAAAABAAAAAgAAAAEAAABoAQAA5QAAAAAAAAAeKQAAKT8AACgAAAAIAAAAAgAAAAIAAAA=" o:insetmode="custom">
              <w10:wrap type="square" anchorx="margin" anchory="text"/>
              <v:textbox style="mso-fit-shape-to-text:t" inset="0.0pt,0.0pt,0.0pt,0.0pt">
                <w:txbxContent>
                  <w:p>
                    <w:pPr>
                      <w:pStyle w:val="para10"/>
                      <w:ind w:right="360"/>
                    </w:pPr>
                    <w:r/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color w:val="0000ff"/>
        <w:sz w:val="20"/>
        <w:lang w:val="en-us"/>
      </w:rPr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11"/>
      <w:spacing/>
      <w:jc w:val="center"/>
      <w:rPr>
        <w:rFonts w:ascii="Arial" w:hAnsi="Arial" w:cs="Arial"/>
        <w:bCs w:val="0"/>
        <w:sz w:val="22"/>
        <w:szCs w:val="22"/>
      </w:rPr>
    </w:pPr>
    <w:r>
      <w:rPr>
        <w:noProof/>
      </w:rPr>
      <w:pict>
        <v:shapetype id="_x0000_t75" coordsize="21600,21600" o:spt="75" o:preferrelative="t" path="m,l,21600r21600,l21600,xe">
          <v:path gradientshapeok="t" o:connecttype="rect"/>
        </v:shapetype>
        <v:shape id="ObjetoOLE1" o:spid="_x0000_s2049" type="#_x0000_t75" style="position:absolute;margin-left:7.25pt;margin-top:-74.15pt;width:63.60pt;height:59.35pt;z-index:251658242;mso-wrap-distance-left:9.00pt;mso-wrap-distance-top:0.00pt;mso-wrap-distance-right:9.00pt;mso-wrap-distance-bottom:0.00pt;mso-wrap-style:square" stroked="f" filled="f" v:ext="SMDATA_16_i/RgaRMAAAAlAAAAM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">
          <v:imagedata r:id="rId1" o:title="media/image1"/>
          <w10:wrap type="tight" anchorx="text" anchory="text"/>
        </v:shape>
        <o:OLEObject Type="Embed" ProgID="Figura do Microsoft Word " ShapeID="ObjetoOLE1" DrawAspect="Content" ObjectID="_1" r:id="rId2"/>
      </w:pict>
    </w:r>
    <w:r>
      <w:rPr>
        <w:rFonts w:ascii="Arial" w:hAnsi="Arial" w:cs="Arial"/>
        <w:bCs w:val="0"/>
        <w:sz w:val="22"/>
        <w:szCs w:val="22"/>
      </w:rPr>
    </w:r>
  </w:p>
  <w:p>
    <w:pPr>
      <w:pStyle w:val="para11"/>
      <w:spacing/>
      <w:jc w:val="center"/>
      <w:rPr>
        <w:rFonts w:ascii="Arial" w:hAnsi="Arial" w:cs="Arial"/>
        <w:bCs w:val="0"/>
        <w:sz w:val="22"/>
        <w:szCs w:val="22"/>
      </w:rPr>
    </w:pPr>
    <w:r>
      <w:rPr>
        <w:rFonts w:ascii="Arial" w:hAnsi="Arial" w:cs="Arial"/>
        <w:bCs w:val="0"/>
        <w:sz w:val="22"/>
        <w:szCs w:val="22"/>
      </w:rPr>
    </w:r>
  </w:p>
  <w:p>
    <w:pPr>
      <w:pStyle w:val="para11"/>
      <w:spacing/>
      <w:jc w:val="center"/>
      <w:rPr>
        <w:rFonts w:ascii="Arial" w:hAnsi="Arial" w:cs="Arial"/>
        <w:bCs w:val="0"/>
        <w:sz w:val="22"/>
        <w:szCs w:val="22"/>
      </w:rPr>
    </w:pPr>
    <w:r>
      <w:rPr>
        <w:rFonts w:ascii="Arial" w:hAnsi="Arial" w:cs="Arial"/>
        <w:bCs w:val="0"/>
        <w:sz w:val="22"/>
        <w:szCs w:val="22"/>
      </w:rPr>
      <w:t>Estado do Rio Grande do Sul</w:t>
    </w:r>
  </w:p>
  <w:p>
    <w:pPr>
      <w:spacing/>
      <w:jc w:val="center"/>
      <w:rPr>
        <w:rFonts w:ascii="Arial" w:hAnsi="Arial" w:cs="Arial"/>
        <w:bCs w:val="0"/>
        <w:sz w:val="22"/>
        <w:szCs w:val="22"/>
      </w:rPr>
    </w:pPr>
    <w:r>
      <w:rPr>
        <w:rFonts w:ascii="Arial" w:hAnsi="Arial" w:cs="Arial"/>
        <w:bCs w:val="0"/>
        <w:sz w:val="22"/>
        <w:szCs w:val="22"/>
      </w:rPr>
      <w:t>Prefeitura Municipal de Tuparendi (RS)</w:t>
    </w:r>
  </w:p>
  <w:p>
    <w:pPr>
      <w:spacing/>
      <w:jc w:val="center"/>
      <w:rPr>
        <w:rFonts w:ascii="Arial" w:hAnsi="Arial" w:cs="Arial"/>
        <w:bCs w:val="0"/>
        <w:sz w:val="22"/>
        <w:szCs w:val="22"/>
      </w:rPr>
    </w:pPr>
    <w:r>
      <w:rPr>
        <w:rFonts w:ascii="Arial" w:hAnsi="Arial" w:cs="Arial"/>
        <w:bCs w:val="0"/>
        <w:sz w:val="22"/>
        <w:szCs w:val="22"/>
      </w:rPr>
      <w:t xml:space="preserve">Avenida Tucunduva, 2617 – Telefone: 55 3543-00900 </w:t>
    </w:r>
  </w:p>
  <w:p>
    <w:pPr>
      <w:spacing/>
      <w:jc w:val="center"/>
      <w:rPr>
        <w:rFonts w:ascii="Arial" w:hAnsi="Arial" w:cs="Arial"/>
        <w:bCs w:val="0"/>
        <w:sz w:val="22"/>
        <w:szCs w:val="22"/>
      </w:rPr>
    </w:pPr>
    <w:r>
      <w:rPr>
        <w:rFonts w:ascii="Arial" w:hAnsi="Arial" w:cs="Arial"/>
        <w:bCs w:val="0"/>
        <w:sz w:val="22"/>
        <w:szCs w:val="22"/>
      </w:rPr>
      <w:t>CNPJ sob o nº 87.613.6009/0002-009</w:t>
    </w:r>
  </w:p>
  <w:p>
    <w:pPr>
      <w:pStyle w:val="para11"/>
      <w:spacing/>
      <w:jc w:val="center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hybridMultilevel"/>
    <w:name w:val="Lista numerada 1"/>
    <w:lvl w:ilvl="0">
      <w:numFmt w:val="bullet"/>
      <w:suff w:val="tab"/>
      <w:lvlText w:val="-"/>
      <w:lvlJc w:val="left"/>
      <w:pPr>
        <w:ind w:left="2057" w:hanging="0"/>
      </w:pPr>
      <w:rPr>
        <w:rFonts w:ascii="Times New Roman" w:hAnsi="Times New Roman" w:eastAsia="Times New Roman" w:cs="Times New Roman"/>
      </w:rPr>
    </w:lvl>
    <w:lvl w:ilvl="1">
      <w:numFmt w:val="bullet"/>
      <w:suff w:val="tab"/>
      <w:lvlText w:val="o"/>
      <w:lvlJc w:val="left"/>
      <w:pPr>
        <w:ind w:left="2777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3497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4217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4937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5657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6377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7097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7817" w:hanging="0"/>
      </w:pPr>
      <w:rPr>
        <w:rFonts w:ascii="Wingdings" w:hAnsi="Wingdings" w:eastAsia="Wingdings" w:cs="Wingdings"/>
      </w:rPr>
    </w:lvl>
  </w:abstractNum>
  <w:abstractNum w:abstractNumId="2">
    <w:multiLevelType w:val="hybridMultilevel"/>
    <w:name w:val="Lista numerada 2"/>
    <w:lvl w:ilvl="0">
      <w:start w:val="1"/>
      <w:numFmt w:val="decimal"/>
      <w:suff w:val="tab"/>
      <w:lvlText w:val="%1."/>
      <w:lvlJc w:val="left"/>
      <w:pPr>
        <w:ind w:left="462" w:hanging="0"/>
      </w:pPr>
      <w:rPr>
        <w:rFonts w:ascii="Calibri Light" w:hAnsi="Calibri Light" w:eastAsia="Calibri Light" w:cs="Calibri Light"/>
        <w:b w:val="0"/>
        <w:spacing w:val="0" w:percent="100"/>
        <w:w w:val="100"/>
        <w:sz w:val="23"/>
        <w:szCs w:val="23"/>
        <w:lang w:val="pt-pt" w:eastAsia="en-us" w:bidi="ar-sa"/>
      </w:rPr>
    </w:lvl>
    <w:lvl w:ilvl="1">
      <w:numFmt w:val="bullet"/>
      <w:suff w:val="tab"/>
      <w:lvlText w:val=""/>
      <w:lvlJc w:val="left"/>
      <w:pPr>
        <w:ind w:left="462" w:hanging="0"/>
      </w:pPr>
      <w:rPr>
        <w:rFonts w:ascii="Symbol" w:hAnsi="Symbol" w:eastAsia="Symbol" w:cs="Symbol"/>
        <w:b w:val="0"/>
        <w:spacing w:val="0" w:percent="100"/>
        <w:w w:val="99"/>
        <w:sz w:val="20"/>
        <w:szCs w:val="20"/>
        <w:lang w:val="pt-pt" w:eastAsia="en-us" w:bidi="ar-sa"/>
      </w:rPr>
    </w:lvl>
    <w:lvl w:ilvl="2">
      <w:numFmt w:val="bullet"/>
      <w:suff w:val="tab"/>
      <w:lvlText w:val="•"/>
      <w:lvlJc w:val="left"/>
      <w:pPr>
        <w:ind w:left="2041" w:hanging="0"/>
      </w:pPr>
      <w:rPr>
        <w:lang w:val="pt-pt" w:eastAsia="en-us" w:bidi="ar-sa"/>
      </w:rPr>
    </w:lvl>
    <w:lvl w:ilvl="3">
      <w:numFmt w:val="bullet"/>
      <w:suff w:val="tab"/>
      <w:lvlText w:val="•"/>
      <w:lvlJc w:val="left"/>
      <w:pPr>
        <w:ind w:left="2831" w:hanging="0"/>
      </w:pPr>
      <w:rPr>
        <w:lang w:val="pt-pt" w:eastAsia="en-us" w:bidi="ar-sa"/>
      </w:rPr>
    </w:lvl>
    <w:lvl w:ilvl="4">
      <w:numFmt w:val="bullet"/>
      <w:suff w:val="tab"/>
      <w:lvlText w:val="•"/>
      <w:lvlJc w:val="left"/>
      <w:pPr>
        <w:ind w:left="3622" w:hanging="0"/>
      </w:pPr>
      <w:rPr>
        <w:lang w:val="pt-pt" w:eastAsia="en-us" w:bidi="ar-sa"/>
      </w:rPr>
    </w:lvl>
    <w:lvl w:ilvl="5">
      <w:numFmt w:val="bullet"/>
      <w:suff w:val="tab"/>
      <w:lvlText w:val="•"/>
      <w:lvlJc w:val="left"/>
      <w:pPr>
        <w:ind w:left="4413" w:hanging="0"/>
      </w:pPr>
      <w:rPr>
        <w:lang w:val="pt-pt" w:eastAsia="en-us" w:bidi="ar-sa"/>
      </w:rPr>
    </w:lvl>
    <w:lvl w:ilvl="6">
      <w:numFmt w:val="bullet"/>
      <w:suff w:val="tab"/>
      <w:lvlText w:val="•"/>
      <w:lvlJc w:val="left"/>
      <w:pPr>
        <w:ind w:left="5203" w:hanging="0"/>
      </w:pPr>
      <w:rPr>
        <w:lang w:val="pt-pt" w:eastAsia="en-us" w:bidi="ar-sa"/>
      </w:rPr>
    </w:lvl>
    <w:lvl w:ilvl="7">
      <w:numFmt w:val="bullet"/>
      <w:suff w:val="tab"/>
      <w:lvlText w:val="•"/>
      <w:lvlJc w:val="left"/>
      <w:pPr>
        <w:ind w:left="5994" w:hanging="0"/>
      </w:pPr>
      <w:rPr>
        <w:lang w:val="pt-pt" w:eastAsia="en-us" w:bidi="ar-sa"/>
      </w:rPr>
    </w:lvl>
    <w:lvl w:ilvl="8">
      <w:numFmt w:val="bullet"/>
      <w:suff w:val="tab"/>
      <w:lvlText w:val="•"/>
      <w:lvlJc w:val="left"/>
      <w:pPr>
        <w:ind w:left="6785" w:hanging="0"/>
      </w:pPr>
      <w:rPr>
        <w:lang w:val="pt-pt" w:eastAsia="en-us" w:bidi="ar-sa"/>
      </w:rPr>
    </w:lvl>
  </w:abstractNum>
  <w:abstractNum w:abstractNumId="3">
    <w:multiLevelType w:val="hybridMultilevel"/>
    <w:name w:val="Lista numerada 3"/>
    <w:lvl w:ilvl="0">
      <w:numFmt w:val="bullet"/>
      <w:suff w:val="tab"/>
      <w:lvlText w:val="-"/>
      <w:lvlJc w:val="left"/>
      <w:pPr>
        <w:ind w:left="2057" w:hanging="0"/>
      </w:pPr>
      <w:rPr>
        <w:rFonts w:ascii="Times New Roman" w:hAnsi="Times New Roman" w:eastAsia="Times New Roman" w:cs="Times New Roman"/>
      </w:rPr>
    </w:lvl>
    <w:lvl w:ilvl="1">
      <w:numFmt w:val="bullet"/>
      <w:suff w:val="tab"/>
      <w:lvlText w:val="o"/>
      <w:lvlJc w:val="left"/>
      <w:pPr>
        <w:ind w:left="2777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3497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4217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4937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5657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6377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7097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7817" w:hanging="0"/>
      </w:pPr>
      <w:rPr>
        <w:rFonts w:ascii="Wingdings" w:hAnsi="Wingdings" w:eastAsia="Wingdings" w:cs="Wingdings"/>
      </w:rPr>
    </w:lvl>
  </w:abstractNum>
  <w:abstractNum w:abstractNumId="4">
    <w:multiLevelType w:val="hybridMultilevel"/>
    <w:name w:val="Lista numerada 4"/>
    <w:lvl w:ilvl="0">
      <w:numFmt w:val="bullet"/>
      <w:suff w:val="tab"/>
      <w:lvlText w:val="-"/>
      <w:lvlJc w:val="left"/>
      <w:pPr>
        <w:ind w:left="2244" w:hanging="0"/>
      </w:pPr>
      <w:rPr>
        <w:rFonts w:ascii="Times New Roman" w:hAnsi="Times New Roman" w:eastAsia="Times New Roman" w:cs="Times New Roman"/>
      </w:rPr>
    </w:lvl>
    <w:lvl w:ilvl="1">
      <w:numFmt w:val="bullet"/>
      <w:suff w:val="tab"/>
      <w:lvlText w:val="o"/>
      <w:lvlJc w:val="left"/>
      <w:pPr>
        <w:ind w:left="2964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3684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4404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5124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5844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6564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7284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8004" w:hanging="0"/>
      </w:pPr>
      <w:rPr>
        <w:rFonts w:ascii="Wingdings" w:hAnsi="Wingdings" w:eastAsia="Wingdings" w:cs="Wingdings"/>
      </w:rPr>
    </w:lvl>
  </w:abstractNum>
  <w:abstractNum w:abstractNumId="5">
    <w:multiLevelType w:val="hybridMultilevel"/>
    <w:name w:val="Lista numerada 5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 w:eastAsia="Times New Roman" w:cs="Aria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6">
    <w:multiLevelType w:val="hybridMultilevel"/>
    <w:name w:val="Lista numerada 6"/>
    <w:lvl w:ilvl="0">
      <w:numFmt w:val="bullet"/>
      <w:suff w:val="tab"/>
      <w:lvlText w:val="-"/>
      <w:lvlJc w:val="left"/>
      <w:pPr>
        <w:ind w:left="2244" w:hanging="0"/>
      </w:pPr>
      <w:rPr>
        <w:rFonts w:ascii="Times New Roman" w:hAnsi="Times New Roman" w:eastAsia="Times New Roman" w:cs="Times New Roman"/>
      </w:rPr>
    </w:lvl>
    <w:lvl w:ilvl="1">
      <w:numFmt w:val="bullet"/>
      <w:suff w:val="tab"/>
      <w:lvlText w:val="o"/>
      <w:lvlJc w:val="left"/>
      <w:pPr>
        <w:ind w:left="2964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3684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4404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5124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5844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6564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7284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8004" w:hanging="0"/>
      </w:pPr>
      <w:rPr>
        <w:rFonts w:ascii="Wingdings" w:hAnsi="Wingdings" w:eastAsia="Wingdings" w:cs="Wingdings"/>
      </w:rPr>
    </w:lvl>
  </w:abstractNum>
  <w:abstractNum w:abstractNumId="7">
    <w:multiLevelType w:val="hybridMultilevel"/>
    <w:name w:val="Lista numerada 7"/>
    <w:lvl w:ilvl="0">
      <w:numFmt w:val="bullet"/>
      <w:suff w:val="tab"/>
      <w:lvlText w:val=""/>
      <w:lvlJc w:val="left"/>
      <w:pPr>
        <w:ind w:left="795" w:hanging="0"/>
      </w:pPr>
      <w:rPr>
        <w:rFonts w:ascii="Symbol" w:hAnsi="Symbol" w:eastAsia="Times New Roman" w:cs="Arial"/>
      </w:rPr>
    </w:lvl>
    <w:lvl w:ilvl="1">
      <w:numFmt w:val="bullet"/>
      <w:suff w:val="tab"/>
      <w:lvlText w:val="o"/>
      <w:lvlJc w:val="left"/>
      <w:pPr>
        <w:ind w:left="1515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2235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955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675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4395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5115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835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6555" w:hanging="0"/>
      </w:pPr>
      <w:rPr>
        <w:rFonts w:ascii="Wingdings" w:hAnsi="Wingdings" w:eastAsia="Wingdings" w:cs="Wingding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view w:val="print"/>
  <w:defaultTabStop w:val="708"/>
  <w:autoHyphenation w:val="0"/>
  <w:doNotShadeFormData w:val="0"/>
  <w:captions>
    <w:caption w:name="Tabela" w:pos="below" w:numFmt="decimal"/>
    <w:caption w:name="Figura" w:pos="below" w:numFmt="decimal"/>
    <w:caption w:name="Imagem" w:pos="below" w:numFmt="decimal"/>
  </w:captions>
  <w:drawingGridHorizontalSpacing w:val="187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3074"/>
    <o:shapelayout v:ext="edit">
      <o:rules v:ext="edit"/>
    </o:shapelayout>
  </w:shapeDefaults>
  <w:tmPrefOne w:val="17"/>
  <w:tmPrefTwo w:val="1"/>
  <w:tmFmtPref w:val="5505751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51"/>
    <w:tmReviewMarkIns w:val="4"/>
    <w:tmReviewColorIns w:val="-1"/>
    <w:tmReviewMarkDel w:val="7"/>
    <w:tmReviewColorDel w:val="-1"/>
    <w:tmReviewMarkFmt w:val="7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18"/>
      <w:tmLastPosIdx w:val="57"/>
    </w:tmLastPosCaret>
    <w:tmLastPosAnchor>
      <w:tmLastPosPgfIdx w:val="0"/>
      <w:tmLastPosIdx w:val="0"/>
    </w:tmLastPosAnchor>
    <w:tmLastPosTblRect w:left="0" w:top="0" w:right="0" w:bottom="0"/>
  </w:tmLastPos>
  <w:tmAppRevision w:date="1767961739" w:val="1230" w:fileVer="342" w:fileVerOS="4"/>
  <w:guidesAndGrid showGuides="1" lockGuides="0" snapToGuides="1" snapToPageMargins="0" tolerance="8" gridDistanceHorizontal="187" gridDistanceVertical="283" showGrid="0" snapToGrid="0"/>
  <w:pdfExportOpt pagesRangeIndex="1" pagesSelectionIndex="0" qualityIndex="0" embedFonts="2" useJpegs="0" useSubsetFonts="1" useAlpha="1" relativeLinks="0" useInteractiveForms="0" taggedPdf="1" pane="0" zoom="0" zoomScale="100" layout="0" includeDoc="0" viewFlags="0" openViewer="1" jpegQuality="90" flags="252" tocGen="1" tocLevels="9" exportComments="0" exportChanges="0" name="\\server\Dados\COMPARTILHADA\2026\Dispensa de Licitação 2026\PROCESSO DE DISPENSA DE LICITAÇÃO Nº 01_2026.pdf" map="1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Times New Roman" w:cs="Times New Roman"/>
        <w:sz w:val="20"/>
        <w:szCs w:val="20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entaur" w:hAnsi="Centaur"/>
      <w:bCs/>
      <w:iCs/>
      <w:sz w:val="28"/>
    </w:rPr>
  </w:style>
  <w:style w:type="paragraph" w:styleId="para1">
    <w:name w:val="heading 1"/>
    <w:qFormat/>
    <w:basedOn w:val="para0"/>
    <w:next w:val="para0"/>
    <w:pPr>
      <w:spacing/>
      <w:jc w:val="center"/>
      <w:keepNext/>
      <w:outlineLvl w:val="0"/>
    </w:pPr>
    <w:rPr>
      <w:rFonts w:ascii="Times New Roman" w:hAnsi="Times New Roman"/>
      <w:bCs w:val="0"/>
      <w:iCs w:val="0"/>
      <w:sz w:val="24"/>
    </w:rPr>
  </w:style>
  <w:style w:type="paragraph" w:styleId="para2">
    <w:name w:val="heading 2"/>
    <w:qFormat/>
    <w:basedOn w:val="para0"/>
    <w:next w:val="para0"/>
    <w:pPr>
      <w:spacing/>
      <w:jc w:val="center"/>
      <w:keepNext/>
      <w:outlineLvl w:val="1"/>
    </w:pPr>
    <w:rPr>
      <w:b/>
      <w:bCs w:val="0"/>
      <w:sz w:val="24"/>
    </w:rPr>
  </w:style>
  <w:style w:type="paragraph" w:styleId="para3">
    <w:name w:val="heading 3"/>
    <w:qFormat/>
    <w:basedOn w:val="para0"/>
    <w:next w:val="para0"/>
    <w:pPr>
      <w:spacing/>
      <w:jc w:val="both"/>
      <w:keepNext/>
      <w:outlineLvl w:val="2"/>
    </w:pPr>
    <w:rPr>
      <w:b/>
      <w:bCs w:val="0"/>
      <w:sz w:val="24"/>
      <w:u w:color="auto" w:val="single"/>
    </w:rPr>
  </w:style>
  <w:style w:type="paragraph" w:styleId="para4">
    <w:name w:val="heading 4"/>
    <w:qFormat/>
    <w:basedOn w:val="para0"/>
    <w:next w:val="para0"/>
    <w:pPr>
      <w:spacing/>
      <w:jc w:val="both"/>
      <w:keepNext/>
      <w:outlineLvl w:val="3"/>
    </w:pPr>
    <w:rPr>
      <w:rFonts w:ascii="BernhardMod BT" w:hAnsi="BernhardMod BT"/>
      <w:sz w:val="24"/>
      <w:u w:color="auto" w:val="single"/>
    </w:rPr>
  </w:style>
  <w:style w:type="paragraph" w:styleId="para5">
    <w:name w:val="heading 5"/>
    <w:qFormat/>
    <w:basedOn w:val="para0"/>
    <w:next w:val="para0"/>
    <w:pPr>
      <w:spacing/>
      <w:jc w:val="both"/>
      <w:keepNext/>
      <w:outlineLvl w:val="4"/>
    </w:pPr>
    <w:rPr>
      <w:rFonts w:ascii="Times New Roman" w:hAnsi="Times New Roman"/>
      <w:b/>
      <w:bCs w:val="0"/>
    </w:rPr>
  </w:style>
  <w:style w:type="paragraph" w:styleId="para6">
    <w:name w:val="heading 6"/>
    <w:qFormat/>
    <w:basedOn w:val="para0"/>
    <w:next w:val="para0"/>
    <w:pPr>
      <w:spacing w:line="360" w:lineRule="auto"/>
      <w:jc w:val="both"/>
      <w:keepNext/>
      <w:outlineLvl w:val="5"/>
    </w:pPr>
    <w:rPr>
      <w:b/>
      <w:bCs w:val="0"/>
      <w:sz w:val="24"/>
    </w:rPr>
  </w:style>
  <w:style w:type="paragraph" w:styleId="para7">
    <w:name w:val="heading 7"/>
    <w:qFormat/>
    <w:basedOn w:val="para0"/>
    <w:next w:val="para0"/>
    <w:pPr>
      <w:spacing w:line="360" w:lineRule="auto"/>
      <w:jc w:val="both"/>
      <w:keepNext/>
      <w:outlineLvl w:val="6"/>
    </w:pPr>
    <w:rPr>
      <w:b/>
      <w:bCs w:val="0"/>
      <w:i/>
      <w:iCs w:val="0"/>
      <w:sz w:val="24"/>
      <w:u w:color="auto" w:val="single"/>
    </w:rPr>
  </w:style>
  <w:style w:type="paragraph" w:styleId="para8">
    <w:name w:val="heading 8"/>
    <w:qFormat/>
    <w:basedOn w:val="para0"/>
    <w:next w:val="para0"/>
    <w:pPr>
      <w:keepNext/>
      <w:outlineLvl w:val="7"/>
    </w:pPr>
    <w:rPr>
      <w:rFonts w:ascii="Baskerville Old Face" w:hAnsi="Baskerville Old Face"/>
      <w:b/>
      <w:bCs w:val="0"/>
      <w:sz w:val="24"/>
      <w:u w:color="auto" w:val="single"/>
    </w:rPr>
  </w:style>
  <w:style w:type="paragraph" w:styleId="para9">
    <w:name w:val="heading 9"/>
    <w:qFormat/>
    <w:basedOn w:val="para0"/>
    <w:next w:val="para0"/>
    <w:pPr>
      <w:spacing/>
      <w:jc w:val="center"/>
      <w:keepNext/>
      <w:outlineLvl w:val="8"/>
    </w:pPr>
    <w:rPr>
      <w:rFonts w:ascii="Garamond" w:hAnsi="Garamond"/>
      <w:b/>
      <w:bCs w:val="0"/>
      <w:sz w:val="40"/>
      <w:u w:color="auto" w:val="single"/>
    </w:rPr>
  </w:style>
  <w:style w:type="paragraph" w:styleId="para10">
    <w:name w:val="Footer"/>
    <w:qFormat/>
    <w:basedOn w:val="para0"/>
    <w:pPr>
      <w:tabs defTabSz="708">
        <w:tab w:val="center" w:pos="4419" w:leader="none"/>
        <w:tab w:val="right" w:pos="8838" w:leader="none"/>
      </w:tabs>
    </w:pPr>
    <w:rPr>
      <w:rFonts w:ascii="Times New Roman" w:hAnsi="Times New Roman"/>
      <w:bCs w:val="0"/>
      <w:iCs w:val="0"/>
      <w:sz w:val="20"/>
    </w:rPr>
  </w:style>
  <w:style w:type="paragraph" w:styleId="para11">
    <w:name w:val="Header"/>
    <w:qFormat/>
    <w:basedOn w:val="para0"/>
    <w:pPr>
      <w:tabs defTabSz="708">
        <w:tab w:val="center" w:pos="4419" w:leader="none"/>
        <w:tab w:val="right" w:pos="8838" w:leader="none"/>
      </w:tabs>
    </w:pPr>
  </w:style>
  <w:style w:type="paragraph" w:styleId="para12">
    <w:name w:val="Body Text"/>
    <w:qFormat/>
    <w:basedOn w:val="para0"/>
    <w:pPr>
      <w:spacing/>
      <w:jc w:val="both"/>
    </w:pPr>
    <w:rPr>
      <w:rFonts w:ascii="BernhardMod BT" w:hAnsi="BernhardMod BT"/>
      <w:sz w:val="24"/>
    </w:rPr>
  </w:style>
  <w:style w:type="paragraph" w:styleId="para13">
    <w:name w:val="Body Text 3"/>
    <w:qFormat/>
    <w:basedOn w:val="para0"/>
    <w:pPr>
      <w:spacing/>
      <w:jc w:val="center"/>
    </w:pPr>
    <w:rPr>
      <w:rFonts w:ascii="Modern No. 20" w:hAnsi="Modern No. 20"/>
      <w:b/>
    </w:rPr>
  </w:style>
  <w:style w:type="paragraph" w:styleId="para14">
    <w:name w:val="Body Text 2"/>
    <w:qFormat/>
    <w:basedOn w:val="para0"/>
    <w:pPr>
      <w:spacing/>
      <w:jc w:val="both"/>
    </w:pPr>
    <w:rPr>
      <w:rFonts w:ascii="Times New Roman" w:hAnsi="Times New Roman"/>
    </w:rPr>
  </w:style>
  <w:style w:type="paragraph" w:styleId="para15">
    <w:name w:val="Body Text Indent 3"/>
    <w:qFormat/>
    <w:basedOn w:val="para0"/>
    <w:pPr>
      <w:ind w:left="283"/>
      <w:spacing w:after="120"/>
    </w:pPr>
    <w:rPr>
      <w:rFonts w:ascii="Times New Roman" w:hAnsi="Times New Roman"/>
      <w:bCs w:val="0"/>
      <w:iCs w:val="0"/>
      <w:sz w:val="16"/>
      <w:szCs w:val="16"/>
    </w:rPr>
  </w:style>
  <w:style w:type="paragraph" w:styleId="para16" w:customStyle="1">
    <w:name w:val="Normal.R1"/>
    <w:qFormat/>
    <w:pPr>
      <w:spacing w:line="360" w:lineRule="atLeast"/>
      <w:jc w:val="both"/>
      <w:tabs defTabSz="708">
        <w:tab w:val="left" w:pos="1134" w:leader="none"/>
        <w:tab w:val="left" w:pos="1701" w:leader="none"/>
        <w:tab w:val="left" w:pos="2835" w:leader="none"/>
      </w:tabs>
    </w:pPr>
    <w:rPr>
      <w:rFonts w:ascii="Arial" w:hAnsi="Arial" w:cs="Arial"/>
      <w:color w:val="000000"/>
      <w:spacing w:val="23" w:percent="124"/>
      <w:sz w:val="22"/>
      <w:szCs w:val="22"/>
      <w:lang w:val="pt-br" w:eastAsia="pt-br" w:bidi="ar-sa"/>
    </w:rPr>
  </w:style>
  <w:style w:type="paragraph" w:styleId="para17">
    <w:name w:val="Body Text Indent"/>
    <w:qFormat/>
    <w:basedOn w:val="para0"/>
    <w:pPr>
      <w:ind w:left="2992"/>
      <w:spacing/>
      <w:jc w:val="both"/>
    </w:pPr>
  </w:style>
  <w:style w:type="paragraph" w:styleId="para18">
    <w:name w:val="Body Text Indent 2"/>
    <w:qFormat/>
    <w:basedOn w:val="para0"/>
    <w:pPr>
      <w:ind w:left="2992" w:hanging="2992"/>
      <w:spacing/>
      <w:jc w:val="both"/>
    </w:pPr>
  </w:style>
  <w:style w:type="paragraph" w:styleId="para19">
    <w:name w:val="Title"/>
    <w:qFormat/>
    <w:basedOn w:val="para0"/>
    <w:pPr>
      <w:spacing/>
      <w:jc w:val="center"/>
    </w:pPr>
    <w:rPr>
      <w:rFonts w:ascii="Arial" w:hAnsi="Arial"/>
      <w:bCs w:val="0"/>
      <w:iCs w:val="0"/>
    </w:rPr>
  </w:style>
  <w:style w:type="paragraph" w:styleId="para20">
    <w:name w:val="Balloon Text"/>
    <w:qFormat/>
    <w:basedOn w:val="para0"/>
    <w:rPr>
      <w:rFonts w:ascii="Tahoma" w:hAnsi="Tahoma" w:cs="Tahoma"/>
      <w:sz w:val="16"/>
      <w:szCs w:val="16"/>
    </w:rPr>
  </w:style>
  <w:style w:type="paragraph" w:styleId="para21">
    <w:name w:val="Normal (Web)"/>
    <w:qFormat/>
    <w:basedOn w:val="para0"/>
    <w:pPr>
      <w:spacing w:before="100" w:after="100" w:beforeAutospacing="1" w:afterAutospacing="1"/>
    </w:pPr>
    <w:rPr>
      <w:rFonts w:ascii="Times New Roman" w:hAnsi="Times New Roman"/>
      <w:bCs w:val="0"/>
      <w:iCs w:val="0"/>
      <w:sz w:val="24"/>
      <w:szCs w:val="24"/>
    </w:rPr>
  </w:style>
  <w:style w:type="paragraph" w:styleId="para22">
    <w:name w:val="List Paragraph"/>
    <w:qFormat/>
    <w:basedOn w:val="para0"/>
    <w:pPr>
      <w:ind w:left="328" w:hanging="226"/>
      <w:widowControl w:val="0"/>
    </w:pPr>
    <w:rPr>
      <w:rFonts w:ascii="Calibri Light" w:hAnsi="Calibri Light" w:eastAsia="Calibri Light" w:cs="Calibri Light"/>
      <w:bCs w:val="0"/>
      <w:iCs w:val="0"/>
      <w:sz w:val="22"/>
      <w:szCs w:val="22"/>
      <w:lang w:val="pt-pt" w:eastAsia="en-us"/>
    </w:rPr>
  </w:style>
  <w:style w:type="paragraph" w:styleId="para23" w:customStyle="1">
    <w:name w:val="Normal1"/>
    <w:qFormat/>
    <w:pPr>
      <w:suppressAutoHyphens/>
      <w:hyphenationLines w:val="0"/>
    </w:pPr>
    <w:rPr>
      <w:rFonts w:ascii="Calibri" w:hAnsi="Calibri" w:eastAsia="Calibri" w:cs="Calibri"/>
      <w:color w:val="000000"/>
      <w:sz w:val="24"/>
      <w:szCs w:val="24"/>
      <w:lang w:val="pt-br" w:eastAsia="zh-cn" w:bidi="ar-sa"/>
    </w:rPr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character" w:styleId="char2">
    <w:name w:val="Page Number"/>
    <w:basedOn w:val="char0"/>
  </w:style>
  <w:style w:type="character" w:styleId="char3">
    <w:name w:val="Footnote Reference"/>
    <w:rPr>
      <w:rFonts w:ascii="Arial" w:hAnsi="Arial"/>
      <w:sz w:val="20"/>
      <w:vertAlign w:val="superscript"/>
    </w:rPr>
  </w:style>
  <w:style w:type="character" w:styleId="char4" w:customStyle="1">
    <w:name w:val="Título 1 Char"/>
    <w:basedOn w:val="char0"/>
    <w:rPr>
      <w:sz w:val="24"/>
    </w:rPr>
  </w:style>
  <w:style w:type="character" w:styleId="char5" w:customStyle="1">
    <w:name w:val="Corpo de texto Char"/>
    <w:basedOn w:val="char0"/>
    <w:rPr>
      <w:rFonts w:ascii="BernhardMod BT" w:hAnsi="BernhardMod BT"/>
      <w:bCs/>
      <w:iCs/>
      <w:sz w:val="24"/>
    </w:rPr>
  </w:style>
  <w:style w:type="table" w:default="1" w:styleId="TableNormal">
    <w:name w:val="Tabela normal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a com grade"/>
    <w:basedOn w:val="NormalTable"/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Times New Roman" w:cs="Times New Roman"/>
        <w:sz w:val="20"/>
        <w:szCs w:val="20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entaur" w:hAnsi="Centaur"/>
      <w:bCs/>
      <w:iCs/>
      <w:sz w:val="28"/>
    </w:rPr>
  </w:style>
  <w:style w:type="paragraph" w:styleId="para1">
    <w:name w:val="heading 1"/>
    <w:qFormat/>
    <w:basedOn w:val="para0"/>
    <w:next w:val="para0"/>
    <w:pPr>
      <w:spacing/>
      <w:jc w:val="center"/>
      <w:keepNext/>
      <w:outlineLvl w:val="0"/>
    </w:pPr>
    <w:rPr>
      <w:rFonts w:ascii="Times New Roman" w:hAnsi="Times New Roman"/>
      <w:bCs w:val="0"/>
      <w:iCs w:val="0"/>
      <w:sz w:val="24"/>
    </w:rPr>
  </w:style>
  <w:style w:type="paragraph" w:styleId="para2">
    <w:name w:val="heading 2"/>
    <w:qFormat/>
    <w:basedOn w:val="para0"/>
    <w:next w:val="para0"/>
    <w:pPr>
      <w:spacing/>
      <w:jc w:val="center"/>
      <w:keepNext/>
      <w:outlineLvl w:val="1"/>
    </w:pPr>
    <w:rPr>
      <w:b/>
      <w:bCs w:val="0"/>
      <w:sz w:val="24"/>
    </w:rPr>
  </w:style>
  <w:style w:type="paragraph" w:styleId="para3">
    <w:name w:val="heading 3"/>
    <w:qFormat/>
    <w:basedOn w:val="para0"/>
    <w:next w:val="para0"/>
    <w:pPr>
      <w:spacing/>
      <w:jc w:val="both"/>
      <w:keepNext/>
      <w:outlineLvl w:val="2"/>
    </w:pPr>
    <w:rPr>
      <w:b/>
      <w:bCs w:val="0"/>
      <w:sz w:val="24"/>
      <w:u w:color="auto" w:val="single"/>
    </w:rPr>
  </w:style>
  <w:style w:type="paragraph" w:styleId="para4">
    <w:name w:val="heading 4"/>
    <w:qFormat/>
    <w:basedOn w:val="para0"/>
    <w:next w:val="para0"/>
    <w:pPr>
      <w:spacing/>
      <w:jc w:val="both"/>
      <w:keepNext/>
      <w:outlineLvl w:val="3"/>
    </w:pPr>
    <w:rPr>
      <w:rFonts w:ascii="BernhardMod BT" w:hAnsi="BernhardMod BT"/>
      <w:sz w:val="24"/>
      <w:u w:color="auto" w:val="single"/>
    </w:rPr>
  </w:style>
  <w:style w:type="paragraph" w:styleId="para5">
    <w:name w:val="heading 5"/>
    <w:qFormat/>
    <w:basedOn w:val="para0"/>
    <w:next w:val="para0"/>
    <w:pPr>
      <w:spacing/>
      <w:jc w:val="both"/>
      <w:keepNext/>
      <w:outlineLvl w:val="4"/>
    </w:pPr>
    <w:rPr>
      <w:rFonts w:ascii="Times New Roman" w:hAnsi="Times New Roman"/>
      <w:b/>
      <w:bCs w:val="0"/>
    </w:rPr>
  </w:style>
  <w:style w:type="paragraph" w:styleId="para6">
    <w:name w:val="heading 6"/>
    <w:qFormat/>
    <w:basedOn w:val="para0"/>
    <w:next w:val="para0"/>
    <w:pPr>
      <w:spacing w:line="360" w:lineRule="auto"/>
      <w:jc w:val="both"/>
      <w:keepNext/>
      <w:outlineLvl w:val="5"/>
    </w:pPr>
    <w:rPr>
      <w:b/>
      <w:bCs w:val="0"/>
      <w:sz w:val="24"/>
    </w:rPr>
  </w:style>
  <w:style w:type="paragraph" w:styleId="para7">
    <w:name w:val="heading 7"/>
    <w:qFormat/>
    <w:basedOn w:val="para0"/>
    <w:next w:val="para0"/>
    <w:pPr>
      <w:spacing w:line="360" w:lineRule="auto"/>
      <w:jc w:val="both"/>
      <w:keepNext/>
      <w:outlineLvl w:val="6"/>
    </w:pPr>
    <w:rPr>
      <w:b/>
      <w:bCs w:val="0"/>
      <w:i/>
      <w:iCs w:val="0"/>
      <w:sz w:val="24"/>
      <w:u w:color="auto" w:val="single"/>
    </w:rPr>
  </w:style>
  <w:style w:type="paragraph" w:styleId="para8">
    <w:name w:val="heading 8"/>
    <w:qFormat/>
    <w:basedOn w:val="para0"/>
    <w:next w:val="para0"/>
    <w:pPr>
      <w:keepNext/>
      <w:outlineLvl w:val="7"/>
    </w:pPr>
    <w:rPr>
      <w:rFonts w:ascii="Baskerville Old Face" w:hAnsi="Baskerville Old Face"/>
      <w:b/>
      <w:bCs w:val="0"/>
      <w:sz w:val="24"/>
      <w:u w:color="auto" w:val="single"/>
    </w:rPr>
  </w:style>
  <w:style w:type="paragraph" w:styleId="para9">
    <w:name w:val="heading 9"/>
    <w:qFormat/>
    <w:basedOn w:val="para0"/>
    <w:next w:val="para0"/>
    <w:pPr>
      <w:spacing/>
      <w:jc w:val="center"/>
      <w:keepNext/>
      <w:outlineLvl w:val="8"/>
    </w:pPr>
    <w:rPr>
      <w:rFonts w:ascii="Garamond" w:hAnsi="Garamond"/>
      <w:b/>
      <w:bCs w:val="0"/>
      <w:sz w:val="40"/>
      <w:u w:color="auto" w:val="single"/>
    </w:rPr>
  </w:style>
  <w:style w:type="paragraph" w:styleId="para10">
    <w:name w:val="Footer"/>
    <w:qFormat/>
    <w:basedOn w:val="para0"/>
    <w:pPr>
      <w:tabs defTabSz="708">
        <w:tab w:val="center" w:pos="4419" w:leader="none"/>
        <w:tab w:val="right" w:pos="8838" w:leader="none"/>
      </w:tabs>
    </w:pPr>
    <w:rPr>
      <w:rFonts w:ascii="Times New Roman" w:hAnsi="Times New Roman"/>
      <w:bCs w:val="0"/>
      <w:iCs w:val="0"/>
      <w:sz w:val="20"/>
    </w:rPr>
  </w:style>
  <w:style w:type="paragraph" w:styleId="para11">
    <w:name w:val="Header"/>
    <w:qFormat/>
    <w:basedOn w:val="para0"/>
    <w:pPr>
      <w:tabs defTabSz="708">
        <w:tab w:val="center" w:pos="4419" w:leader="none"/>
        <w:tab w:val="right" w:pos="8838" w:leader="none"/>
      </w:tabs>
    </w:pPr>
  </w:style>
  <w:style w:type="paragraph" w:styleId="para12">
    <w:name w:val="Body Text"/>
    <w:qFormat/>
    <w:basedOn w:val="para0"/>
    <w:pPr>
      <w:spacing/>
      <w:jc w:val="both"/>
    </w:pPr>
    <w:rPr>
      <w:rFonts w:ascii="BernhardMod BT" w:hAnsi="BernhardMod BT"/>
      <w:sz w:val="24"/>
    </w:rPr>
  </w:style>
  <w:style w:type="paragraph" w:styleId="para13">
    <w:name w:val="Body Text 3"/>
    <w:qFormat/>
    <w:basedOn w:val="para0"/>
    <w:pPr>
      <w:spacing/>
      <w:jc w:val="center"/>
    </w:pPr>
    <w:rPr>
      <w:rFonts w:ascii="Modern No. 20" w:hAnsi="Modern No. 20"/>
      <w:b/>
    </w:rPr>
  </w:style>
  <w:style w:type="paragraph" w:styleId="para14">
    <w:name w:val="Body Text 2"/>
    <w:qFormat/>
    <w:basedOn w:val="para0"/>
    <w:pPr>
      <w:spacing/>
      <w:jc w:val="both"/>
    </w:pPr>
    <w:rPr>
      <w:rFonts w:ascii="Times New Roman" w:hAnsi="Times New Roman"/>
    </w:rPr>
  </w:style>
  <w:style w:type="paragraph" w:styleId="para15">
    <w:name w:val="Body Text Indent 3"/>
    <w:qFormat/>
    <w:basedOn w:val="para0"/>
    <w:pPr>
      <w:ind w:left="283"/>
      <w:spacing w:after="120"/>
    </w:pPr>
    <w:rPr>
      <w:rFonts w:ascii="Times New Roman" w:hAnsi="Times New Roman"/>
      <w:bCs w:val="0"/>
      <w:iCs w:val="0"/>
      <w:sz w:val="16"/>
      <w:szCs w:val="16"/>
    </w:rPr>
  </w:style>
  <w:style w:type="paragraph" w:styleId="para16" w:customStyle="1">
    <w:name w:val="Normal.R1"/>
    <w:qFormat/>
    <w:pPr>
      <w:spacing w:line="360" w:lineRule="atLeast"/>
      <w:jc w:val="both"/>
      <w:tabs defTabSz="708">
        <w:tab w:val="left" w:pos="1134" w:leader="none"/>
        <w:tab w:val="left" w:pos="1701" w:leader="none"/>
        <w:tab w:val="left" w:pos="2835" w:leader="none"/>
      </w:tabs>
    </w:pPr>
    <w:rPr>
      <w:rFonts w:ascii="Arial" w:hAnsi="Arial" w:cs="Arial"/>
      <w:color w:val="000000"/>
      <w:spacing w:val="23" w:percent="124"/>
      <w:sz w:val="22"/>
      <w:szCs w:val="22"/>
      <w:lang w:val="pt-br" w:eastAsia="pt-br" w:bidi="ar-sa"/>
    </w:rPr>
  </w:style>
  <w:style w:type="paragraph" w:styleId="para17">
    <w:name w:val="Body Text Indent"/>
    <w:qFormat/>
    <w:basedOn w:val="para0"/>
    <w:pPr>
      <w:ind w:left="2992"/>
      <w:spacing/>
      <w:jc w:val="both"/>
    </w:pPr>
  </w:style>
  <w:style w:type="paragraph" w:styleId="para18">
    <w:name w:val="Body Text Indent 2"/>
    <w:qFormat/>
    <w:basedOn w:val="para0"/>
    <w:pPr>
      <w:ind w:left="2992" w:hanging="2992"/>
      <w:spacing/>
      <w:jc w:val="both"/>
    </w:pPr>
  </w:style>
  <w:style w:type="paragraph" w:styleId="para19">
    <w:name w:val="Title"/>
    <w:qFormat/>
    <w:basedOn w:val="para0"/>
    <w:pPr>
      <w:spacing/>
      <w:jc w:val="center"/>
    </w:pPr>
    <w:rPr>
      <w:rFonts w:ascii="Arial" w:hAnsi="Arial"/>
      <w:bCs w:val="0"/>
      <w:iCs w:val="0"/>
    </w:rPr>
  </w:style>
  <w:style w:type="paragraph" w:styleId="para20">
    <w:name w:val="Balloon Text"/>
    <w:qFormat/>
    <w:basedOn w:val="para0"/>
    <w:rPr>
      <w:rFonts w:ascii="Tahoma" w:hAnsi="Tahoma" w:cs="Tahoma"/>
      <w:sz w:val="16"/>
      <w:szCs w:val="16"/>
    </w:rPr>
  </w:style>
  <w:style w:type="paragraph" w:styleId="para21">
    <w:name w:val="Normal (Web)"/>
    <w:qFormat/>
    <w:basedOn w:val="para0"/>
    <w:pPr>
      <w:spacing w:before="100" w:after="100" w:beforeAutospacing="1" w:afterAutospacing="1"/>
    </w:pPr>
    <w:rPr>
      <w:rFonts w:ascii="Times New Roman" w:hAnsi="Times New Roman"/>
      <w:bCs w:val="0"/>
      <w:iCs w:val="0"/>
      <w:sz w:val="24"/>
      <w:szCs w:val="24"/>
    </w:rPr>
  </w:style>
  <w:style w:type="paragraph" w:styleId="para22">
    <w:name w:val="List Paragraph"/>
    <w:qFormat/>
    <w:basedOn w:val="para0"/>
    <w:pPr>
      <w:ind w:left="328" w:hanging="226"/>
      <w:widowControl w:val="0"/>
    </w:pPr>
    <w:rPr>
      <w:rFonts w:ascii="Calibri Light" w:hAnsi="Calibri Light" w:eastAsia="Calibri Light" w:cs="Calibri Light"/>
      <w:bCs w:val="0"/>
      <w:iCs w:val="0"/>
      <w:sz w:val="22"/>
      <w:szCs w:val="22"/>
      <w:lang w:val="pt-pt" w:eastAsia="en-us"/>
    </w:rPr>
  </w:style>
  <w:style w:type="paragraph" w:styleId="para23" w:customStyle="1">
    <w:name w:val="Normal1"/>
    <w:qFormat/>
    <w:pPr>
      <w:suppressAutoHyphens/>
      <w:hyphenationLines w:val="0"/>
    </w:pPr>
    <w:rPr>
      <w:rFonts w:ascii="Calibri" w:hAnsi="Calibri" w:eastAsia="Calibri" w:cs="Calibri"/>
      <w:color w:val="000000"/>
      <w:sz w:val="24"/>
      <w:szCs w:val="24"/>
      <w:lang w:val="pt-br" w:eastAsia="zh-cn" w:bidi="ar-sa"/>
    </w:rPr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character" w:styleId="char2">
    <w:name w:val="Page Number"/>
    <w:basedOn w:val="char0"/>
  </w:style>
  <w:style w:type="character" w:styleId="char3">
    <w:name w:val="Footnote Reference"/>
    <w:rPr>
      <w:rFonts w:ascii="Arial" w:hAnsi="Arial"/>
      <w:sz w:val="20"/>
      <w:vertAlign w:val="superscript"/>
    </w:rPr>
  </w:style>
  <w:style w:type="character" w:styleId="char4" w:customStyle="1">
    <w:name w:val="Título 1 Char"/>
    <w:basedOn w:val="char0"/>
    <w:rPr>
      <w:sz w:val="24"/>
    </w:rPr>
  </w:style>
  <w:style w:type="character" w:styleId="char5" w:customStyle="1">
    <w:name w:val="Corpo de texto Char"/>
    <w:basedOn w:val="char0"/>
    <w:rPr>
      <w:rFonts w:ascii="BernhardMod BT" w:hAnsi="BernhardMod BT"/>
      <w:bCs/>
      <w:iCs/>
      <w:sz w:val="24"/>
    </w:rPr>
  </w:style>
  <w:style w:type="table" w:default="1" w:styleId="TableNormal">
    <w:name w:val="Tabela normal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a com grade"/>
    <w:basedOn w:val="NormalTable"/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_rels/header1.xml.rels><?xml version="1.0" encoding="UTF-8" standalone="yes" ?>
<Relationships xmlns="http://schemas.openxmlformats.org/package/2006/relationships"><Relationship Id="rId1" Type="http://schemas.openxmlformats.org/officeDocument/2006/relationships/image" Target="media/image1.wmf"/><Relationship Id="rId2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Times New Roman"/>
        <a:cs typeface="Times New Roman"/>
      </a:majorFont>
      <a:minorFont>
        <a:latin typeface="Centaur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rev.1230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EXMO</dc:title>
  <dc:subject/>
  <dc:creator>Olavo</dc:creator>
  <cp:keywords/>
  <dc:description/>
  <cp:lastModifiedBy/>
  <cp:revision>51</cp:revision>
  <cp:lastPrinted>2025-08-14T16:53:56Z</cp:lastPrinted>
  <dcterms:created xsi:type="dcterms:W3CDTF">2025-01-21T13:02:00Z</dcterms:created>
  <dcterms:modified xsi:type="dcterms:W3CDTF">2026-01-09T12:28:59Z</dcterms:modified>
</cp:coreProperties>
</file>