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C56E51" w14:textId="6837BB02" w:rsidR="00593A8C" w:rsidRDefault="00593A8C" w:rsidP="00061CF4">
      <w:pPr>
        <w:autoSpaceDE w:val="0"/>
        <w:autoSpaceDN w:val="0"/>
        <w:adjustRightInd w:val="0"/>
        <w:ind w:left="3402"/>
        <w:jc w:val="both"/>
        <w:rPr>
          <w:rFonts w:ascii="Arial" w:hAnsi="Arial" w:cs="Arial"/>
          <w:color w:val="000000"/>
          <w:sz w:val="19"/>
          <w:szCs w:val="19"/>
        </w:rPr>
      </w:pPr>
      <w:r>
        <w:rPr>
          <w:rFonts w:ascii="Arial" w:hAnsi="Arial" w:cs="Arial"/>
          <w:b/>
          <w:color w:val="000000"/>
          <w:sz w:val="19"/>
          <w:szCs w:val="19"/>
        </w:rPr>
        <w:t>ATA DE REGISTRO DE PREÇOS</w:t>
      </w:r>
      <w:r>
        <w:rPr>
          <w:rFonts w:ascii="Arial" w:hAnsi="Arial" w:cs="Arial"/>
          <w:color w:val="000000"/>
          <w:sz w:val="19"/>
          <w:szCs w:val="19"/>
        </w:rPr>
        <w:t xml:space="preserve"> REFERENTE AO </w:t>
      </w:r>
      <w:r>
        <w:rPr>
          <w:rFonts w:ascii="Arial" w:hAnsi="Arial" w:cs="Arial"/>
          <w:b/>
          <w:color w:val="000000"/>
          <w:sz w:val="19"/>
          <w:szCs w:val="19"/>
        </w:rPr>
        <w:t xml:space="preserve">PREGÃO ELETRÔNICO Nº </w:t>
      </w:r>
      <w:r w:rsidR="00061CF4">
        <w:rPr>
          <w:rFonts w:ascii="Arial" w:hAnsi="Arial" w:cs="Arial"/>
          <w:b/>
          <w:color w:val="000000"/>
          <w:sz w:val="19"/>
          <w:szCs w:val="19"/>
        </w:rPr>
        <w:t>171/2023</w:t>
      </w:r>
      <w:r>
        <w:rPr>
          <w:rFonts w:ascii="Arial" w:hAnsi="Arial" w:cs="Arial"/>
          <w:color w:val="000000"/>
          <w:sz w:val="19"/>
          <w:szCs w:val="19"/>
        </w:rPr>
        <w:t xml:space="preserve">, QUE ENTRE SI CELEBRAM O </w:t>
      </w:r>
      <w:r>
        <w:rPr>
          <w:rFonts w:ascii="Arial" w:hAnsi="Arial" w:cs="Arial"/>
          <w:b/>
          <w:color w:val="000000"/>
          <w:sz w:val="19"/>
          <w:szCs w:val="19"/>
        </w:rPr>
        <w:t>MUNICÍPIO DE FLORES DA CUNHA</w:t>
      </w:r>
      <w:r>
        <w:rPr>
          <w:rFonts w:ascii="Arial" w:hAnsi="Arial" w:cs="Arial"/>
          <w:color w:val="000000"/>
          <w:sz w:val="19"/>
          <w:szCs w:val="19"/>
        </w:rPr>
        <w:t xml:space="preserve"> E </w:t>
      </w:r>
      <w:r w:rsidR="00061CF4">
        <w:rPr>
          <w:rFonts w:ascii="Arial" w:hAnsi="Arial" w:cs="Arial"/>
          <w:b/>
          <w:color w:val="000000"/>
          <w:sz w:val="19"/>
          <w:szCs w:val="19"/>
        </w:rPr>
        <w:t>CONCRESUL ENGENHARIA LTDA</w:t>
      </w:r>
      <w:r>
        <w:rPr>
          <w:rFonts w:ascii="Arial" w:hAnsi="Arial" w:cs="Arial"/>
          <w:color w:val="000000"/>
          <w:sz w:val="19"/>
          <w:szCs w:val="19"/>
        </w:rPr>
        <w:t>, NOS TERMOS E CONDIÇÕES A SEGUIR ESTABELECIDAS.</w:t>
      </w:r>
    </w:p>
    <w:p w14:paraId="2225E10F" w14:textId="77777777" w:rsidR="00593A8C" w:rsidRDefault="00593A8C" w:rsidP="00593A8C">
      <w:pPr>
        <w:autoSpaceDE w:val="0"/>
        <w:autoSpaceDN w:val="0"/>
        <w:adjustRightInd w:val="0"/>
        <w:ind w:firstLine="1080"/>
        <w:jc w:val="both"/>
        <w:rPr>
          <w:rFonts w:ascii="Arial" w:hAnsi="Arial" w:cs="Arial"/>
          <w:color w:val="000000"/>
          <w:sz w:val="19"/>
          <w:szCs w:val="19"/>
        </w:rPr>
      </w:pPr>
    </w:p>
    <w:p w14:paraId="2237C8CE" w14:textId="09D97202" w:rsidR="00593A8C" w:rsidRDefault="00593A8C" w:rsidP="00593A8C">
      <w:pPr>
        <w:autoSpaceDE w:val="0"/>
        <w:autoSpaceDN w:val="0"/>
        <w:adjustRightInd w:val="0"/>
        <w:ind w:firstLine="1134"/>
        <w:jc w:val="both"/>
        <w:rPr>
          <w:rFonts w:ascii="Arial" w:hAnsi="Arial" w:cs="Arial"/>
          <w:sz w:val="19"/>
          <w:szCs w:val="19"/>
        </w:rPr>
      </w:pPr>
      <w:r>
        <w:rPr>
          <w:rFonts w:ascii="Arial" w:hAnsi="Arial" w:cs="Arial"/>
          <w:color w:val="000000"/>
          <w:sz w:val="19"/>
          <w:szCs w:val="19"/>
        </w:rPr>
        <w:t xml:space="preserve">O </w:t>
      </w:r>
      <w:r>
        <w:rPr>
          <w:rFonts w:ascii="Arial" w:hAnsi="Arial" w:cs="Arial"/>
          <w:b/>
          <w:color w:val="000000"/>
          <w:sz w:val="19"/>
          <w:szCs w:val="19"/>
        </w:rPr>
        <w:t>MUNICÍPIO DE FLORES DA CUNHA</w:t>
      </w:r>
      <w:r>
        <w:rPr>
          <w:rFonts w:ascii="Arial" w:hAnsi="Arial" w:cs="Arial"/>
          <w:b/>
          <w:bCs/>
          <w:color w:val="000000"/>
          <w:sz w:val="19"/>
          <w:szCs w:val="19"/>
        </w:rPr>
        <w:t xml:space="preserve">, </w:t>
      </w:r>
      <w:r>
        <w:rPr>
          <w:rFonts w:ascii="Arial" w:hAnsi="Arial" w:cs="Arial"/>
          <w:color w:val="000000"/>
          <w:sz w:val="19"/>
          <w:szCs w:val="19"/>
        </w:rPr>
        <w:t xml:space="preserve">pessoa jurídica de direito público interno, inscrito no CNPJ sob o nº </w:t>
      </w:r>
      <w:r>
        <w:rPr>
          <w:rFonts w:ascii="Arial" w:hAnsi="Arial" w:cs="Arial"/>
          <w:sz w:val="19"/>
          <w:szCs w:val="19"/>
        </w:rPr>
        <w:t>87.843.819/0001-07</w:t>
      </w:r>
      <w:r>
        <w:rPr>
          <w:rFonts w:ascii="Arial" w:hAnsi="Arial" w:cs="Arial"/>
          <w:color w:val="000000"/>
          <w:sz w:val="19"/>
          <w:szCs w:val="19"/>
        </w:rPr>
        <w:t>, estabelecida na Rua São José, nº 2500, neste a</w:t>
      </w:r>
      <w:r>
        <w:rPr>
          <w:rFonts w:ascii="Arial" w:hAnsi="Arial" w:cs="Arial"/>
          <w:sz w:val="19"/>
          <w:szCs w:val="19"/>
        </w:rPr>
        <w:t xml:space="preserve">to representado pelo seu Prefeito Municipal Sr. </w:t>
      </w:r>
      <w:r>
        <w:rPr>
          <w:rFonts w:ascii="Arial" w:hAnsi="Arial" w:cs="Arial"/>
          <w:b/>
          <w:sz w:val="19"/>
          <w:szCs w:val="19"/>
        </w:rPr>
        <w:t xml:space="preserve">CÉSAR ULIAN, </w:t>
      </w:r>
      <w:r>
        <w:rPr>
          <w:rFonts w:ascii="Arial" w:hAnsi="Arial" w:cs="Arial"/>
          <w:sz w:val="19"/>
          <w:szCs w:val="19"/>
        </w:rPr>
        <w:t xml:space="preserve">brasileiro, casado, residente e domiciliado em Flores da Cunha - RS, </w:t>
      </w:r>
      <w:r>
        <w:rPr>
          <w:rFonts w:ascii="Arial" w:hAnsi="Arial" w:cs="Arial"/>
          <w:color w:val="000000"/>
          <w:sz w:val="19"/>
          <w:szCs w:val="19"/>
        </w:rPr>
        <w:t xml:space="preserve">doravante denominada </w:t>
      </w:r>
      <w:r>
        <w:rPr>
          <w:rFonts w:ascii="Arial" w:hAnsi="Arial" w:cs="Arial"/>
          <w:b/>
          <w:color w:val="000000"/>
          <w:sz w:val="19"/>
          <w:szCs w:val="19"/>
        </w:rPr>
        <w:t>ADMINISTRAÇÃO</w:t>
      </w:r>
      <w:r>
        <w:rPr>
          <w:rFonts w:ascii="Arial" w:hAnsi="Arial" w:cs="Arial"/>
          <w:color w:val="000000"/>
          <w:sz w:val="19"/>
          <w:szCs w:val="19"/>
        </w:rPr>
        <w:t xml:space="preserve"> </w:t>
      </w:r>
      <w:r>
        <w:rPr>
          <w:rFonts w:ascii="Arial" w:hAnsi="Arial" w:cs="Arial"/>
          <w:bCs/>
          <w:color w:val="000000"/>
          <w:sz w:val="19"/>
          <w:szCs w:val="19"/>
        </w:rPr>
        <w:t>e</w:t>
      </w:r>
      <w:r>
        <w:rPr>
          <w:rFonts w:ascii="Arial" w:hAnsi="Arial" w:cs="Arial"/>
          <w:b/>
          <w:bCs/>
          <w:color w:val="000000"/>
          <w:sz w:val="19"/>
          <w:szCs w:val="19"/>
        </w:rPr>
        <w:t xml:space="preserve"> </w:t>
      </w:r>
      <w:r>
        <w:rPr>
          <w:rFonts w:ascii="Arial" w:hAnsi="Arial" w:cs="Arial"/>
          <w:color w:val="000000"/>
          <w:sz w:val="19"/>
          <w:szCs w:val="19"/>
        </w:rPr>
        <w:t>a</w:t>
      </w:r>
      <w:r>
        <w:rPr>
          <w:rFonts w:ascii="Arial" w:hAnsi="Arial" w:cs="Arial"/>
          <w:sz w:val="19"/>
          <w:szCs w:val="19"/>
        </w:rPr>
        <w:t xml:space="preserve"> empresa </w:t>
      </w:r>
      <w:r w:rsidR="00061CF4">
        <w:rPr>
          <w:rFonts w:ascii="Arial" w:hAnsi="Arial" w:cs="Arial"/>
          <w:b/>
          <w:bCs/>
          <w:sz w:val="19"/>
          <w:szCs w:val="19"/>
        </w:rPr>
        <w:t>CONCRESUL ENGENHARIA LTDA</w:t>
      </w:r>
      <w:r>
        <w:rPr>
          <w:rFonts w:ascii="Arial" w:hAnsi="Arial" w:cs="Arial"/>
          <w:b/>
          <w:sz w:val="19"/>
          <w:szCs w:val="19"/>
        </w:rPr>
        <w:t xml:space="preserve">, </w:t>
      </w:r>
      <w:r>
        <w:rPr>
          <w:rFonts w:ascii="Arial" w:hAnsi="Arial" w:cs="Arial"/>
          <w:sz w:val="19"/>
          <w:szCs w:val="19"/>
        </w:rPr>
        <w:t xml:space="preserve">inscrita no CNPJ sob o nº </w:t>
      </w:r>
      <w:r w:rsidR="00061CF4">
        <w:rPr>
          <w:rFonts w:ascii="Arial" w:hAnsi="Arial" w:cs="Arial"/>
          <w:sz w:val="19"/>
          <w:szCs w:val="19"/>
        </w:rPr>
        <w:t>26.277.170/0001-01</w:t>
      </w:r>
      <w:r>
        <w:rPr>
          <w:rFonts w:ascii="Arial" w:hAnsi="Arial" w:cs="Arial"/>
          <w:sz w:val="19"/>
          <w:szCs w:val="19"/>
        </w:rPr>
        <w:t xml:space="preserve">, estabelecida na Rua </w:t>
      </w:r>
      <w:r w:rsidR="007C2EEA">
        <w:rPr>
          <w:rFonts w:ascii="Arial" w:hAnsi="Arial" w:cs="Arial"/>
          <w:sz w:val="19"/>
          <w:szCs w:val="19"/>
        </w:rPr>
        <w:t>José Benedetti</w:t>
      </w:r>
      <w:r>
        <w:rPr>
          <w:rFonts w:ascii="Arial" w:hAnsi="Arial" w:cs="Arial"/>
          <w:sz w:val="19"/>
          <w:szCs w:val="19"/>
        </w:rPr>
        <w:t xml:space="preserve">, nº </w:t>
      </w:r>
      <w:r w:rsidR="007C2EEA">
        <w:rPr>
          <w:rFonts w:ascii="Arial" w:hAnsi="Arial" w:cs="Arial"/>
          <w:sz w:val="19"/>
          <w:szCs w:val="19"/>
        </w:rPr>
        <w:t>2720</w:t>
      </w:r>
      <w:r>
        <w:rPr>
          <w:rFonts w:ascii="Arial" w:hAnsi="Arial" w:cs="Arial"/>
          <w:sz w:val="19"/>
          <w:szCs w:val="19"/>
        </w:rPr>
        <w:t xml:space="preserve">, Bairro </w:t>
      </w:r>
      <w:r w:rsidR="007C2EEA">
        <w:rPr>
          <w:rFonts w:ascii="Arial" w:hAnsi="Arial" w:cs="Arial"/>
          <w:sz w:val="19"/>
          <w:szCs w:val="19"/>
        </w:rPr>
        <w:t>Salgado</w:t>
      </w:r>
      <w:r>
        <w:rPr>
          <w:rFonts w:ascii="Arial" w:hAnsi="Arial" w:cs="Arial"/>
          <w:sz w:val="19"/>
          <w:szCs w:val="19"/>
        </w:rPr>
        <w:t xml:space="preserve">, na cidade de </w:t>
      </w:r>
      <w:r w:rsidR="007C2EEA">
        <w:rPr>
          <w:rFonts w:ascii="Arial" w:hAnsi="Arial" w:cs="Arial"/>
          <w:sz w:val="19"/>
          <w:szCs w:val="19"/>
        </w:rPr>
        <w:t>Bento Gonçalves - RS</w:t>
      </w:r>
      <w:r>
        <w:rPr>
          <w:rFonts w:ascii="Arial" w:hAnsi="Arial" w:cs="Arial"/>
          <w:sz w:val="19"/>
          <w:szCs w:val="19"/>
        </w:rPr>
        <w:t xml:space="preserve">, neste ato representada pelo Sr. </w:t>
      </w:r>
      <w:r w:rsidR="007C2EEA">
        <w:rPr>
          <w:rFonts w:ascii="Arial" w:hAnsi="Arial" w:cs="Arial"/>
          <w:sz w:val="19"/>
          <w:szCs w:val="19"/>
        </w:rPr>
        <w:t>Pedro Antônio Reginato</w:t>
      </w:r>
      <w:r>
        <w:rPr>
          <w:rFonts w:ascii="Arial" w:hAnsi="Arial" w:cs="Arial"/>
          <w:sz w:val="19"/>
          <w:szCs w:val="19"/>
        </w:rPr>
        <w:t xml:space="preserve">, brasileiro, inscrito no CPF sob o nº </w:t>
      </w:r>
      <w:r w:rsidR="007C2EEA">
        <w:rPr>
          <w:rFonts w:ascii="Arial" w:hAnsi="Arial" w:cs="Arial"/>
          <w:sz w:val="19"/>
          <w:szCs w:val="19"/>
        </w:rPr>
        <w:t>097.800.090-00</w:t>
      </w:r>
      <w:r>
        <w:rPr>
          <w:rFonts w:ascii="Arial" w:hAnsi="Arial" w:cs="Arial"/>
          <w:sz w:val="19"/>
          <w:szCs w:val="19"/>
        </w:rPr>
        <w:t xml:space="preserve">, carteira de identidade nº </w:t>
      </w:r>
      <w:r w:rsidR="007C2EEA">
        <w:rPr>
          <w:rFonts w:ascii="Arial" w:hAnsi="Arial" w:cs="Arial"/>
          <w:sz w:val="19"/>
          <w:szCs w:val="19"/>
        </w:rPr>
        <w:t>1020881321</w:t>
      </w:r>
      <w:r>
        <w:rPr>
          <w:rFonts w:ascii="Arial" w:hAnsi="Arial" w:cs="Arial"/>
          <w:sz w:val="19"/>
          <w:szCs w:val="19"/>
        </w:rPr>
        <w:t xml:space="preserve">, residente e domiciliado na Rua </w:t>
      </w:r>
      <w:r w:rsidR="007C2EEA">
        <w:rPr>
          <w:rFonts w:ascii="Arial" w:hAnsi="Arial" w:cs="Arial"/>
          <w:sz w:val="19"/>
          <w:szCs w:val="19"/>
        </w:rPr>
        <w:t>Doutor Aguinaldo da Silva Leal</w:t>
      </w:r>
      <w:r>
        <w:rPr>
          <w:rFonts w:ascii="Arial" w:hAnsi="Arial" w:cs="Arial"/>
          <w:sz w:val="19"/>
          <w:szCs w:val="19"/>
        </w:rPr>
        <w:t xml:space="preserve">, nº </w:t>
      </w:r>
      <w:r w:rsidR="007C2EEA">
        <w:rPr>
          <w:rFonts w:ascii="Arial" w:hAnsi="Arial" w:cs="Arial"/>
          <w:sz w:val="19"/>
          <w:szCs w:val="19"/>
        </w:rPr>
        <w:t>141</w:t>
      </w:r>
      <w:r>
        <w:rPr>
          <w:rFonts w:ascii="Arial" w:hAnsi="Arial" w:cs="Arial"/>
          <w:sz w:val="19"/>
          <w:szCs w:val="19"/>
        </w:rPr>
        <w:t>,</w:t>
      </w:r>
      <w:r w:rsidR="007C2EEA">
        <w:rPr>
          <w:rFonts w:ascii="Arial" w:hAnsi="Arial" w:cs="Arial"/>
          <w:sz w:val="19"/>
          <w:szCs w:val="19"/>
        </w:rPr>
        <w:t xml:space="preserve"> Apto 401,</w:t>
      </w:r>
      <w:r>
        <w:rPr>
          <w:rFonts w:ascii="Arial" w:hAnsi="Arial" w:cs="Arial"/>
          <w:sz w:val="19"/>
          <w:szCs w:val="19"/>
        </w:rPr>
        <w:t xml:space="preserve"> Bairro </w:t>
      </w:r>
      <w:r w:rsidR="007C2EEA">
        <w:rPr>
          <w:rFonts w:ascii="Arial" w:hAnsi="Arial" w:cs="Arial"/>
          <w:sz w:val="19"/>
          <w:szCs w:val="19"/>
        </w:rPr>
        <w:t>Cidade Alta</w:t>
      </w:r>
      <w:r>
        <w:rPr>
          <w:rFonts w:ascii="Arial" w:hAnsi="Arial" w:cs="Arial"/>
          <w:sz w:val="19"/>
          <w:szCs w:val="19"/>
        </w:rPr>
        <w:t xml:space="preserve">, na cidade de </w:t>
      </w:r>
      <w:r w:rsidR="007C2EEA">
        <w:rPr>
          <w:rFonts w:ascii="Arial" w:hAnsi="Arial" w:cs="Arial"/>
          <w:sz w:val="19"/>
          <w:szCs w:val="19"/>
        </w:rPr>
        <w:t>Bento Gonçalves - RS</w:t>
      </w:r>
      <w:r>
        <w:rPr>
          <w:rFonts w:ascii="Arial" w:hAnsi="Arial" w:cs="Arial"/>
          <w:sz w:val="19"/>
          <w:szCs w:val="19"/>
        </w:rPr>
        <w:t>,</w:t>
      </w:r>
      <w:r>
        <w:rPr>
          <w:rFonts w:ascii="Arial" w:hAnsi="Arial" w:cs="Arial"/>
          <w:color w:val="000000"/>
          <w:sz w:val="19"/>
          <w:szCs w:val="19"/>
        </w:rPr>
        <w:t xml:space="preserve"> doravante denominada </w:t>
      </w:r>
      <w:r>
        <w:rPr>
          <w:rFonts w:ascii="Arial" w:hAnsi="Arial" w:cs="Arial"/>
          <w:b/>
          <w:color w:val="000000"/>
          <w:sz w:val="19"/>
          <w:szCs w:val="19"/>
        </w:rPr>
        <w:t>COMPROMITENTE FORNECEDORA</w:t>
      </w:r>
      <w:r>
        <w:rPr>
          <w:rFonts w:ascii="Arial" w:hAnsi="Arial" w:cs="Arial"/>
          <w:color w:val="000000"/>
          <w:sz w:val="19"/>
          <w:szCs w:val="19"/>
        </w:rPr>
        <w:t xml:space="preserve">, resolvem firmar a presente ATA DE REGISTRO DE PREÇOS, de acordo com o resultado do </w:t>
      </w:r>
      <w:r w:rsidRPr="007C2EEA">
        <w:rPr>
          <w:rFonts w:ascii="Arial" w:hAnsi="Arial" w:cs="Arial"/>
          <w:color w:val="000000" w:themeColor="text1"/>
          <w:sz w:val="19"/>
          <w:szCs w:val="19"/>
        </w:rPr>
        <w:t xml:space="preserve">Pregão Eletrônico nº </w:t>
      </w:r>
      <w:r w:rsidR="007C2EEA" w:rsidRPr="007C2EEA">
        <w:rPr>
          <w:rFonts w:ascii="Arial" w:hAnsi="Arial" w:cs="Arial"/>
          <w:color w:val="000000" w:themeColor="text1"/>
          <w:sz w:val="19"/>
          <w:szCs w:val="19"/>
        </w:rPr>
        <w:t>171</w:t>
      </w:r>
      <w:r w:rsidRPr="007C2EEA">
        <w:rPr>
          <w:rFonts w:ascii="Arial" w:hAnsi="Arial" w:cs="Arial"/>
          <w:color w:val="000000" w:themeColor="text1"/>
          <w:sz w:val="19"/>
          <w:szCs w:val="19"/>
        </w:rPr>
        <w:t>/2023</w:t>
      </w:r>
      <w:r>
        <w:rPr>
          <w:rFonts w:ascii="Arial" w:hAnsi="Arial" w:cs="Arial"/>
          <w:b/>
          <w:bCs/>
          <w:color w:val="000000"/>
          <w:sz w:val="19"/>
          <w:szCs w:val="19"/>
        </w:rPr>
        <w:t xml:space="preserve">, </w:t>
      </w:r>
      <w:r>
        <w:rPr>
          <w:rFonts w:ascii="Arial" w:hAnsi="Arial" w:cs="Arial"/>
          <w:color w:val="000000"/>
          <w:sz w:val="19"/>
          <w:szCs w:val="19"/>
        </w:rPr>
        <w:t>mediante as cláusulas e condições a seguir estabelecidas:</w:t>
      </w:r>
    </w:p>
    <w:p w14:paraId="511F3DD5" w14:textId="77777777" w:rsidR="00593A8C" w:rsidRDefault="00593A8C" w:rsidP="00593A8C">
      <w:pPr>
        <w:autoSpaceDE w:val="0"/>
        <w:autoSpaceDN w:val="0"/>
        <w:adjustRightInd w:val="0"/>
        <w:ind w:firstLine="1134"/>
        <w:rPr>
          <w:rFonts w:ascii="Arial" w:hAnsi="Arial" w:cs="Arial"/>
          <w:b/>
          <w:bCs/>
          <w:color w:val="000000"/>
          <w:sz w:val="19"/>
          <w:szCs w:val="19"/>
        </w:rPr>
      </w:pPr>
    </w:p>
    <w:p w14:paraId="3693FAA8" w14:textId="77777777" w:rsidR="00593A8C" w:rsidRDefault="00593A8C" w:rsidP="00593A8C">
      <w:pPr>
        <w:autoSpaceDE w:val="0"/>
        <w:autoSpaceDN w:val="0"/>
        <w:adjustRightInd w:val="0"/>
        <w:ind w:firstLine="1134"/>
        <w:rPr>
          <w:rFonts w:ascii="Arial" w:hAnsi="Arial" w:cs="Arial"/>
          <w:b/>
          <w:bCs/>
          <w:sz w:val="19"/>
          <w:szCs w:val="19"/>
        </w:rPr>
      </w:pPr>
      <w:r>
        <w:rPr>
          <w:rFonts w:ascii="Arial" w:hAnsi="Arial" w:cs="Arial"/>
          <w:b/>
          <w:bCs/>
          <w:sz w:val="19"/>
          <w:szCs w:val="19"/>
        </w:rPr>
        <w:t>CLÁUSULA PRIMEIRA - DO OBJETO</w:t>
      </w:r>
    </w:p>
    <w:p w14:paraId="6603D68C" w14:textId="77777777" w:rsidR="00593A8C" w:rsidRDefault="00593A8C" w:rsidP="00593A8C">
      <w:pPr>
        <w:autoSpaceDE w:val="0"/>
        <w:autoSpaceDN w:val="0"/>
        <w:adjustRightInd w:val="0"/>
        <w:ind w:firstLine="1134"/>
        <w:jc w:val="both"/>
        <w:rPr>
          <w:rFonts w:ascii="Arial" w:hAnsi="Arial" w:cs="Arial"/>
          <w:color w:val="000000"/>
          <w:sz w:val="19"/>
          <w:szCs w:val="19"/>
        </w:rPr>
      </w:pPr>
    </w:p>
    <w:p w14:paraId="3C4A98B1" w14:textId="17F2E68B" w:rsidR="00593A8C" w:rsidRDefault="00593A8C" w:rsidP="00593A8C">
      <w:pPr>
        <w:autoSpaceDE w:val="0"/>
        <w:autoSpaceDN w:val="0"/>
        <w:adjustRightInd w:val="0"/>
        <w:ind w:firstLine="1134"/>
        <w:jc w:val="both"/>
        <w:rPr>
          <w:rFonts w:ascii="Arial" w:hAnsi="Arial" w:cs="Arial"/>
          <w:color w:val="000000"/>
          <w:sz w:val="19"/>
          <w:szCs w:val="19"/>
        </w:rPr>
      </w:pPr>
      <w:r>
        <w:rPr>
          <w:rFonts w:ascii="Arial" w:hAnsi="Arial" w:cs="Arial"/>
          <w:color w:val="000000"/>
          <w:sz w:val="19"/>
          <w:szCs w:val="19"/>
        </w:rPr>
        <w:t xml:space="preserve">A presente ATA tem por objeto e finalidade o </w:t>
      </w:r>
      <w:r>
        <w:rPr>
          <w:rFonts w:ascii="Arial" w:hAnsi="Arial" w:cs="Arial"/>
          <w:sz w:val="19"/>
          <w:szCs w:val="19"/>
        </w:rPr>
        <w:t xml:space="preserve">REGISTRO DE PREÇOS de Serviços de Execução de Pavimentação Asfáltica contemplando a Imprimação com asfalto diluído CM-30, Pintura de Ligação com emulsão asfáltica RR-1C e Concreto Asfáltico padrão DNIT faixa C (fornecimento, transporte, marcação e aplicação), Serviços de Reparo com Concreto Asfáltico padrão DNIT faixa C, e Serviços de Execução de Sarjeta em Concreto moldada in loco, para obras de pavimentação e repavimentação no Município de Flores da Cunha, na forma de empreitada por preços unitários, compreendendo material e mão-de-obra </w:t>
      </w:r>
      <w:r>
        <w:rPr>
          <w:rFonts w:ascii="Arial" w:hAnsi="Arial" w:cs="Arial"/>
          <w:color w:val="000000"/>
          <w:sz w:val="19"/>
          <w:szCs w:val="19"/>
        </w:rPr>
        <w:t>nas condições definidas no ato convocatório, seus anexos, propostas de preços e Ata do Pregão Eletrônico</w:t>
      </w:r>
      <w:r>
        <w:rPr>
          <w:rFonts w:ascii="Arial" w:hAnsi="Arial" w:cs="Arial"/>
          <w:bCs/>
          <w:color w:val="000000"/>
          <w:sz w:val="19"/>
          <w:szCs w:val="19"/>
        </w:rPr>
        <w:t xml:space="preserve"> nº </w:t>
      </w:r>
      <w:r w:rsidR="00CA2C81">
        <w:rPr>
          <w:rFonts w:ascii="Arial" w:hAnsi="Arial" w:cs="Arial"/>
          <w:bCs/>
          <w:color w:val="000000"/>
          <w:sz w:val="19"/>
          <w:szCs w:val="19"/>
        </w:rPr>
        <w:t>171</w:t>
      </w:r>
      <w:r>
        <w:rPr>
          <w:rFonts w:ascii="Arial" w:hAnsi="Arial" w:cs="Arial"/>
          <w:bCs/>
          <w:color w:val="000000"/>
          <w:sz w:val="19"/>
          <w:szCs w:val="19"/>
        </w:rPr>
        <w:t xml:space="preserve">/2023, </w:t>
      </w:r>
      <w:r>
        <w:rPr>
          <w:rFonts w:ascii="Arial" w:hAnsi="Arial" w:cs="Arial"/>
          <w:color w:val="000000"/>
          <w:sz w:val="19"/>
          <w:szCs w:val="19"/>
        </w:rPr>
        <w:t>que integram este instrumento independente de transcrição, pelo prazo de validade do registro.</w:t>
      </w:r>
    </w:p>
    <w:p w14:paraId="14D0A45B" w14:textId="77777777" w:rsidR="00593A8C" w:rsidRDefault="00593A8C" w:rsidP="00593A8C">
      <w:pPr>
        <w:ind w:firstLine="1080"/>
        <w:jc w:val="both"/>
        <w:rPr>
          <w:rFonts w:ascii="Arial" w:hAnsi="Arial" w:cs="Arial"/>
          <w:sz w:val="19"/>
          <w:szCs w:val="19"/>
        </w:rPr>
      </w:pPr>
      <w:r>
        <w:rPr>
          <w:rFonts w:ascii="Arial" w:hAnsi="Arial" w:cs="Arial"/>
          <w:b/>
          <w:sz w:val="19"/>
          <w:szCs w:val="19"/>
        </w:rPr>
        <w:t>I –</w:t>
      </w:r>
      <w:r>
        <w:rPr>
          <w:rFonts w:ascii="Arial" w:hAnsi="Arial" w:cs="Arial"/>
          <w:sz w:val="19"/>
          <w:szCs w:val="19"/>
        </w:rPr>
        <w:t xml:space="preserve"> Os quantitativos indicados acima são meramente estimados, não acarretando qualquer obrigação quanto a sua aquisição por parte desta municipalidade.</w:t>
      </w:r>
    </w:p>
    <w:p w14:paraId="233DF9AC" w14:textId="77777777" w:rsidR="00593A8C" w:rsidRDefault="00593A8C" w:rsidP="00593A8C">
      <w:pPr>
        <w:ind w:firstLine="1080"/>
        <w:jc w:val="both"/>
        <w:rPr>
          <w:rFonts w:ascii="Arial" w:hAnsi="Arial" w:cs="Arial"/>
          <w:sz w:val="19"/>
          <w:szCs w:val="19"/>
        </w:rPr>
      </w:pPr>
      <w:r>
        <w:rPr>
          <w:rFonts w:ascii="Arial" w:hAnsi="Arial" w:cs="Arial"/>
          <w:b/>
          <w:sz w:val="19"/>
          <w:szCs w:val="19"/>
        </w:rPr>
        <w:t xml:space="preserve">II – </w:t>
      </w:r>
      <w:r>
        <w:rPr>
          <w:rFonts w:ascii="Arial" w:hAnsi="Arial" w:cs="Arial"/>
          <w:sz w:val="19"/>
          <w:szCs w:val="19"/>
        </w:rPr>
        <w:t>As quantidades que vierem a ser adquiridas serão definidas em Projeto e Memorial Descritivo a ser fornecido pela Secretaria Competente.</w:t>
      </w:r>
    </w:p>
    <w:p w14:paraId="1BA00152" w14:textId="77777777" w:rsidR="00593A8C" w:rsidRDefault="00593A8C" w:rsidP="00593A8C">
      <w:pPr>
        <w:ind w:firstLine="1080"/>
        <w:jc w:val="both"/>
        <w:rPr>
          <w:rFonts w:ascii="Arial" w:hAnsi="Arial" w:cs="Arial"/>
          <w:iCs/>
          <w:sz w:val="19"/>
          <w:szCs w:val="19"/>
        </w:rPr>
      </w:pPr>
      <w:r>
        <w:rPr>
          <w:rFonts w:ascii="Arial" w:hAnsi="Arial" w:cs="Arial"/>
          <w:b/>
          <w:sz w:val="19"/>
          <w:szCs w:val="19"/>
        </w:rPr>
        <w:t xml:space="preserve">III – </w:t>
      </w:r>
      <w:r>
        <w:rPr>
          <w:rFonts w:ascii="Arial" w:hAnsi="Arial" w:cs="Arial"/>
          <w:sz w:val="19"/>
          <w:szCs w:val="19"/>
        </w:rPr>
        <w:t xml:space="preserve">A existência de preços registrados não obriga o Município a firmar aquisição, sendo-lhe facultada a utilização de outros meios, </w:t>
      </w:r>
      <w:r>
        <w:rPr>
          <w:rFonts w:ascii="Arial" w:hAnsi="Arial" w:cs="Arial"/>
          <w:iCs/>
          <w:sz w:val="19"/>
          <w:szCs w:val="19"/>
        </w:rPr>
        <w:t>assegurando-se ao beneficiário do registro preferência em igualdade de condições.</w:t>
      </w:r>
    </w:p>
    <w:p w14:paraId="645F655A" w14:textId="77777777" w:rsidR="00593A8C" w:rsidRDefault="00593A8C" w:rsidP="00593A8C">
      <w:pPr>
        <w:overflowPunct w:val="0"/>
        <w:autoSpaceDE w:val="0"/>
        <w:autoSpaceDN w:val="0"/>
        <w:adjustRightInd w:val="0"/>
        <w:ind w:firstLine="1080"/>
        <w:jc w:val="both"/>
        <w:textAlignment w:val="baseline"/>
        <w:rPr>
          <w:rFonts w:ascii="Arial" w:hAnsi="Arial" w:cs="Arial"/>
          <w:sz w:val="19"/>
          <w:szCs w:val="19"/>
        </w:rPr>
      </w:pPr>
      <w:r>
        <w:rPr>
          <w:rFonts w:ascii="Arial" w:hAnsi="Arial" w:cs="Arial"/>
          <w:b/>
          <w:sz w:val="19"/>
          <w:szCs w:val="19"/>
        </w:rPr>
        <w:t>IV –</w:t>
      </w:r>
      <w:r>
        <w:rPr>
          <w:rFonts w:ascii="Arial" w:hAnsi="Arial" w:cs="Arial"/>
          <w:sz w:val="19"/>
          <w:szCs w:val="19"/>
        </w:rPr>
        <w:t xml:space="preserve"> Os preços registrados manter-se-ão inalterados pelo período de vigência da presente Ata.</w:t>
      </w:r>
    </w:p>
    <w:p w14:paraId="3AC0213C" w14:textId="77777777" w:rsidR="00593A8C" w:rsidRDefault="00593A8C" w:rsidP="00593A8C">
      <w:pPr>
        <w:overflowPunct w:val="0"/>
        <w:autoSpaceDE w:val="0"/>
        <w:autoSpaceDN w:val="0"/>
        <w:adjustRightInd w:val="0"/>
        <w:ind w:firstLine="1080"/>
        <w:jc w:val="both"/>
        <w:textAlignment w:val="baseline"/>
        <w:rPr>
          <w:rFonts w:ascii="Arial" w:hAnsi="Arial" w:cs="Arial"/>
          <w:sz w:val="19"/>
          <w:szCs w:val="19"/>
        </w:rPr>
      </w:pPr>
      <w:r>
        <w:rPr>
          <w:rFonts w:ascii="Arial" w:hAnsi="Arial" w:cs="Arial"/>
          <w:b/>
          <w:sz w:val="19"/>
          <w:szCs w:val="19"/>
        </w:rPr>
        <w:t>V</w:t>
      </w:r>
      <w:r>
        <w:rPr>
          <w:rFonts w:ascii="Arial" w:hAnsi="Arial" w:cs="Arial"/>
          <w:sz w:val="19"/>
          <w:szCs w:val="19"/>
        </w:rPr>
        <w:t xml:space="preserve"> – Os produtos do presente Registro de Preços poderão ser adquiridos por esta municipalidade, por qualquer das Secretarias, para uso de diversos fins a que se destinam os produtos.</w:t>
      </w:r>
    </w:p>
    <w:p w14:paraId="77C7D814" w14:textId="77777777" w:rsidR="00593A8C" w:rsidRDefault="00593A8C" w:rsidP="00593A8C">
      <w:pPr>
        <w:ind w:firstLine="1080"/>
        <w:jc w:val="both"/>
        <w:rPr>
          <w:rFonts w:ascii="Arial" w:hAnsi="Arial" w:cs="Arial"/>
          <w:sz w:val="19"/>
          <w:szCs w:val="19"/>
        </w:rPr>
      </w:pPr>
      <w:r>
        <w:rPr>
          <w:rFonts w:ascii="Arial" w:hAnsi="Arial" w:cs="Arial"/>
          <w:b/>
          <w:sz w:val="19"/>
          <w:szCs w:val="19"/>
        </w:rPr>
        <w:t>VI</w:t>
      </w:r>
      <w:r>
        <w:rPr>
          <w:rFonts w:ascii="Arial" w:hAnsi="Arial" w:cs="Arial"/>
          <w:sz w:val="19"/>
          <w:szCs w:val="19"/>
        </w:rPr>
        <w:t xml:space="preserve"> – Se houver obras a serem executadas com </w:t>
      </w:r>
      <w:r>
        <w:rPr>
          <w:rFonts w:ascii="Arial" w:hAnsi="Arial" w:cs="Arial"/>
          <w:b/>
          <w:sz w:val="19"/>
          <w:szCs w:val="19"/>
          <w:u w:val="single"/>
        </w:rPr>
        <w:t>Verba Federal</w:t>
      </w:r>
      <w:r>
        <w:rPr>
          <w:rFonts w:ascii="Arial" w:hAnsi="Arial" w:cs="Arial"/>
          <w:sz w:val="19"/>
          <w:szCs w:val="19"/>
        </w:rPr>
        <w:t>, a Administração poderá fazer uso deste Registro de Preços para aquisição dos Produtos caso necessário.</w:t>
      </w:r>
    </w:p>
    <w:p w14:paraId="48B97CF0" w14:textId="77777777" w:rsidR="00593A8C" w:rsidRDefault="00593A8C" w:rsidP="00593A8C">
      <w:pPr>
        <w:ind w:firstLine="1080"/>
        <w:jc w:val="both"/>
        <w:rPr>
          <w:rFonts w:ascii="Arial" w:hAnsi="Arial" w:cs="Arial"/>
          <w:sz w:val="19"/>
          <w:szCs w:val="19"/>
        </w:rPr>
      </w:pPr>
      <w:r>
        <w:rPr>
          <w:rFonts w:ascii="Arial" w:hAnsi="Arial" w:cs="Arial"/>
          <w:sz w:val="19"/>
          <w:szCs w:val="19"/>
        </w:rPr>
        <w:t>a) Caso for realizada a aquisição com recurso Federal, o pagamento ficará condicionado à liberação dos valores pela Caixa ou órgão competente.</w:t>
      </w:r>
    </w:p>
    <w:p w14:paraId="0EFADED4" w14:textId="77777777" w:rsidR="00593A8C" w:rsidRDefault="00593A8C" w:rsidP="00593A8C">
      <w:pPr>
        <w:ind w:firstLine="1080"/>
        <w:jc w:val="both"/>
        <w:rPr>
          <w:rFonts w:ascii="Arial" w:hAnsi="Arial" w:cs="Arial"/>
          <w:sz w:val="19"/>
          <w:szCs w:val="19"/>
        </w:rPr>
      </w:pPr>
      <w:r>
        <w:rPr>
          <w:rFonts w:ascii="Arial" w:hAnsi="Arial" w:cs="Arial"/>
          <w:b/>
          <w:sz w:val="19"/>
          <w:szCs w:val="19"/>
        </w:rPr>
        <w:t>VII –</w:t>
      </w:r>
      <w:r>
        <w:rPr>
          <w:rFonts w:ascii="Arial" w:hAnsi="Arial" w:cs="Arial"/>
          <w:sz w:val="19"/>
          <w:szCs w:val="19"/>
        </w:rPr>
        <w:t xml:space="preserve"> Tudo deverá ser executado nas condições estabelecidas no edital e seus anexos, bem como de acordo com os projetos específicos para cada obra.</w:t>
      </w:r>
    </w:p>
    <w:p w14:paraId="4943241C" w14:textId="77777777" w:rsidR="00593A8C" w:rsidRDefault="00593A8C" w:rsidP="00593A8C">
      <w:pPr>
        <w:ind w:firstLine="1134"/>
        <w:jc w:val="both"/>
        <w:rPr>
          <w:rFonts w:ascii="Arial" w:hAnsi="Arial" w:cs="Arial"/>
          <w:sz w:val="19"/>
          <w:szCs w:val="19"/>
        </w:rPr>
      </w:pPr>
    </w:p>
    <w:p w14:paraId="2FCD2FBF" w14:textId="77777777" w:rsidR="00593A8C" w:rsidRDefault="00593A8C" w:rsidP="00593A8C">
      <w:pPr>
        <w:ind w:firstLine="1134"/>
        <w:jc w:val="both"/>
        <w:rPr>
          <w:rFonts w:ascii="Arial" w:hAnsi="Arial" w:cs="Arial"/>
          <w:b/>
          <w:sz w:val="19"/>
          <w:szCs w:val="19"/>
        </w:rPr>
      </w:pPr>
      <w:r>
        <w:rPr>
          <w:rFonts w:ascii="Arial" w:hAnsi="Arial" w:cs="Arial"/>
          <w:b/>
          <w:sz w:val="19"/>
          <w:szCs w:val="19"/>
        </w:rPr>
        <w:t>CLÁUSULA SEGUNDA - DAS ESPECIFICAÇÕES TÉCNICAS</w:t>
      </w:r>
    </w:p>
    <w:p w14:paraId="6DAD899A" w14:textId="77777777" w:rsidR="00593A8C" w:rsidRDefault="00593A8C" w:rsidP="00593A8C">
      <w:pPr>
        <w:pStyle w:val="Padro"/>
        <w:tabs>
          <w:tab w:val="left" w:pos="0"/>
        </w:tabs>
        <w:spacing w:line="240" w:lineRule="auto"/>
        <w:ind w:firstLine="1134"/>
        <w:jc w:val="both"/>
        <w:rPr>
          <w:rFonts w:ascii="Arial" w:hAnsi="Arial" w:cs="Arial"/>
          <w:sz w:val="19"/>
          <w:szCs w:val="19"/>
        </w:rPr>
      </w:pPr>
    </w:p>
    <w:p w14:paraId="3584C345" w14:textId="77777777" w:rsidR="00593A8C" w:rsidRDefault="00593A8C" w:rsidP="00593A8C">
      <w:pPr>
        <w:pStyle w:val="PargrafodaLista"/>
        <w:widowControl/>
        <w:numPr>
          <w:ilvl w:val="0"/>
          <w:numId w:val="1"/>
        </w:numPr>
        <w:tabs>
          <w:tab w:val="left" w:pos="708"/>
        </w:tabs>
        <w:suppressAutoHyphens/>
        <w:autoSpaceDE/>
        <w:ind w:left="0" w:firstLine="1134"/>
        <w:jc w:val="left"/>
        <w:rPr>
          <w:b/>
          <w:sz w:val="19"/>
          <w:szCs w:val="19"/>
        </w:rPr>
      </w:pPr>
      <w:r>
        <w:rPr>
          <w:b/>
          <w:sz w:val="19"/>
          <w:szCs w:val="19"/>
        </w:rPr>
        <w:t>OBJETIVO</w:t>
      </w:r>
    </w:p>
    <w:p w14:paraId="4143FE51" w14:textId="77777777" w:rsidR="00593A8C" w:rsidRDefault="00593A8C" w:rsidP="00593A8C">
      <w:pPr>
        <w:pStyle w:val="Padro"/>
        <w:spacing w:line="240" w:lineRule="auto"/>
        <w:ind w:firstLine="1134"/>
        <w:jc w:val="both"/>
        <w:rPr>
          <w:rFonts w:ascii="Arial" w:hAnsi="Arial" w:cs="Arial"/>
          <w:sz w:val="19"/>
          <w:szCs w:val="19"/>
        </w:rPr>
      </w:pPr>
      <w:r>
        <w:rPr>
          <w:rFonts w:ascii="Arial" w:hAnsi="Arial" w:cs="Arial"/>
          <w:sz w:val="19"/>
          <w:szCs w:val="19"/>
        </w:rPr>
        <w:t xml:space="preserve">As Especificações Técnicas a seguir visam definir a sistemática a ser empregada na execução de pavimentação asfáltica. Procurará dar aos interessados a execução da obra um balizamento nos serviços propostos e consequentemente nas suas formulações financeiras para o processo licitatório de registro de preços dos serviços de: </w:t>
      </w:r>
      <w:r>
        <w:rPr>
          <w:rFonts w:ascii="Arial" w:hAnsi="Arial" w:cs="Arial"/>
          <w:b/>
          <w:sz w:val="19"/>
          <w:szCs w:val="19"/>
        </w:rPr>
        <w:t>IMPRIMAÇÃO, PINTURA DE LIGAÇÃO E</w:t>
      </w:r>
      <w:r>
        <w:rPr>
          <w:rFonts w:ascii="Arial" w:hAnsi="Arial" w:cs="Arial"/>
          <w:sz w:val="19"/>
          <w:szCs w:val="19"/>
        </w:rPr>
        <w:t xml:space="preserve"> </w:t>
      </w:r>
      <w:r>
        <w:rPr>
          <w:rFonts w:ascii="Arial" w:hAnsi="Arial" w:cs="Arial"/>
          <w:b/>
          <w:sz w:val="19"/>
          <w:szCs w:val="19"/>
        </w:rPr>
        <w:t>CONCRETO ASFÁLTICO – fornecimento, transporte, marcação e aplicação.</w:t>
      </w:r>
    </w:p>
    <w:p w14:paraId="68803181" w14:textId="77777777" w:rsidR="00593A8C" w:rsidRDefault="00593A8C" w:rsidP="00593A8C">
      <w:pPr>
        <w:pStyle w:val="Padro"/>
        <w:spacing w:line="240" w:lineRule="auto"/>
        <w:ind w:firstLine="1134"/>
        <w:jc w:val="both"/>
        <w:rPr>
          <w:rFonts w:ascii="Arial" w:hAnsi="Arial" w:cs="Arial"/>
          <w:sz w:val="19"/>
          <w:szCs w:val="19"/>
        </w:rPr>
      </w:pPr>
      <w:r>
        <w:rPr>
          <w:rFonts w:ascii="Arial" w:hAnsi="Arial" w:cs="Arial"/>
          <w:sz w:val="19"/>
          <w:szCs w:val="19"/>
        </w:rPr>
        <w:t>As obras de pavimentação asfálticas serão em diversas ruas e estradas, localizadas dentro do perímetro urbano ou rural do Município de Flores da Cunha/RS, conforme necessidade durante o período de vigência do contrato. A extensão a ser pavimentada, assim como largura da via e espessura de CBUQ serão conforme projeto especifico para cada obra.</w:t>
      </w:r>
    </w:p>
    <w:p w14:paraId="18F81807" w14:textId="77777777" w:rsidR="00593A8C" w:rsidRDefault="00593A8C" w:rsidP="00593A8C">
      <w:pPr>
        <w:pStyle w:val="Padro"/>
        <w:spacing w:line="240" w:lineRule="auto"/>
        <w:ind w:firstLine="1134"/>
        <w:jc w:val="both"/>
        <w:rPr>
          <w:rFonts w:ascii="Arial" w:hAnsi="Arial" w:cs="Arial"/>
          <w:sz w:val="19"/>
          <w:szCs w:val="19"/>
        </w:rPr>
      </w:pPr>
    </w:p>
    <w:p w14:paraId="00BE892E" w14:textId="77777777" w:rsidR="00593A8C" w:rsidRDefault="00593A8C" w:rsidP="00593A8C">
      <w:pPr>
        <w:pStyle w:val="Padro"/>
        <w:spacing w:line="240" w:lineRule="auto"/>
        <w:ind w:firstLine="1134"/>
        <w:jc w:val="both"/>
        <w:rPr>
          <w:rFonts w:ascii="Arial" w:hAnsi="Arial" w:cs="Arial"/>
          <w:sz w:val="19"/>
          <w:szCs w:val="19"/>
        </w:rPr>
      </w:pPr>
    </w:p>
    <w:p w14:paraId="28A16BE0" w14:textId="77777777" w:rsidR="00593A8C" w:rsidRDefault="00593A8C" w:rsidP="00593A8C">
      <w:pPr>
        <w:pStyle w:val="PargrafodaLista"/>
        <w:widowControl/>
        <w:numPr>
          <w:ilvl w:val="0"/>
          <w:numId w:val="1"/>
        </w:numPr>
        <w:tabs>
          <w:tab w:val="left" w:pos="708"/>
        </w:tabs>
        <w:suppressAutoHyphens/>
        <w:autoSpaceDE/>
        <w:ind w:left="0" w:firstLine="1134"/>
        <w:jc w:val="left"/>
        <w:rPr>
          <w:b/>
          <w:sz w:val="19"/>
          <w:szCs w:val="19"/>
        </w:rPr>
      </w:pPr>
      <w:r>
        <w:rPr>
          <w:b/>
          <w:sz w:val="19"/>
          <w:szCs w:val="19"/>
        </w:rPr>
        <w:t>DISPOSIÇÕES GERAIS</w:t>
      </w:r>
    </w:p>
    <w:p w14:paraId="53B432C3" w14:textId="77777777" w:rsidR="00593A8C" w:rsidRDefault="00593A8C" w:rsidP="00593A8C">
      <w:pPr>
        <w:pStyle w:val="Padro"/>
        <w:spacing w:line="240" w:lineRule="auto"/>
        <w:ind w:firstLine="1134"/>
        <w:jc w:val="both"/>
        <w:rPr>
          <w:rFonts w:ascii="Arial" w:hAnsi="Arial" w:cs="Arial"/>
          <w:sz w:val="19"/>
          <w:szCs w:val="19"/>
        </w:rPr>
      </w:pPr>
      <w:r>
        <w:rPr>
          <w:rFonts w:ascii="Arial" w:hAnsi="Arial" w:cs="Arial"/>
          <w:sz w:val="19"/>
          <w:szCs w:val="19"/>
        </w:rPr>
        <w:t>A prefeitura executará os serviços de terraplenagem, remoção de solos com baixa capacidade de suporte, reforço do subleito, sistema de drenagem, compactação do leito, execução da camada de base em brita graduada.</w:t>
      </w:r>
    </w:p>
    <w:p w14:paraId="430C45A2" w14:textId="77777777" w:rsidR="00593A8C" w:rsidRDefault="00593A8C" w:rsidP="00593A8C">
      <w:pPr>
        <w:pStyle w:val="Padro"/>
        <w:spacing w:line="240" w:lineRule="auto"/>
        <w:ind w:firstLine="1134"/>
        <w:jc w:val="both"/>
        <w:rPr>
          <w:rFonts w:ascii="Arial" w:hAnsi="Arial" w:cs="Arial"/>
          <w:b/>
          <w:sz w:val="19"/>
          <w:szCs w:val="19"/>
        </w:rPr>
      </w:pPr>
      <w:r>
        <w:rPr>
          <w:rFonts w:ascii="Arial" w:hAnsi="Arial" w:cs="Arial"/>
          <w:sz w:val="19"/>
          <w:szCs w:val="19"/>
        </w:rPr>
        <w:t xml:space="preserve">A empresa CONTRATADA será responsável pela execução da pavimentação da via, incluindo a imprimação, pintura de ligação, pavimentação com CBUQ e marcações topográficas para esses itens. A execução da obra deverá obedecer integral e rigorosamente aos projetos, memoriais, quantitativos e detalhes fornecidos. </w:t>
      </w:r>
      <w:r>
        <w:rPr>
          <w:rFonts w:ascii="Arial" w:hAnsi="Arial" w:cs="Arial"/>
          <w:b/>
          <w:sz w:val="19"/>
          <w:szCs w:val="19"/>
        </w:rPr>
        <w:t xml:space="preserve">Obedecendo sempre as normas, especificações e métodos aprovados da Associação Brasileira de Normas Técnicas (ABNT) e do Departamento Nacional de Infraestrutura de Transportes (DNIT) </w:t>
      </w:r>
      <w:r>
        <w:rPr>
          <w:rFonts w:ascii="Arial" w:hAnsi="Arial" w:cs="Arial"/>
          <w:sz w:val="19"/>
          <w:szCs w:val="19"/>
        </w:rPr>
        <w:t xml:space="preserve">relacionadas direta ou indiretamente com a obra. </w:t>
      </w:r>
    </w:p>
    <w:p w14:paraId="48D83177" w14:textId="77777777" w:rsidR="00593A8C" w:rsidRDefault="00593A8C" w:rsidP="00593A8C">
      <w:pPr>
        <w:pStyle w:val="Padro"/>
        <w:spacing w:line="240" w:lineRule="auto"/>
        <w:ind w:firstLine="1134"/>
        <w:jc w:val="both"/>
        <w:rPr>
          <w:rFonts w:ascii="Arial" w:hAnsi="Arial" w:cs="Arial"/>
          <w:sz w:val="19"/>
          <w:szCs w:val="19"/>
        </w:rPr>
      </w:pPr>
      <w:r>
        <w:rPr>
          <w:rFonts w:ascii="Arial" w:hAnsi="Arial" w:cs="Arial"/>
          <w:sz w:val="19"/>
          <w:szCs w:val="19"/>
        </w:rPr>
        <w:t>A CONTRATADA deverá durante todo o tempo de execução da obra manter supervisão adequada, mão de obra e equipamentos suficientes para completa execução dos serviços, dentro do prazo requerido no contrato. A empresa será responsável pela sinalização temporária de obra, para fluidez segura do trânsito e por qualquer dano por acidente de trânsito que possa ocorrer nas vias a serem pavimentadas, pela omissão e/ou sinalização inadequada.</w:t>
      </w:r>
    </w:p>
    <w:p w14:paraId="28EE855D" w14:textId="77777777" w:rsidR="00593A8C" w:rsidRDefault="00593A8C" w:rsidP="00593A8C">
      <w:pPr>
        <w:pStyle w:val="Padro"/>
        <w:spacing w:line="240" w:lineRule="auto"/>
        <w:ind w:firstLine="1134"/>
        <w:jc w:val="both"/>
        <w:rPr>
          <w:rFonts w:ascii="Arial" w:hAnsi="Arial" w:cs="Arial"/>
          <w:sz w:val="19"/>
          <w:szCs w:val="19"/>
        </w:rPr>
      </w:pPr>
      <w:r>
        <w:rPr>
          <w:rFonts w:ascii="Arial" w:hAnsi="Arial" w:cs="Arial"/>
          <w:sz w:val="19"/>
          <w:szCs w:val="19"/>
        </w:rPr>
        <w:t>Qualquer alteração necessária no projeto básico deverá ser feita de comum acordo com os responsáveis técnicos do setor da Secretaria de Planejamento – Departamento de Projeto de Planejamento Urbano (DPPU), e devidamente documentada em diário de obra.</w:t>
      </w:r>
    </w:p>
    <w:p w14:paraId="617F002C" w14:textId="77777777" w:rsidR="00593A8C" w:rsidRDefault="00593A8C" w:rsidP="00593A8C">
      <w:pPr>
        <w:ind w:firstLine="1134"/>
        <w:rPr>
          <w:rFonts w:ascii="Arial" w:eastAsia="SimSun" w:hAnsi="Arial" w:cs="Arial"/>
          <w:sz w:val="19"/>
          <w:szCs w:val="19"/>
          <w:lang w:eastAsia="en-US"/>
        </w:rPr>
      </w:pPr>
    </w:p>
    <w:p w14:paraId="60368B72" w14:textId="77777777" w:rsidR="00593A8C" w:rsidRDefault="00593A8C" w:rsidP="00593A8C">
      <w:pPr>
        <w:pStyle w:val="PargrafodaLista"/>
        <w:widowControl/>
        <w:numPr>
          <w:ilvl w:val="0"/>
          <w:numId w:val="1"/>
        </w:numPr>
        <w:tabs>
          <w:tab w:val="left" w:pos="708"/>
        </w:tabs>
        <w:suppressAutoHyphens/>
        <w:autoSpaceDE/>
        <w:ind w:left="0" w:firstLine="1134"/>
        <w:jc w:val="left"/>
        <w:rPr>
          <w:b/>
          <w:sz w:val="19"/>
          <w:szCs w:val="19"/>
        </w:rPr>
      </w:pPr>
      <w:r>
        <w:rPr>
          <w:b/>
          <w:sz w:val="19"/>
          <w:szCs w:val="19"/>
        </w:rPr>
        <w:t>IMPRIMAÇÃO - FORNECIMENTO E APLICAÇÃO</w:t>
      </w:r>
    </w:p>
    <w:p w14:paraId="27909119" w14:textId="77777777" w:rsidR="00593A8C" w:rsidRDefault="00593A8C" w:rsidP="00593A8C">
      <w:pPr>
        <w:ind w:firstLine="1134"/>
        <w:jc w:val="both"/>
        <w:rPr>
          <w:rFonts w:ascii="Arial" w:hAnsi="Arial" w:cs="Arial"/>
          <w:sz w:val="19"/>
          <w:szCs w:val="19"/>
        </w:rPr>
      </w:pPr>
      <w:r>
        <w:rPr>
          <w:rFonts w:ascii="Arial" w:hAnsi="Arial" w:cs="Arial"/>
          <w:b/>
          <w:sz w:val="19"/>
          <w:szCs w:val="19"/>
        </w:rPr>
        <w:t xml:space="preserve">3.1- Definição: </w:t>
      </w:r>
      <w:r>
        <w:rPr>
          <w:rFonts w:ascii="Arial" w:hAnsi="Arial" w:cs="Arial"/>
          <w:sz w:val="19"/>
          <w:szCs w:val="19"/>
        </w:rPr>
        <w:t>Imprimação consiste na aplicação de material asfáltico sobre a superfície da base concluída, antes da execução do revestimento asfáltico, objetivando conferir coesão superficial, impermeabilização e permitir condições de aderência entre esta e o revestimento a ser executado.</w:t>
      </w:r>
    </w:p>
    <w:p w14:paraId="701B2925" w14:textId="77777777" w:rsidR="00593A8C" w:rsidRDefault="00593A8C" w:rsidP="00593A8C">
      <w:pPr>
        <w:ind w:firstLine="1134"/>
        <w:jc w:val="both"/>
        <w:rPr>
          <w:rFonts w:ascii="Arial" w:hAnsi="Arial" w:cs="Arial"/>
          <w:sz w:val="19"/>
          <w:szCs w:val="19"/>
        </w:rPr>
      </w:pPr>
      <w:r>
        <w:rPr>
          <w:rFonts w:ascii="Arial" w:hAnsi="Arial" w:cs="Arial"/>
          <w:b/>
          <w:sz w:val="19"/>
          <w:szCs w:val="19"/>
        </w:rPr>
        <w:t xml:space="preserve">3.2- Condições gerais: </w:t>
      </w:r>
      <w:r>
        <w:rPr>
          <w:rFonts w:ascii="Arial" w:hAnsi="Arial" w:cs="Arial"/>
          <w:sz w:val="19"/>
          <w:szCs w:val="19"/>
        </w:rPr>
        <w:t xml:space="preserve">O ligante asfáltico não deve ser distribuído quando a temperatura ambiente for inferior a 10 º C, ou em dias de chuva, ou quando a superfície a ser imprimada apresentar qualquer sinal de excesso de umidade. É responsabilidade da executante a proteção dos serviços e materiais contra a ação destrutiva das águas pluviais, do tráfego e de outros agentes que possam danificá-los. </w:t>
      </w:r>
    </w:p>
    <w:p w14:paraId="5D067211" w14:textId="77777777" w:rsidR="00593A8C" w:rsidRDefault="00593A8C" w:rsidP="00593A8C">
      <w:pPr>
        <w:ind w:firstLine="1134"/>
        <w:jc w:val="both"/>
        <w:rPr>
          <w:rFonts w:ascii="Arial" w:hAnsi="Arial" w:cs="Arial"/>
          <w:sz w:val="19"/>
          <w:szCs w:val="19"/>
        </w:rPr>
      </w:pPr>
      <w:r>
        <w:rPr>
          <w:rFonts w:ascii="Arial" w:hAnsi="Arial" w:cs="Arial"/>
          <w:b/>
          <w:sz w:val="19"/>
          <w:szCs w:val="19"/>
        </w:rPr>
        <w:t xml:space="preserve">3.3- Material: </w:t>
      </w:r>
      <w:r>
        <w:rPr>
          <w:rFonts w:ascii="Arial" w:hAnsi="Arial" w:cs="Arial"/>
          <w:sz w:val="19"/>
          <w:szCs w:val="19"/>
        </w:rPr>
        <w:t xml:space="preserve">O ligante asfáltico empregado na imprimação deverá ser o </w:t>
      </w:r>
      <w:r>
        <w:rPr>
          <w:rFonts w:ascii="Arial" w:hAnsi="Arial" w:cs="Arial"/>
          <w:b/>
          <w:sz w:val="19"/>
          <w:szCs w:val="19"/>
        </w:rPr>
        <w:t>asfalto diluído CM-30</w:t>
      </w:r>
      <w:r>
        <w:rPr>
          <w:rFonts w:ascii="Arial" w:hAnsi="Arial" w:cs="Arial"/>
          <w:sz w:val="19"/>
          <w:szCs w:val="19"/>
        </w:rPr>
        <w:t>, em conformidade com a norma DNER – EM 363/97 e NBR 12950:1993. A taxa de aplicação do asfalto diluído usuais são da ordem de 0,8 a 1,6 l/m², conforme o tipo e a textura da base.</w:t>
      </w:r>
    </w:p>
    <w:p w14:paraId="5B52D94E" w14:textId="77777777" w:rsidR="00593A8C" w:rsidRDefault="00593A8C" w:rsidP="00593A8C">
      <w:pPr>
        <w:ind w:firstLine="1134"/>
        <w:jc w:val="both"/>
        <w:rPr>
          <w:rFonts w:ascii="Arial" w:hAnsi="Arial" w:cs="Arial"/>
          <w:b/>
          <w:sz w:val="19"/>
          <w:szCs w:val="19"/>
        </w:rPr>
      </w:pPr>
      <w:r>
        <w:rPr>
          <w:rFonts w:ascii="Arial" w:hAnsi="Arial" w:cs="Arial"/>
          <w:b/>
          <w:sz w:val="19"/>
          <w:szCs w:val="19"/>
        </w:rPr>
        <w:t xml:space="preserve">3.4- Equipamentos: </w:t>
      </w:r>
      <w:r>
        <w:rPr>
          <w:rFonts w:ascii="Arial" w:hAnsi="Arial" w:cs="Arial"/>
          <w:sz w:val="19"/>
          <w:szCs w:val="19"/>
        </w:rPr>
        <w:t xml:space="preserve">Para a varredura da superfície da base usam-se vassouras mecânicas rotativas, podendo também ser usado o jato de ar comprimido. </w:t>
      </w:r>
    </w:p>
    <w:p w14:paraId="14676B17" w14:textId="77777777" w:rsidR="00593A8C" w:rsidRDefault="00593A8C" w:rsidP="00593A8C">
      <w:pPr>
        <w:ind w:firstLine="1134"/>
        <w:jc w:val="both"/>
        <w:rPr>
          <w:rFonts w:ascii="Arial" w:hAnsi="Arial" w:cs="Arial"/>
          <w:b/>
          <w:sz w:val="19"/>
          <w:szCs w:val="19"/>
        </w:rPr>
      </w:pPr>
      <w:r>
        <w:rPr>
          <w:rFonts w:ascii="Arial" w:hAnsi="Arial" w:cs="Arial"/>
          <w:sz w:val="19"/>
          <w:szCs w:val="19"/>
        </w:rPr>
        <w:t xml:space="preserve">A distribuição do ligante deve ser feita por carros equipados com bomba reguladora de pressão e sistema completo de aquecimento que permitam a aplicação do ligante asfáltico em quantidade uniforme. </w:t>
      </w:r>
    </w:p>
    <w:p w14:paraId="5E841E75" w14:textId="77777777" w:rsidR="00593A8C" w:rsidRDefault="00593A8C" w:rsidP="00593A8C">
      <w:pPr>
        <w:ind w:firstLine="1134"/>
        <w:jc w:val="both"/>
        <w:rPr>
          <w:rFonts w:ascii="Arial" w:hAnsi="Arial" w:cs="Arial"/>
          <w:sz w:val="19"/>
          <w:szCs w:val="19"/>
        </w:rPr>
      </w:pPr>
      <w:r>
        <w:rPr>
          <w:rFonts w:ascii="Arial" w:hAnsi="Arial" w:cs="Arial"/>
          <w:sz w:val="19"/>
          <w:szCs w:val="19"/>
        </w:rPr>
        <w:t xml:space="preserve">Os carros distribuidores de ligante asfáltico, providos de dispositivos de aquecimento, dispondo de tacômetro, calibradores e termômetros com precisão de 1 °C, instalados em locais de fácil observação e, ainda, possuir espargidor manual, para tratamento de pequenas superfícies e correções localizadas. As barras de distribuição devem ser do tipo de circulação plena, com dispositivo de ajustamento vertical e larguras variáveis de espalhamento uniforme do ligante. </w:t>
      </w:r>
    </w:p>
    <w:p w14:paraId="0D9144D3" w14:textId="77777777" w:rsidR="00593A8C" w:rsidRDefault="00593A8C" w:rsidP="00593A8C">
      <w:pPr>
        <w:ind w:firstLine="1134"/>
        <w:jc w:val="both"/>
        <w:rPr>
          <w:rFonts w:ascii="Arial" w:hAnsi="Arial" w:cs="Arial"/>
          <w:sz w:val="19"/>
          <w:szCs w:val="19"/>
        </w:rPr>
      </w:pPr>
      <w:r>
        <w:rPr>
          <w:rFonts w:ascii="Arial" w:hAnsi="Arial" w:cs="Arial"/>
          <w:b/>
          <w:sz w:val="19"/>
          <w:szCs w:val="19"/>
        </w:rPr>
        <w:t>3.5- Procedimento de execução:</w:t>
      </w:r>
      <w:r>
        <w:rPr>
          <w:rFonts w:ascii="Arial" w:hAnsi="Arial" w:cs="Arial"/>
          <w:sz w:val="19"/>
          <w:szCs w:val="19"/>
        </w:rPr>
        <w:t xml:space="preserve"> Antes da execução dos serviços, deve ser implantada a adequada sinalização, visando à segurança do tráfego no trecho e mantida durante a execução dos serviços. Após proceder à varredura da superfície, de modo a eliminar todo e qualquer material solto, aplica-se, a seguir, o ligante asfáltico, na temperatura adequada, na quantidade recomendada e de maneira uniforme. A temperatura de aplicação do ligante asfáltico deve ser fixada para o tipo de ligante, em função da relação temperatura x viscosidade, escolhendo-se a temperatura que proporcione a melhor viscosidade para seu espalhamento. A faixa de viscosidade recomendada para espalhamento dos asfaltos diluídos é de 20 a 60 segundos Saybolt Furol (NBR 14.491:2007). </w:t>
      </w:r>
    </w:p>
    <w:p w14:paraId="190A0FB9" w14:textId="77777777" w:rsidR="00593A8C" w:rsidRDefault="00593A8C" w:rsidP="00593A8C">
      <w:pPr>
        <w:ind w:firstLine="1134"/>
        <w:jc w:val="both"/>
        <w:rPr>
          <w:rFonts w:ascii="Arial" w:hAnsi="Arial" w:cs="Arial"/>
          <w:sz w:val="19"/>
          <w:szCs w:val="19"/>
        </w:rPr>
      </w:pPr>
      <w:r>
        <w:rPr>
          <w:rFonts w:ascii="Arial" w:hAnsi="Arial" w:cs="Arial"/>
          <w:sz w:val="19"/>
          <w:szCs w:val="19"/>
        </w:rPr>
        <w:t>Deve-se imprimar a largura total da pista em um mesmo turno de trabalho e deixá-la, sempre que possível, fechada ao tráfego. Quando isto não for possível, trabalha-se em uma faixa de tráfego e executa-se a imprimação da faixa de tráfego adjacente assim que a primeira for liberada ao tráfego. Devem ser evitadas a superposição ou excesso nos pontos iniciais e finais das aplicações, o distribuidor deve possuir dispositivos que permitam a interrupção imediata do fluxo de material. Caso necessário, o retoque de pontos falhos ou omitidos durante a aplicação do material betuminoso deverá ser feito com espargidor manual. Garantindo assim, toda área imprimada apresentar a taxa mínima especificada.</w:t>
      </w:r>
    </w:p>
    <w:p w14:paraId="3209E11C" w14:textId="77777777" w:rsidR="00593A8C" w:rsidRDefault="00593A8C" w:rsidP="00593A8C">
      <w:pPr>
        <w:ind w:firstLine="1134"/>
        <w:jc w:val="both"/>
        <w:rPr>
          <w:rFonts w:ascii="Arial" w:hAnsi="Arial" w:cs="Arial"/>
          <w:sz w:val="19"/>
          <w:szCs w:val="19"/>
        </w:rPr>
      </w:pPr>
      <w:r>
        <w:rPr>
          <w:rFonts w:ascii="Arial" w:hAnsi="Arial" w:cs="Arial"/>
          <w:sz w:val="19"/>
          <w:szCs w:val="19"/>
        </w:rPr>
        <w:t xml:space="preserve">O tempo de exposição da base imprimada ao tráfego, depois da efetiva cura, deve ser condicionado ao comportamento da mesma, não devendo ultrapassar 30 dias. </w:t>
      </w:r>
    </w:p>
    <w:p w14:paraId="400DABCA" w14:textId="77777777" w:rsidR="00593A8C" w:rsidRDefault="00593A8C" w:rsidP="00593A8C">
      <w:pPr>
        <w:ind w:firstLine="1134"/>
        <w:jc w:val="both"/>
        <w:rPr>
          <w:rFonts w:ascii="Arial" w:hAnsi="Arial" w:cs="Arial"/>
          <w:sz w:val="19"/>
          <w:szCs w:val="19"/>
        </w:rPr>
      </w:pPr>
      <w:r>
        <w:rPr>
          <w:rFonts w:ascii="Arial" w:hAnsi="Arial" w:cs="Arial"/>
          <w:b/>
          <w:sz w:val="19"/>
          <w:szCs w:val="19"/>
        </w:rPr>
        <w:lastRenderedPageBreak/>
        <w:t>3.6- Controle tecnológico:</w:t>
      </w:r>
      <w:r>
        <w:rPr>
          <w:rFonts w:ascii="Arial" w:hAnsi="Arial" w:cs="Arial"/>
          <w:sz w:val="19"/>
          <w:szCs w:val="19"/>
        </w:rPr>
        <w:t xml:space="preserve"> Fica a cargo da empresa CONTRATADA fornecer os ensaios de controle tecnológico. Os materiais utilizados na execução da imprimação devem ser rotineiramente examinados em laboratório, obedecendo à metodologia indicada pelo DNIT e satisfazer às especificações em vigor, mediante a execução dos seguintes procedimentos: viscosidade cinemática a 60 °C (NBR 14.756:2001); ensaio do ponto de fulgor e combustão (NBR 5.765:2012); ensaio de viscosidade Saybolt Furol (NBR 14.491:2007); ensaio de destilação para os asfaltos diluídos (NBR 14.856:2002).</w:t>
      </w:r>
    </w:p>
    <w:p w14:paraId="67843C32" w14:textId="77777777" w:rsidR="00593A8C" w:rsidRDefault="00593A8C" w:rsidP="00593A8C">
      <w:pPr>
        <w:pStyle w:val="Padro"/>
        <w:spacing w:line="240" w:lineRule="auto"/>
        <w:ind w:firstLine="1134"/>
        <w:jc w:val="both"/>
        <w:rPr>
          <w:rFonts w:ascii="Arial" w:hAnsi="Arial" w:cs="Arial"/>
          <w:sz w:val="19"/>
          <w:szCs w:val="19"/>
        </w:rPr>
      </w:pPr>
      <w:r>
        <w:rPr>
          <w:rFonts w:ascii="Arial" w:hAnsi="Arial" w:cs="Arial"/>
          <w:b/>
          <w:sz w:val="19"/>
          <w:szCs w:val="19"/>
        </w:rPr>
        <w:t>3.7- Medição:</w:t>
      </w:r>
      <w:r>
        <w:rPr>
          <w:rFonts w:ascii="Arial" w:hAnsi="Arial" w:cs="Arial"/>
          <w:sz w:val="19"/>
          <w:szCs w:val="19"/>
        </w:rPr>
        <w:t xml:space="preserve"> Para a medição dos serviços devem ser verificadas visualmente a homogeneidade da aplicação, a penetração do ligante na camada da base e sua efetiva cura. Os serviços só devem ser considerados conformes se atenderem às prescrições Normativas. Todo detalhe incorreto ou mal executado deve ser corrigido.</w:t>
      </w:r>
    </w:p>
    <w:p w14:paraId="570645DF" w14:textId="77777777" w:rsidR="00593A8C" w:rsidRDefault="00593A8C" w:rsidP="00593A8C">
      <w:pPr>
        <w:pStyle w:val="Padro"/>
        <w:spacing w:line="240" w:lineRule="auto"/>
        <w:ind w:firstLine="1134"/>
        <w:jc w:val="both"/>
        <w:rPr>
          <w:rFonts w:ascii="Arial" w:hAnsi="Arial" w:cs="Arial"/>
          <w:sz w:val="19"/>
          <w:szCs w:val="19"/>
        </w:rPr>
      </w:pPr>
      <w:r>
        <w:rPr>
          <w:rFonts w:ascii="Arial" w:hAnsi="Arial" w:cs="Arial"/>
          <w:sz w:val="19"/>
          <w:szCs w:val="19"/>
        </w:rPr>
        <w:t>A imprimação deve ser medida em metros quadrados (m²), considerando a área efetivamente executada, obedecidas as larguras de projeto. No valor unitário está compreendido todo o serviço, incluindo armazenamento do material, fornecimento do CM-30, mão-de-obra para aplicação, ferramentas e equipamentos necessários à execução do serviço.</w:t>
      </w:r>
    </w:p>
    <w:p w14:paraId="26B35195" w14:textId="77777777" w:rsidR="00593A8C" w:rsidRDefault="00593A8C" w:rsidP="00593A8C">
      <w:pPr>
        <w:pStyle w:val="Padro"/>
        <w:spacing w:line="240" w:lineRule="auto"/>
        <w:ind w:firstLine="1134"/>
        <w:jc w:val="both"/>
        <w:rPr>
          <w:rFonts w:ascii="Arial" w:hAnsi="Arial" w:cs="Arial"/>
          <w:vanish/>
          <w:sz w:val="19"/>
          <w:szCs w:val="19"/>
        </w:rPr>
      </w:pPr>
    </w:p>
    <w:p w14:paraId="484D853D" w14:textId="77777777" w:rsidR="00593A8C" w:rsidRDefault="00593A8C" w:rsidP="00593A8C">
      <w:pPr>
        <w:pStyle w:val="PargrafodaLista"/>
        <w:widowControl/>
        <w:numPr>
          <w:ilvl w:val="0"/>
          <w:numId w:val="1"/>
        </w:numPr>
        <w:tabs>
          <w:tab w:val="left" w:pos="708"/>
        </w:tabs>
        <w:suppressAutoHyphens/>
        <w:autoSpaceDE/>
        <w:ind w:left="0" w:firstLine="1134"/>
        <w:jc w:val="left"/>
        <w:rPr>
          <w:b/>
          <w:sz w:val="19"/>
          <w:szCs w:val="19"/>
        </w:rPr>
      </w:pPr>
      <w:r>
        <w:rPr>
          <w:b/>
          <w:sz w:val="19"/>
          <w:szCs w:val="19"/>
        </w:rPr>
        <w:t>PINTURA DE LIGAÇÃO - FORNECIMENTO E APLICAÇÃO</w:t>
      </w:r>
    </w:p>
    <w:p w14:paraId="60FD5345" w14:textId="77777777" w:rsidR="00593A8C" w:rsidRDefault="00593A8C" w:rsidP="00593A8C">
      <w:pPr>
        <w:ind w:firstLine="1134"/>
        <w:jc w:val="both"/>
        <w:rPr>
          <w:rFonts w:ascii="Arial" w:hAnsi="Arial" w:cs="Arial"/>
          <w:b/>
          <w:sz w:val="19"/>
          <w:szCs w:val="19"/>
        </w:rPr>
      </w:pPr>
      <w:r>
        <w:rPr>
          <w:rFonts w:ascii="Arial" w:hAnsi="Arial" w:cs="Arial"/>
          <w:b/>
          <w:sz w:val="19"/>
          <w:szCs w:val="19"/>
        </w:rPr>
        <w:t xml:space="preserve">4.1- Definição: </w:t>
      </w:r>
      <w:r>
        <w:rPr>
          <w:rFonts w:ascii="Arial" w:hAnsi="Arial" w:cs="Arial"/>
          <w:sz w:val="19"/>
          <w:szCs w:val="19"/>
          <w:lang w:eastAsia="en-US"/>
        </w:rPr>
        <w:t>Pintura de ligação consiste na aplicação de ligante asfáltico sobre a superfície de base ou revestimento asfáltico anteriormente à execução de uma camada asfáltica qualquer, objetivando promover condições de aderência entre esta e o revestimento a ser executado.</w:t>
      </w:r>
    </w:p>
    <w:p w14:paraId="71705D4C" w14:textId="77777777" w:rsidR="00593A8C" w:rsidRDefault="00593A8C" w:rsidP="00593A8C">
      <w:pPr>
        <w:ind w:firstLine="1134"/>
        <w:jc w:val="both"/>
        <w:rPr>
          <w:rFonts w:ascii="Arial" w:hAnsi="Arial" w:cs="Arial"/>
          <w:sz w:val="19"/>
          <w:szCs w:val="19"/>
        </w:rPr>
      </w:pPr>
      <w:r>
        <w:rPr>
          <w:rFonts w:ascii="Arial" w:hAnsi="Arial" w:cs="Arial"/>
          <w:b/>
          <w:sz w:val="19"/>
          <w:szCs w:val="19"/>
        </w:rPr>
        <w:t xml:space="preserve">4.2- Condições gerais: </w:t>
      </w:r>
      <w:r>
        <w:rPr>
          <w:rFonts w:ascii="Arial" w:hAnsi="Arial" w:cs="Arial"/>
          <w:sz w:val="19"/>
          <w:szCs w:val="19"/>
        </w:rPr>
        <w:t xml:space="preserve">O ligante asfáltico não deve ser distribuído quando a temperatura ambiente for inferior a 10 º C, ou em dias de chuva, ou quando a superfície a ser imprimada apresentar qualquer sinal de excesso de umidade. É responsabilidade da executante a proteção dos serviços e materiais contra a ação destrutiva das águas pluviais, do tráfego e de outros agentes que possam danificá-los. </w:t>
      </w:r>
    </w:p>
    <w:p w14:paraId="7EB827A3" w14:textId="77777777" w:rsidR="00593A8C" w:rsidRDefault="00593A8C" w:rsidP="00593A8C">
      <w:pPr>
        <w:ind w:firstLine="1134"/>
        <w:jc w:val="both"/>
        <w:rPr>
          <w:rFonts w:ascii="Arial" w:hAnsi="Arial" w:cs="Arial"/>
          <w:sz w:val="19"/>
          <w:szCs w:val="19"/>
        </w:rPr>
      </w:pPr>
      <w:r>
        <w:rPr>
          <w:rFonts w:ascii="Arial" w:hAnsi="Arial" w:cs="Arial"/>
          <w:b/>
          <w:sz w:val="19"/>
          <w:szCs w:val="19"/>
        </w:rPr>
        <w:t xml:space="preserve">4.3- Material: </w:t>
      </w:r>
      <w:r>
        <w:rPr>
          <w:rFonts w:ascii="Arial" w:hAnsi="Arial" w:cs="Arial"/>
          <w:sz w:val="19"/>
          <w:szCs w:val="19"/>
        </w:rPr>
        <w:t xml:space="preserve">O ligante asfáltico empregado na </w:t>
      </w:r>
      <w:r>
        <w:rPr>
          <w:rFonts w:ascii="Arial" w:hAnsi="Arial" w:cs="Arial"/>
          <w:b/>
          <w:sz w:val="19"/>
          <w:szCs w:val="19"/>
        </w:rPr>
        <w:t>pintura de ligação deve ser do tipo RR-1C</w:t>
      </w:r>
      <w:r>
        <w:rPr>
          <w:rFonts w:ascii="Arial" w:hAnsi="Arial" w:cs="Arial"/>
          <w:sz w:val="19"/>
          <w:szCs w:val="19"/>
        </w:rPr>
        <w:t>, em conformidade com a norma DNER – EM 369/97 e NBR 12951:1993. A taxa recomendada de ligante asfáltico residual é 0,3 l/m² a 0,4 l/m². Antes da aplicação, a emulsão deve ser diluída na proporção 1:1 com água a fim de garantir uniformidade na distribuição desta taxa residual. A taxa de aplicação de emulsão diluída é da ordem de 0,8 l/m² a 1,0 l/m².</w:t>
      </w:r>
    </w:p>
    <w:p w14:paraId="79D5A24E" w14:textId="77777777" w:rsidR="00593A8C" w:rsidRDefault="00593A8C" w:rsidP="00593A8C">
      <w:pPr>
        <w:ind w:firstLine="1134"/>
        <w:jc w:val="both"/>
        <w:rPr>
          <w:rFonts w:ascii="Arial" w:hAnsi="Arial" w:cs="Arial"/>
          <w:b/>
          <w:sz w:val="19"/>
          <w:szCs w:val="19"/>
        </w:rPr>
      </w:pPr>
      <w:r>
        <w:rPr>
          <w:rFonts w:ascii="Arial" w:hAnsi="Arial" w:cs="Arial"/>
          <w:b/>
          <w:sz w:val="19"/>
          <w:szCs w:val="19"/>
        </w:rPr>
        <w:t xml:space="preserve">4.4- Equipamentos: </w:t>
      </w:r>
      <w:r>
        <w:rPr>
          <w:rFonts w:ascii="Arial" w:hAnsi="Arial" w:cs="Arial"/>
          <w:sz w:val="19"/>
          <w:szCs w:val="19"/>
        </w:rPr>
        <w:t xml:space="preserve">Para a varredura da superfície a ser pintada usam-se vassouras mecânicas rotativas, podendo também ser usado o jato de ar comprimido. </w:t>
      </w:r>
    </w:p>
    <w:p w14:paraId="13C0818D" w14:textId="77777777" w:rsidR="00593A8C" w:rsidRDefault="00593A8C" w:rsidP="00593A8C">
      <w:pPr>
        <w:ind w:firstLine="1134"/>
        <w:jc w:val="both"/>
        <w:rPr>
          <w:rFonts w:ascii="Arial" w:hAnsi="Arial" w:cs="Arial"/>
          <w:b/>
          <w:sz w:val="19"/>
          <w:szCs w:val="19"/>
        </w:rPr>
      </w:pPr>
      <w:r>
        <w:rPr>
          <w:rFonts w:ascii="Arial" w:hAnsi="Arial" w:cs="Arial"/>
          <w:sz w:val="19"/>
          <w:szCs w:val="19"/>
        </w:rPr>
        <w:t xml:space="preserve">A distribuição do ligante deve ser feita por carros equipados com bomba reguladora de pressão e sistema completo de aquecimento que permitam a aplicação do ligante asfáltico em quantidade uniforme. </w:t>
      </w:r>
    </w:p>
    <w:p w14:paraId="5B36B166" w14:textId="77777777" w:rsidR="00593A8C" w:rsidRDefault="00593A8C" w:rsidP="00593A8C">
      <w:pPr>
        <w:ind w:firstLine="1134"/>
        <w:jc w:val="both"/>
        <w:rPr>
          <w:rFonts w:ascii="Arial" w:hAnsi="Arial" w:cs="Arial"/>
          <w:sz w:val="19"/>
          <w:szCs w:val="19"/>
        </w:rPr>
      </w:pPr>
      <w:r>
        <w:rPr>
          <w:rFonts w:ascii="Arial" w:hAnsi="Arial" w:cs="Arial"/>
          <w:sz w:val="19"/>
          <w:szCs w:val="19"/>
        </w:rPr>
        <w:t>Os carros distribuidores de ligante asfáltico, providos de dispositivos de aquecimento, e possuir espargidor manual para tratamento de pequenas superfícies e correções localizadas. As barras de distribuição devem ser do tipo de ajustamento vertical e larguras variáveis de espalhamento uniforme do ligante.</w:t>
      </w:r>
    </w:p>
    <w:p w14:paraId="5C407237" w14:textId="77777777" w:rsidR="00593A8C" w:rsidRDefault="00593A8C" w:rsidP="00593A8C">
      <w:pPr>
        <w:ind w:firstLine="1134"/>
        <w:jc w:val="both"/>
        <w:rPr>
          <w:rFonts w:ascii="Arial" w:hAnsi="Arial" w:cs="Arial"/>
          <w:sz w:val="19"/>
          <w:szCs w:val="19"/>
        </w:rPr>
      </w:pPr>
      <w:r>
        <w:rPr>
          <w:rFonts w:ascii="Arial" w:hAnsi="Arial" w:cs="Arial"/>
          <w:b/>
          <w:sz w:val="19"/>
          <w:szCs w:val="19"/>
        </w:rPr>
        <w:t>4.5- Procedimento de execução:</w:t>
      </w:r>
      <w:r>
        <w:rPr>
          <w:rFonts w:ascii="Arial" w:hAnsi="Arial" w:cs="Arial"/>
          <w:sz w:val="19"/>
          <w:szCs w:val="19"/>
        </w:rPr>
        <w:t xml:space="preserve"> Antes da execução dos serviços, deve ser implantada a adequada sinalização, visando à segurança do tráfego no trecho e mantida durante a execução dos serviços.</w:t>
      </w:r>
    </w:p>
    <w:p w14:paraId="2F6A91DB" w14:textId="77777777" w:rsidR="00593A8C" w:rsidRDefault="00593A8C" w:rsidP="00593A8C">
      <w:pPr>
        <w:ind w:firstLine="1134"/>
        <w:jc w:val="both"/>
        <w:rPr>
          <w:rFonts w:ascii="Arial" w:hAnsi="Arial" w:cs="Arial"/>
          <w:sz w:val="19"/>
          <w:szCs w:val="19"/>
        </w:rPr>
      </w:pPr>
      <w:r>
        <w:rPr>
          <w:rFonts w:ascii="Arial" w:hAnsi="Arial" w:cs="Arial"/>
          <w:sz w:val="19"/>
          <w:szCs w:val="19"/>
        </w:rPr>
        <w:t>A superfície a ser pintada deve ser varrida, a fim de ser eliminado o pó e todo e qualquer material solto. Após proceder à varredura da superfície, aplica-se o ligante asfáltico na temperatura compatível, na quantidade recomendada e de maneira uniforme. A faixa de viscosidade recomendada para espalhamento da emulsão deve estar entre de 20 a 100 segundos Saybolt Furol (DNER-ME 009/94). Após aplicação do ligante deve-se aguardar o escoamento da água e a evaporação em decorrência da ruptura.</w:t>
      </w:r>
    </w:p>
    <w:p w14:paraId="266A4B49" w14:textId="77777777" w:rsidR="00593A8C" w:rsidRDefault="00593A8C" w:rsidP="00593A8C">
      <w:pPr>
        <w:ind w:firstLine="1134"/>
        <w:jc w:val="both"/>
        <w:rPr>
          <w:rFonts w:ascii="Arial" w:hAnsi="Arial" w:cs="Arial"/>
          <w:sz w:val="19"/>
          <w:szCs w:val="19"/>
        </w:rPr>
      </w:pPr>
      <w:r>
        <w:rPr>
          <w:rFonts w:ascii="Arial" w:hAnsi="Arial" w:cs="Arial"/>
          <w:sz w:val="19"/>
          <w:szCs w:val="19"/>
        </w:rPr>
        <w:t xml:space="preserve">Deve ser executada a pintura de ligação na pista inteira em um mesmo turno de trabalho e deve ser deixada, sempre que possível, fechada ao tráfego. Quando isto não for possível, trabalhar em meia pista, executando a pintura de ligação da adjacente, assim que a primeira for permitida ao tráfego. </w:t>
      </w:r>
    </w:p>
    <w:p w14:paraId="56D7095C" w14:textId="77777777" w:rsidR="00593A8C" w:rsidRDefault="00593A8C" w:rsidP="00593A8C">
      <w:pPr>
        <w:ind w:firstLine="1134"/>
        <w:jc w:val="both"/>
        <w:rPr>
          <w:rFonts w:ascii="Arial" w:hAnsi="Arial" w:cs="Arial"/>
          <w:sz w:val="19"/>
          <w:szCs w:val="19"/>
        </w:rPr>
      </w:pPr>
      <w:r>
        <w:rPr>
          <w:rFonts w:ascii="Arial" w:hAnsi="Arial" w:cs="Arial"/>
          <w:sz w:val="19"/>
          <w:szCs w:val="19"/>
        </w:rPr>
        <w:t>Devem ser evitadas a superposição ou excesso nos pontos iniciais e finais das aplicações. Qualquer falha na aplicação do ligante asfáltico deve ser imediatamente corrigida.</w:t>
      </w:r>
    </w:p>
    <w:p w14:paraId="128EE019" w14:textId="77777777" w:rsidR="00593A8C" w:rsidRDefault="00593A8C" w:rsidP="00593A8C">
      <w:pPr>
        <w:ind w:firstLine="1134"/>
        <w:jc w:val="both"/>
        <w:rPr>
          <w:rFonts w:ascii="Arial" w:hAnsi="Arial" w:cs="Arial"/>
          <w:sz w:val="19"/>
          <w:szCs w:val="19"/>
        </w:rPr>
      </w:pPr>
      <w:r>
        <w:rPr>
          <w:rFonts w:ascii="Arial" w:hAnsi="Arial" w:cs="Arial"/>
          <w:b/>
          <w:sz w:val="19"/>
          <w:szCs w:val="19"/>
        </w:rPr>
        <w:t xml:space="preserve">4.6- Controle tecnológico: </w:t>
      </w:r>
      <w:r>
        <w:rPr>
          <w:rFonts w:ascii="Arial" w:hAnsi="Arial" w:cs="Arial"/>
          <w:sz w:val="19"/>
          <w:szCs w:val="19"/>
        </w:rPr>
        <w:t>O material utilizado na execução da pintura de ligação deve ser rotineiramente examinado, mediante a execução dos seguintes procedimentos: ensaio de viscosidade a 50°C (DNER-ME 004/94); ensaio de resíduo por evaporação (NBR 14376/2019); ensaio de peneiramento (DNER-ME 005/95); determinação da carga da partícula (DNIT 156/2011-ME); ensaio de sedimentação para emulsões (DNER-ME 006/00). Fica a cargo da empresa CONTRATADA fornecer os ensaios de controle tecnológico.</w:t>
      </w:r>
    </w:p>
    <w:p w14:paraId="0E37D21D" w14:textId="77777777" w:rsidR="00593A8C" w:rsidRDefault="00593A8C" w:rsidP="00593A8C">
      <w:pPr>
        <w:pStyle w:val="Padro"/>
        <w:spacing w:line="240" w:lineRule="auto"/>
        <w:ind w:firstLine="1134"/>
        <w:jc w:val="both"/>
        <w:rPr>
          <w:rFonts w:ascii="Arial" w:hAnsi="Arial" w:cs="Arial"/>
          <w:sz w:val="19"/>
          <w:szCs w:val="19"/>
        </w:rPr>
      </w:pPr>
      <w:r>
        <w:rPr>
          <w:rFonts w:ascii="Arial" w:hAnsi="Arial" w:cs="Arial"/>
          <w:b/>
          <w:sz w:val="19"/>
          <w:szCs w:val="19"/>
        </w:rPr>
        <w:t>4.7- Medição:</w:t>
      </w:r>
      <w:r>
        <w:rPr>
          <w:rFonts w:ascii="Arial" w:hAnsi="Arial" w:cs="Arial"/>
          <w:sz w:val="19"/>
          <w:szCs w:val="19"/>
        </w:rPr>
        <w:t xml:space="preserve"> Para a medição dos serviços devem ser verificadas visualmente a homogeneidade da aplicação e a ruptura do ligante. Os serviços só devem ser considerados conformes se atenderem às prescrições Normativas. Todo detalhe incorreto ou mal executado deve ser corrigido. Qualquer serviço corrigido só deve ser aceito se as correções executadas o colocarem em conformidade com o disposto nas normas, caso contrário deve ser rejeitado.</w:t>
      </w:r>
    </w:p>
    <w:p w14:paraId="0E844A66" w14:textId="77777777" w:rsidR="00593A8C" w:rsidRDefault="00593A8C" w:rsidP="00593A8C">
      <w:pPr>
        <w:pStyle w:val="Padro"/>
        <w:spacing w:line="240" w:lineRule="auto"/>
        <w:ind w:firstLine="1134"/>
        <w:jc w:val="both"/>
        <w:rPr>
          <w:rFonts w:ascii="Arial" w:hAnsi="Arial" w:cs="Arial"/>
          <w:sz w:val="19"/>
          <w:szCs w:val="19"/>
        </w:rPr>
      </w:pPr>
      <w:r>
        <w:rPr>
          <w:rFonts w:ascii="Arial" w:hAnsi="Arial" w:cs="Arial"/>
          <w:sz w:val="19"/>
          <w:szCs w:val="19"/>
        </w:rPr>
        <w:lastRenderedPageBreak/>
        <w:t>A pintura de ligação deve ser medida em metros quadrados (m²), considerando a área efetivamente executada, obedecidas as larguras de projeto. No valor unitário está compreendido todo o serviço, incluindo armazenamento do material, fornecimento do RR-1C, mão-de-obra para aplicação, ferramentas e equipamentos necessários à execução do serviço.</w:t>
      </w:r>
    </w:p>
    <w:p w14:paraId="0426F6D0" w14:textId="77777777" w:rsidR="00593A8C" w:rsidRDefault="00593A8C" w:rsidP="00593A8C">
      <w:pPr>
        <w:pStyle w:val="Padro"/>
        <w:spacing w:line="240" w:lineRule="auto"/>
        <w:ind w:firstLine="1134"/>
        <w:jc w:val="both"/>
        <w:rPr>
          <w:rFonts w:ascii="Arial" w:hAnsi="Arial" w:cs="Arial"/>
          <w:sz w:val="19"/>
          <w:szCs w:val="19"/>
        </w:rPr>
      </w:pPr>
    </w:p>
    <w:p w14:paraId="65D72F2D" w14:textId="77777777" w:rsidR="00593A8C" w:rsidRDefault="00593A8C" w:rsidP="00593A8C">
      <w:pPr>
        <w:pStyle w:val="PargrafodaLista"/>
        <w:widowControl/>
        <w:numPr>
          <w:ilvl w:val="0"/>
          <w:numId w:val="1"/>
        </w:numPr>
        <w:tabs>
          <w:tab w:val="left" w:pos="708"/>
        </w:tabs>
        <w:suppressAutoHyphens/>
        <w:autoSpaceDE/>
        <w:ind w:left="0" w:firstLine="1134"/>
        <w:jc w:val="left"/>
        <w:rPr>
          <w:b/>
          <w:sz w:val="19"/>
          <w:szCs w:val="19"/>
        </w:rPr>
      </w:pPr>
      <w:r>
        <w:rPr>
          <w:b/>
          <w:sz w:val="19"/>
          <w:szCs w:val="19"/>
        </w:rPr>
        <w:t xml:space="preserve">CONCRETO ASFÁLTICO – FORNECIMENTO, TRANSPORTE E EXECUÇÃO </w:t>
      </w:r>
    </w:p>
    <w:p w14:paraId="0B39B23C" w14:textId="77777777" w:rsidR="00593A8C" w:rsidRDefault="00593A8C" w:rsidP="00593A8C">
      <w:pPr>
        <w:pStyle w:val="Padro"/>
        <w:spacing w:line="240" w:lineRule="auto"/>
        <w:ind w:firstLine="1134"/>
        <w:jc w:val="both"/>
        <w:rPr>
          <w:rFonts w:ascii="Arial" w:hAnsi="Arial" w:cs="Arial"/>
          <w:sz w:val="19"/>
          <w:szCs w:val="19"/>
        </w:rPr>
      </w:pPr>
      <w:r>
        <w:rPr>
          <w:rFonts w:ascii="Arial" w:hAnsi="Arial" w:cs="Arial"/>
          <w:b/>
          <w:sz w:val="19"/>
          <w:szCs w:val="19"/>
        </w:rPr>
        <w:t xml:space="preserve">5.1- Definição: </w:t>
      </w:r>
      <w:r>
        <w:rPr>
          <w:rFonts w:ascii="Arial" w:hAnsi="Arial" w:cs="Arial"/>
          <w:sz w:val="19"/>
          <w:szCs w:val="19"/>
        </w:rPr>
        <w:t xml:space="preserve">Mistura executada a quente, em usina apropriada, com características específicas, composta de agregado graduado, material de enchimento e cimento asfáltico, espalhada e compactada a quente. </w:t>
      </w:r>
    </w:p>
    <w:p w14:paraId="3F7755F4" w14:textId="77777777" w:rsidR="00593A8C" w:rsidRDefault="00593A8C" w:rsidP="00593A8C">
      <w:pPr>
        <w:pStyle w:val="Padro"/>
        <w:spacing w:line="240" w:lineRule="auto"/>
        <w:ind w:firstLine="1134"/>
        <w:jc w:val="both"/>
        <w:rPr>
          <w:rFonts w:ascii="Arial" w:hAnsi="Arial" w:cs="Arial"/>
          <w:sz w:val="19"/>
          <w:szCs w:val="19"/>
        </w:rPr>
      </w:pPr>
      <w:r>
        <w:rPr>
          <w:rFonts w:ascii="Arial" w:hAnsi="Arial" w:cs="Arial"/>
          <w:b/>
          <w:sz w:val="19"/>
          <w:szCs w:val="19"/>
        </w:rPr>
        <w:t xml:space="preserve">5.2- Condições gerais: </w:t>
      </w:r>
      <w:r>
        <w:rPr>
          <w:rFonts w:ascii="Arial" w:hAnsi="Arial" w:cs="Arial"/>
          <w:sz w:val="19"/>
          <w:szCs w:val="19"/>
        </w:rPr>
        <w:t>Não é permitida a execução dos serviços de pavimentação em dias de chuva. O concreto asfáltico somente deve ser fabricado, transportado e aplicado quando a temperatura ambiente for superior a 10ºC.</w:t>
      </w:r>
    </w:p>
    <w:p w14:paraId="60294748" w14:textId="77777777" w:rsidR="00593A8C" w:rsidRDefault="00593A8C" w:rsidP="00593A8C">
      <w:pPr>
        <w:pStyle w:val="Padro"/>
        <w:spacing w:line="240" w:lineRule="auto"/>
        <w:ind w:firstLine="1134"/>
        <w:jc w:val="both"/>
        <w:rPr>
          <w:rFonts w:ascii="Arial" w:hAnsi="Arial" w:cs="Arial"/>
          <w:sz w:val="19"/>
          <w:szCs w:val="19"/>
        </w:rPr>
      </w:pPr>
      <w:r>
        <w:rPr>
          <w:rFonts w:ascii="Arial" w:hAnsi="Arial" w:cs="Arial"/>
          <w:b/>
          <w:sz w:val="19"/>
          <w:szCs w:val="19"/>
        </w:rPr>
        <w:t xml:space="preserve">5.3- Materiais: </w:t>
      </w:r>
      <w:r>
        <w:rPr>
          <w:rFonts w:ascii="Arial" w:hAnsi="Arial" w:cs="Arial"/>
          <w:sz w:val="19"/>
          <w:szCs w:val="19"/>
        </w:rPr>
        <w:t>Os materiais constituídos do concreto asfáltico são agregados graúdo, agregado miúdo, material de enchimento filer e ligante asfáltico. O cimento asfáltico de petróleo deve ser do tipo CAP-50/70. O agregado graúdo pode ser pedra britada, escória, seixo rolado preferencialmente britado ou outro material indicado nas especificações. O agregado miúdo pode ser areia, pó de pedra ou mistura de ambos. O material de enchimento deve estar seco e isento de grumos, constituído por materiais minerais finamente divididos, tais como cimento Portland, cal extinta, pós calcários, cinza volante, etc.</w:t>
      </w:r>
    </w:p>
    <w:p w14:paraId="2AA08699" w14:textId="77777777" w:rsidR="00593A8C" w:rsidRDefault="00593A8C" w:rsidP="00593A8C">
      <w:pPr>
        <w:pStyle w:val="Padro"/>
        <w:spacing w:line="240" w:lineRule="auto"/>
        <w:ind w:firstLine="1134"/>
        <w:jc w:val="both"/>
        <w:rPr>
          <w:rFonts w:ascii="Arial" w:hAnsi="Arial" w:cs="Arial"/>
          <w:sz w:val="19"/>
          <w:szCs w:val="19"/>
        </w:rPr>
      </w:pPr>
      <w:r>
        <w:rPr>
          <w:rFonts w:ascii="Arial" w:hAnsi="Arial" w:cs="Arial"/>
          <w:sz w:val="19"/>
          <w:szCs w:val="19"/>
        </w:rPr>
        <w:t xml:space="preserve">A composição do concreto asfáltico deve satisfazer aos requisitos de granulometria e aos percentuais do ligante asfáltico determinado pelo projeto da mistura. </w:t>
      </w:r>
      <w:r>
        <w:rPr>
          <w:rFonts w:ascii="Arial" w:hAnsi="Arial" w:cs="Arial"/>
          <w:b/>
          <w:sz w:val="19"/>
          <w:szCs w:val="19"/>
        </w:rPr>
        <w:t>Recomendável é a adoção da faixa “C” conforme especificações do DNIT, Norma Técnica 031/2006-ES</w:t>
      </w:r>
      <w:r>
        <w:rPr>
          <w:rFonts w:ascii="Arial" w:hAnsi="Arial" w:cs="Arial"/>
          <w:sz w:val="19"/>
          <w:szCs w:val="19"/>
        </w:rPr>
        <w:t>. Destaca-se as orientações da ABNT NBR 12949:1993.</w:t>
      </w:r>
    </w:p>
    <w:p w14:paraId="6B587592" w14:textId="77777777" w:rsidR="00593A8C" w:rsidRDefault="00593A8C" w:rsidP="00593A8C">
      <w:pPr>
        <w:pStyle w:val="Padro"/>
        <w:spacing w:line="240" w:lineRule="auto"/>
        <w:ind w:firstLine="1134"/>
        <w:jc w:val="both"/>
        <w:rPr>
          <w:rFonts w:ascii="Arial" w:hAnsi="Arial" w:cs="Arial"/>
          <w:sz w:val="19"/>
          <w:szCs w:val="19"/>
        </w:rPr>
      </w:pPr>
      <w:r>
        <w:rPr>
          <w:rFonts w:ascii="Arial" w:hAnsi="Arial" w:cs="Arial"/>
          <w:b/>
          <w:sz w:val="19"/>
          <w:szCs w:val="19"/>
        </w:rPr>
        <w:t>5.4- Equipamentos:</w:t>
      </w:r>
      <w:r>
        <w:rPr>
          <w:rFonts w:ascii="Arial" w:hAnsi="Arial" w:cs="Arial"/>
          <w:sz w:val="19"/>
          <w:szCs w:val="19"/>
        </w:rPr>
        <w:t xml:space="preserve"> Os equipamentos necessários à execução dos serviços serão adequados aos locais de instalação das obras, atendendo ao que dispõem as especificações para os serviços. Devem ser utilizados, no mínimo, os seguintes equipamentos: depósito para ligante asfáltico, silos para agregados, usina para mistura asfáltica, caminhões basculantes para transporte da mistura, equipamento para espalhamento e acabamento, equipamentos para compactação.</w:t>
      </w:r>
    </w:p>
    <w:p w14:paraId="3BA341A6" w14:textId="77777777" w:rsidR="00593A8C" w:rsidRDefault="00593A8C" w:rsidP="00593A8C">
      <w:pPr>
        <w:pStyle w:val="Padro"/>
        <w:spacing w:line="240" w:lineRule="auto"/>
        <w:ind w:firstLine="1134"/>
        <w:jc w:val="both"/>
        <w:rPr>
          <w:rFonts w:ascii="Arial" w:hAnsi="Arial" w:cs="Arial"/>
          <w:sz w:val="19"/>
          <w:szCs w:val="19"/>
        </w:rPr>
      </w:pPr>
      <w:r>
        <w:rPr>
          <w:rFonts w:ascii="Arial" w:hAnsi="Arial" w:cs="Arial"/>
          <w:sz w:val="19"/>
          <w:szCs w:val="19"/>
        </w:rPr>
        <w:t>Todo equipamento a ser utilizado será vistoriado antes do início da execução do serviço, para garantir condições apropriadas de operação, caso contrário, não será autorizada a sua utilização.</w:t>
      </w:r>
    </w:p>
    <w:p w14:paraId="011A4E75" w14:textId="77777777" w:rsidR="00593A8C" w:rsidRDefault="00593A8C" w:rsidP="00593A8C">
      <w:pPr>
        <w:pStyle w:val="Padro"/>
        <w:spacing w:line="240" w:lineRule="auto"/>
        <w:ind w:firstLine="1134"/>
        <w:jc w:val="both"/>
        <w:rPr>
          <w:rFonts w:ascii="Arial" w:hAnsi="Arial" w:cs="Arial"/>
          <w:sz w:val="19"/>
          <w:szCs w:val="19"/>
        </w:rPr>
      </w:pPr>
      <w:r>
        <w:rPr>
          <w:rFonts w:ascii="Arial" w:hAnsi="Arial" w:cs="Arial"/>
          <w:b/>
          <w:sz w:val="19"/>
          <w:szCs w:val="19"/>
        </w:rPr>
        <w:t xml:space="preserve">5.5- Procedimento de execução: </w:t>
      </w:r>
      <w:r>
        <w:rPr>
          <w:rFonts w:ascii="Arial" w:hAnsi="Arial" w:cs="Arial"/>
          <w:sz w:val="19"/>
          <w:szCs w:val="19"/>
        </w:rPr>
        <w:t>Previamente a camada de revestimento, sendo decorridos mais de sete dias entre a execução da imprimação e a do revestimento, ou no caso de ter havido trânsito sobre a superfície imprimada, ou, ainda ter sido a imprimação recoberta com areia, pó-de-pedra, deve ser feita uma pintura de ligação.</w:t>
      </w:r>
    </w:p>
    <w:p w14:paraId="6940871D" w14:textId="77777777" w:rsidR="00593A8C" w:rsidRDefault="00593A8C" w:rsidP="00593A8C">
      <w:pPr>
        <w:pStyle w:val="Padro"/>
        <w:spacing w:line="240" w:lineRule="auto"/>
        <w:ind w:firstLine="1134"/>
        <w:jc w:val="both"/>
        <w:rPr>
          <w:rFonts w:ascii="Arial" w:hAnsi="Arial" w:cs="Arial"/>
          <w:sz w:val="19"/>
          <w:szCs w:val="19"/>
        </w:rPr>
      </w:pPr>
      <w:r>
        <w:rPr>
          <w:rFonts w:ascii="Arial" w:hAnsi="Arial" w:cs="Arial"/>
          <w:sz w:val="19"/>
          <w:szCs w:val="19"/>
        </w:rPr>
        <w:t>A temperatura do cimento asfáltico empregado na mistura deve ser determinada para cada tipo de ligante, em função da relação temperatura-viscosidade, não podendo ser inferior a 107°C nem exceder a 177°C. Os agregados devem ser aquecidos a temperaturas de 10°C a 15°C acima da temperatura do ligante asfáltico, sem ultrapassar 177°C.</w:t>
      </w:r>
    </w:p>
    <w:p w14:paraId="6B8C4E9B" w14:textId="77777777" w:rsidR="00593A8C" w:rsidRDefault="00593A8C" w:rsidP="00593A8C">
      <w:pPr>
        <w:pStyle w:val="Padro"/>
        <w:spacing w:line="240" w:lineRule="auto"/>
        <w:ind w:firstLine="1134"/>
        <w:jc w:val="both"/>
        <w:rPr>
          <w:rFonts w:ascii="Arial" w:hAnsi="Arial" w:cs="Arial"/>
          <w:sz w:val="19"/>
          <w:szCs w:val="19"/>
        </w:rPr>
      </w:pPr>
      <w:r>
        <w:rPr>
          <w:rFonts w:ascii="Arial" w:hAnsi="Arial" w:cs="Arial"/>
          <w:sz w:val="19"/>
          <w:szCs w:val="19"/>
        </w:rPr>
        <w:t>Após a usinagem, a massa asfáltica será transportada para o trecho por caminhões basculantes apropriados, com caçambas metálicas, lisas e lubrificadas para evitar à aderência da mistura a chapa. No transporte da massa, cada carregamento deverá ser coberto por uma lona para reduzir a perda de calor durante o trajeto e na espera pela aplicação. A fiscalização, depois de autorizar o início dos serviços, irá controlar a saída dos caminhões com a massa na usina, controlando o peso e a temperatura da mistura, e na chegada no trecho a temperatura da massa.</w:t>
      </w:r>
    </w:p>
    <w:p w14:paraId="00B08B45" w14:textId="77777777" w:rsidR="00593A8C" w:rsidRDefault="00593A8C" w:rsidP="00593A8C">
      <w:pPr>
        <w:pStyle w:val="Padro"/>
        <w:spacing w:line="240" w:lineRule="auto"/>
        <w:ind w:firstLine="1134"/>
        <w:jc w:val="both"/>
        <w:rPr>
          <w:rFonts w:ascii="Arial" w:hAnsi="Arial" w:cs="Arial"/>
          <w:sz w:val="19"/>
          <w:szCs w:val="19"/>
        </w:rPr>
      </w:pPr>
      <w:r>
        <w:rPr>
          <w:rFonts w:ascii="Arial" w:hAnsi="Arial" w:cs="Arial"/>
          <w:sz w:val="19"/>
          <w:szCs w:val="19"/>
        </w:rPr>
        <w:t>Após a distribuição do concreto asfáltico por equipamentos adequados, tem início a rolagem. Caso sejam empregados rolos de pneus, de pressão variável, inicia-se a rolagem com baixa pressão, a qual deve ser aumentada à medida que a mistura seja compactada, e, consequentemente, suportando pressões mais elevadas.</w:t>
      </w:r>
    </w:p>
    <w:p w14:paraId="0FDB8C65" w14:textId="77777777" w:rsidR="00593A8C" w:rsidRDefault="00593A8C" w:rsidP="00593A8C">
      <w:pPr>
        <w:pStyle w:val="Padro"/>
        <w:spacing w:line="240" w:lineRule="auto"/>
        <w:ind w:firstLine="1134"/>
        <w:jc w:val="both"/>
        <w:rPr>
          <w:rFonts w:ascii="Arial" w:hAnsi="Arial" w:cs="Arial"/>
          <w:sz w:val="19"/>
          <w:szCs w:val="19"/>
        </w:rPr>
      </w:pPr>
      <w:r>
        <w:rPr>
          <w:rFonts w:ascii="Arial" w:hAnsi="Arial" w:cs="Arial"/>
          <w:sz w:val="19"/>
          <w:szCs w:val="19"/>
        </w:rPr>
        <w:t>A compactação deve ser iniciada pelos bordos, longitudinalmente, continuando em direção ao eixo da pista. Nas curvas, de acordo com a superelevação, a compactação deve começar sempre do ponto mais baixo para o ponto mais alto. Cada passada do rolo deve ser recoberta na seguinte de, pelo menos, metade da largura rolada. Em qualquer caso, a operação de rolagem perdurará até o momento em que seja atingida a compactação especificada. Durante a rolagem não são permitidas mudanças de direção e inversões bruscas da marcha, nem estacionamento do equipamento sobre o revestimento recém rolado. As rodas do rolo devem ser umedecidas adequadamente, de modo a evitar a aderência da mistura.</w:t>
      </w:r>
    </w:p>
    <w:p w14:paraId="74A5A640" w14:textId="77777777" w:rsidR="00593A8C" w:rsidRDefault="00593A8C" w:rsidP="00593A8C">
      <w:pPr>
        <w:pStyle w:val="Padro"/>
        <w:spacing w:line="240" w:lineRule="auto"/>
        <w:ind w:firstLine="1134"/>
        <w:jc w:val="both"/>
        <w:rPr>
          <w:rFonts w:ascii="Arial" w:hAnsi="Arial" w:cs="Arial"/>
          <w:sz w:val="19"/>
          <w:szCs w:val="19"/>
        </w:rPr>
      </w:pPr>
      <w:r>
        <w:rPr>
          <w:rFonts w:ascii="Arial" w:hAnsi="Arial" w:cs="Arial"/>
          <w:sz w:val="19"/>
          <w:szCs w:val="19"/>
        </w:rPr>
        <w:t xml:space="preserve">Após concluído a compactação, a superfície do revestimento deve ser lisa, desempenada e isenta de trilhas, ondulações, depressões e irregularidades. A camada de concreto asfáltico deverá estar de acordo com os requisitos especificados em projeto de alinhamento, greide e acabamento. Todos os pontos e juntas elevadas, depressões e saliências deverão ser corrigidos. O grau de compactação da camada </w:t>
      </w:r>
      <w:r>
        <w:rPr>
          <w:rFonts w:ascii="Arial" w:hAnsi="Arial" w:cs="Arial"/>
          <w:sz w:val="19"/>
          <w:szCs w:val="19"/>
        </w:rPr>
        <w:lastRenderedPageBreak/>
        <w:t>executada deverá ser, no mínimo, de 97%, tomando como referência a densidade dos corpos de prova moldados pelo ensaio Marshall.</w:t>
      </w:r>
    </w:p>
    <w:p w14:paraId="11E7ED5C" w14:textId="77777777" w:rsidR="00593A8C" w:rsidRDefault="00593A8C" w:rsidP="00593A8C">
      <w:pPr>
        <w:pStyle w:val="Padro"/>
        <w:spacing w:line="240" w:lineRule="auto"/>
        <w:ind w:firstLine="1134"/>
        <w:jc w:val="both"/>
        <w:rPr>
          <w:rFonts w:ascii="Arial" w:hAnsi="Arial" w:cs="Arial"/>
          <w:sz w:val="19"/>
          <w:szCs w:val="19"/>
        </w:rPr>
      </w:pPr>
      <w:r>
        <w:rPr>
          <w:rFonts w:ascii="Arial" w:hAnsi="Arial" w:cs="Arial"/>
          <w:sz w:val="19"/>
          <w:szCs w:val="19"/>
        </w:rPr>
        <w:t>As juntas longitudinais e transversais devem ter superfície acabada no mesmo plano que as áreas adjacentes, não apresentado ressaltos ou depressões. A borda da camada compactada anteriormente deverá receber previamente pintura de ligação, antes da colocação da adjacente. Tal pintura não deve atingir a superfície compactada, para evitar posterior exsudação do asfalto na junta.</w:t>
      </w:r>
    </w:p>
    <w:p w14:paraId="0989A749" w14:textId="77777777" w:rsidR="00593A8C" w:rsidRDefault="00593A8C" w:rsidP="00593A8C">
      <w:pPr>
        <w:pStyle w:val="Padro"/>
        <w:spacing w:line="240" w:lineRule="auto"/>
        <w:ind w:firstLine="1134"/>
        <w:jc w:val="both"/>
        <w:rPr>
          <w:rFonts w:ascii="Arial" w:hAnsi="Arial" w:cs="Arial"/>
          <w:sz w:val="19"/>
          <w:szCs w:val="19"/>
        </w:rPr>
      </w:pPr>
      <w:r>
        <w:rPr>
          <w:rFonts w:ascii="Arial" w:hAnsi="Arial" w:cs="Arial"/>
          <w:sz w:val="19"/>
          <w:szCs w:val="19"/>
        </w:rPr>
        <w:t>Os revestimentos recém acabados devem ser mantidos sem tráfego, até o seu completo resfriamento.</w:t>
      </w:r>
    </w:p>
    <w:p w14:paraId="00E34C3A" w14:textId="77777777" w:rsidR="00593A8C" w:rsidRDefault="00593A8C" w:rsidP="00593A8C">
      <w:pPr>
        <w:pStyle w:val="Padro"/>
        <w:spacing w:line="240" w:lineRule="auto"/>
        <w:ind w:firstLine="1134"/>
        <w:jc w:val="both"/>
        <w:rPr>
          <w:rFonts w:ascii="Arial" w:hAnsi="Arial" w:cs="Arial"/>
          <w:sz w:val="19"/>
          <w:szCs w:val="19"/>
        </w:rPr>
      </w:pPr>
      <w:r>
        <w:rPr>
          <w:rFonts w:ascii="Arial" w:hAnsi="Arial" w:cs="Arial"/>
          <w:b/>
          <w:sz w:val="19"/>
          <w:szCs w:val="19"/>
        </w:rPr>
        <w:t xml:space="preserve">5.6- Transporte: </w:t>
      </w:r>
      <w:r>
        <w:rPr>
          <w:rFonts w:ascii="Arial" w:hAnsi="Arial" w:cs="Arial"/>
          <w:sz w:val="19"/>
          <w:szCs w:val="19"/>
        </w:rPr>
        <w:t>A massa asfáltica deverá ser transportada por caminhões basculantes com caçambas metálicas, lisas e lubrificadas para evitar à aderência da mistura no equipamento. Durante o transporte do concreto asfáltico, as cargas deverão ser cobertas por lona de tamanho suficiente para abrigar toda a carroceria, a fim de amortizar a perda de calor. Os veículos deverão ter condições de transportar imediatamente toda produção da usina.</w:t>
      </w:r>
    </w:p>
    <w:p w14:paraId="2AF00318" w14:textId="77777777" w:rsidR="00593A8C" w:rsidRDefault="00593A8C" w:rsidP="00593A8C">
      <w:pPr>
        <w:pStyle w:val="Padro"/>
        <w:spacing w:line="240" w:lineRule="auto"/>
        <w:ind w:firstLine="1134"/>
        <w:jc w:val="both"/>
        <w:rPr>
          <w:rFonts w:ascii="Arial" w:hAnsi="Arial" w:cs="Arial"/>
          <w:sz w:val="19"/>
          <w:szCs w:val="19"/>
        </w:rPr>
      </w:pPr>
      <w:r>
        <w:rPr>
          <w:rFonts w:ascii="Arial" w:hAnsi="Arial" w:cs="Arial"/>
          <w:b/>
          <w:sz w:val="19"/>
          <w:szCs w:val="19"/>
        </w:rPr>
        <w:t>5.7- Controle tecnológico:</w:t>
      </w:r>
      <w:r>
        <w:rPr>
          <w:rFonts w:ascii="Arial" w:hAnsi="Arial" w:cs="Arial"/>
          <w:sz w:val="19"/>
          <w:szCs w:val="19"/>
        </w:rPr>
        <w:t xml:space="preserve"> O controle da produção e execução do Concreto Asfáltico deve ser exercido através de coleta de amostras, ensaios e determinações feitas de maneira aleatória no trecho e seguindo as indicações normativas. A empresa CONTRATADA deverá fornecer os ensaios de controle tecnológico do revestimento asfáltico.</w:t>
      </w:r>
    </w:p>
    <w:p w14:paraId="54B38822" w14:textId="77777777" w:rsidR="00593A8C" w:rsidRDefault="00593A8C" w:rsidP="00593A8C">
      <w:pPr>
        <w:pStyle w:val="Padro"/>
        <w:spacing w:line="240" w:lineRule="auto"/>
        <w:ind w:firstLine="1134"/>
        <w:jc w:val="both"/>
        <w:rPr>
          <w:rFonts w:ascii="Arial" w:hAnsi="Arial" w:cs="Arial"/>
          <w:sz w:val="19"/>
          <w:szCs w:val="19"/>
        </w:rPr>
      </w:pPr>
      <w:r>
        <w:rPr>
          <w:rFonts w:ascii="Arial" w:hAnsi="Arial" w:cs="Arial"/>
          <w:sz w:val="19"/>
          <w:szCs w:val="19"/>
        </w:rPr>
        <w:t>Para o controle das características da mistura, devem ser realizados ensaios Marshall (DNER-ME 043), em material coletado após a passagem da acabadora. Os corpos de prova devem ser moldados in loco, imediatamente antes do início da compactação da massa.</w:t>
      </w:r>
    </w:p>
    <w:p w14:paraId="067A7295" w14:textId="77777777" w:rsidR="00593A8C" w:rsidRDefault="00593A8C" w:rsidP="00593A8C">
      <w:pPr>
        <w:pStyle w:val="Padro"/>
        <w:spacing w:line="240" w:lineRule="auto"/>
        <w:ind w:firstLine="1134"/>
        <w:jc w:val="both"/>
        <w:rPr>
          <w:rFonts w:ascii="Arial" w:hAnsi="Arial" w:cs="Arial"/>
          <w:sz w:val="19"/>
          <w:szCs w:val="19"/>
        </w:rPr>
      </w:pPr>
      <w:r>
        <w:rPr>
          <w:rFonts w:ascii="Arial" w:hAnsi="Arial" w:cs="Arial"/>
          <w:sz w:val="19"/>
          <w:szCs w:val="19"/>
        </w:rPr>
        <w:t>Para o espalhamento e compactação na pista, devem ser efetuadas medidas de temperatura durante o espalhamento da massa imediatamente antes de iniciada a compactação. O controle do grau de compactação - GC da mistura asfáltica deve ser feito, medindo-se a densidade aparente de corpos de prova extraídos da mistura espalhada e compactada na pista, por meio de brocas rotativas. As extrações devem ser realizadas determinações em locais escolhidos pelo fiscal da obra, aleatoriamente, durante a jornada de trabalho, não sendo permitidos GC inferiores a 97% ou superiores a 101%, em relação à massa específica aparente do projeto da mistura. Através da extração</w:t>
      </w:r>
      <w:r>
        <w:rPr>
          <w:rFonts w:ascii="Arial" w:hAnsi="Arial" w:cs="Arial"/>
          <w:bCs/>
          <w:sz w:val="19"/>
          <w:szCs w:val="19"/>
        </w:rPr>
        <w:t xml:space="preserve"> do corpo de prova extraídos da mistura comprimida na pista, ainda será conferida a Espessura do Pavimento.</w:t>
      </w:r>
    </w:p>
    <w:p w14:paraId="228A816B" w14:textId="77777777" w:rsidR="00593A8C" w:rsidRDefault="00593A8C" w:rsidP="00593A8C">
      <w:pPr>
        <w:pStyle w:val="Padro"/>
        <w:spacing w:line="240" w:lineRule="auto"/>
        <w:ind w:firstLine="1134"/>
        <w:jc w:val="both"/>
        <w:rPr>
          <w:rFonts w:ascii="Arial" w:hAnsi="Arial" w:cs="Arial"/>
          <w:sz w:val="19"/>
          <w:szCs w:val="19"/>
        </w:rPr>
      </w:pPr>
      <w:r>
        <w:rPr>
          <w:rFonts w:ascii="Arial" w:hAnsi="Arial" w:cs="Arial"/>
          <w:b/>
          <w:sz w:val="19"/>
          <w:szCs w:val="19"/>
        </w:rPr>
        <w:t>5.8- Medição:</w:t>
      </w:r>
      <w:r>
        <w:rPr>
          <w:rFonts w:ascii="Arial" w:hAnsi="Arial" w:cs="Arial"/>
          <w:sz w:val="19"/>
          <w:szCs w:val="19"/>
        </w:rPr>
        <w:t xml:space="preserve"> As medições serão conforme os quantitativos da planilha orçamentaria. A aplicação do concreto betuminoso usinado a quente (CBUQ) será medida por tonelada (t) de mistura efetivamente aplicada na pista e comprimida, de acordo com a seção transversal do projeto e verificando-se a densidade compactada da camada. Não será medido material fabricado, mas não aplicado. O pagamento será efetuado pelo preço unitário contratual, incluindo fornecimento e transporte, além de toda mão-de-obra, equipamentos e encargos necessários à aplicação e compactação do material. </w:t>
      </w:r>
    </w:p>
    <w:p w14:paraId="36939DB2" w14:textId="77777777" w:rsidR="00593A8C" w:rsidRDefault="00593A8C" w:rsidP="00593A8C">
      <w:pPr>
        <w:pStyle w:val="Padro"/>
        <w:spacing w:line="240" w:lineRule="auto"/>
        <w:ind w:firstLine="1134"/>
        <w:jc w:val="both"/>
        <w:rPr>
          <w:rFonts w:ascii="Arial" w:hAnsi="Arial" w:cs="Arial"/>
          <w:bCs/>
          <w:sz w:val="19"/>
          <w:szCs w:val="19"/>
        </w:rPr>
      </w:pPr>
      <w:r>
        <w:rPr>
          <w:rFonts w:ascii="Arial" w:hAnsi="Arial" w:cs="Arial"/>
          <w:bCs/>
          <w:sz w:val="19"/>
          <w:szCs w:val="19"/>
        </w:rPr>
        <w:t>Para a liberação da medição, a empresa deverá apresentar os controles tecnológicos (Laudo do Controle Tecnológico da Espessura, Composição e Resistência do Asfalto), ART (Anotação de Responsabilidade Técnicas) referente a execução da obra e relação de funcionários que trabalharam na obra em questão.</w:t>
      </w:r>
    </w:p>
    <w:p w14:paraId="58157580" w14:textId="77777777" w:rsidR="00593A8C" w:rsidRDefault="00593A8C" w:rsidP="00593A8C">
      <w:pPr>
        <w:pStyle w:val="Padro"/>
        <w:spacing w:line="240" w:lineRule="auto"/>
        <w:ind w:firstLine="1134"/>
        <w:jc w:val="both"/>
        <w:rPr>
          <w:rStyle w:val="Fontepargpadro1"/>
          <w:kern w:val="2"/>
        </w:rPr>
      </w:pPr>
      <w:r>
        <w:rPr>
          <w:rFonts w:ascii="Arial" w:hAnsi="Arial" w:cs="Arial"/>
          <w:b/>
          <w:sz w:val="19"/>
          <w:szCs w:val="19"/>
        </w:rPr>
        <w:t>5.9- Fornecimento de massa asfáltica - reparos:</w:t>
      </w:r>
      <w:r>
        <w:rPr>
          <w:rFonts w:ascii="Arial" w:hAnsi="Arial" w:cs="Arial"/>
          <w:sz w:val="19"/>
          <w:szCs w:val="19"/>
        </w:rPr>
        <w:t xml:space="preserve"> </w:t>
      </w:r>
      <w:r>
        <w:rPr>
          <w:rStyle w:val="Fontepargpadro1"/>
          <w:rFonts w:ascii="Arial" w:hAnsi="Arial" w:cs="Arial"/>
          <w:bCs/>
          <w:kern w:val="2"/>
          <w:sz w:val="19"/>
          <w:szCs w:val="19"/>
        </w:rPr>
        <w:t xml:space="preserve">Com objetivo de prolongar a durabilidade da via, os reparos são medidas de manutenção nos pavimentos asfálticos existentes decorrentes de desgastes naturais do pavimento, principalmente em função do período de chuvas na região. Outros pontos justificam-se pela abertura de </w:t>
      </w:r>
      <w:r>
        <w:rPr>
          <w:rFonts w:ascii="Arial" w:hAnsi="Arial" w:cs="Arial"/>
          <w:sz w:val="19"/>
          <w:szCs w:val="19"/>
        </w:rPr>
        <w:t>vala para execução da ligação da rede de esgoto sanitário nova ou manutenção da rede existente. Tais reparos s</w:t>
      </w:r>
      <w:r>
        <w:rPr>
          <w:rStyle w:val="Fontepargpadro1"/>
          <w:rFonts w:ascii="Arial" w:hAnsi="Arial" w:cs="Arial"/>
          <w:bCs/>
          <w:kern w:val="2"/>
          <w:sz w:val="19"/>
          <w:szCs w:val="19"/>
        </w:rPr>
        <w:t>ão necessários para conservar a pavimentação, estender a vida útil, evitar a deterioração avançada da via e garantir a fluidez do transito.</w:t>
      </w:r>
    </w:p>
    <w:p w14:paraId="4A49A669" w14:textId="77777777" w:rsidR="00593A8C" w:rsidRDefault="00593A8C" w:rsidP="00593A8C">
      <w:pPr>
        <w:pStyle w:val="Padro"/>
        <w:spacing w:line="240" w:lineRule="auto"/>
        <w:ind w:firstLine="1134"/>
        <w:jc w:val="both"/>
      </w:pPr>
      <w:r>
        <w:rPr>
          <w:rFonts w:ascii="Arial" w:hAnsi="Arial" w:cs="Arial"/>
          <w:sz w:val="19"/>
          <w:szCs w:val="19"/>
        </w:rPr>
        <w:t xml:space="preserve">A execução dos serviços de reparos nas pavimentações asfálticas é classificada como </w:t>
      </w:r>
      <w:r>
        <w:rPr>
          <w:rFonts w:ascii="Arial" w:hAnsi="Arial" w:cs="Arial"/>
          <w:b/>
          <w:sz w:val="19"/>
          <w:szCs w:val="19"/>
        </w:rPr>
        <w:t>“operação tapa buracos”,</w:t>
      </w:r>
      <w:r>
        <w:rPr>
          <w:rFonts w:ascii="Arial" w:hAnsi="Arial" w:cs="Arial"/>
          <w:sz w:val="19"/>
          <w:szCs w:val="19"/>
        </w:rPr>
        <w:t xml:space="preserve"> por este motivo serão executadas pelos servidores municipais, lotados na secretaria de obras. Excepcionalmente para estas situações, a empresa contratada por meio do registro de preços fornecerá somente o material asfáltico, o qual segue as mesmas especificações técnicas da massa para as pavimentações supracitadas.</w:t>
      </w:r>
    </w:p>
    <w:p w14:paraId="0681EE1A" w14:textId="77777777" w:rsidR="00593A8C" w:rsidRDefault="00593A8C" w:rsidP="00593A8C">
      <w:pPr>
        <w:pStyle w:val="Padro"/>
        <w:spacing w:line="240" w:lineRule="auto"/>
        <w:ind w:firstLine="1134"/>
        <w:jc w:val="both"/>
        <w:rPr>
          <w:rFonts w:ascii="Arial" w:hAnsi="Arial" w:cs="Arial"/>
          <w:sz w:val="19"/>
          <w:szCs w:val="19"/>
        </w:rPr>
      </w:pPr>
      <w:r>
        <w:rPr>
          <w:rFonts w:ascii="Arial" w:hAnsi="Arial" w:cs="Arial"/>
          <w:sz w:val="19"/>
          <w:szCs w:val="19"/>
        </w:rPr>
        <w:t>Para a pintura de ligação, segue o mesmo item utilizado para a pavimentação asfáltica, visto que a empresa irá aplicar o produto com seu caminhão e funcionários. Deverá ser executada a pintura de ligação em toda a área de remendo, inclusive as arestas laterais, e pode-se espalhar a massa asfáltica tão logo haja a ruptura da emulsão.</w:t>
      </w:r>
    </w:p>
    <w:p w14:paraId="41981AC3" w14:textId="77777777" w:rsidR="00593A8C" w:rsidRDefault="00593A8C" w:rsidP="00593A8C">
      <w:pPr>
        <w:pStyle w:val="Padro"/>
        <w:spacing w:line="240" w:lineRule="auto"/>
        <w:ind w:firstLine="1134"/>
        <w:jc w:val="both"/>
        <w:rPr>
          <w:rFonts w:ascii="Arial" w:hAnsi="Arial" w:cs="Arial"/>
          <w:sz w:val="19"/>
          <w:szCs w:val="19"/>
        </w:rPr>
      </w:pPr>
      <w:r>
        <w:rPr>
          <w:rFonts w:ascii="Arial" w:hAnsi="Arial" w:cs="Arial"/>
          <w:sz w:val="19"/>
          <w:szCs w:val="19"/>
        </w:rPr>
        <w:t>Após a pintura de ligação pelos funcionários da contratada, os servidores municipais deverão o preencher os buracos com a massa asfáltica, realizar a compactação da superfície e deixar o revestimento liso, desempenado e isento de trilhas, ondulações, depressões e irregularidades A nova área repavimentada deverá estar de acordo com o alinhamento e greide do pavimento existente, evitando pontos e juntas elevadas, depressões e saliências.</w:t>
      </w:r>
    </w:p>
    <w:p w14:paraId="034770FA" w14:textId="77777777" w:rsidR="00593A8C" w:rsidRDefault="00593A8C" w:rsidP="00593A8C">
      <w:pPr>
        <w:pStyle w:val="Padro"/>
        <w:spacing w:line="240" w:lineRule="auto"/>
        <w:ind w:firstLine="1134"/>
        <w:jc w:val="both"/>
        <w:rPr>
          <w:rFonts w:ascii="Arial" w:hAnsi="Arial" w:cs="Arial"/>
          <w:sz w:val="19"/>
          <w:szCs w:val="19"/>
        </w:rPr>
      </w:pPr>
      <w:r>
        <w:rPr>
          <w:rFonts w:ascii="Arial" w:hAnsi="Arial" w:cs="Arial"/>
          <w:b/>
          <w:sz w:val="19"/>
          <w:szCs w:val="19"/>
        </w:rPr>
        <w:lastRenderedPageBreak/>
        <w:t>5.10- Medição - reparos:</w:t>
      </w:r>
      <w:r>
        <w:rPr>
          <w:rFonts w:ascii="Arial" w:hAnsi="Arial" w:cs="Arial"/>
          <w:sz w:val="19"/>
          <w:szCs w:val="19"/>
        </w:rPr>
        <w:t xml:space="preserve"> A medição é conforme os quantitativos da planilha orçamentaria, medido em área (m²) a pintura de ligação e a massa asfáltica para reparos em toneladas (T). </w:t>
      </w:r>
    </w:p>
    <w:p w14:paraId="66C5DAE5" w14:textId="77777777" w:rsidR="00593A8C" w:rsidRDefault="00593A8C" w:rsidP="00593A8C">
      <w:pPr>
        <w:pStyle w:val="Padro"/>
        <w:spacing w:line="240" w:lineRule="auto"/>
        <w:ind w:firstLine="1134"/>
        <w:jc w:val="both"/>
        <w:rPr>
          <w:rFonts w:ascii="Arial" w:hAnsi="Arial" w:cs="Arial"/>
          <w:sz w:val="19"/>
          <w:szCs w:val="19"/>
        </w:rPr>
      </w:pPr>
      <w:r>
        <w:rPr>
          <w:rFonts w:ascii="Arial" w:hAnsi="Arial" w:cs="Arial"/>
          <w:sz w:val="19"/>
          <w:szCs w:val="19"/>
        </w:rPr>
        <w:t>Exclusivamente para a medição para o fornecimento do concreto asfáltico dos reparos, sem a execução por parte da contratada, não será necessário a apresentação dos ensaios tecnológicos, ART e relação de funcionários.</w:t>
      </w:r>
    </w:p>
    <w:p w14:paraId="4F6B6640" w14:textId="77777777" w:rsidR="00593A8C" w:rsidRDefault="00593A8C" w:rsidP="00593A8C">
      <w:pPr>
        <w:pStyle w:val="Padro"/>
        <w:spacing w:line="240" w:lineRule="auto"/>
        <w:ind w:firstLine="1134"/>
        <w:jc w:val="both"/>
        <w:rPr>
          <w:rFonts w:ascii="Arial" w:hAnsi="Arial" w:cs="Arial"/>
          <w:sz w:val="19"/>
          <w:szCs w:val="19"/>
        </w:rPr>
      </w:pPr>
    </w:p>
    <w:p w14:paraId="663E74AC" w14:textId="77777777" w:rsidR="00593A8C" w:rsidRDefault="00593A8C" w:rsidP="00593A8C">
      <w:pPr>
        <w:pStyle w:val="PargrafodaLista"/>
        <w:widowControl/>
        <w:numPr>
          <w:ilvl w:val="0"/>
          <w:numId w:val="1"/>
        </w:numPr>
        <w:tabs>
          <w:tab w:val="left" w:pos="708"/>
        </w:tabs>
        <w:suppressAutoHyphens/>
        <w:autoSpaceDE/>
        <w:ind w:left="0" w:firstLine="1134"/>
        <w:jc w:val="left"/>
        <w:rPr>
          <w:b/>
          <w:sz w:val="19"/>
          <w:szCs w:val="19"/>
        </w:rPr>
      </w:pPr>
      <w:r>
        <w:rPr>
          <w:b/>
          <w:sz w:val="19"/>
          <w:szCs w:val="19"/>
        </w:rPr>
        <w:t xml:space="preserve">SARJETA </w:t>
      </w:r>
    </w:p>
    <w:p w14:paraId="050ED902" w14:textId="77777777" w:rsidR="00593A8C" w:rsidRDefault="00593A8C" w:rsidP="00593A8C">
      <w:pPr>
        <w:pStyle w:val="Padro"/>
        <w:spacing w:line="240" w:lineRule="auto"/>
        <w:ind w:firstLine="1134"/>
        <w:jc w:val="both"/>
        <w:rPr>
          <w:rFonts w:ascii="Arial" w:hAnsi="Arial" w:cs="Arial"/>
          <w:bCs/>
          <w:sz w:val="19"/>
          <w:szCs w:val="19"/>
        </w:rPr>
      </w:pPr>
      <w:r>
        <w:rPr>
          <w:rFonts w:ascii="Arial" w:hAnsi="Arial" w:cs="Arial"/>
          <w:b/>
          <w:sz w:val="19"/>
          <w:szCs w:val="19"/>
        </w:rPr>
        <w:t>6.1- Definição:</w:t>
      </w:r>
      <w:r>
        <w:rPr>
          <w:rFonts w:ascii="Arial" w:hAnsi="Arial" w:cs="Arial"/>
          <w:sz w:val="19"/>
          <w:szCs w:val="19"/>
        </w:rPr>
        <w:t xml:space="preserve"> Dispositivo de drenagem longitudinal construído lateralmente as pistas de rolamento, destinados a interceptar as águas pluviais, que escoando pelo talude ou terrenos marginais podem comprometer a estabilidade dos taludes, a integridade dos pavimentos e a segurança do tráfego, em forma triangular ou semicircular. Elas</w:t>
      </w:r>
      <w:r>
        <w:rPr>
          <w:rFonts w:ascii="Arial" w:hAnsi="Arial" w:cs="Arial"/>
          <w:bCs/>
          <w:sz w:val="19"/>
          <w:szCs w:val="19"/>
        </w:rPr>
        <w:t xml:space="preserve"> têm como objetivo conduzir as águas que se precipitam sobre a plataforma da via e áreas adjacentes ao ponto de captação que normalmente é uma caixa que integra o sistema de drenagem.</w:t>
      </w:r>
    </w:p>
    <w:p w14:paraId="25A7D222" w14:textId="77777777" w:rsidR="00593A8C" w:rsidRDefault="00593A8C" w:rsidP="00593A8C">
      <w:pPr>
        <w:pStyle w:val="Padro"/>
        <w:spacing w:line="240" w:lineRule="auto"/>
        <w:ind w:firstLine="1134"/>
        <w:jc w:val="both"/>
        <w:rPr>
          <w:rFonts w:ascii="Arial" w:hAnsi="Arial" w:cs="Arial"/>
          <w:sz w:val="19"/>
          <w:szCs w:val="19"/>
        </w:rPr>
      </w:pPr>
      <w:r>
        <w:rPr>
          <w:rFonts w:ascii="Arial" w:hAnsi="Arial" w:cs="Arial"/>
          <w:b/>
          <w:sz w:val="19"/>
          <w:szCs w:val="19"/>
        </w:rPr>
        <w:t xml:space="preserve">6.2- Condições gerais: </w:t>
      </w:r>
      <w:r>
        <w:rPr>
          <w:rFonts w:ascii="Arial" w:hAnsi="Arial" w:cs="Arial"/>
          <w:sz w:val="19"/>
          <w:szCs w:val="19"/>
        </w:rPr>
        <w:t>As sarjetas e valetas especificadas referem-se a cortes, aterros e ao terreno natural, marginal à área afetada pela construção, que por ação da erosão poderão ter sua estabilidade comprometida. Deverão seguir os elementos padronizados que constam no Álbum de projetos tipo de dispositivos de drenagem do DNIT, em especial</w:t>
      </w:r>
      <w:r>
        <w:rPr>
          <w:rFonts w:ascii="Arial" w:hAnsi="Arial" w:cs="Arial"/>
          <w:b/>
          <w:sz w:val="19"/>
          <w:szCs w:val="19"/>
        </w:rPr>
        <w:t xml:space="preserve"> sarjeta trapezoidal em concreto tipo SZC02. </w:t>
      </w:r>
      <w:r>
        <w:rPr>
          <w:rFonts w:ascii="Arial" w:hAnsi="Arial" w:cs="Arial"/>
          <w:sz w:val="19"/>
          <w:szCs w:val="19"/>
        </w:rPr>
        <w:t>O</w:t>
      </w:r>
      <w:r>
        <w:rPr>
          <w:rFonts w:ascii="Arial" w:hAnsi="Arial" w:cs="Arial"/>
          <w:b/>
          <w:sz w:val="19"/>
          <w:szCs w:val="19"/>
        </w:rPr>
        <w:t xml:space="preserve"> </w:t>
      </w:r>
      <w:r>
        <w:rPr>
          <w:rFonts w:ascii="Arial" w:hAnsi="Arial" w:cs="Arial"/>
          <w:sz w:val="19"/>
          <w:szCs w:val="19"/>
        </w:rPr>
        <w:t>modelo 02, a base inferior possui 20cm de largura e a base superior 60cm, altura de 20cm e espessura da camada de concreto de 7cm.</w:t>
      </w:r>
    </w:p>
    <w:p w14:paraId="323522DE" w14:textId="77777777" w:rsidR="00593A8C" w:rsidRDefault="00593A8C" w:rsidP="00593A8C">
      <w:pPr>
        <w:pStyle w:val="Padro"/>
        <w:spacing w:line="240" w:lineRule="auto"/>
        <w:ind w:firstLine="1134"/>
        <w:jc w:val="both"/>
        <w:rPr>
          <w:rFonts w:ascii="Arial" w:hAnsi="Arial" w:cs="Arial"/>
          <w:sz w:val="19"/>
          <w:szCs w:val="19"/>
        </w:rPr>
      </w:pPr>
      <w:r>
        <w:rPr>
          <w:rFonts w:ascii="Arial" w:hAnsi="Arial" w:cs="Arial"/>
          <w:b/>
          <w:sz w:val="19"/>
          <w:szCs w:val="19"/>
        </w:rPr>
        <w:t xml:space="preserve">6.3- Materiais: </w:t>
      </w:r>
      <w:r>
        <w:rPr>
          <w:rFonts w:ascii="Arial" w:hAnsi="Arial" w:cs="Arial"/>
          <w:sz w:val="19"/>
          <w:szCs w:val="19"/>
        </w:rPr>
        <w:t>O concreto utilizado para o revestimento do dispositivo deve possuir resistência característica à compressão mínima de fck = 15MPa, aos 28 dias. O concreto deverá ser de acordo com o prescrito na NBR 6118/2014 e disposições das especificações DNER-ES 330/97.</w:t>
      </w:r>
    </w:p>
    <w:p w14:paraId="3B87612F" w14:textId="77777777" w:rsidR="00593A8C" w:rsidRDefault="00593A8C" w:rsidP="00593A8C">
      <w:pPr>
        <w:pStyle w:val="Padro"/>
        <w:spacing w:line="240" w:lineRule="auto"/>
        <w:ind w:firstLine="1134"/>
        <w:jc w:val="both"/>
        <w:rPr>
          <w:rFonts w:ascii="Arial" w:hAnsi="Arial" w:cs="Arial"/>
          <w:sz w:val="19"/>
          <w:szCs w:val="19"/>
        </w:rPr>
      </w:pPr>
      <w:r>
        <w:rPr>
          <w:rFonts w:ascii="Arial" w:hAnsi="Arial" w:cs="Arial"/>
          <w:b/>
          <w:sz w:val="19"/>
          <w:szCs w:val="19"/>
        </w:rPr>
        <w:t>6.4- Procedimento de execução:</w:t>
      </w:r>
      <w:r>
        <w:rPr>
          <w:rFonts w:ascii="Arial" w:hAnsi="Arial" w:cs="Arial"/>
          <w:sz w:val="19"/>
          <w:szCs w:val="19"/>
        </w:rPr>
        <w:t xml:space="preserve"> O preparo e a regularização da superfície de assentamento serão executados com operação manual envolvendo cortes, aterros e acertos, de forma a atingir a geometria projetada para o dispositivo. Os materiais para as camadas preparatórios para o assentamento das sarjetas serão os próprios solos existentes no local, ou mesmo, material excedente da pavimentação. A superfície de assentamento deverá ser compactada de modo a resultar uma base firme e bem desempenada.</w:t>
      </w:r>
    </w:p>
    <w:p w14:paraId="53A82D4D" w14:textId="77777777" w:rsidR="00593A8C" w:rsidRDefault="00593A8C" w:rsidP="00593A8C">
      <w:pPr>
        <w:pStyle w:val="Padro"/>
        <w:spacing w:line="240" w:lineRule="auto"/>
        <w:ind w:firstLine="1134"/>
        <w:jc w:val="both"/>
        <w:rPr>
          <w:rFonts w:ascii="Arial" w:hAnsi="Arial" w:cs="Arial"/>
          <w:sz w:val="19"/>
          <w:szCs w:val="19"/>
        </w:rPr>
      </w:pPr>
      <w:r>
        <w:rPr>
          <w:rFonts w:ascii="Arial" w:hAnsi="Arial" w:cs="Arial"/>
          <w:sz w:val="19"/>
          <w:szCs w:val="19"/>
        </w:rPr>
        <w:t>O serviço de execução das sarjetas deverá ser iniciado após a conclusão dos serviços de pavimentação nas áreas adjacentes, a superfície de assentamento deverá estar firme, compactada e bem desempenada, para execução das sarjetas revestidas em concretos, que serão moldadas “</w:t>
      </w:r>
      <w:r>
        <w:rPr>
          <w:rFonts w:ascii="Arial" w:hAnsi="Arial" w:cs="Arial"/>
          <w:i/>
          <w:sz w:val="19"/>
          <w:szCs w:val="19"/>
        </w:rPr>
        <w:t>in loco</w:t>
      </w:r>
      <w:r>
        <w:rPr>
          <w:rFonts w:ascii="Arial" w:hAnsi="Arial" w:cs="Arial"/>
          <w:sz w:val="19"/>
          <w:szCs w:val="19"/>
        </w:rPr>
        <w:t>”, preferencialmente, através de máquina extrusora.</w:t>
      </w:r>
    </w:p>
    <w:p w14:paraId="75DECC05" w14:textId="77777777" w:rsidR="00593A8C" w:rsidRDefault="00593A8C" w:rsidP="00593A8C">
      <w:pPr>
        <w:pStyle w:val="Padro"/>
        <w:spacing w:line="240" w:lineRule="auto"/>
        <w:ind w:firstLine="1134"/>
        <w:jc w:val="both"/>
        <w:rPr>
          <w:rFonts w:ascii="Arial" w:hAnsi="Arial" w:cs="Arial"/>
          <w:sz w:val="19"/>
          <w:szCs w:val="19"/>
        </w:rPr>
      </w:pPr>
      <w:r>
        <w:rPr>
          <w:rFonts w:ascii="Arial" w:hAnsi="Arial" w:cs="Arial"/>
          <w:sz w:val="19"/>
          <w:szCs w:val="19"/>
        </w:rPr>
        <w:t xml:space="preserve">Os serviços deverão seguir o alinhamento e marcação das cotas, com o auxílio de estacas e linha. Para melhor acabamento podem ser efetuadas pequenas regularizações manuais, e a superfície deve ser mantida úmida e protegida durante o período de cura do concreto. A cada segmento com extensão máxima de 12,0m deverá ser executada uma junta de dilatação, preenchida com argamassa asfáltica. </w:t>
      </w:r>
    </w:p>
    <w:p w14:paraId="7F45CEFA" w14:textId="77777777" w:rsidR="00593A8C" w:rsidRDefault="00593A8C" w:rsidP="00593A8C">
      <w:pPr>
        <w:pStyle w:val="Padro"/>
        <w:spacing w:line="240" w:lineRule="auto"/>
        <w:ind w:firstLine="1134"/>
        <w:jc w:val="both"/>
        <w:rPr>
          <w:rFonts w:ascii="Arial" w:hAnsi="Arial" w:cs="Arial"/>
          <w:sz w:val="19"/>
          <w:szCs w:val="19"/>
        </w:rPr>
      </w:pPr>
      <w:r>
        <w:rPr>
          <w:rFonts w:ascii="Arial" w:hAnsi="Arial" w:cs="Arial"/>
          <w:b/>
          <w:sz w:val="19"/>
          <w:szCs w:val="19"/>
        </w:rPr>
        <w:t>6.5- Controle tecnológico:</w:t>
      </w:r>
      <w:r>
        <w:rPr>
          <w:rFonts w:ascii="Arial" w:hAnsi="Arial" w:cs="Arial"/>
          <w:sz w:val="19"/>
          <w:szCs w:val="19"/>
        </w:rPr>
        <w:t xml:space="preserve"> Todos os materiais e serviços deverão atender integralmente às especificações em vigor, para a aceitação da obra, os serviços considerados deverão possuir acabamento satisfatório, as seções transversais e as espessuras respeitarem as dimensões de projeto, e a resistência à compressão simples do concreto obedecida.</w:t>
      </w:r>
    </w:p>
    <w:p w14:paraId="34225411" w14:textId="77777777" w:rsidR="00593A8C" w:rsidRDefault="00593A8C" w:rsidP="00593A8C">
      <w:pPr>
        <w:pStyle w:val="Padro"/>
        <w:spacing w:line="240" w:lineRule="auto"/>
        <w:ind w:firstLine="1134"/>
        <w:jc w:val="both"/>
        <w:rPr>
          <w:rFonts w:ascii="Arial" w:hAnsi="Arial" w:cs="Arial"/>
          <w:sz w:val="19"/>
          <w:szCs w:val="19"/>
        </w:rPr>
      </w:pPr>
      <w:r>
        <w:rPr>
          <w:rFonts w:ascii="Arial" w:hAnsi="Arial" w:cs="Arial"/>
          <w:sz w:val="19"/>
          <w:szCs w:val="19"/>
        </w:rPr>
        <w:t>O controle tecnológico do concreto empregado será realizado de acordo com as normas NBR 12655/2015 e DNER-ES 330/97.</w:t>
      </w:r>
    </w:p>
    <w:p w14:paraId="23FFE4C6" w14:textId="77777777" w:rsidR="00593A8C" w:rsidRDefault="00593A8C" w:rsidP="00593A8C">
      <w:pPr>
        <w:pStyle w:val="Padro"/>
        <w:spacing w:line="240" w:lineRule="auto"/>
        <w:ind w:firstLine="1134"/>
        <w:jc w:val="both"/>
        <w:rPr>
          <w:rFonts w:ascii="Arial" w:hAnsi="Arial" w:cs="Arial"/>
          <w:sz w:val="19"/>
          <w:szCs w:val="19"/>
        </w:rPr>
      </w:pPr>
      <w:r>
        <w:rPr>
          <w:rFonts w:ascii="Arial" w:hAnsi="Arial" w:cs="Arial"/>
          <w:sz w:val="19"/>
          <w:szCs w:val="19"/>
        </w:rPr>
        <w:t>O controle geométrico da execução será por meio de levantamentos topográficos, auxiliados por gabaritos para execução das canalizações e acessórios.</w:t>
      </w:r>
    </w:p>
    <w:p w14:paraId="2AF8362E" w14:textId="77777777" w:rsidR="00593A8C" w:rsidRDefault="00593A8C" w:rsidP="00593A8C">
      <w:pPr>
        <w:pStyle w:val="Padro"/>
        <w:spacing w:line="240" w:lineRule="auto"/>
        <w:ind w:firstLine="1134"/>
        <w:jc w:val="both"/>
        <w:rPr>
          <w:rFonts w:ascii="Arial" w:hAnsi="Arial" w:cs="Arial"/>
          <w:sz w:val="19"/>
          <w:szCs w:val="19"/>
        </w:rPr>
      </w:pPr>
      <w:r>
        <w:rPr>
          <w:rFonts w:ascii="Arial" w:hAnsi="Arial" w:cs="Arial"/>
          <w:sz w:val="19"/>
          <w:szCs w:val="19"/>
        </w:rPr>
        <w:t>O controle de acabamento qualitativo será de forma visual, avaliando-se as características para garantir que não ocorra prejuízo à opção hidráulica. Da mesma forma, será feito o acompanhamento das camadas de embasamento e enchimento das valas.</w:t>
      </w:r>
    </w:p>
    <w:p w14:paraId="0F4349AC" w14:textId="77777777" w:rsidR="00593A8C" w:rsidRDefault="00593A8C" w:rsidP="00593A8C">
      <w:pPr>
        <w:pStyle w:val="Padro"/>
        <w:spacing w:line="240" w:lineRule="auto"/>
        <w:ind w:firstLine="1134"/>
        <w:jc w:val="both"/>
        <w:rPr>
          <w:rFonts w:ascii="Arial" w:hAnsi="Arial" w:cs="Arial"/>
          <w:sz w:val="19"/>
          <w:szCs w:val="19"/>
        </w:rPr>
      </w:pPr>
      <w:r>
        <w:rPr>
          <w:rFonts w:ascii="Arial" w:hAnsi="Arial" w:cs="Arial"/>
          <w:b/>
          <w:sz w:val="19"/>
          <w:szCs w:val="19"/>
        </w:rPr>
        <w:t xml:space="preserve">6.6- Medição: </w:t>
      </w:r>
      <w:r>
        <w:rPr>
          <w:rFonts w:ascii="Arial" w:hAnsi="Arial" w:cs="Arial"/>
          <w:sz w:val="19"/>
          <w:szCs w:val="19"/>
        </w:rPr>
        <w:t xml:space="preserve">As sarjetas serão medidas pelo seu comprimento, determinado em metros, incluindo fornecimento de material, mão de obra e encargos sociais, equipamentos e ferramentas, limpeza do local e eventuais acabamentos extras.   </w:t>
      </w:r>
    </w:p>
    <w:p w14:paraId="236DFF7D" w14:textId="77777777" w:rsidR="00593A8C" w:rsidRDefault="00593A8C" w:rsidP="00593A8C">
      <w:pPr>
        <w:pStyle w:val="Padro"/>
        <w:spacing w:line="240" w:lineRule="auto"/>
        <w:ind w:firstLine="1134"/>
        <w:jc w:val="both"/>
        <w:rPr>
          <w:rFonts w:ascii="Arial" w:hAnsi="Arial" w:cs="Arial"/>
          <w:b/>
          <w:sz w:val="19"/>
          <w:szCs w:val="19"/>
        </w:rPr>
      </w:pPr>
      <w:r>
        <w:rPr>
          <w:rFonts w:ascii="Arial" w:hAnsi="Arial" w:cs="Arial"/>
          <w:sz w:val="19"/>
          <w:szCs w:val="19"/>
        </w:rPr>
        <w:t>No caso de necessidade de utilização de dispositivos pontuais e acessórios, como caixas coletoras ou de passagem, as obras serão, provavelmente, executadas pelos servidores da Secretaria de Obras. Em casos especiais que a contratada seja autorizada a executar, será elaborada uma medição especifica para o elemento extra</w:t>
      </w:r>
      <w:r>
        <w:rPr>
          <w:rFonts w:ascii="Arial" w:hAnsi="Arial" w:cs="Arial"/>
          <w:b/>
          <w:sz w:val="19"/>
          <w:szCs w:val="19"/>
        </w:rPr>
        <w:t>.</w:t>
      </w:r>
    </w:p>
    <w:p w14:paraId="4DEF1422" w14:textId="77777777" w:rsidR="00593A8C" w:rsidRDefault="00593A8C" w:rsidP="00593A8C">
      <w:pPr>
        <w:pStyle w:val="Padro"/>
        <w:spacing w:line="240" w:lineRule="auto"/>
        <w:ind w:firstLine="1134"/>
        <w:jc w:val="both"/>
        <w:rPr>
          <w:rFonts w:ascii="Arial" w:hAnsi="Arial" w:cs="Arial"/>
          <w:b/>
          <w:sz w:val="19"/>
          <w:szCs w:val="19"/>
        </w:rPr>
      </w:pPr>
    </w:p>
    <w:p w14:paraId="67E43F41" w14:textId="77777777" w:rsidR="00593A8C" w:rsidRDefault="00593A8C" w:rsidP="00593A8C">
      <w:pPr>
        <w:pStyle w:val="PargrafodaLista"/>
        <w:widowControl/>
        <w:numPr>
          <w:ilvl w:val="0"/>
          <w:numId w:val="1"/>
        </w:numPr>
        <w:tabs>
          <w:tab w:val="left" w:pos="708"/>
        </w:tabs>
        <w:suppressAutoHyphens/>
        <w:autoSpaceDE/>
        <w:ind w:left="0" w:firstLine="1134"/>
        <w:jc w:val="left"/>
        <w:rPr>
          <w:b/>
          <w:sz w:val="19"/>
          <w:szCs w:val="19"/>
        </w:rPr>
      </w:pPr>
      <w:r>
        <w:rPr>
          <w:b/>
          <w:sz w:val="19"/>
          <w:szCs w:val="19"/>
        </w:rPr>
        <w:t xml:space="preserve">CONSIDERAÇÕES FINAIS </w:t>
      </w:r>
    </w:p>
    <w:p w14:paraId="3A5B97D3" w14:textId="77777777" w:rsidR="00593A8C" w:rsidRDefault="00593A8C" w:rsidP="00593A8C">
      <w:pPr>
        <w:pStyle w:val="Padro"/>
        <w:spacing w:line="240" w:lineRule="auto"/>
        <w:ind w:firstLine="1134"/>
        <w:jc w:val="both"/>
        <w:rPr>
          <w:rFonts w:ascii="Arial" w:hAnsi="Arial" w:cs="Arial"/>
          <w:sz w:val="19"/>
          <w:szCs w:val="19"/>
        </w:rPr>
      </w:pPr>
      <w:r>
        <w:rPr>
          <w:rFonts w:ascii="Arial" w:hAnsi="Arial" w:cs="Arial"/>
          <w:sz w:val="19"/>
          <w:szCs w:val="19"/>
        </w:rPr>
        <w:t xml:space="preserve">Após a conclusão dos serviços, a empresa deverá deixar o local da obra perfeitamente limpo. Todos os serviços, mão de obra e materiais devem apresentar uma boa qualidade e devem estar em </w:t>
      </w:r>
      <w:r>
        <w:rPr>
          <w:rFonts w:ascii="Arial" w:hAnsi="Arial" w:cs="Arial"/>
          <w:sz w:val="19"/>
          <w:szCs w:val="19"/>
        </w:rPr>
        <w:lastRenderedPageBreak/>
        <w:t>conformidade com suas referidas normas. As dúvidas em relação aos serviços e/ou projeto deverão ser acertadas antes do início da obra com o responsável pela fiscalização.</w:t>
      </w:r>
    </w:p>
    <w:p w14:paraId="66DC531D" w14:textId="77777777" w:rsidR="00593A8C" w:rsidRDefault="00593A8C" w:rsidP="00593A8C">
      <w:pPr>
        <w:pStyle w:val="Padro"/>
        <w:spacing w:line="240" w:lineRule="auto"/>
        <w:ind w:firstLine="1134"/>
        <w:jc w:val="both"/>
        <w:rPr>
          <w:rFonts w:ascii="Arial" w:hAnsi="Arial" w:cs="Arial"/>
          <w:sz w:val="19"/>
          <w:szCs w:val="19"/>
        </w:rPr>
      </w:pPr>
      <w:r>
        <w:rPr>
          <w:rFonts w:ascii="Arial" w:hAnsi="Arial" w:cs="Arial"/>
          <w:sz w:val="19"/>
          <w:szCs w:val="19"/>
        </w:rPr>
        <w:t>A garantia da obra será conforme o código civil. A fiscalização não exime a empresa contratada de sua responsabilidade civil e penal sobre a totalidade da obra ou sobre terceiros em virtude da mão de obra, materiais, equipamentos e dispositivos ou outros elementos aplicados à obra ou serviço contratado.</w:t>
      </w:r>
    </w:p>
    <w:p w14:paraId="2D6D7B18" w14:textId="77777777" w:rsidR="00593A8C" w:rsidRDefault="00593A8C" w:rsidP="00593A8C">
      <w:pPr>
        <w:pStyle w:val="Padro"/>
        <w:tabs>
          <w:tab w:val="left" w:pos="0"/>
        </w:tabs>
        <w:spacing w:line="240" w:lineRule="auto"/>
        <w:ind w:firstLine="1134"/>
        <w:jc w:val="both"/>
        <w:rPr>
          <w:rFonts w:ascii="Arial" w:hAnsi="Arial" w:cs="Arial"/>
          <w:sz w:val="19"/>
          <w:szCs w:val="19"/>
        </w:rPr>
      </w:pPr>
    </w:p>
    <w:p w14:paraId="5C180F59" w14:textId="77777777" w:rsidR="00593A8C" w:rsidRDefault="00593A8C" w:rsidP="00593A8C">
      <w:pPr>
        <w:ind w:firstLine="1134"/>
        <w:jc w:val="both"/>
        <w:rPr>
          <w:rFonts w:ascii="Arial" w:hAnsi="Arial" w:cs="Arial"/>
          <w:b/>
          <w:sz w:val="19"/>
          <w:szCs w:val="19"/>
        </w:rPr>
      </w:pPr>
      <w:r>
        <w:rPr>
          <w:rFonts w:ascii="Arial" w:hAnsi="Arial" w:cs="Arial"/>
          <w:b/>
          <w:sz w:val="19"/>
          <w:szCs w:val="19"/>
        </w:rPr>
        <w:t>CLÁUSULA TERCEIRA – DAS QUANTIDADES E PREÇOS REGISTRADOS</w:t>
      </w:r>
    </w:p>
    <w:p w14:paraId="2211BC0D" w14:textId="77777777" w:rsidR="00593A8C" w:rsidRDefault="00593A8C" w:rsidP="00593A8C">
      <w:pPr>
        <w:ind w:firstLine="1134"/>
        <w:jc w:val="both"/>
        <w:rPr>
          <w:rFonts w:ascii="Arial" w:hAnsi="Arial" w:cs="Arial"/>
          <w:sz w:val="19"/>
          <w:szCs w:val="19"/>
        </w:rPr>
      </w:pPr>
    </w:p>
    <w:p w14:paraId="1D67F5B9" w14:textId="77777777" w:rsidR="00593A8C" w:rsidRDefault="00593A8C" w:rsidP="00593A8C">
      <w:pPr>
        <w:ind w:firstLine="1134"/>
        <w:jc w:val="both"/>
        <w:rPr>
          <w:rFonts w:ascii="Arial" w:hAnsi="Arial" w:cs="Arial"/>
          <w:sz w:val="19"/>
          <w:szCs w:val="19"/>
        </w:rPr>
      </w:pPr>
      <w:r>
        <w:rPr>
          <w:rFonts w:ascii="Arial" w:hAnsi="Arial" w:cs="Arial"/>
          <w:sz w:val="19"/>
          <w:szCs w:val="19"/>
        </w:rPr>
        <w:t>Os preços registrados nesta ATA constam na ata de abertura e da proposta da empresa registrada, que é parte integrante desta ata. As Quantidades máximas possíveis para aquisição e os valores registrados são conforme planilha abaixo:</w:t>
      </w:r>
    </w:p>
    <w:p w14:paraId="384A7A1F" w14:textId="77777777" w:rsidR="00593A8C" w:rsidRDefault="00593A8C" w:rsidP="00593A8C">
      <w:pPr>
        <w:ind w:firstLine="1134"/>
        <w:jc w:val="both"/>
        <w:rPr>
          <w:rFonts w:ascii="Arial" w:hAnsi="Arial" w:cs="Arial"/>
          <w:sz w:val="19"/>
          <w:szCs w:val="19"/>
        </w:rPr>
      </w:pPr>
    </w:p>
    <w:tbl>
      <w:tblPr>
        <w:tblW w:w="10200" w:type="dxa"/>
        <w:tblInd w:w="-49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4A0" w:firstRow="1" w:lastRow="0" w:firstColumn="1" w:lastColumn="0" w:noHBand="0" w:noVBand="1"/>
      </w:tblPr>
      <w:tblGrid>
        <w:gridCol w:w="709"/>
        <w:gridCol w:w="4958"/>
        <w:gridCol w:w="2550"/>
        <w:gridCol w:w="1983"/>
      </w:tblGrid>
      <w:tr w:rsidR="00593A8C" w14:paraId="1111667D" w14:textId="77777777" w:rsidTr="00593A8C">
        <w:trPr>
          <w:cantSplit/>
        </w:trPr>
        <w:tc>
          <w:tcPr>
            <w:tcW w:w="709" w:type="dxa"/>
            <w:tcBorders>
              <w:top w:val="single" w:sz="6" w:space="0" w:color="000000"/>
              <w:left w:val="single" w:sz="6" w:space="0" w:color="000000"/>
              <w:bottom w:val="single" w:sz="6" w:space="0" w:color="000000"/>
              <w:right w:val="single" w:sz="6" w:space="0" w:color="000000"/>
            </w:tcBorders>
            <w:hideMark/>
          </w:tcPr>
          <w:p w14:paraId="1C3BCEC8" w14:textId="77777777" w:rsidR="00593A8C" w:rsidRDefault="00593A8C">
            <w:pPr>
              <w:spacing w:line="360" w:lineRule="auto"/>
              <w:jc w:val="center"/>
              <w:rPr>
                <w:rFonts w:ascii="Arial" w:hAnsi="Arial" w:cs="Arial"/>
                <w:b/>
                <w:sz w:val="19"/>
                <w:szCs w:val="19"/>
              </w:rPr>
            </w:pPr>
            <w:r>
              <w:rPr>
                <w:rFonts w:ascii="Arial" w:hAnsi="Arial" w:cs="Arial"/>
                <w:b/>
                <w:sz w:val="19"/>
                <w:szCs w:val="19"/>
              </w:rPr>
              <w:t>Item</w:t>
            </w:r>
          </w:p>
        </w:tc>
        <w:tc>
          <w:tcPr>
            <w:tcW w:w="4961" w:type="dxa"/>
            <w:tcBorders>
              <w:top w:val="single" w:sz="6" w:space="0" w:color="000000"/>
              <w:left w:val="single" w:sz="6" w:space="0" w:color="000000"/>
              <w:bottom w:val="single" w:sz="6" w:space="0" w:color="000000"/>
              <w:right w:val="single" w:sz="6" w:space="0" w:color="000000"/>
            </w:tcBorders>
            <w:hideMark/>
          </w:tcPr>
          <w:p w14:paraId="3D788820" w14:textId="77777777" w:rsidR="00593A8C" w:rsidRDefault="00593A8C">
            <w:pPr>
              <w:jc w:val="center"/>
              <w:rPr>
                <w:rFonts w:ascii="Arial" w:hAnsi="Arial" w:cs="Arial"/>
                <w:b/>
                <w:sz w:val="19"/>
                <w:szCs w:val="19"/>
              </w:rPr>
            </w:pPr>
            <w:r>
              <w:rPr>
                <w:rFonts w:ascii="Arial" w:hAnsi="Arial" w:cs="Arial"/>
                <w:b/>
                <w:sz w:val="19"/>
                <w:szCs w:val="19"/>
              </w:rPr>
              <w:t>Descrição</w:t>
            </w:r>
          </w:p>
        </w:tc>
        <w:tc>
          <w:tcPr>
            <w:tcW w:w="2552" w:type="dxa"/>
            <w:tcBorders>
              <w:top w:val="single" w:sz="6" w:space="0" w:color="000000"/>
              <w:left w:val="single" w:sz="6" w:space="0" w:color="000000"/>
              <w:bottom w:val="single" w:sz="6" w:space="0" w:color="000000"/>
              <w:right w:val="single" w:sz="6" w:space="0" w:color="000000"/>
            </w:tcBorders>
            <w:hideMark/>
          </w:tcPr>
          <w:p w14:paraId="540B19AD" w14:textId="77777777" w:rsidR="00593A8C" w:rsidRDefault="00593A8C">
            <w:pPr>
              <w:spacing w:line="360" w:lineRule="auto"/>
              <w:jc w:val="center"/>
              <w:rPr>
                <w:rFonts w:ascii="Arial" w:hAnsi="Arial" w:cs="Arial"/>
                <w:b/>
                <w:sz w:val="19"/>
                <w:szCs w:val="19"/>
              </w:rPr>
            </w:pPr>
            <w:r>
              <w:rPr>
                <w:rFonts w:ascii="Arial" w:hAnsi="Arial" w:cs="Arial"/>
                <w:b/>
                <w:sz w:val="19"/>
                <w:szCs w:val="19"/>
              </w:rPr>
              <w:t>Quantidade máxima possível de ser adquirida</w:t>
            </w:r>
          </w:p>
        </w:tc>
        <w:tc>
          <w:tcPr>
            <w:tcW w:w="1984" w:type="dxa"/>
            <w:tcBorders>
              <w:top w:val="single" w:sz="6" w:space="0" w:color="000000"/>
              <w:left w:val="single" w:sz="6" w:space="0" w:color="000000"/>
              <w:bottom w:val="single" w:sz="6" w:space="0" w:color="000000"/>
              <w:right w:val="single" w:sz="6" w:space="0" w:color="000000"/>
            </w:tcBorders>
            <w:hideMark/>
          </w:tcPr>
          <w:p w14:paraId="48E4EAD2" w14:textId="77777777" w:rsidR="00593A8C" w:rsidRDefault="00593A8C">
            <w:pPr>
              <w:spacing w:line="360" w:lineRule="auto"/>
              <w:jc w:val="center"/>
              <w:rPr>
                <w:rFonts w:ascii="Arial" w:hAnsi="Arial" w:cs="Arial"/>
                <w:b/>
                <w:sz w:val="19"/>
                <w:szCs w:val="19"/>
              </w:rPr>
            </w:pPr>
            <w:r>
              <w:rPr>
                <w:rFonts w:ascii="Arial" w:hAnsi="Arial" w:cs="Arial"/>
                <w:b/>
                <w:sz w:val="19"/>
                <w:szCs w:val="19"/>
              </w:rPr>
              <w:t>Valor Registrado</w:t>
            </w:r>
          </w:p>
        </w:tc>
      </w:tr>
      <w:tr w:rsidR="00593A8C" w14:paraId="5EEE4903" w14:textId="77777777" w:rsidTr="00593A8C">
        <w:trPr>
          <w:cantSplit/>
        </w:trPr>
        <w:tc>
          <w:tcPr>
            <w:tcW w:w="709" w:type="dxa"/>
            <w:tcBorders>
              <w:top w:val="single" w:sz="6" w:space="0" w:color="000000"/>
              <w:left w:val="single" w:sz="6" w:space="0" w:color="000000"/>
              <w:bottom w:val="single" w:sz="6" w:space="0" w:color="000000"/>
              <w:right w:val="single" w:sz="6" w:space="0" w:color="000000"/>
            </w:tcBorders>
            <w:hideMark/>
          </w:tcPr>
          <w:p w14:paraId="639587F9" w14:textId="77777777" w:rsidR="00593A8C" w:rsidRDefault="00593A8C">
            <w:pPr>
              <w:spacing w:line="360" w:lineRule="auto"/>
              <w:jc w:val="center"/>
              <w:rPr>
                <w:rFonts w:ascii="Arial" w:hAnsi="Arial" w:cs="Arial"/>
                <w:sz w:val="19"/>
                <w:szCs w:val="19"/>
              </w:rPr>
            </w:pPr>
            <w:r>
              <w:rPr>
                <w:rFonts w:ascii="Arial" w:hAnsi="Arial" w:cs="Arial"/>
                <w:sz w:val="19"/>
                <w:szCs w:val="19"/>
              </w:rPr>
              <w:t>01</w:t>
            </w:r>
          </w:p>
        </w:tc>
        <w:tc>
          <w:tcPr>
            <w:tcW w:w="4961" w:type="dxa"/>
            <w:tcBorders>
              <w:top w:val="single" w:sz="6" w:space="0" w:color="000000"/>
              <w:left w:val="single" w:sz="6" w:space="0" w:color="000000"/>
              <w:bottom w:val="single" w:sz="6" w:space="0" w:color="000000"/>
              <w:right w:val="single" w:sz="6" w:space="0" w:color="000000"/>
            </w:tcBorders>
          </w:tcPr>
          <w:p w14:paraId="7A8E4EFE" w14:textId="77777777" w:rsidR="00593A8C" w:rsidRDefault="00593A8C">
            <w:pPr>
              <w:autoSpaceDE w:val="0"/>
              <w:autoSpaceDN w:val="0"/>
              <w:adjustRightInd w:val="0"/>
              <w:jc w:val="both"/>
              <w:rPr>
                <w:rFonts w:ascii="Arial" w:hAnsi="Arial" w:cs="Arial"/>
                <w:b/>
                <w:bCs/>
                <w:sz w:val="19"/>
                <w:szCs w:val="19"/>
              </w:rPr>
            </w:pPr>
            <w:r>
              <w:rPr>
                <w:rFonts w:ascii="Arial" w:hAnsi="Arial" w:cs="Arial"/>
                <w:b/>
                <w:bCs/>
                <w:sz w:val="19"/>
                <w:szCs w:val="19"/>
              </w:rPr>
              <w:t>IMPRIMAÇÃO</w:t>
            </w:r>
          </w:p>
          <w:p w14:paraId="407969EC" w14:textId="77777777" w:rsidR="00593A8C" w:rsidRDefault="00593A8C">
            <w:pPr>
              <w:autoSpaceDE w:val="0"/>
              <w:autoSpaceDN w:val="0"/>
              <w:adjustRightInd w:val="0"/>
              <w:jc w:val="both"/>
              <w:rPr>
                <w:rFonts w:ascii="Arial" w:hAnsi="Arial" w:cs="Arial"/>
                <w:b/>
                <w:sz w:val="19"/>
                <w:szCs w:val="19"/>
              </w:rPr>
            </w:pPr>
            <w:r>
              <w:rPr>
                <w:rFonts w:ascii="Arial" w:hAnsi="Arial" w:cs="Arial"/>
                <w:sz w:val="19"/>
                <w:szCs w:val="19"/>
              </w:rPr>
              <w:t>EXECUÇÃO DE IMPRIMAÇÃO COM ASFALTO DILUÍDO CM-30, INCLUSIVE APLICAÇÃO E TRANSPORTE.</w:t>
            </w:r>
          </w:p>
          <w:p w14:paraId="0CE1621F" w14:textId="77777777" w:rsidR="00593A8C" w:rsidRDefault="00593A8C">
            <w:pPr>
              <w:jc w:val="both"/>
              <w:rPr>
                <w:rFonts w:ascii="Arial" w:hAnsi="Arial" w:cs="Arial"/>
                <w:b/>
                <w:bCs/>
                <w:sz w:val="19"/>
                <w:szCs w:val="19"/>
              </w:rPr>
            </w:pPr>
          </w:p>
        </w:tc>
        <w:tc>
          <w:tcPr>
            <w:tcW w:w="2552" w:type="dxa"/>
            <w:tcBorders>
              <w:top w:val="single" w:sz="6" w:space="0" w:color="000000"/>
              <w:left w:val="single" w:sz="6" w:space="0" w:color="000000"/>
              <w:bottom w:val="single" w:sz="6" w:space="0" w:color="000000"/>
              <w:right w:val="single" w:sz="6" w:space="0" w:color="000000"/>
            </w:tcBorders>
          </w:tcPr>
          <w:p w14:paraId="3D7DFB81" w14:textId="77777777" w:rsidR="00593A8C" w:rsidRDefault="00593A8C">
            <w:pPr>
              <w:jc w:val="center"/>
              <w:rPr>
                <w:rFonts w:ascii="Arial" w:hAnsi="Arial" w:cs="Arial"/>
                <w:sz w:val="19"/>
                <w:szCs w:val="19"/>
              </w:rPr>
            </w:pPr>
          </w:p>
          <w:p w14:paraId="25265F34" w14:textId="77777777" w:rsidR="00593A8C" w:rsidRDefault="00593A8C">
            <w:pPr>
              <w:jc w:val="center"/>
              <w:rPr>
                <w:rFonts w:ascii="Arial" w:hAnsi="Arial" w:cs="Arial"/>
                <w:sz w:val="19"/>
                <w:szCs w:val="19"/>
              </w:rPr>
            </w:pPr>
            <w:r>
              <w:rPr>
                <w:rFonts w:ascii="Arial" w:hAnsi="Arial" w:cs="Arial"/>
                <w:sz w:val="19"/>
                <w:szCs w:val="19"/>
              </w:rPr>
              <w:t>300.000m²</w:t>
            </w:r>
          </w:p>
        </w:tc>
        <w:tc>
          <w:tcPr>
            <w:tcW w:w="1984" w:type="dxa"/>
            <w:tcBorders>
              <w:top w:val="single" w:sz="6" w:space="0" w:color="000000"/>
              <w:left w:val="single" w:sz="6" w:space="0" w:color="000000"/>
              <w:bottom w:val="single" w:sz="6" w:space="0" w:color="000000"/>
              <w:right w:val="single" w:sz="6" w:space="0" w:color="000000"/>
            </w:tcBorders>
          </w:tcPr>
          <w:p w14:paraId="4C1F117A" w14:textId="0090389E" w:rsidR="00593A8C" w:rsidRDefault="0080771C">
            <w:pPr>
              <w:jc w:val="center"/>
              <w:rPr>
                <w:rFonts w:ascii="Arial" w:hAnsi="Arial" w:cs="Arial"/>
                <w:sz w:val="19"/>
                <w:szCs w:val="19"/>
              </w:rPr>
            </w:pPr>
            <w:r>
              <w:rPr>
                <w:rFonts w:ascii="Arial" w:hAnsi="Arial" w:cs="Arial"/>
                <w:sz w:val="19"/>
                <w:szCs w:val="19"/>
              </w:rPr>
              <w:t>R$ 10,27</w:t>
            </w:r>
          </w:p>
        </w:tc>
      </w:tr>
      <w:tr w:rsidR="00593A8C" w14:paraId="32336D2D" w14:textId="77777777" w:rsidTr="00593A8C">
        <w:trPr>
          <w:cantSplit/>
        </w:trPr>
        <w:tc>
          <w:tcPr>
            <w:tcW w:w="709" w:type="dxa"/>
            <w:tcBorders>
              <w:top w:val="single" w:sz="6" w:space="0" w:color="000000"/>
              <w:left w:val="single" w:sz="6" w:space="0" w:color="000000"/>
              <w:bottom w:val="single" w:sz="6" w:space="0" w:color="000000"/>
              <w:right w:val="single" w:sz="6" w:space="0" w:color="000000"/>
            </w:tcBorders>
            <w:hideMark/>
          </w:tcPr>
          <w:p w14:paraId="7673F42B" w14:textId="77777777" w:rsidR="00593A8C" w:rsidRDefault="00593A8C">
            <w:pPr>
              <w:spacing w:line="360" w:lineRule="auto"/>
              <w:jc w:val="center"/>
              <w:rPr>
                <w:rFonts w:ascii="Arial" w:hAnsi="Arial" w:cs="Arial"/>
                <w:sz w:val="19"/>
                <w:szCs w:val="19"/>
              </w:rPr>
            </w:pPr>
            <w:r>
              <w:rPr>
                <w:rFonts w:ascii="Arial" w:hAnsi="Arial" w:cs="Arial"/>
                <w:sz w:val="19"/>
                <w:szCs w:val="19"/>
              </w:rPr>
              <w:t>02</w:t>
            </w:r>
          </w:p>
        </w:tc>
        <w:tc>
          <w:tcPr>
            <w:tcW w:w="4961" w:type="dxa"/>
            <w:tcBorders>
              <w:top w:val="single" w:sz="6" w:space="0" w:color="000000"/>
              <w:left w:val="single" w:sz="6" w:space="0" w:color="000000"/>
              <w:bottom w:val="single" w:sz="6" w:space="0" w:color="000000"/>
              <w:right w:val="single" w:sz="6" w:space="0" w:color="000000"/>
            </w:tcBorders>
          </w:tcPr>
          <w:p w14:paraId="596B0E08" w14:textId="77777777" w:rsidR="00593A8C" w:rsidRDefault="00593A8C">
            <w:pPr>
              <w:autoSpaceDE w:val="0"/>
              <w:autoSpaceDN w:val="0"/>
              <w:adjustRightInd w:val="0"/>
              <w:jc w:val="both"/>
              <w:rPr>
                <w:rFonts w:ascii="Arial" w:hAnsi="Arial" w:cs="Arial"/>
                <w:b/>
                <w:bCs/>
                <w:sz w:val="19"/>
                <w:szCs w:val="19"/>
              </w:rPr>
            </w:pPr>
            <w:r>
              <w:rPr>
                <w:rFonts w:ascii="Arial" w:hAnsi="Arial" w:cs="Arial"/>
                <w:b/>
                <w:bCs/>
                <w:sz w:val="19"/>
                <w:szCs w:val="19"/>
              </w:rPr>
              <w:t>PINTURA DE LIGAÇÃO</w:t>
            </w:r>
          </w:p>
          <w:p w14:paraId="7B061ED9" w14:textId="77777777" w:rsidR="00593A8C" w:rsidRDefault="00593A8C">
            <w:pPr>
              <w:autoSpaceDE w:val="0"/>
              <w:autoSpaceDN w:val="0"/>
              <w:adjustRightInd w:val="0"/>
              <w:jc w:val="both"/>
              <w:rPr>
                <w:rFonts w:ascii="Arial" w:hAnsi="Arial" w:cs="Arial"/>
                <w:b/>
                <w:sz w:val="19"/>
                <w:szCs w:val="19"/>
              </w:rPr>
            </w:pPr>
            <w:r>
              <w:rPr>
                <w:rFonts w:ascii="Arial" w:hAnsi="Arial" w:cs="Arial"/>
                <w:sz w:val="19"/>
                <w:szCs w:val="19"/>
              </w:rPr>
              <w:t>EXECUÇÃO DE PINTURA DE LIGAÇÃO COM EMULSÃO ASFÁLTICA RR-1C, INCLUSIVE APLICAÇÃO E TRANSPORTE.</w:t>
            </w:r>
          </w:p>
          <w:p w14:paraId="34DA51C9" w14:textId="77777777" w:rsidR="00593A8C" w:rsidRDefault="00593A8C">
            <w:pPr>
              <w:jc w:val="both"/>
              <w:rPr>
                <w:rFonts w:ascii="Arial" w:hAnsi="Arial" w:cs="Arial"/>
                <w:sz w:val="19"/>
                <w:szCs w:val="19"/>
              </w:rPr>
            </w:pPr>
          </w:p>
        </w:tc>
        <w:tc>
          <w:tcPr>
            <w:tcW w:w="2552" w:type="dxa"/>
            <w:tcBorders>
              <w:top w:val="single" w:sz="6" w:space="0" w:color="000000"/>
              <w:left w:val="single" w:sz="6" w:space="0" w:color="000000"/>
              <w:bottom w:val="single" w:sz="6" w:space="0" w:color="000000"/>
              <w:right w:val="single" w:sz="6" w:space="0" w:color="000000"/>
            </w:tcBorders>
          </w:tcPr>
          <w:p w14:paraId="368055AD" w14:textId="77777777" w:rsidR="00593A8C" w:rsidRDefault="00593A8C">
            <w:pPr>
              <w:jc w:val="center"/>
              <w:rPr>
                <w:rFonts w:ascii="Arial" w:hAnsi="Arial" w:cs="Arial"/>
                <w:sz w:val="19"/>
                <w:szCs w:val="19"/>
              </w:rPr>
            </w:pPr>
          </w:p>
          <w:p w14:paraId="74639686" w14:textId="77777777" w:rsidR="00593A8C" w:rsidRDefault="00593A8C">
            <w:pPr>
              <w:jc w:val="center"/>
              <w:rPr>
                <w:rFonts w:ascii="Arial" w:hAnsi="Arial" w:cs="Arial"/>
                <w:sz w:val="19"/>
                <w:szCs w:val="19"/>
              </w:rPr>
            </w:pPr>
            <w:r>
              <w:rPr>
                <w:rFonts w:ascii="Arial" w:hAnsi="Arial" w:cs="Arial"/>
                <w:sz w:val="19"/>
                <w:szCs w:val="19"/>
              </w:rPr>
              <w:t>300.000m²</w:t>
            </w:r>
          </w:p>
        </w:tc>
        <w:tc>
          <w:tcPr>
            <w:tcW w:w="1984" w:type="dxa"/>
            <w:tcBorders>
              <w:top w:val="single" w:sz="6" w:space="0" w:color="000000"/>
              <w:left w:val="single" w:sz="6" w:space="0" w:color="000000"/>
              <w:bottom w:val="single" w:sz="6" w:space="0" w:color="000000"/>
              <w:right w:val="single" w:sz="6" w:space="0" w:color="000000"/>
            </w:tcBorders>
          </w:tcPr>
          <w:p w14:paraId="2B929A3A" w14:textId="32EF4D7A" w:rsidR="00593A8C" w:rsidRDefault="0080771C">
            <w:pPr>
              <w:jc w:val="center"/>
              <w:rPr>
                <w:rFonts w:ascii="Arial" w:hAnsi="Arial" w:cs="Arial"/>
                <w:sz w:val="19"/>
                <w:szCs w:val="19"/>
              </w:rPr>
            </w:pPr>
            <w:r>
              <w:rPr>
                <w:rFonts w:ascii="Arial" w:hAnsi="Arial" w:cs="Arial"/>
                <w:sz w:val="19"/>
                <w:szCs w:val="19"/>
              </w:rPr>
              <w:t>R$ 3,13</w:t>
            </w:r>
          </w:p>
        </w:tc>
      </w:tr>
      <w:tr w:rsidR="00593A8C" w14:paraId="6203AC52" w14:textId="77777777" w:rsidTr="00593A8C">
        <w:trPr>
          <w:cantSplit/>
        </w:trPr>
        <w:tc>
          <w:tcPr>
            <w:tcW w:w="709" w:type="dxa"/>
            <w:tcBorders>
              <w:top w:val="single" w:sz="6" w:space="0" w:color="000000"/>
              <w:left w:val="single" w:sz="6" w:space="0" w:color="000000"/>
              <w:bottom w:val="single" w:sz="6" w:space="0" w:color="000000"/>
              <w:right w:val="single" w:sz="6" w:space="0" w:color="000000"/>
            </w:tcBorders>
            <w:hideMark/>
          </w:tcPr>
          <w:p w14:paraId="79F02379" w14:textId="77777777" w:rsidR="00593A8C" w:rsidRDefault="00593A8C">
            <w:pPr>
              <w:spacing w:line="360" w:lineRule="auto"/>
              <w:jc w:val="center"/>
              <w:rPr>
                <w:rFonts w:ascii="Arial" w:hAnsi="Arial" w:cs="Arial"/>
                <w:sz w:val="19"/>
                <w:szCs w:val="19"/>
              </w:rPr>
            </w:pPr>
            <w:r>
              <w:rPr>
                <w:rFonts w:ascii="Arial" w:hAnsi="Arial" w:cs="Arial"/>
                <w:sz w:val="19"/>
                <w:szCs w:val="19"/>
              </w:rPr>
              <w:t>03</w:t>
            </w:r>
          </w:p>
        </w:tc>
        <w:tc>
          <w:tcPr>
            <w:tcW w:w="4961" w:type="dxa"/>
            <w:tcBorders>
              <w:top w:val="single" w:sz="6" w:space="0" w:color="000000"/>
              <w:left w:val="single" w:sz="6" w:space="0" w:color="000000"/>
              <w:bottom w:val="single" w:sz="6" w:space="0" w:color="000000"/>
              <w:right w:val="single" w:sz="6" w:space="0" w:color="000000"/>
            </w:tcBorders>
          </w:tcPr>
          <w:p w14:paraId="0C8DC7C8" w14:textId="77777777" w:rsidR="00593A8C" w:rsidRDefault="00593A8C">
            <w:pPr>
              <w:autoSpaceDE w:val="0"/>
              <w:autoSpaceDN w:val="0"/>
              <w:adjustRightInd w:val="0"/>
              <w:jc w:val="both"/>
              <w:rPr>
                <w:rFonts w:ascii="Arial" w:hAnsi="Arial" w:cs="Arial"/>
                <w:b/>
                <w:bCs/>
                <w:sz w:val="19"/>
                <w:szCs w:val="19"/>
              </w:rPr>
            </w:pPr>
            <w:r>
              <w:rPr>
                <w:rFonts w:ascii="Arial" w:hAnsi="Arial" w:cs="Arial"/>
                <w:b/>
                <w:bCs/>
                <w:sz w:val="19"/>
                <w:szCs w:val="19"/>
              </w:rPr>
              <w:t>PAVIMENTO ASFÁLTICO</w:t>
            </w:r>
          </w:p>
          <w:p w14:paraId="3635E9A5" w14:textId="77777777" w:rsidR="00593A8C" w:rsidRDefault="00593A8C">
            <w:pPr>
              <w:autoSpaceDE w:val="0"/>
              <w:autoSpaceDN w:val="0"/>
              <w:adjustRightInd w:val="0"/>
              <w:jc w:val="both"/>
              <w:rPr>
                <w:rFonts w:ascii="Arial" w:hAnsi="Arial" w:cs="Arial"/>
                <w:b/>
                <w:sz w:val="19"/>
                <w:szCs w:val="19"/>
              </w:rPr>
            </w:pPr>
            <w:r>
              <w:rPr>
                <w:rFonts w:ascii="Arial" w:hAnsi="Arial" w:cs="Arial"/>
                <w:sz w:val="19"/>
                <w:szCs w:val="19"/>
              </w:rPr>
              <w:t>EXECUÇÃO DE PAVIMENTO COM APLICAÇÃO DE CONCRETO ASFÁLTICO, CAMADA DE ROLAMENTO, PADRÃO DNIT FAIXA C - INCLUSIVE TRANSPORTE.</w:t>
            </w:r>
          </w:p>
          <w:p w14:paraId="4D513C4D" w14:textId="77777777" w:rsidR="00593A8C" w:rsidRDefault="00593A8C">
            <w:pPr>
              <w:jc w:val="both"/>
              <w:rPr>
                <w:rFonts w:ascii="Arial" w:hAnsi="Arial" w:cs="Arial"/>
                <w:b/>
                <w:bCs/>
                <w:sz w:val="19"/>
                <w:szCs w:val="19"/>
              </w:rPr>
            </w:pPr>
          </w:p>
        </w:tc>
        <w:tc>
          <w:tcPr>
            <w:tcW w:w="2552" w:type="dxa"/>
            <w:tcBorders>
              <w:top w:val="single" w:sz="6" w:space="0" w:color="000000"/>
              <w:left w:val="single" w:sz="6" w:space="0" w:color="000000"/>
              <w:bottom w:val="single" w:sz="6" w:space="0" w:color="000000"/>
              <w:right w:val="single" w:sz="6" w:space="0" w:color="000000"/>
            </w:tcBorders>
          </w:tcPr>
          <w:p w14:paraId="40833C40" w14:textId="77777777" w:rsidR="00593A8C" w:rsidRDefault="00593A8C">
            <w:pPr>
              <w:jc w:val="center"/>
              <w:rPr>
                <w:rFonts w:ascii="Arial" w:hAnsi="Arial" w:cs="Arial"/>
                <w:sz w:val="19"/>
                <w:szCs w:val="19"/>
              </w:rPr>
            </w:pPr>
          </w:p>
          <w:p w14:paraId="05AB3AC5" w14:textId="77777777" w:rsidR="00593A8C" w:rsidRDefault="00593A8C">
            <w:pPr>
              <w:jc w:val="center"/>
              <w:rPr>
                <w:rFonts w:ascii="Arial" w:hAnsi="Arial" w:cs="Arial"/>
                <w:sz w:val="19"/>
                <w:szCs w:val="19"/>
              </w:rPr>
            </w:pPr>
            <w:r>
              <w:rPr>
                <w:rFonts w:ascii="Arial" w:hAnsi="Arial" w:cs="Arial"/>
                <w:sz w:val="19"/>
                <w:szCs w:val="19"/>
              </w:rPr>
              <w:t>60.000 toneladas</w:t>
            </w:r>
          </w:p>
        </w:tc>
        <w:tc>
          <w:tcPr>
            <w:tcW w:w="1984" w:type="dxa"/>
            <w:tcBorders>
              <w:top w:val="single" w:sz="6" w:space="0" w:color="000000"/>
              <w:left w:val="single" w:sz="6" w:space="0" w:color="000000"/>
              <w:bottom w:val="single" w:sz="6" w:space="0" w:color="000000"/>
              <w:right w:val="single" w:sz="6" w:space="0" w:color="000000"/>
            </w:tcBorders>
          </w:tcPr>
          <w:p w14:paraId="14FA510A" w14:textId="0175BAAC" w:rsidR="00593A8C" w:rsidRDefault="0080771C">
            <w:pPr>
              <w:jc w:val="center"/>
              <w:rPr>
                <w:rFonts w:ascii="Arial" w:hAnsi="Arial" w:cs="Arial"/>
                <w:sz w:val="19"/>
                <w:szCs w:val="19"/>
              </w:rPr>
            </w:pPr>
            <w:r>
              <w:rPr>
                <w:rFonts w:ascii="Arial" w:hAnsi="Arial" w:cs="Arial"/>
                <w:sz w:val="19"/>
                <w:szCs w:val="19"/>
              </w:rPr>
              <w:t>R$ 717,00</w:t>
            </w:r>
          </w:p>
        </w:tc>
      </w:tr>
      <w:tr w:rsidR="00593A8C" w14:paraId="38E5077C" w14:textId="77777777" w:rsidTr="00593A8C">
        <w:trPr>
          <w:cantSplit/>
        </w:trPr>
        <w:tc>
          <w:tcPr>
            <w:tcW w:w="709" w:type="dxa"/>
            <w:tcBorders>
              <w:top w:val="single" w:sz="6" w:space="0" w:color="000000"/>
              <w:left w:val="single" w:sz="6" w:space="0" w:color="000000"/>
              <w:bottom w:val="single" w:sz="6" w:space="0" w:color="000000"/>
              <w:right w:val="single" w:sz="6" w:space="0" w:color="000000"/>
            </w:tcBorders>
            <w:hideMark/>
          </w:tcPr>
          <w:p w14:paraId="41F6AEC4" w14:textId="77777777" w:rsidR="00593A8C" w:rsidRDefault="00593A8C">
            <w:pPr>
              <w:spacing w:line="360" w:lineRule="auto"/>
              <w:jc w:val="center"/>
              <w:rPr>
                <w:rFonts w:ascii="Arial" w:hAnsi="Arial" w:cs="Arial"/>
                <w:sz w:val="19"/>
                <w:szCs w:val="19"/>
              </w:rPr>
            </w:pPr>
            <w:r>
              <w:rPr>
                <w:rFonts w:ascii="Arial" w:hAnsi="Arial" w:cs="Arial"/>
                <w:sz w:val="19"/>
                <w:szCs w:val="19"/>
              </w:rPr>
              <w:t>04</w:t>
            </w:r>
          </w:p>
        </w:tc>
        <w:tc>
          <w:tcPr>
            <w:tcW w:w="4961" w:type="dxa"/>
            <w:tcBorders>
              <w:top w:val="single" w:sz="6" w:space="0" w:color="000000"/>
              <w:left w:val="single" w:sz="6" w:space="0" w:color="000000"/>
              <w:bottom w:val="single" w:sz="6" w:space="0" w:color="000000"/>
              <w:right w:val="single" w:sz="6" w:space="0" w:color="000000"/>
            </w:tcBorders>
          </w:tcPr>
          <w:p w14:paraId="2F9B5B0A" w14:textId="77777777" w:rsidR="00593A8C" w:rsidRDefault="00593A8C">
            <w:pPr>
              <w:autoSpaceDE w:val="0"/>
              <w:autoSpaceDN w:val="0"/>
              <w:adjustRightInd w:val="0"/>
              <w:jc w:val="both"/>
              <w:rPr>
                <w:rFonts w:ascii="Arial" w:hAnsi="Arial" w:cs="Arial"/>
                <w:b/>
                <w:bCs/>
                <w:sz w:val="19"/>
                <w:szCs w:val="19"/>
              </w:rPr>
            </w:pPr>
            <w:r>
              <w:rPr>
                <w:rFonts w:ascii="Arial" w:hAnsi="Arial" w:cs="Arial"/>
                <w:b/>
                <w:bCs/>
                <w:sz w:val="19"/>
                <w:szCs w:val="19"/>
              </w:rPr>
              <w:t>REPARO ASFÁLTICO</w:t>
            </w:r>
          </w:p>
          <w:p w14:paraId="76004D32" w14:textId="77777777" w:rsidR="00593A8C" w:rsidRDefault="00593A8C">
            <w:pPr>
              <w:autoSpaceDE w:val="0"/>
              <w:autoSpaceDN w:val="0"/>
              <w:adjustRightInd w:val="0"/>
              <w:jc w:val="both"/>
              <w:rPr>
                <w:rFonts w:ascii="Arial" w:hAnsi="Arial" w:cs="Arial"/>
                <w:sz w:val="19"/>
                <w:szCs w:val="19"/>
              </w:rPr>
            </w:pPr>
            <w:r>
              <w:rPr>
                <w:rFonts w:ascii="Arial" w:hAnsi="Arial" w:cs="Arial"/>
                <w:sz w:val="19"/>
                <w:szCs w:val="19"/>
              </w:rPr>
              <w:t>USINAGEM DE CONCRETO ASFÁLTICO COM CAP 50/70, PARA CAMADA DE ROLAMENTO, PADRÃO DNIT FAIXA C, EM USINA DE ASFALTO CONTÍNUA DE 80 TON/H.</w:t>
            </w:r>
          </w:p>
          <w:p w14:paraId="049E6AB5" w14:textId="77777777" w:rsidR="00593A8C" w:rsidRDefault="00593A8C">
            <w:pPr>
              <w:autoSpaceDE w:val="0"/>
              <w:autoSpaceDN w:val="0"/>
              <w:adjustRightInd w:val="0"/>
              <w:jc w:val="both"/>
              <w:rPr>
                <w:rFonts w:ascii="Arial" w:hAnsi="Arial" w:cs="Arial"/>
                <w:b/>
                <w:bCs/>
                <w:sz w:val="19"/>
                <w:szCs w:val="19"/>
              </w:rPr>
            </w:pPr>
          </w:p>
        </w:tc>
        <w:tc>
          <w:tcPr>
            <w:tcW w:w="2552" w:type="dxa"/>
            <w:tcBorders>
              <w:top w:val="single" w:sz="6" w:space="0" w:color="000000"/>
              <w:left w:val="single" w:sz="6" w:space="0" w:color="000000"/>
              <w:bottom w:val="single" w:sz="6" w:space="0" w:color="000000"/>
              <w:right w:val="single" w:sz="6" w:space="0" w:color="000000"/>
            </w:tcBorders>
          </w:tcPr>
          <w:p w14:paraId="4C7058D3" w14:textId="77777777" w:rsidR="00593A8C" w:rsidRDefault="00593A8C">
            <w:pPr>
              <w:jc w:val="center"/>
              <w:rPr>
                <w:rFonts w:ascii="Arial" w:hAnsi="Arial" w:cs="Arial"/>
                <w:sz w:val="19"/>
                <w:szCs w:val="19"/>
              </w:rPr>
            </w:pPr>
          </w:p>
          <w:p w14:paraId="0D0C83E7" w14:textId="77777777" w:rsidR="00593A8C" w:rsidRDefault="00593A8C">
            <w:pPr>
              <w:jc w:val="center"/>
              <w:rPr>
                <w:rFonts w:ascii="Arial" w:hAnsi="Arial" w:cs="Arial"/>
                <w:sz w:val="19"/>
                <w:szCs w:val="19"/>
              </w:rPr>
            </w:pPr>
            <w:r>
              <w:rPr>
                <w:rFonts w:ascii="Arial" w:hAnsi="Arial" w:cs="Arial"/>
                <w:sz w:val="19"/>
                <w:szCs w:val="19"/>
              </w:rPr>
              <w:t>15.000 toneladas</w:t>
            </w:r>
          </w:p>
        </w:tc>
        <w:tc>
          <w:tcPr>
            <w:tcW w:w="1984" w:type="dxa"/>
            <w:tcBorders>
              <w:top w:val="single" w:sz="6" w:space="0" w:color="000000"/>
              <w:left w:val="single" w:sz="6" w:space="0" w:color="000000"/>
              <w:bottom w:val="single" w:sz="6" w:space="0" w:color="000000"/>
              <w:right w:val="single" w:sz="6" w:space="0" w:color="000000"/>
            </w:tcBorders>
          </w:tcPr>
          <w:p w14:paraId="342CE1F3" w14:textId="5C43CA8C" w:rsidR="00593A8C" w:rsidRDefault="0080771C">
            <w:pPr>
              <w:jc w:val="center"/>
              <w:rPr>
                <w:rFonts w:ascii="Arial" w:hAnsi="Arial" w:cs="Arial"/>
                <w:sz w:val="19"/>
                <w:szCs w:val="19"/>
              </w:rPr>
            </w:pPr>
            <w:r>
              <w:rPr>
                <w:rFonts w:ascii="Arial" w:hAnsi="Arial" w:cs="Arial"/>
                <w:sz w:val="19"/>
                <w:szCs w:val="19"/>
              </w:rPr>
              <w:t>R$ 583,31</w:t>
            </w:r>
          </w:p>
        </w:tc>
      </w:tr>
      <w:tr w:rsidR="00593A8C" w14:paraId="798E7EFF" w14:textId="77777777" w:rsidTr="00593A8C">
        <w:trPr>
          <w:cantSplit/>
        </w:trPr>
        <w:tc>
          <w:tcPr>
            <w:tcW w:w="709" w:type="dxa"/>
            <w:tcBorders>
              <w:top w:val="single" w:sz="6" w:space="0" w:color="000000"/>
              <w:left w:val="single" w:sz="6" w:space="0" w:color="000000"/>
              <w:bottom w:val="single" w:sz="6" w:space="0" w:color="000000"/>
              <w:right w:val="single" w:sz="6" w:space="0" w:color="000000"/>
            </w:tcBorders>
            <w:hideMark/>
          </w:tcPr>
          <w:p w14:paraId="455D0294" w14:textId="77777777" w:rsidR="00593A8C" w:rsidRDefault="00593A8C">
            <w:pPr>
              <w:spacing w:line="360" w:lineRule="auto"/>
              <w:jc w:val="center"/>
              <w:rPr>
                <w:rFonts w:ascii="Arial" w:hAnsi="Arial" w:cs="Arial"/>
                <w:sz w:val="19"/>
                <w:szCs w:val="19"/>
              </w:rPr>
            </w:pPr>
            <w:r>
              <w:rPr>
                <w:rFonts w:ascii="Arial" w:hAnsi="Arial" w:cs="Arial"/>
                <w:sz w:val="19"/>
                <w:szCs w:val="19"/>
              </w:rPr>
              <w:t>05</w:t>
            </w:r>
          </w:p>
        </w:tc>
        <w:tc>
          <w:tcPr>
            <w:tcW w:w="4961" w:type="dxa"/>
            <w:tcBorders>
              <w:top w:val="single" w:sz="6" w:space="0" w:color="000000"/>
              <w:left w:val="single" w:sz="6" w:space="0" w:color="000000"/>
              <w:bottom w:val="single" w:sz="6" w:space="0" w:color="000000"/>
              <w:right w:val="single" w:sz="6" w:space="0" w:color="000000"/>
            </w:tcBorders>
          </w:tcPr>
          <w:p w14:paraId="1C38BC23" w14:textId="77777777" w:rsidR="00593A8C" w:rsidRDefault="00593A8C">
            <w:pPr>
              <w:autoSpaceDE w:val="0"/>
              <w:autoSpaceDN w:val="0"/>
              <w:adjustRightInd w:val="0"/>
              <w:jc w:val="both"/>
              <w:rPr>
                <w:rFonts w:ascii="Arial" w:hAnsi="Arial" w:cs="Arial"/>
                <w:b/>
                <w:bCs/>
                <w:sz w:val="19"/>
                <w:szCs w:val="19"/>
              </w:rPr>
            </w:pPr>
            <w:r>
              <w:rPr>
                <w:rFonts w:ascii="Arial" w:hAnsi="Arial" w:cs="Arial"/>
                <w:b/>
                <w:bCs/>
                <w:sz w:val="19"/>
                <w:szCs w:val="19"/>
              </w:rPr>
              <w:t>SARJETA SZC02</w:t>
            </w:r>
          </w:p>
          <w:p w14:paraId="4796526C" w14:textId="77777777" w:rsidR="00593A8C" w:rsidRDefault="00593A8C">
            <w:pPr>
              <w:autoSpaceDE w:val="0"/>
              <w:autoSpaceDN w:val="0"/>
              <w:adjustRightInd w:val="0"/>
              <w:jc w:val="both"/>
              <w:rPr>
                <w:rFonts w:ascii="Arial" w:hAnsi="Arial" w:cs="Arial"/>
                <w:sz w:val="19"/>
                <w:szCs w:val="19"/>
              </w:rPr>
            </w:pPr>
            <w:r>
              <w:rPr>
                <w:rFonts w:ascii="Arial" w:hAnsi="Arial" w:cs="Arial"/>
                <w:sz w:val="19"/>
                <w:szCs w:val="19"/>
              </w:rPr>
              <w:t>Sarjeta trapezoidal de concreto - SZC 02 moldada no local com extrusora e concreto usinado - areia e brita comerciais.</w:t>
            </w:r>
          </w:p>
          <w:p w14:paraId="6CE4CC8D" w14:textId="77777777" w:rsidR="00593A8C" w:rsidRDefault="00593A8C">
            <w:pPr>
              <w:autoSpaceDE w:val="0"/>
              <w:autoSpaceDN w:val="0"/>
              <w:adjustRightInd w:val="0"/>
              <w:jc w:val="both"/>
              <w:rPr>
                <w:rFonts w:ascii="Arial" w:hAnsi="Arial" w:cs="Arial"/>
                <w:b/>
                <w:bCs/>
                <w:sz w:val="19"/>
                <w:szCs w:val="19"/>
              </w:rPr>
            </w:pPr>
          </w:p>
        </w:tc>
        <w:tc>
          <w:tcPr>
            <w:tcW w:w="2552" w:type="dxa"/>
            <w:tcBorders>
              <w:top w:val="single" w:sz="6" w:space="0" w:color="000000"/>
              <w:left w:val="single" w:sz="6" w:space="0" w:color="000000"/>
              <w:bottom w:val="single" w:sz="6" w:space="0" w:color="000000"/>
              <w:right w:val="single" w:sz="6" w:space="0" w:color="000000"/>
            </w:tcBorders>
          </w:tcPr>
          <w:p w14:paraId="20883CD4" w14:textId="77777777" w:rsidR="00593A8C" w:rsidRDefault="00593A8C">
            <w:pPr>
              <w:jc w:val="center"/>
              <w:rPr>
                <w:rFonts w:ascii="Arial" w:hAnsi="Arial" w:cs="Arial"/>
                <w:sz w:val="19"/>
                <w:szCs w:val="19"/>
              </w:rPr>
            </w:pPr>
          </w:p>
          <w:p w14:paraId="25925162" w14:textId="77777777" w:rsidR="00593A8C" w:rsidRDefault="00593A8C">
            <w:pPr>
              <w:jc w:val="center"/>
              <w:rPr>
                <w:rFonts w:ascii="Arial" w:hAnsi="Arial" w:cs="Arial"/>
                <w:sz w:val="19"/>
                <w:szCs w:val="19"/>
              </w:rPr>
            </w:pPr>
            <w:r>
              <w:rPr>
                <w:rFonts w:ascii="Arial" w:hAnsi="Arial" w:cs="Arial"/>
                <w:sz w:val="19"/>
                <w:szCs w:val="19"/>
              </w:rPr>
              <w:t>100.000 metros</w:t>
            </w:r>
          </w:p>
        </w:tc>
        <w:tc>
          <w:tcPr>
            <w:tcW w:w="1984" w:type="dxa"/>
            <w:tcBorders>
              <w:top w:val="single" w:sz="6" w:space="0" w:color="000000"/>
              <w:left w:val="single" w:sz="6" w:space="0" w:color="000000"/>
              <w:bottom w:val="single" w:sz="6" w:space="0" w:color="000000"/>
              <w:right w:val="single" w:sz="6" w:space="0" w:color="000000"/>
            </w:tcBorders>
          </w:tcPr>
          <w:p w14:paraId="7948D133" w14:textId="002C4A6D" w:rsidR="00593A8C" w:rsidRDefault="0080771C">
            <w:pPr>
              <w:jc w:val="center"/>
              <w:rPr>
                <w:rFonts w:ascii="Arial" w:hAnsi="Arial" w:cs="Arial"/>
                <w:sz w:val="19"/>
                <w:szCs w:val="19"/>
              </w:rPr>
            </w:pPr>
            <w:r>
              <w:rPr>
                <w:rFonts w:ascii="Arial" w:hAnsi="Arial" w:cs="Arial"/>
                <w:sz w:val="19"/>
                <w:szCs w:val="19"/>
              </w:rPr>
              <w:t>R$ 87,96</w:t>
            </w:r>
          </w:p>
        </w:tc>
      </w:tr>
    </w:tbl>
    <w:p w14:paraId="6AAAE502" w14:textId="77777777" w:rsidR="00593A8C" w:rsidRDefault="00593A8C" w:rsidP="00593A8C">
      <w:pPr>
        <w:ind w:firstLine="1134"/>
        <w:jc w:val="both"/>
        <w:rPr>
          <w:rFonts w:ascii="Arial" w:hAnsi="Arial" w:cs="Arial"/>
          <w:sz w:val="19"/>
          <w:szCs w:val="19"/>
        </w:rPr>
      </w:pPr>
    </w:p>
    <w:p w14:paraId="39207EFB" w14:textId="77777777" w:rsidR="00593A8C" w:rsidRDefault="00593A8C" w:rsidP="00593A8C">
      <w:pPr>
        <w:ind w:firstLine="1134"/>
        <w:jc w:val="both"/>
        <w:rPr>
          <w:rFonts w:ascii="Arial" w:hAnsi="Arial" w:cs="Arial"/>
          <w:b/>
          <w:sz w:val="19"/>
          <w:szCs w:val="19"/>
        </w:rPr>
      </w:pPr>
      <w:r>
        <w:rPr>
          <w:rFonts w:ascii="Arial" w:hAnsi="Arial" w:cs="Arial"/>
          <w:b/>
          <w:sz w:val="19"/>
          <w:szCs w:val="19"/>
        </w:rPr>
        <w:t>CLÁUSULA QUARTA – DA ORDEM DE INÍCIO DA OBRA</w:t>
      </w:r>
    </w:p>
    <w:p w14:paraId="2EB42353" w14:textId="77777777" w:rsidR="00593A8C" w:rsidRDefault="00593A8C" w:rsidP="00593A8C">
      <w:pPr>
        <w:ind w:firstLine="1134"/>
        <w:jc w:val="both"/>
        <w:rPr>
          <w:rFonts w:ascii="Arial" w:hAnsi="Arial" w:cs="Arial"/>
          <w:b/>
          <w:sz w:val="19"/>
          <w:szCs w:val="19"/>
          <w:highlight w:val="yellow"/>
        </w:rPr>
      </w:pPr>
    </w:p>
    <w:p w14:paraId="4FBBED36" w14:textId="77777777" w:rsidR="00593A8C" w:rsidRDefault="00593A8C" w:rsidP="00593A8C">
      <w:pPr>
        <w:ind w:firstLine="1134"/>
        <w:jc w:val="both"/>
        <w:rPr>
          <w:rFonts w:ascii="Arial" w:hAnsi="Arial" w:cs="Arial"/>
          <w:sz w:val="19"/>
          <w:szCs w:val="19"/>
        </w:rPr>
      </w:pPr>
      <w:r>
        <w:rPr>
          <w:rFonts w:ascii="Arial" w:hAnsi="Arial" w:cs="Arial"/>
          <w:b/>
          <w:sz w:val="19"/>
          <w:szCs w:val="19"/>
        </w:rPr>
        <w:t xml:space="preserve">I - Da Convocação para execução e início dos serviços de pavimentação e/ou repavimentação: </w:t>
      </w:r>
      <w:r>
        <w:rPr>
          <w:rFonts w:ascii="Arial" w:hAnsi="Arial" w:cs="Arial"/>
          <w:sz w:val="19"/>
          <w:szCs w:val="19"/>
        </w:rPr>
        <w:t>Para a execução dos serviços será realizado contrato com base nos termos e cláusulas constantes nesta Ata, o qual conterá o local e a quantidade necessária para a execução da obra.</w:t>
      </w:r>
    </w:p>
    <w:p w14:paraId="77880416" w14:textId="77777777" w:rsidR="00593A8C" w:rsidRDefault="00593A8C" w:rsidP="00593A8C">
      <w:pPr>
        <w:ind w:firstLine="1134"/>
        <w:jc w:val="both"/>
        <w:rPr>
          <w:rFonts w:ascii="Arial" w:hAnsi="Arial" w:cs="Arial"/>
          <w:sz w:val="19"/>
          <w:szCs w:val="19"/>
        </w:rPr>
      </w:pPr>
      <w:r>
        <w:rPr>
          <w:rFonts w:ascii="Arial" w:hAnsi="Arial" w:cs="Arial"/>
          <w:b/>
          <w:sz w:val="19"/>
          <w:szCs w:val="19"/>
        </w:rPr>
        <w:t xml:space="preserve">§ 1º. </w:t>
      </w:r>
      <w:r>
        <w:rPr>
          <w:rFonts w:ascii="Arial" w:hAnsi="Arial" w:cs="Arial"/>
          <w:sz w:val="19"/>
          <w:szCs w:val="19"/>
        </w:rPr>
        <w:t>Exclusivamente para o fornecimento do concreto asfáltico dos reparos, sem a execução por parte da contratada, Será emitida Nota de Empenho em substituição ao contrato, nos termos do artigo 95, da Lei nº 14.133/21.</w:t>
      </w:r>
    </w:p>
    <w:p w14:paraId="3811A72B" w14:textId="77777777" w:rsidR="00593A8C" w:rsidRDefault="00593A8C" w:rsidP="00593A8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19"/>
          <w:szCs w:val="19"/>
        </w:rPr>
      </w:pPr>
      <w:r>
        <w:rPr>
          <w:rFonts w:ascii="Arial" w:hAnsi="Arial" w:cs="Arial"/>
          <w:b/>
          <w:sz w:val="19"/>
          <w:szCs w:val="19"/>
        </w:rPr>
        <w:t xml:space="preserve">§ 2º. </w:t>
      </w:r>
      <w:r>
        <w:rPr>
          <w:rFonts w:ascii="Arial" w:hAnsi="Arial" w:cs="Arial"/>
          <w:sz w:val="19"/>
          <w:szCs w:val="19"/>
        </w:rPr>
        <w:t>A Administração convocará a Compromitente Fornecedora, e dará a “</w:t>
      </w:r>
      <w:r>
        <w:rPr>
          <w:rFonts w:ascii="Arial" w:hAnsi="Arial" w:cs="Arial"/>
          <w:b/>
          <w:sz w:val="19"/>
          <w:szCs w:val="19"/>
        </w:rPr>
        <w:t>Ordem de Início dos Serviços”,</w:t>
      </w:r>
      <w:r>
        <w:rPr>
          <w:rFonts w:ascii="Arial" w:hAnsi="Arial" w:cs="Arial"/>
          <w:sz w:val="19"/>
          <w:szCs w:val="19"/>
        </w:rPr>
        <w:t xml:space="preserve"> sendo que a mesma deverá iniciar em até 05 (cinco) dias após o recebimento desta, mediante:</w:t>
      </w:r>
    </w:p>
    <w:p w14:paraId="1846FB1C" w14:textId="77777777" w:rsidR="00593A8C" w:rsidRDefault="00593A8C" w:rsidP="00593A8C">
      <w:pPr>
        <w:ind w:firstLine="1134"/>
        <w:jc w:val="both"/>
        <w:rPr>
          <w:rFonts w:ascii="Arial" w:hAnsi="Arial" w:cs="Arial"/>
          <w:sz w:val="19"/>
          <w:szCs w:val="19"/>
        </w:rPr>
      </w:pPr>
      <w:r>
        <w:rPr>
          <w:rFonts w:ascii="Arial" w:hAnsi="Arial" w:cs="Arial"/>
          <w:b/>
          <w:sz w:val="19"/>
          <w:szCs w:val="19"/>
        </w:rPr>
        <w:t>a -</w:t>
      </w:r>
      <w:r>
        <w:rPr>
          <w:rFonts w:ascii="Arial" w:hAnsi="Arial" w:cs="Arial"/>
          <w:sz w:val="19"/>
          <w:szCs w:val="19"/>
        </w:rPr>
        <w:t xml:space="preserve"> Comprovação do Recolhimento de taxas de responsabilidade técnica na entidade profissional competente.</w:t>
      </w:r>
    </w:p>
    <w:p w14:paraId="761C1685" w14:textId="77777777" w:rsidR="00593A8C" w:rsidRDefault="00593A8C" w:rsidP="00593A8C">
      <w:pPr>
        <w:ind w:firstLine="1134"/>
        <w:jc w:val="both"/>
        <w:rPr>
          <w:rFonts w:ascii="Arial" w:hAnsi="Arial" w:cs="Arial"/>
          <w:sz w:val="19"/>
          <w:szCs w:val="19"/>
        </w:rPr>
      </w:pPr>
      <w:r>
        <w:rPr>
          <w:rFonts w:ascii="Arial" w:hAnsi="Arial" w:cs="Arial"/>
          <w:b/>
          <w:sz w:val="19"/>
          <w:szCs w:val="19"/>
        </w:rPr>
        <w:t>b -</w:t>
      </w:r>
      <w:r>
        <w:rPr>
          <w:rFonts w:ascii="Arial" w:hAnsi="Arial" w:cs="Arial"/>
          <w:sz w:val="19"/>
          <w:szCs w:val="19"/>
        </w:rPr>
        <w:t xml:space="preserve"> Apresentação da relação com o nome, o número da carteira de identidade e da carteira de trabalho dos funcionários que participarão dos trabalhos, sendo vedada a entrada de qualquer pessoa que </w:t>
      </w:r>
      <w:r>
        <w:rPr>
          <w:rFonts w:ascii="Arial" w:hAnsi="Arial" w:cs="Arial"/>
          <w:sz w:val="19"/>
          <w:szCs w:val="19"/>
        </w:rPr>
        <w:lastRenderedPageBreak/>
        <w:t>não conste na lista. Em caso de eventuais substituições, a Compromitente Prestadora dos Serviços deverá comunicar com antecedência à Administração por escrito.</w:t>
      </w:r>
    </w:p>
    <w:p w14:paraId="2E98D2BF" w14:textId="77777777" w:rsidR="00593A8C" w:rsidRDefault="00593A8C" w:rsidP="00593A8C">
      <w:pPr>
        <w:ind w:firstLine="1134"/>
        <w:jc w:val="both"/>
        <w:rPr>
          <w:rFonts w:ascii="Arial" w:hAnsi="Arial" w:cs="Arial"/>
          <w:sz w:val="19"/>
          <w:szCs w:val="19"/>
        </w:rPr>
      </w:pPr>
      <w:r>
        <w:rPr>
          <w:rFonts w:ascii="Arial" w:hAnsi="Arial" w:cs="Arial"/>
          <w:b/>
          <w:sz w:val="19"/>
          <w:szCs w:val="19"/>
        </w:rPr>
        <w:t>c –</w:t>
      </w:r>
      <w:r>
        <w:rPr>
          <w:rFonts w:ascii="Arial" w:hAnsi="Arial" w:cs="Arial"/>
          <w:sz w:val="19"/>
          <w:szCs w:val="19"/>
        </w:rPr>
        <w:t xml:space="preserve"> Comprovação da Matrícula da obra no CNO (Cadastro Nacional de Obras).</w:t>
      </w:r>
    </w:p>
    <w:p w14:paraId="37D9A88D" w14:textId="77777777" w:rsidR="00593A8C" w:rsidRDefault="00593A8C" w:rsidP="00593A8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19"/>
          <w:szCs w:val="19"/>
        </w:rPr>
      </w:pPr>
      <w:r>
        <w:rPr>
          <w:rFonts w:ascii="Arial" w:hAnsi="Arial" w:cs="Arial"/>
          <w:b/>
          <w:sz w:val="19"/>
          <w:szCs w:val="19"/>
        </w:rPr>
        <w:t xml:space="preserve">d </w:t>
      </w:r>
      <w:r>
        <w:rPr>
          <w:rFonts w:ascii="Arial" w:hAnsi="Arial" w:cs="Arial"/>
          <w:sz w:val="19"/>
          <w:szCs w:val="19"/>
        </w:rPr>
        <w:t>- Realização de uma reunião entre o responsável técnico pela fiscalização da Obra por parte da Administração e responsável técnico por parte da Compromitente Prestadora dos Serviços.</w:t>
      </w:r>
    </w:p>
    <w:p w14:paraId="342407C9" w14:textId="77777777" w:rsidR="00593A8C" w:rsidRDefault="00593A8C" w:rsidP="00593A8C">
      <w:pPr>
        <w:ind w:firstLine="1134"/>
        <w:jc w:val="both"/>
        <w:rPr>
          <w:rFonts w:ascii="Arial" w:hAnsi="Arial" w:cs="Arial"/>
          <w:sz w:val="19"/>
          <w:szCs w:val="19"/>
        </w:rPr>
      </w:pPr>
      <w:r>
        <w:rPr>
          <w:rFonts w:ascii="Arial" w:hAnsi="Arial" w:cs="Arial"/>
          <w:b/>
          <w:sz w:val="19"/>
          <w:szCs w:val="19"/>
        </w:rPr>
        <w:t xml:space="preserve">e - </w:t>
      </w:r>
      <w:r>
        <w:rPr>
          <w:rFonts w:ascii="Arial" w:hAnsi="Arial" w:cs="Arial"/>
          <w:sz w:val="19"/>
          <w:szCs w:val="19"/>
        </w:rPr>
        <w:t>A Secretaria Municipal de Obras e Serviços Públicos, após a ordem de início de obras, deverá encaminhar cópia da documentação supramencionada para a Contabilidade da Prefeitura, sob pena de não pagamento das parcelas.</w:t>
      </w:r>
    </w:p>
    <w:p w14:paraId="654B6656" w14:textId="77777777" w:rsidR="00593A8C" w:rsidRDefault="00593A8C" w:rsidP="00593A8C">
      <w:pPr>
        <w:ind w:firstLine="1134"/>
        <w:jc w:val="both"/>
        <w:rPr>
          <w:rFonts w:ascii="Arial" w:hAnsi="Arial" w:cs="Arial"/>
          <w:sz w:val="19"/>
          <w:szCs w:val="19"/>
        </w:rPr>
      </w:pPr>
      <w:r>
        <w:rPr>
          <w:rFonts w:ascii="Arial" w:hAnsi="Arial" w:cs="Arial"/>
          <w:b/>
          <w:sz w:val="19"/>
          <w:szCs w:val="19"/>
        </w:rPr>
        <w:t>f -</w:t>
      </w:r>
      <w:r>
        <w:rPr>
          <w:rFonts w:ascii="Arial" w:hAnsi="Arial" w:cs="Arial"/>
          <w:sz w:val="19"/>
          <w:szCs w:val="19"/>
        </w:rPr>
        <w:t xml:space="preserve"> No momento da convocação a Compromitente Fornecedora, receberá da Administração memorial descritivo dos serviços, indicação do local da obra, orientações e outros dados necessários para a execução da obra.</w:t>
      </w:r>
    </w:p>
    <w:p w14:paraId="18A1D38D" w14:textId="77777777" w:rsidR="00593A8C" w:rsidRDefault="00593A8C" w:rsidP="00593A8C">
      <w:pPr>
        <w:ind w:firstLine="1134"/>
        <w:jc w:val="both"/>
        <w:rPr>
          <w:rFonts w:ascii="Arial" w:hAnsi="Arial" w:cs="Arial"/>
          <w:sz w:val="19"/>
          <w:szCs w:val="19"/>
        </w:rPr>
      </w:pPr>
      <w:r>
        <w:rPr>
          <w:rFonts w:ascii="Arial" w:hAnsi="Arial" w:cs="Arial"/>
          <w:b/>
          <w:sz w:val="19"/>
          <w:szCs w:val="19"/>
        </w:rPr>
        <w:t>§ 3º.</w:t>
      </w:r>
      <w:r>
        <w:rPr>
          <w:rFonts w:ascii="Arial" w:hAnsi="Arial" w:cs="Arial"/>
          <w:sz w:val="19"/>
          <w:szCs w:val="19"/>
        </w:rPr>
        <w:t xml:space="preserve"> Exclusivamente para o fornecimento do concreto asfáltico dos reparos, sem a execução por parte da contratada, não será necessária a apresentação dos ensaios tecnológicos, ART e relação de funcionários.</w:t>
      </w:r>
    </w:p>
    <w:p w14:paraId="133D87B1" w14:textId="77777777" w:rsidR="00593A8C" w:rsidRDefault="00593A8C" w:rsidP="00593A8C">
      <w:pPr>
        <w:tabs>
          <w:tab w:val="left" w:pos="288"/>
          <w:tab w:val="left" w:pos="426"/>
          <w:tab w:val="left" w:pos="1728"/>
          <w:tab w:val="left" w:pos="2448"/>
          <w:tab w:val="left" w:pos="3168"/>
          <w:tab w:val="left" w:pos="3888"/>
          <w:tab w:val="left" w:pos="4608"/>
          <w:tab w:val="left" w:pos="5328"/>
          <w:tab w:val="left" w:pos="6048"/>
          <w:tab w:val="left" w:pos="6768"/>
        </w:tabs>
        <w:ind w:firstLine="1134"/>
        <w:jc w:val="both"/>
        <w:rPr>
          <w:rFonts w:ascii="Arial" w:hAnsi="Arial" w:cs="Arial"/>
          <w:b/>
          <w:sz w:val="19"/>
          <w:szCs w:val="19"/>
          <w:u w:val="single"/>
        </w:rPr>
      </w:pPr>
    </w:p>
    <w:p w14:paraId="3A8B3F02" w14:textId="77777777" w:rsidR="00593A8C" w:rsidRDefault="00593A8C" w:rsidP="00593A8C">
      <w:pPr>
        <w:ind w:firstLine="1134"/>
        <w:jc w:val="both"/>
        <w:rPr>
          <w:rFonts w:ascii="Arial" w:hAnsi="Arial" w:cs="Arial"/>
          <w:b/>
          <w:sz w:val="19"/>
          <w:szCs w:val="19"/>
        </w:rPr>
      </w:pPr>
      <w:r>
        <w:rPr>
          <w:rFonts w:ascii="Arial" w:hAnsi="Arial" w:cs="Arial"/>
          <w:b/>
          <w:sz w:val="19"/>
          <w:szCs w:val="19"/>
        </w:rPr>
        <w:t>CLÁUSULA QUINTA – DO PRAZO DE EXECUÇÃO DOS SERVIÇOS</w:t>
      </w:r>
    </w:p>
    <w:p w14:paraId="0AFD01ED" w14:textId="77777777" w:rsidR="00593A8C" w:rsidRDefault="00593A8C" w:rsidP="00593A8C">
      <w:pPr>
        <w:ind w:firstLine="1134"/>
        <w:jc w:val="both"/>
        <w:rPr>
          <w:rFonts w:ascii="Arial" w:hAnsi="Arial" w:cs="Arial"/>
          <w:b/>
          <w:sz w:val="19"/>
          <w:szCs w:val="19"/>
        </w:rPr>
      </w:pPr>
    </w:p>
    <w:p w14:paraId="273F9E8A" w14:textId="77777777" w:rsidR="00593A8C" w:rsidRDefault="00593A8C" w:rsidP="00593A8C">
      <w:pPr>
        <w:ind w:firstLine="1134"/>
        <w:jc w:val="both"/>
        <w:rPr>
          <w:rFonts w:ascii="Arial" w:hAnsi="Arial" w:cs="Arial"/>
          <w:sz w:val="19"/>
          <w:szCs w:val="19"/>
        </w:rPr>
      </w:pPr>
      <w:r>
        <w:rPr>
          <w:rFonts w:ascii="Arial" w:hAnsi="Arial" w:cs="Arial"/>
          <w:sz w:val="19"/>
          <w:szCs w:val="19"/>
        </w:rPr>
        <w:t xml:space="preserve">O prazo de execução da totalidade dos serviços constará no Cronograma Físico-Financeiro a ser fornecimento pela Administração, devendo o prazo ser contado a partir do recebimento da </w:t>
      </w:r>
      <w:r>
        <w:rPr>
          <w:rFonts w:ascii="Arial" w:hAnsi="Arial" w:cs="Arial"/>
          <w:b/>
          <w:sz w:val="19"/>
          <w:szCs w:val="19"/>
        </w:rPr>
        <w:t>“Ordem de Início dos Serviços”.</w:t>
      </w:r>
    </w:p>
    <w:p w14:paraId="4EB1EBE0" w14:textId="77777777" w:rsidR="00593A8C" w:rsidRDefault="00593A8C" w:rsidP="00593A8C">
      <w:pPr>
        <w:ind w:firstLine="1134"/>
        <w:jc w:val="both"/>
        <w:rPr>
          <w:rFonts w:ascii="Arial" w:hAnsi="Arial" w:cs="Arial"/>
          <w:sz w:val="19"/>
          <w:szCs w:val="19"/>
        </w:rPr>
      </w:pPr>
      <w:r>
        <w:rPr>
          <w:rFonts w:ascii="Arial" w:hAnsi="Arial" w:cs="Arial"/>
          <w:b/>
          <w:sz w:val="19"/>
          <w:szCs w:val="19"/>
        </w:rPr>
        <w:t>Parágrafo único.</w:t>
      </w:r>
      <w:r>
        <w:rPr>
          <w:rFonts w:ascii="Arial" w:hAnsi="Arial" w:cs="Arial"/>
          <w:sz w:val="19"/>
          <w:szCs w:val="19"/>
        </w:rPr>
        <w:t xml:space="preserve"> A critério das partes, o prazo indicativo no Cronograma Físico-Financeiro poderá ser prorrogado em até igual período, considerando-se a ocorrência de caso fortuito ou de força maior, mediante Termo Aditivo escrito e consensual, neste sentido.</w:t>
      </w:r>
    </w:p>
    <w:p w14:paraId="1AB2BEC1" w14:textId="77777777" w:rsidR="00593A8C" w:rsidRDefault="00593A8C" w:rsidP="00593A8C">
      <w:pPr>
        <w:tabs>
          <w:tab w:val="left" w:pos="288"/>
          <w:tab w:val="left" w:pos="426"/>
          <w:tab w:val="left" w:pos="1728"/>
          <w:tab w:val="left" w:pos="2448"/>
          <w:tab w:val="left" w:pos="3168"/>
          <w:tab w:val="left" w:pos="3888"/>
          <w:tab w:val="left" w:pos="4608"/>
          <w:tab w:val="left" w:pos="5328"/>
          <w:tab w:val="left" w:pos="6048"/>
          <w:tab w:val="left" w:pos="6768"/>
        </w:tabs>
        <w:ind w:firstLine="1134"/>
        <w:jc w:val="both"/>
        <w:rPr>
          <w:rFonts w:ascii="Arial" w:hAnsi="Arial" w:cs="Arial"/>
          <w:b/>
          <w:sz w:val="19"/>
          <w:szCs w:val="19"/>
          <w:u w:val="single"/>
        </w:rPr>
      </w:pPr>
    </w:p>
    <w:p w14:paraId="564CA570" w14:textId="77777777" w:rsidR="00593A8C" w:rsidRDefault="00593A8C" w:rsidP="00593A8C">
      <w:pPr>
        <w:tabs>
          <w:tab w:val="left" w:pos="7440"/>
        </w:tabs>
        <w:ind w:firstLine="1134"/>
        <w:jc w:val="both"/>
        <w:rPr>
          <w:rFonts w:ascii="Arial" w:hAnsi="Arial" w:cs="Arial"/>
          <w:b/>
          <w:sz w:val="19"/>
          <w:szCs w:val="19"/>
        </w:rPr>
      </w:pPr>
      <w:r>
        <w:rPr>
          <w:rFonts w:ascii="Arial" w:hAnsi="Arial" w:cs="Arial"/>
          <w:b/>
          <w:sz w:val="19"/>
          <w:szCs w:val="19"/>
        </w:rPr>
        <w:t>CLÁUSULA SEXTA – DO RECEBIMENTO</w:t>
      </w:r>
    </w:p>
    <w:p w14:paraId="5573A3C9" w14:textId="77777777" w:rsidR="00593A8C" w:rsidRDefault="00593A8C" w:rsidP="00593A8C">
      <w:pPr>
        <w:tabs>
          <w:tab w:val="left" w:pos="7440"/>
        </w:tabs>
        <w:ind w:firstLine="1134"/>
        <w:jc w:val="both"/>
        <w:rPr>
          <w:rFonts w:ascii="Arial" w:hAnsi="Arial" w:cs="Arial"/>
          <w:b/>
          <w:sz w:val="19"/>
          <w:szCs w:val="19"/>
        </w:rPr>
      </w:pPr>
    </w:p>
    <w:p w14:paraId="505F37A7" w14:textId="77777777" w:rsidR="00593A8C" w:rsidRDefault="00593A8C" w:rsidP="00593A8C">
      <w:pPr>
        <w:tabs>
          <w:tab w:val="left" w:pos="568"/>
          <w:tab w:val="left" w:pos="1288"/>
          <w:tab w:val="left" w:pos="2008"/>
          <w:tab w:val="left" w:pos="2728"/>
          <w:tab w:val="left" w:pos="3448"/>
          <w:tab w:val="left" w:pos="4168"/>
          <w:tab w:val="left" w:pos="4888"/>
          <w:tab w:val="left" w:pos="5608"/>
          <w:tab w:val="left" w:pos="6328"/>
          <w:tab w:val="left" w:pos="7048"/>
        </w:tabs>
        <w:ind w:firstLine="1134"/>
        <w:jc w:val="both"/>
        <w:rPr>
          <w:rFonts w:ascii="Arial" w:hAnsi="Arial" w:cs="Arial"/>
          <w:sz w:val="19"/>
          <w:szCs w:val="19"/>
        </w:rPr>
      </w:pPr>
      <w:r>
        <w:rPr>
          <w:rFonts w:ascii="Arial" w:hAnsi="Arial" w:cs="Arial"/>
          <w:sz w:val="19"/>
          <w:szCs w:val="19"/>
        </w:rPr>
        <w:t>Para acompanhamento e fiscalização da obra, objeto desta licitação, o Município designa os servidores nomeados por Portaria, que farão o recebimento nos termos do artigo 140 da Lei 14.133/21 e suas alterações. A comissão designada, mediante termo circunstanciado, após o decurso de prazo de observação, em até 15 (quinze) dias consecutivos, fará o recebimento definitivo da Obra.</w:t>
      </w:r>
    </w:p>
    <w:p w14:paraId="6FE6CF24" w14:textId="77777777" w:rsidR="00593A8C" w:rsidRDefault="00593A8C" w:rsidP="00593A8C">
      <w:pPr>
        <w:tabs>
          <w:tab w:val="left" w:pos="288"/>
          <w:tab w:val="left" w:pos="426"/>
          <w:tab w:val="left" w:pos="1728"/>
          <w:tab w:val="left" w:pos="2448"/>
          <w:tab w:val="left" w:pos="3168"/>
          <w:tab w:val="left" w:pos="3888"/>
          <w:tab w:val="left" w:pos="4608"/>
          <w:tab w:val="left" w:pos="5328"/>
          <w:tab w:val="left" w:pos="6048"/>
          <w:tab w:val="left" w:pos="6768"/>
        </w:tabs>
        <w:ind w:firstLine="1134"/>
        <w:jc w:val="both"/>
        <w:rPr>
          <w:rFonts w:ascii="Arial" w:hAnsi="Arial" w:cs="Arial"/>
          <w:b/>
          <w:sz w:val="19"/>
          <w:szCs w:val="19"/>
        </w:rPr>
      </w:pPr>
    </w:p>
    <w:p w14:paraId="04A5913E" w14:textId="77777777" w:rsidR="00593A8C" w:rsidRDefault="00593A8C" w:rsidP="00593A8C">
      <w:pPr>
        <w:tabs>
          <w:tab w:val="left" w:pos="7440"/>
        </w:tabs>
        <w:ind w:firstLine="1134"/>
        <w:jc w:val="both"/>
        <w:rPr>
          <w:rFonts w:ascii="Arial" w:hAnsi="Arial" w:cs="Arial"/>
          <w:b/>
          <w:sz w:val="19"/>
          <w:szCs w:val="19"/>
        </w:rPr>
      </w:pPr>
      <w:r>
        <w:rPr>
          <w:rFonts w:ascii="Arial" w:hAnsi="Arial" w:cs="Arial"/>
          <w:b/>
          <w:sz w:val="19"/>
          <w:szCs w:val="19"/>
        </w:rPr>
        <w:t>CLÁUSULA SÉTIMA – DO PAGAMENTO</w:t>
      </w:r>
    </w:p>
    <w:p w14:paraId="5EC1A00F" w14:textId="77777777" w:rsidR="00593A8C" w:rsidRDefault="00593A8C" w:rsidP="00593A8C">
      <w:pPr>
        <w:tabs>
          <w:tab w:val="left" w:pos="288"/>
          <w:tab w:val="left" w:pos="426"/>
          <w:tab w:val="left" w:pos="1728"/>
          <w:tab w:val="left" w:pos="2448"/>
          <w:tab w:val="left" w:pos="3168"/>
          <w:tab w:val="left" w:pos="3888"/>
          <w:tab w:val="left" w:pos="4608"/>
          <w:tab w:val="left" w:pos="5328"/>
          <w:tab w:val="left" w:pos="6048"/>
          <w:tab w:val="left" w:pos="6768"/>
        </w:tabs>
        <w:ind w:firstLine="1134"/>
        <w:jc w:val="both"/>
        <w:rPr>
          <w:rFonts w:ascii="Arial" w:hAnsi="Arial" w:cs="Arial"/>
          <w:bCs/>
          <w:color w:val="FF0000"/>
          <w:sz w:val="19"/>
          <w:szCs w:val="19"/>
        </w:rPr>
      </w:pPr>
    </w:p>
    <w:p w14:paraId="4526438E" w14:textId="77777777" w:rsidR="00593A8C" w:rsidRDefault="00593A8C" w:rsidP="00593A8C">
      <w:pPr>
        <w:ind w:firstLine="1080"/>
        <w:jc w:val="both"/>
        <w:rPr>
          <w:rFonts w:ascii="Arial" w:hAnsi="Arial" w:cs="Arial"/>
          <w:bCs/>
          <w:sz w:val="19"/>
          <w:szCs w:val="19"/>
        </w:rPr>
      </w:pPr>
      <w:r>
        <w:rPr>
          <w:rFonts w:ascii="Arial" w:hAnsi="Arial" w:cs="Arial"/>
          <w:bCs/>
          <w:sz w:val="19"/>
          <w:szCs w:val="19"/>
        </w:rPr>
        <w:t>O pagamento será efetuado da seguinte forma:</w:t>
      </w:r>
    </w:p>
    <w:p w14:paraId="67FA6BD6" w14:textId="77777777" w:rsidR="00593A8C" w:rsidRDefault="00593A8C" w:rsidP="00593A8C">
      <w:pPr>
        <w:ind w:firstLine="1080"/>
        <w:jc w:val="both"/>
        <w:rPr>
          <w:rFonts w:ascii="Arial" w:hAnsi="Arial" w:cs="Arial"/>
          <w:bCs/>
          <w:sz w:val="19"/>
          <w:szCs w:val="19"/>
        </w:rPr>
      </w:pPr>
      <w:r>
        <w:rPr>
          <w:rFonts w:ascii="Arial" w:hAnsi="Arial" w:cs="Arial"/>
          <w:bCs/>
          <w:sz w:val="19"/>
          <w:szCs w:val="19"/>
        </w:rPr>
        <w:t>a) Para Obras cujo prazo de execução não exceda a 30 (trinta) dias, o pagamento será realizado em parcela única após o recebimento definitivo, no prazo de 03 (três) dias úteis a contar da liquidação da despesa, mediante a apresentação dos seguintes documentos:</w:t>
      </w:r>
    </w:p>
    <w:p w14:paraId="0D07D500" w14:textId="77777777" w:rsidR="00593A8C" w:rsidRDefault="00593A8C" w:rsidP="00593A8C">
      <w:pPr>
        <w:ind w:firstLine="1080"/>
        <w:jc w:val="both"/>
        <w:rPr>
          <w:rFonts w:ascii="Arial" w:hAnsi="Arial" w:cs="Arial"/>
          <w:bCs/>
          <w:sz w:val="19"/>
          <w:szCs w:val="19"/>
        </w:rPr>
      </w:pPr>
      <w:r>
        <w:rPr>
          <w:rFonts w:ascii="Arial" w:hAnsi="Arial" w:cs="Arial"/>
          <w:bCs/>
          <w:sz w:val="19"/>
          <w:szCs w:val="19"/>
        </w:rPr>
        <w:t>a.1) Boletim de medição emitido pela fiscalização do Município;</w:t>
      </w:r>
    </w:p>
    <w:p w14:paraId="008315D4" w14:textId="77777777" w:rsidR="00593A8C" w:rsidRDefault="00593A8C" w:rsidP="00593A8C">
      <w:pPr>
        <w:ind w:firstLine="1080"/>
        <w:jc w:val="both"/>
        <w:rPr>
          <w:rFonts w:ascii="Arial" w:hAnsi="Arial" w:cs="Arial"/>
          <w:bCs/>
          <w:sz w:val="19"/>
          <w:szCs w:val="19"/>
        </w:rPr>
      </w:pPr>
      <w:r>
        <w:rPr>
          <w:rFonts w:ascii="Arial" w:hAnsi="Arial" w:cs="Arial"/>
          <w:bCs/>
          <w:sz w:val="19"/>
          <w:szCs w:val="19"/>
        </w:rPr>
        <w:t>a.2) Comprovação da Matrícula da obra no CNO (Cadastro Nacional de Obras), em caso de construção civil, conforme IN 971/2009 Art. 117 Inciso III.</w:t>
      </w:r>
    </w:p>
    <w:p w14:paraId="3FE91BAA" w14:textId="77777777" w:rsidR="00593A8C" w:rsidRDefault="00593A8C" w:rsidP="00593A8C">
      <w:pPr>
        <w:ind w:firstLine="1080"/>
        <w:jc w:val="both"/>
        <w:rPr>
          <w:rFonts w:ascii="Arial" w:hAnsi="Arial" w:cs="Arial"/>
          <w:bCs/>
          <w:sz w:val="19"/>
          <w:szCs w:val="19"/>
        </w:rPr>
      </w:pPr>
      <w:r>
        <w:rPr>
          <w:rFonts w:ascii="Arial" w:hAnsi="Arial" w:cs="Arial"/>
          <w:bCs/>
          <w:sz w:val="19"/>
          <w:szCs w:val="19"/>
        </w:rPr>
        <w:t>b) Para Obras cujo prazo de execução exceda a 30 (trinta) dias, o pagamento será efetuado em parcelas a cada 30 (trinta) dias, após a constatação efetiva do término de cada etapa prevista no Cronograma Físico-Financeiro, por parte da Fiscalização.</w:t>
      </w:r>
    </w:p>
    <w:p w14:paraId="6CD724B2" w14:textId="77777777" w:rsidR="00593A8C" w:rsidRDefault="00593A8C" w:rsidP="00593A8C">
      <w:pPr>
        <w:ind w:firstLine="1080"/>
        <w:jc w:val="both"/>
        <w:rPr>
          <w:rFonts w:ascii="Arial" w:hAnsi="Arial" w:cs="Arial"/>
          <w:bCs/>
          <w:sz w:val="19"/>
          <w:szCs w:val="19"/>
        </w:rPr>
      </w:pPr>
      <w:r>
        <w:rPr>
          <w:rFonts w:ascii="Arial" w:hAnsi="Arial" w:cs="Arial"/>
          <w:bCs/>
          <w:sz w:val="19"/>
          <w:szCs w:val="19"/>
        </w:rPr>
        <w:t>b.1) O primeiro pagamento será realizado 30 (trinta) dias após o início da obra, mediante a emissão do boletim de medição pela fiscalização por parte do CONTRATANTE e com a documentação apresentada pela Secretaria Municipal de Planejamento, Urbanismo e Meio Ambiente no momento da emissão da ordem de início de execução da obra.</w:t>
      </w:r>
    </w:p>
    <w:p w14:paraId="14A7A11A" w14:textId="77777777" w:rsidR="00593A8C" w:rsidRDefault="00593A8C" w:rsidP="00593A8C">
      <w:pPr>
        <w:ind w:firstLine="1080"/>
        <w:jc w:val="both"/>
        <w:rPr>
          <w:rFonts w:ascii="Arial" w:hAnsi="Arial" w:cs="Arial"/>
          <w:bCs/>
          <w:sz w:val="19"/>
          <w:szCs w:val="19"/>
        </w:rPr>
      </w:pPr>
      <w:r>
        <w:rPr>
          <w:rFonts w:ascii="Arial" w:hAnsi="Arial" w:cs="Arial"/>
          <w:bCs/>
          <w:sz w:val="19"/>
          <w:szCs w:val="19"/>
        </w:rPr>
        <w:t>b.2) Boletim de medição emitido pela CONTRATANTE e Diário de Obra Mensal por parte da CONTRATADA.</w:t>
      </w:r>
    </w:p>
    <w:p w14:paraId="7DDC0D3A" w14:textId="77777777" w:rsidR="00593A8C" w:rsidRDefault="00593A8C" w:rsidP="00593A8C">
      <w:pPr>
        <w:ind w:firstLine="1080"/>
        <w:jc w:val="both"/>
        <w:rPr>
          <w:rFonts w:ascii="Arial" w:hAnsi="Arial" w:cs="Arial"/>
          <w:bCs/>
          <w:sz w:val="19"/>
          <w:szCs w:val="19"/>
        </w:rPr>
      </w:pPr>
      <w:r>
        <w:rPr>
          <w:rFonts w:ascii="Arial" w:hAnsi="Arial" w:cs="Arial"/>
          <w:bCs/>
          <w:sz w:val="19"/>
          <w:szCs w:val="19"/>
        </w:rPr>
        <w:t>b.3) Apresentação da declaração de prestadores de serviços, com o nome, n° do CPF e nº da carteira de trabalho dos funcionários que participam dos trabalhos, emitido pela Contratada.</w:t>
      </w:r>
    </w:p>
    <w:p w14:paraId="7DF45F68" w14:textId="77777777" w:rsidR="00593A8C" w:rsidRDefault="00593A8C" w:rsidP="00593A8C">
      <w:pPr>
        <w:ind w:firstLine="1080"/>
        <w:jc w:val="both"/>
        <w:rPr>
          <w:rFonts w:ascii="Arial" w:hAnsi="Arial" w:cs="Arial"/>
          <w:bCs/>
          <w:sz w:val="19"/>
          <w:szCs w:val="19"/>
        </w:rPr>
      </w:pPr>
      <w:r>
        <w:rPr>
          <w:rFonts w:ascii="Arial" w:hAnsi="Arial" w:cs="Arial"/>
          <w:bCs/>
          <w:sz w:val="19"/>
          <w:szCs w:val="19"/>
        </w:rPr>
        <w:t>b.4) DARF dos tributos previdenciários e Guia de FGTS quitados, GFIP/SEFIP e Recibo de Entrega da Declaração de Débitos e Créditos Tributários Federais Previdenciários-DCTFWeb do período informado no Boletim de Medição e/ou imediatamente anterior.</w:t>
      </w:r>
    </w:p>
    <w:p w14:paraId="22FD0401" w14:textId="77777777" w:rsidR="00593A8C" w:rsidRDefault="00593A8C" w:rsidP="00593A8C">
      <w:pPr>
        <w:ind w:firstLine="1080"/>
        <w:jc w:val="both"/>
        <w:rPr>
          <w:rFonts w:ascii="Arial" w:hAnsi="Arial" w:cs="Arial"/>
          <w:bCs/>
          <w:sz w:val="19"/>
          <w:szCs w:val="19"/>
        </w:rPr>
      </w:pPr>
      <w:r>
        <w:rPr>
          <w:rFonts w:ascii="Arial" w:hAnsi="Arial" w:cs="Arial"/>
          <w:bCs/>
          <w:sz w:val="19"/>
          <w:szCs w:val="19"/>
        </w:rPr>
        <w:t>b.5) Contracheques dos funcionários relacionados no diário de obras e seus comprovantes de pagamento, em conformidade com o período informado no Boletim de Medição e/ou imediatamente anterior.b.3) No último pagamento serão exigidas as certidões Negativas de regularidade para com as Fazendas Municipal, Estadual e Federal, bem como do FGTS e de Débitos Trabalhistas.</w:t>
      </w:r>
    </w:p>
    <w:p w14:paraId="5F8F7181" w14:textId="77777777" w:rsidR="00593A8C" w:rsidRDefault="00593A8C" w:rsidP="00593A8C">
      <w:pPr>
        <w:ind w:firstLine="1080"/>
        <w:jc w:val="both"/>
        <w:rPr>
          <w:rFonts w:ascii="Arial" w:hAnsi="Arial" w:cs="Arial"/>
          <w:bCs/>
          <w:sz w:val="19"/>
          <w:szCs w:val="19"/>
        </w:rPr>
      </w:pPr>
      <w:r>
        <w:rPr>
          <w:rFonts w:ascii="Arial" w:hAnsi="Arial" w:cs="Arial"/>
          <w:bCs/>
          <w:sz w:val="19"/>
          <w:szCs w:val="19"/>
        </w:rPr>
        <w:lastRenderedPageBreak/>
        <w:t>b.6) No último pagamento serão exigidos os seguintes documentos:</w:t>
      </w:r>
    </w:p>
    <w:p w14:paraId="1D024538" w14:textId="77777777" w:rsidR="00593A8C" w:rsidRDefault="00593A8C" w:rsidP="00593A8C">
      <w:pPr>
        <w:ind w:firstLine="1080"/>
        <w:jc w:val="both"/>
        <w:rPr>
          <w:rFonts w:ascii="Arial" w:hAnsi="Arial" w:cs="Arial"/>
          <w:bCs/>
          <w:sz w:val="19"/>
          <w:szCs w:val="19"/>
        </w:rPr>
      </w:pPr>
      <w:r>
        <w:rPr>
          <w:rFonts w:ascii="Arial" w:hAnsi="Arial" w:cs="Arial"/>
          <w:bCs/>
          <w:sz w:val="19"/>
          <w:szCs w:val="19"/>
        </w:rPr>
        <w:t>b.6.1) No último pagamento serão exigidas as certidões Negativas de regularidade para com as Fazendas Municipal, Estadual e Federal, bem como do FGTS e de Débitos Trabalhistas.</w:t>
      </w:r>
    </w:p>
    <w:p w14:paraId="7B2649A3" w14:textId="77777777" w:rsidR="00593A8C" w:rsidRDefault="00593A8C" w:rsidP="00593A8C">
      <w:pPr>
        <w:ind w:firstLine="1080"/>
        <w:jc w:val="both"/>
        <w:rPr>
          <w:rFonts w:ascii="Arial" w:hAnsi="Arial" w:cs="Arial"/>
          <w:bCs/>
          <w:sz w:val="19"/>
          <w:szCs w:val="19"/>
        </w:rPr>
      </w:pPr>
      <w:r>
        <w:rPr>
          <w:rFonts w:ascii="Arial" w:hAnsi="Arial" w:cs="Arial"/>
          <w:bCs/>
          <w:sz w:val="19"/>
          <w:szCs w:val="19"/>
        </w:rPr>
        <w:t>b.6.2) Termo de Recebimento Definitivo na última medição.</w:t>
      </w:r>
    </w:p>
    <w:p w14:paraId="06E3D952" w14:textId="77777777" w:rsidR="00593A8C" w:rsidRDefault="00593A8C" w:rsidP="00593A8C">
      <w:pPr>
        <w:ind w:firstLine="1080"/>
        <w:jc w:val="both"/>
        <w:rPr>
          <w:rFonts w:ascii="Arial" w:hAnsi="Arial" w:cs="Arial"/>
          <w:bCs/>
          <w:sz w:val="19"/>
          <w:szCs w:val="19"/>
        </w:rPr>
      </w:pPr>
      <w:r>
        <w:rPr>
          <w:rFonts w:ascii="Arial" w:hAnsi="Arial" w:cs="Arial"/>
          <w:bCs/>
          <w:sz w:val="19"/>
          <w:szCs w:val="19"/>
        </w:rPr>
        <w:t>b.6.3) Ao término da obra, a integralidade do último pagamento estará condicionado a apresentação do comprovante de baixa da matrícula no CNO.</w:t>
      </w:r>
    </w:p>
    <w:p w14:paraId="6E14CFDD" w14:textId="77777777" w:rsidR="00593A8C" w:rsidRDefault="00593A8C" w:rsidP="00593A8C">
      <w:pPr>
        <w:ind w:firstLine="1080"/>
        <w:jc w:val="both"/>
        <w:rPr>
          <w:rFonts w:ascii="Arial" w:hAnsi="Arial" w:cs="Arial"/>
          <w:bCs/>
          <w:sz w:val="19"/>
          <w:szCs w:val="19"/>
        </w:rPr>
      </w:pPr>
      <w:r>
        <w:rPr>
          <w:rFonts w:ascii="Arial" w:hAnsi="Arial" w:cs="Arial"/>
          <w:bCs/>
          <w:sz w:val="19"/>
          <w:szCs w:val="19"/>
        </w:rPr>
        <w:t>§ 1º. Se a contratação for executada com Verba Federal, o pagamento ficará condicionado à liberação dos valores pela Caixa ou órgão competente.</w:t>
      </w:r>
    </w:p>
    <w:p w14:paraId="2F775084" w14:textId="77777777" w:rsidR="00593A8C" w:rsidRDefault="00593A8C" w:rsidP="00593A8C">
      <w:pPr>
        <w:ind w:firstLine="1080"/>
        <w:jc w:val="both"/>
        <w:rPr>
          <w:rFonts w:ascii="Arial" w:hAnsi="Arial" w:cs="Arial"/>
          <w:bCs/>
          <w:sz w:val="19"/>
          <w:szCs w:val="19"/>
        </w:rPr>
      </w:pPr>
      <w:r>
        <w:rPr>
          <w:rFonts w:ascii="Arial" w:hAnsi="Arial" w:cs="Arial"/>
          <w:bCs/>
          <w:sz w:val="19"/>
          <w:szCs w:val="19"/>
        </w:rPr>
        <w:t>§ 2º. A inadimplência da Compromitente Fornecedora com relação aos encargos sociais, trabalhistas, fiscais e comerciais ou indenizações, não transfere para a Administração, a responsabilidade por seu pagamento, nem poderá onerar o objeto contratado, de acordo com o artigo Art. 121 da Lei Federal nº. 14.133/21.</w:t>
      </w:r>
    </w:p>
    <w:p w14:paraId="0F589BEB" w14:textId="77777777" w:rsidR="00593A8C" w:rsidRDefault="00593A8C" w:rsidP="00593A8C">
      <w:pPr>
        <w:ind w:firstLine="1080"/>
        <w:jc w:val="both"/>
        <w:rPr>
          <w:rFonts w:ascii="Arial" w:hAnsi="Arial" w:cs="Arial"/>
          <w:bCs/>
          <w:sz w:val="19"/>
          <w:szCs w:val="19"/>
        </w:rPr>
      </w:pPr>
      <w:r>
        <w:rPr>
          <w:rFonts w:ascii="Arial" w:hAnsi="Arial" w:cs="Arial"/>
          <w:bCs/>
          <w:sz w:val="19"/>
          <w:szCs w:val="19"/>
        </w:rPr>
        <w:t>§ 3º. Em caso de reclamatória trabalhista contra a Compromitente Prestadora dos Serviços em que a Administração seja incluída no pólo passivo da demanda, independente da garantia ofertada, será retido, até o final da lide, valores suficientes para garantir eventual indenização.</w:t>
      </w:r>
    </w:p>
    <w:p w14:paraId="5562302E" w14:textId="77777777" w:rsidR="00593A8C" w:rsidRDefault="00593A8C" w:rsidP="00593A8C">
      <w:pPr>
        <w:ind w:firstLine="1134"/>
        <w:jc w:val="both"/>
        <w:rPr>
          <w:rFonts w:ascii="Arial" w:hAnsi="Arial" w:cs="Arial"/>
          <w:b/>
          <w:bCs/>
          <w:snapToGrid w:val="0"/>
          <w:color w:val="FF0000"/>
          <w:sz w:val="19"/>
          <w:szCs w:val="19"/>
        </w:rPr>
      </w:pPr>
    </w:p>
    <w:p w14:paraId="32DF3C30" w14:textId="77777777" w:rsidR="00593A8C" w:rsidRDefault="00593A8C" w:rsidP="00593A8C">
      <w:pPr>
        <w:ind w:firstLine="1134"/>
        <w:jc w:val="both"/>
        <w:rPr>
          <w:rFonts w:ascii="Arial" w:hAnsi="Arial" w:cs="Arial"/>
          <w:b/>
          <w:sz w:val="19"/>
          <w:szCs w:val="19"/>
        </w:rPr>
      </w:pPr>
      <w:r>
        <w:rPr>
          <w:rFonts w:ascii="Arial" w:hAnsi="Arial" w:cs="Arial"/>
          <w:b/>
          <w:sz w:val="19"/>
          <w:szCs w:val="19"/>
        </w:rPr>
        <w:t>CLÁUSULA OITAVA - DA FISCALIZAÇÃO DOS SERVIÇOS</w:t>
      </w:r>
    </w:p>
    <w:p w14:paraId="3914D15C" w14:textId="77777777" w:rsidR="00593A8C" w:rsidRDefault="00593A8C" w:rsidP="00593A8C">
      <w:pPr>
        <w:ind w:firstLine="1134"/>
        <w:jc w:val="both"/>
        <w:rPr>
          <w:rFonts w:ascii="Arial" w:hAnsi="Arial" w:cs="Arial"/>
          <w:b/>
          <w:sz w:val="19"/>
          <w:szCs w:val="19"/>
        </w:rPr>
      </w:pPr>
    </w:p>
    <w:p w14:paraId="6EB07AAE" w14:textId="77777777" w:rsidR="00593A8C" w:rsidRDefault="00593A8C" w:rsidP="00593A8C">
      <w:pPr>
        <w:tabs>
          <w:tab w:val="left" w:pos="568"/>
          <w:tab w:val="left" w:pos="1288"/>
          <w:tab w:val="left" w:pos="2008"/>
          <w:tab w:val="left" w:pos="2728"/>
          <w:tab w:val="left" w:pos="3448"/>
          <w:tab w:val="left" w:pos="4168"/>
          <w:tab w:val="left" w:pos="4888"/>
          <w:tab w:val="left" w:pos="5608"/>
          <w:tab w:val="left" w:pos="6328"/>
          <w:tab w:val="left" w:pos="7048"/>
        </w:tabs>
        <w:ind w:firstLine="1134"/>
        <w:jc w:val="both"/>
        <w:rPr>
          <w:rFonts w:ascii="Arial" w:hAnsi="Arial" w:cs="Arial"/>
          <w:sz w:val="19"/>
          <w:szCs w:val="19"/>
        </w:rPr>
      </w:pPr>
      <w:r>
        <w:rPr>
          <w:rFonts w:ascii="Arial" w:hAnsi="Arial" w:cs="Arial"/>
          <w:sz w:val="19"/>
          <w:szCs w:val="19"/>
        </w:rPr>
        <w:t>Sem que lhe possa ser atribuída responsabilidade de qualquer natureza, fica assegurado ao CONTRATANTE, o direito de fiscalizar o inteiro cumprimento do contrato, obrigando-se a CONTRATADA, a facilitar aos fiscais, o acesso a todos os documentos e serviços, a fornecer informações e elementos que lhe forem solicitados e a cumprir as determinações que lhe forem feitas, tudo dentro dos prazos estabelecidos nas respectivas notificações.</w:t>
      </w:r>
    </w:p>
    <w:p w14:paraId="035F5143" w14:textId="77777777" w:rsidR="00593A8C" w:rsidRDefault="00593A8C" w:rsidP="00593A8C">
      <w:pPr>
        <w:tabs>
          <w:tab w:val="left" w:pos="568"/>
          <w:tab w:val="left" w:pos="1288"/>
          <w:tab w:val="left" w:pos="2008"/>
          <w:tab w:val="left" w:pos="2728"/>
          <w:tab w:val="left" w:pos="3448"/>
          <w:tab w:val="left" w:pos="4168"/>
          <w:tab w:val="left" w:pos="4888"/>
          <w:tab w:val="left" w:pos="5608"/>
          <w:tab w:val="left" w:pos="6328"/>
          <w:tab w:val="left" w:pos="7048"/>
        </w:tabs>
        <w:ind w:firstLine="1134"/>
        <w:jc w:val="both"/>
        <w:rPr>
          <w:rFonts w:ascii="Arial" w:hAnsi="Arial" w:cs="Arial"/>
          <w:sz w:val="19"/>
          <w:szCs w:val="19"/>
        </w:rPr>
      </w:pPr>
      <w:r>
        <w:rPr>
          <w:rFonts w:ascii="Arial" w:hAnsi="Arial" w:cs="Arial"/>
          <w:sz w:val="19"/>
          <w:szCs w:val="19"/>
        </w:rPr>
        <w:t xml:space="preserve">§ 1º. A fiscalização da obra e dos serviços contratados será efetuada por técnicos do CONTRATANTE e/ou por empresa contratada, que deverá(ão) dispor de amplo acesso às informações, obra e serviços que julgar(em) necessários. </w:t>
      </w:r>
    </w:p>
    <w:p w14:paraId="7ABD281D" w14:textId="77777777" w:rsidR="00593A8C" w:rsidRDefault="00593A8C" w:rsidP="00593A8C">
      <w:pPr>
        <w:tabs>
          <w:tab w:val="left" w:pos="568"/>
          <w:tab w:val="left" w:pos="1288"/>
          <w:tab w:val="left" w:pos="2008"/>
          <w:tab w:val="left" w:pos="2728"/>
          <w:tab w:val="left" w:pos="3448"/>
          <w:tab w:val="left" w:pos="4168"/>
          <w:tab w:val="left" w:pos="4888"/>
          <w:tab w:val="left" w:pos="5608"/>
          <w:tab w:val="left" w:pos="6328"/>
          <w:tab w:val="left" w:pos="7048"/>
        </w:tabs>
        <w:ind w:firstLine="1134"/>
        <w:jc w:val="both"/>
        <w:rPr>
          <w:rFonts w:ascii="Arial" w:hAnsi="Arial" w:cs="Arial"/>
          <w:sz w:val="19"/>
          <w:szCs w:val="19"/>
        </w:rPr>
      </w:pPr>
      <w:r>
        <w:rPr>
          <w:rFonts w:ascii="Arial" w:hAnsi="Arial" w:cs="Arial"/>
          <w:sz w:val="19"/>
          <w:szCs w:val="19"/>
        </w:rPr>
        <w:t xml:space="preserve">§ 2º. Deverá ser mantido diário de obra com anotações a respeito das condições do tempo, serviços realizados e fatos relevantes, devendo ser preenchido e assinado diariamente pelo responsável técnico pela execução e estar à disposição da fiscalização a qualquer hora no local da obra. </w:t>
      </w:r>
    </w:p>
    <w:p w14:paraId="45B8EA41" w14:textId="77777777" w:rsidR="00593A8C" w:rsidRDefault="00593A8C" w:rsidP="00593A8C">
      <w:pPr>
        <w:tabs>
          <w:tab w:val="left" w:pos="568"/>
          <w:tab w:val="left" w:pos="1288"/>
          <w:tab w:val="left" w:pos="2008"/>
          <w:tab w:val="left" w:pos="2728"/>
          <w:tab w:val="left" w:pos="3448"/>
          <w:tab w:val="left" w:pos="4168"/>
          <w:tab w:val="left" w:pos="4888"/>
          <w:tab w:val="left" w:pos="5608"/>
          <w:tab w:val="left" w:pos="6328"/>
          <w:tab w:val="left" w:pos="7048"/>
        </w:tabs>
        <w:ind w:firstLine="1134"/>
        <w:jc w:val="both"/>
        <w:rPr>
          <w:rFonts w:ascii="Arial" w:hAnsi="Arial" w:cs="Arial"/>
          <w:sz w:val="19"/>
          <w:szCs w:val="19"/>
        </w:rPr>
      </w:pPr>
      <w:r>
        <w:rPr>
          <w:rFonts w:ascii="Arial" w:hAnsi="Arial" w:cs="Arial"/>
          <w:sz w:val="19"/>
          <w:szCs w:val="19"/>
        </w:rPr>
        <w:t>§ 3º. Obra e serviços incompletos, defeituosos ou em desacordo com os Projetos e os Memoriais Descritivos deverão ser refeitos imediatamente, não cabendo à CONTRATADA o direito à indenização, ficando a mesma sujeita às sanções previstas neste contrato.</w:t>
      </w:r>
    </w:p>
    <w:p w14:paraId="61FF940E" w14:textId="77777777" w:rsidR="00593A8C" w:rsidRDefault="00593A8C" w:rsidP="00593A8C">
      <w:pPr>
        <w:tabs>
          <w:tab w:val="left" w:pos="568"/>
          <w:tab w:val="left" w:pos="1288"/>
          <w:tab w:val="left" w:pos="2008"/>
          <w:tab w:val="left" w:pos="2728"/>
          <w:tab w:val="left" w:pos="3448"/>
          <w:tab w:val="left" w:pos="4168"/>
          <w:tab w:val="left" w:pos="4888"/>
          <w:tab w:val="left" w:pos="5608"/>
          <w:tab w:val="left" w:pos="6328"/>
          <w:tab w:val="left" w:pos="7048"/>
        </w:tabs>
        <w:ind w:firstLine="1134"/>
        <w:jc w:val="both"/>
        <w:rPr>
          <w:rFonts w:ascii="Arial" w:hAnsi="Arial" w:cs="Arial"/>
          <w:sz w:val="19"/>
          <w:szCs w:val="19"/>
        </w:rPr>
      </w:pPr>
      <w:r>
        <w:rPr>
          <w:rFonts w:ascii="Arial" w:hAnsi="Arial" w:cs="Arial"/>
          <w:sz w:val="19"/>
          <w:szCs w:val="19"/>
        </w:rPr>
        <w:t>§ 4º. Apresentar, quando solicitada pela fiscalização, a relação com o nome, o número da carteira de identidade e da carteira de trabalho dos funcionários que participam dos trabalhos, devendo anexar cópias da carteira de trabalho dos funcionários indicados na relação, comprovando que os mesmos pertencem ao seu quadro permanente. Em caso de eventuais substituições, a CONTRATADA deverá comunicar com antecedência ao CONTRATANTE, por escrito, e apresentar as novas comprovações.</w:t>
      </w:r>
    </w:p>
    <w:p w14:paraId="24DFD220" w14:textId="77777777" w:rsidR="00593A8C" w:rsidRDefault="00593A8C" w:rsidP="00593A8C">
      <w:pPr>
        <w:ind w:firstLine="1134"/>
        <w:jc w:val="both"/>
        <w:rPr>
          <w:rFonts w:ascii="Arial" w:hAnsi="Arial" w:cs="Arial"/>
          <w:b/>
          <w:bCs/>
          <w:snapToGrid w:val="0"/>
          <w:sz w:val="19"/>
          <w:szCs w:val="19"/>
        </w:rPr>
      </w:pPr>
    </w:p>
    <w:p w14:paraId="398CE4D3" w14:textId="77777777" w:rsidR="00593A8C" w:rsidRDefault="00593A8C" w:rsidP="00593A8C">
      <w:pPr>
        <w:ind w:firstLine="1134"/>
        <w:jc w:val="both"/>
        <w:rPr>
          <w:rFonts w:ascii="Arial" w:hAnsi="Arial" w:cs="Arial"/>
          <w:b/>
          <w:bCs/>
          <w:snapToGrid w:val="0"/>
          <w:sz w:val="19"/>
          <w:szCs w:val="19"/>
        </w:rPr>
      </w:pPr>
      <w:r>
        <w:rPr>
          <w:rFonts w:ascii="Arial" w:hAnsi="Arial" w:cs="Arial"/>
          <w:b/>
          <w:bCs/>
          <w:snapToGrid w:val="0"/>
          <w:sz w:val="19"/>
          <w:szCs w:val="19"/>
        </w:rPr>
        <w:t>CLÁUSULA NONA – DA VIGÊNCIA</w:t>
      </w:r>
    </w:p>
    <w:p w14:paraId="6D334C44" w14:textId="77777777" w:rsidR="00593A8C" w:rsidRDefault="00593A8C" w:rsidP="00593A8C">
      <w:pPr>
        <w:ind w:firstLine="1134"/>
        <w:jc w:val="both"/>
        <w:rPr>
          <w:rFonts w:ascii="Arial" w:hAnsi="Arial" w:cs="Arial"/>
          <w:snapToGrid w:val="0"/>
          <w:sz w:val="19"/>
          <w:szCs w:val="19"/>
        </w:rPr>
      </w:pPr>
    </w:p>
    <w:p w14:paraId="6401AFD5" w14:textId="77777777" w:rsidR="00593A8C" w:rsidRDefault="00593A8C" w:rsidP="00593A8C">
      <w:pPr>
        <w:ind w:firstLine="1134"/>
        <w:jc w:val="both"/>
        <w:rPr>
          <w:rFonts w:ascii="Arial" w:hAnsi="Arial" w:cs="Arial"/>
          <w:sz w:val="19"/>
          <w:szCs w:val="19"/>
        </w:rPr>
      </w:pPr>
      <w:r>
        <w:rPr>
          <w:rFonts w:ascii="Arial" w:hAnsi="Arial" w:cs="Arial"/>
          <w:snapToGrid w:val="0"/>
          <w:sz w:val="19"/>
          <w:szCs w:val="19"/>
        </w:rPr>
        <w:t xml:space="preserve">O prazo de vigência desta Ata é de 12 meses, a contar da data de assinatura, podendo ser prorrogado em até 90 dias, mediante termo aditivo. </w:t>
      </w:r>
    </w:p>
    <w:p w14:paraId="2FC36435" w14:textId="77777777" w:rsidR="00593A8C" w:rsidRDefault="00593A8C" w:rsidP="00593A8C">
      <w:pPr>
        <w:ind w:firstLine="1134"/>
        <w:jc w:val="both"/>
        <w:rPr>
          <w:rFonts w:ascii="Arial" w:hAnsi="Arial" w:cs="Arial"/>
          <w:b/>
          <w:sz w:val="19"/>
          <w:szCs w:val="19"/>
        </w:rPr>
      </w:pPr>
    </w:p>
    <w:p w14:paraId="75E81952" w14:textId="77777777" w:rsidR="00593A8C" w:rsidRDefault="00593A8C" w:rsidP="00593A8C">
      <w:pPr>
        <w:ind w:firstLine="1134"/>
        <w:rPr>
          <w:rFonts w:ascii="Arial" w:hAnsi="Arial" w:cs="Arial"/>
          <w:b/>
          <w:bCs/>
          <w:sz w:val="19"/>
          <w:szCs w:val="19"/>
        </w:rPr>
      </w:pPr>
      <w:r>
        <w:rPr>
          <w:rFonts w:ascii="Arial" w:hAnsi="Arial" w:cs="Arial"/>
          <w:b/>
          <w:bCs/>
          <w:sz w:val="19"/>
          <w:szCs w:val="19"/>
        </w:rPr>
        <w:t>CLÁUSULA DÉCIMA - DA DOTAÇÃO ORÇAMENTÁRIA</w:t>
      </w:r>
    </w:p>
    <w:p w14:paraId="64205759" w14:textId="77777777" w:rsidR="00593A8C" w:rsidRDefault="00593A8C" w:rsidP="00593A8C">
      <w:pPr>
        <w:ind w:firstLine="1134"/>
        <w:rPr>
          <w:rFonts w:ascii="Arial" w:hAnsi="Arial" w:cs="Arial"/>
          <w:sz w:val="19"/>
          <w:szCs w:val="19"/>
        </w:rPr>
      </w:pPr>
    </w:p>
    <w:p w14:paraId="47C3D536" w14:textId="77777777" w:rsidR="00593A8C" w:rsidRDefault="00593A8C" w:rsidP="00593A8C">
      <w:pPr>
        <w:ind w:firstLine="1134"/>
        <w:jc w:val="both"/>
        <w:rPr>
          <w:rFonts w:ascii="Arial" w:hAnsi="Arial" w:cs="Arial"/>
          <w:sz w:val="19"/>
          <w:szCs w:val="19"/>
        </w:rPr>
      </w:pPr>
      <w:r>
        <w:rPr>
          <w:rFonts w:ascii="Arial" w:hAnsi="Arial" w:cs="Arial"/>
          <w:sz w:val="19"/>
          <w:szCs w:val="19"/>
        </w:rPr>
        <w:t>Para aquisição do objeto desta licitação os recursos previstos correrão por conta das dotações que se fizerem necessárias às compras.</w:t>
      </w:r>
    </w:p>
    <w:p w14:paraId="3ED75754" w14:textId="77777777" w:rsidR="00593A8C" w:rsidRDefault="00593A8C" w:rsidP="00593A8C">
      <w:pPr>
        <w:ind w:firstLine="1134"/>
        <w:rPr>
          <w:rFonts w:ascii="Arial" w:hAnsi="Arial" w:cs="Arial"/>
          <w:sz w:val="19"/>
          <w:szCs w:val="19"/>
        </w:rPr>
      </w:pPr>
    </w:p>
    <w:p w14:paraId="663DFBC4" w14:textId="77777777" w:rsidR="00593A8C" w:rsidRDefault="00593A8C" w:rsidP="00593A8C">
      <w:pPr>
        <w:ind w:firstLine="1134"/>
        <w:jc w:val="both"/>
        <w:rPr>
          <w:rFonts w:ascii="Arial" w:hAnsi="Arial" w:cs="Arial"/>
          <w:b/>
          <w:sz w:val="19"/>
          <w:szCs w:val="19"/>
        </w:rPr>
      </w:pPr>
      <w:r>
        <w:rPr>
          <w:rFonts w:ascii="Arial" w:hAnsi="Arial" w:cs="Arial"/>
          <w:b/>
          <w:sz w:val="19"/>
          <w:szCs w:val="19"/>
        </w:rPr>
        <w:t>CLÁUSULA DÉCIMA PRIMEIRA - DAS PENALIDADES</w:t>
      </w:r>
    </w:p>
    <w:p w14:paraId="72F08EA1" w14:textId="77777777" w:rsidR="00593A8C" w:rsidRDefault="00593A8C" w:rsidP="00593A8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color w:val="FF6600"/>
          <w:sz w:val="19"/>
          <w:szCs w:val="19"/>
        </w:rPr>
      </w:pPr>
    </w:p>
    <w:p w14:paraId="119C9D11" w14:textId="77777777" w:rsidR="00593A8C" w:rsidRDefault="00593A8C" w:rsidP="00593A8C">
      <w:pPr>
        <w:tabs>
          <w:tab w:val="left" w:pos="288"/>
          <w:tab w:val="left" w:pos="540"/>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19"/>
          <w:szCs w:val="19"/>
        </w:rPr>
      </w:pPr>
      <w:r>
        <w:rPr>
          <w:rFonts w:ascii="Arial" w:hAnsi="Arial" w:cs="Arial"/>
          <w:sz w:val="19"/>
          <w:szCs w:val="19"/>
        </w:rPr>
        <w:t>A ADMINISTRAÇÃO, no uso das prerrogativas que lhe confere o inciso IV, do Art. 104 e 156, incisos I, II, III, IV e §1º ao § 9º da Lei Federal nº 14.133/21, aplicará sanções, se houver descumprimento com o disposto na presente Ata de Registro de Preços e/ou com a proposta apresentada.</w:t>
      </w:r>
    </w:p>
    <w:p w14:paraId="40426247" w14:textId="77777777" w:rsidR="00593A8C" w:rsidRDefault="00593A8C" w:rsidP="00593A8C">
      <w:pPr>
        <w:tabs>
          <w:tab w:val="left" w:pos="288"/>
          <w:tab w:val="left" w:pos="540"/>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19"/>
          <w:szCs w:val="19"/>
        </w:rPr>
      </w:pPr>
      <w:r>
        <w:rPr>
          <w:rFonts w:ascii="Arial" w:hAnsi="Arial" w:cs="Arial"/>
          <w:sz w:val="19"/>
          <w:szCs w:val="19"/>
        </w:rPr>
        <w:t>II - Pelo atraso na prestação dos serviços, além do prazo estipulado, aplicação de multa na razão de 1% (um por cento), por dia de atraso, sobre o valor total da Nota de Empenho, até 5 (cinco) dias consecutivos de atraso. Após esse prazo, poderá, também, ser anulada a Nota de Empenho e aplicada as penas previstas no art. 156, III, da Lei nº 14.133/21, pelo prazo de, no mínimo, 36 (trinta e seis) meses</w:t>
      </w:r>
    </w:p>
    <w:p w14:paraId="4DC1141C" w14:textId="77777777" w:rsidR="00593A8C" w:rsidRDefault="00593A8C" w:rsidP="00593A8C">
      <w:pPr>
        <w:tabs>
          <w:tab w:val="left" w:pos="288"/>
          <w:tab w:val="left" w:pos="540"/>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19"/>
          <w:szCs w:val="19"/>
        </w:rPr>
      </w:pPr>
      <w:r>
        <w:rPr>
          <w:rFonts w:ascii="Arial" w:hAnsi="Arial" w:cs="Arial"/>
          <w:sz w:val="19"/>
          <w:szCs w:val="19"/>
        </w:rPr>
        <w:lastRenderedPageBreak/>
        <w:t>III - Prestação em desacordo com o solicitado, não atendimento as impugnações, não correção e/ou reparo, não substituição de material inadequado, será aplicada de multa na razão de 5% (cinco por cento), sobre o valor total da Nota de Empenho, por dia, que não poderá ultrapassar a 10 (dez) dias consecutivos para a efetiva adequação. Após esse prazo, poderá, também, ser anulada a Nota de Empenho e aplicada às penas previstas no art. 156, III, da Lei nº 14.133/21, pelo prazo de, no mínimo, 36 (trinta e seis) meses</w:t>
      </w:r>
    </w:p>
    <w:p w14:paraId="032D599B" w14:textId="77777777" w:rsidR="00593A8C" w:rsidRDefault="00593A8C" w:rsidP="00593A8C">
      <w:pPr>
        <w:tabs>
          <w:tab w:val="left" w:pos="288"/>
          <w:tab w:val="left" w:pos="540"/>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19"/>
          <w:szCs w:val="19"/>
        </w:rPr>
      </w:pPr>
      <w:r>
        <w:rPr>
          <w:rFonts w:ascii="Arial" w:hAnsi="Arial" w:cs="Arial"/>
          <w:sz w:val="19"/>
          <w:szCs w:val="19"/>
        </w:rPr>
        <w:t>IV - Quando da reincidência em imperfeição já notificada pela ADMINISTRAÇÃO, aplicação de multa na razão de 2% (dois por cento), sobre o valor total da Nota de Empenho por reincidência, sendo que a COMPROMITENTE PRESTADORA DOS SERVIÇOS terá um prazo de até 10 (dez) dias consecutivos para a efetiva adequação dos serviços. Após 3 (três) reincidências e/ou após o prazo, poderá, também, ser anulada a Nota de Empenho e aplicada às penas previstas no art. 156, III, da Lei nº 14.133/21, pelo prazo de, no mínimo, 36 (trinta e seis) meses</w:t>
      </w:r>
    </w:p>
    <w:p w14:paraId="7DD34434" w14:textId="77777777" w:rsidR="00593A8C" w:rsidRDefault="00593A8C" w:rsidP="00593A8C">
      <w:pPr>
        <w:tabs>
          <w:tab w:val="left" w:pos="288"/>
          <w:tab w:val="left" w:pos="540"/>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19"/>
          <w:szCs w:val="19"/>
        </w:rPr>
      </w:pPr>
    </w:p>
    <w:p w14:paraId="2CEC883D" w14:textId="77777777" w:rsidR="00593A8C" w:rsidRDefault="00593A8C" w:rsidP="00593A8C">
      <w:pPr>
        <w:tabs>
          <w:tab w:val="left" w:pos="288"/>
          <w:tab w:val="left" w:pos="540"/>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19"/>
          <w:szCs w:val="19"/>
        </w:rPr>
      </w:pPr>
      <w:r>
        <w:rPr>
          <w:rFonts w:ascii="Arial" w:hAnsi="Arial" w:cs="Arial"/>
          <w:sz w:val="19"/>
          <w:szCs w:val="19"/>
        </w:rPr>
        <w:t xml:space="preserve">§ 1º. Com fundamento no artigo 156, § 4º, da Lei n.º 14.133/21, o responsável ficará impedido de licitar ou contratar no âmbito da Administração Pública direta e indireta do Município de Flores da Cunha, pelo prazo máximo de 3 (três) anos, garantida a ampla defesa, sem prejuízo das demais cominações legais e de multa de 0,5% a 30% sobre o valor da contratação, a COMPROMITENTE PRESTADORA DOS SERVIÇOS que: </w:t>
      </w:r>
    </w:p>
    <w:p w14:paraId="0933549F" w14:textId="77777777" w:rsidR="00593A8C" w:rsidRDefault="00593A8C" w:rsidP="00593A8C">
      <w:pPr>
        <w:tabs>
          <w:tab w:val="left" w:pos="288"/>
          <w:tab w:val="left" w:pos="540"/>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19"/>
          <w:szCs w:val="19"/>
        </w:rPr>
      </w:pPr>
      <w:r>
        <w:rPr>
          <w:rFonts w:ascii="Arial" w:hAnsi="Arial" w:cs="Arial"/>
          <w:sz w:val="19"/>
          <w:szCs w:val="19"/>
        </w:rPr>
        <w:t>a - dar causa à inexecução parcial da Ata de Registro de Preços que cause grave dano à Administração, ao funcionamento dos serviços públicos ou ao interesse coletivo;</w:t>
      </w:r>
    </w:p>
    <w:p w14:paraId="1141FDAE" w14:textId="77777777" w:rsidR="00593A8C" w:rsidRDefault="00593A8C" w:rsidP="00593A8C">
      <w:pPr>
        <w:tabs>
          <w:tab w:val="left" w:pos="288"/>
          <w:tab w:val="left" w:pos="540"/>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19"/>
          <w:szCs w:val="19"/>
        </w:rPr>
      </w:pPr>
      <w:r>
        <w:rPr>
          <w:rFonts w:ascii="Arial" w:hAnsi="Arial" w:cs="Arial"/>
          <w:sz w:val="19"/>
          <w:szCs w:val="19"/>
        </w:rPr>
        <w:t>b - dar causa à inexecução total da Ata de Registro de Preços;</w:t>
      </w:r>
    </w:p>
    <w:p w14:paraId="2BADAC3E" w14:textId="77777777" w:rsidR="00593A8C" w:rsidRDefault="00593A8C" w:rsidP="00593A8C">
      <w:pPr>
        <w:tabs>
          <w:tab w:val="left" w:pos="288"/>
          <w:tab w:val="left" w:pos="540"/>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19"/>
          <w:szCs w:val="19"/>
        </w:rPr>
      </w:pPr>
      <w:r>
        <w:rPr>
          <w:rFonts w:ascii="Arial" w:hAnsi="Arial" w:cs="Arial"/>
          <w:sz w:val="19"/>
          <w:szCs w:val="19"/>
        </w:rPr>
        <w:t>c - deixar de entregar a documentação exigida para o certame;</w:t>
      </w:r>
    </w:p>
    <w:p w14:paraId="40B58A8F" w14:textId="77777777" w:rsidR="00593A8C" w:rsidRDefault="00593A8C" w:rsidP="00593A8C">
      <w:pPr>
        <w:tabs>
          <w:tab w:val="left" w:pos="288"/>
          <w:tab w:val="left" w:pos="540"/>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19"/>
          <w:szCs w:val="19"/>
        </w:rPr>
      </w:pPr>
    </w:p>
    <w:p w14:paraId="0F916718" w14:textId="77777777" w:rsidR="00593A8C" w:rsidRDefault="00593A8C" w:rsidP="00593A8C">
      <w:pPr>
        <w:tabs>
          <w:tab w:val="left" w:pos="288"/>
          <w:tab w:val="left" w:pos="540"/>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19"/>
          <w:szCs w:val="19"/>
        </w:rPr>
      </w:pPr>
      <w:r>
        <w:rPr>
          <w:rFonts w:ascii="Arial" w:hAnsi="Arial" w:cs="Arial"/>
          <w:sz w:val="19"/>
          <w:szCs w:val="19"/>
        </w:rPr>
        <w:t>d - não manter a proposta, salvo em decorrência de fato superveniente devidamente justificado;</w:t>
      </w:r>
    </w:p>
    <w:p w14:paraId="582CC0B6" w14:textId="77777777" w:rsidR="00593A8C" w:rsidRDefault="00593A8C" w:rsidP="00593A8C">
      <w:pPr>
        <w:tabs>
          <w:tab w:val="left" w:pos="288"/>
          <w:tab w:val="left" w:pos="540"/>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19"/>
          <w:szCs w:val="19"/>
        </w:rPr>
      </w:pPr>
      <w:r>
        <w:rPr>
          <w:rFonts w:ascii="Arial" w:hAnsi="Arial" w:cs="Arial"/>
          <w:sz w:val="19"/>
          <w:szCs w:val="19"/>
        </w:rPr>
        <w:t>e - não celebrar a Ata de Registro de Preços ou não entregar a documentação exigida para a contratação formalização, quando convocado dentro do prazo de validade de sua proposta;</w:t>
      </w:r>
    </w:p>
    <w:p w14:paraId="47E9DA69" w14:textId="77777777" w:rsidR="00593A8C" w:rsidRDefault="00593A8C" w:rsidP="00593A8C">
      <w:pPr>
        <w:tabs>
          <w:tab w:val="left" w:pos="288"/>
          <w:tab w:val="left" w:pos="540"/>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19"/>
          <w:szCs w:val="19"/>
        </w:rPr>
      </w:pPr>
      <w:r>
        <w:rPr>
          <w:rFonts w:ascii="Arial" w:hAnsi="Arial" w:cs="Arial"/>
          <w:sz w:val="19"/>
          <w:szCs w:val="19"/>
        </w:rPr>
        <w:t>f - ensejar o retardamento da execução ou da entrega do objeto da licitação sem motivo justificado;</w:t>
      </w:r>
    </w:p>
    <w:p w14:paraId="716CD53E" w14:textId="77777777" w:rsidR="00593A8C" w:rsidRDefault="00593A8C" w:rsidP="00593A8C">
      <w:pPr>
        <w:tabs>
          <w:tab w:val="left" w:pos="288"/>
          <w:tab w:val="left" w:pos="540"/>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19"/>
          <w:szCs w:val="19"/>
        </w:rPr>
      </w:pPr>
      <w:r>
        <w:rPr>
          <w:rFonts w:ascii="Arial" w:hAnsi="Arial" w:cs="Arial"/>
          <w:sz w:val="19"/>
          <w:szCs w:val="19"/>
        </w:rPr>
        <w:t xml:space="preserve">§ 2º. Com fundamento no artigo 156, § 5º, da Lei n.º 14.133/21, o responsável ficará impedido de licitar ou contratar no âmbito da Administração Pública direta e indireta de todos os entes federativos, pelo prazo mínimo de 3 (três) anos e máximo de 6 (seis) anos, garantida a ampla defesa, sem prejuízo das demais cominações legais e de multa de 0,5% a 30% sobre o valor da contratação, a COMPROMITENTE PRESTADORA DOS SERVIÇOS que: que: </w:t>
      </w:r>
    </w:p>
    <w:p w14:paraId="773DA953" w14:textId="77777777" w:rsidR="00593A8C" w:rsidRDefault="00593A8C" w:rsidP="00593A8C">
      <w:pPr>
        <w:tabs>
          <w:tab w:val="left" w:pos="288"/>
          <w:tab w:val="left" w:pos="540"/>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19"/>
          <w:szCs w:val="19"/>
        </w:rPr>
      </w:pPr>
      <w:r>
        <w:rPr>
          <w:rFonts w:ascii="Arial" w:hAnsi="Arial" w:cs="Arial"/>
          <w:sz w:val="19"/>
          <w:szCs w:val="19"/>
        </w:rPr>
        <w:t>a - apresentar declaração ou documentação falsa exigida para o certame ou prestar declaração falsa durante a licitação ou a execução da Ata de Registro de Preços;</w:t>
      </w:r>
    </w:p>
    <w:p w14:paraId="1395D475" w14:textId="77777777" w:rsidR="00593A8C" w:rsidRDefault="00593A8C" w:rsidP="00593A8C">
      <w:pPr>
        <w:tabs>
          <w:tab w:val="left" w:pos="288"/>
          <w:tab w:val="left" w:pos="540"/>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19"/>
          <w:szCs w:val="19"/>
        </w:rPr>
      </w:pPr>
      <w:r>
        <w:rPr>
          <w:rFonts w:ascii="Arial" w:hAnsi="Arial" w:cs="Arial"/>
          <w:sz w:val="19"/>
          <w:szCs w:val="19"/>
        </w:rPr>
        <w:t>b - fraudar a licitação ou praticar ato fraudulento na execução;</w:t>
      </w:r>
    </w:p>
    <w:p w14:paraId="7604575B" w14:textId="77777777" w:rsidR="00593A8C" w:rsidRDefault="00593A8C" w:rsidP="00593A8C">
      <w:pPr>
        <w:tabs>
          <w:tab w:val="left" w:pos="288"/>
          <w:tab w:val="left" w:pos="540"/>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19"/>
          <w:szCs w:val="19"/>
        </w:rPr>
      </w:pPr>
      <w:r>
        <w:rPr>
          <w:rFonts w:ascii="Arial" w:hAnsi="Arial" w:cs="Arial"/>
          <w:sz w:val="19"/>
          <w:szCs w:val="19"/>
        </w:rPr>
        <w:t>c - comportar-se de modo inidôneo ou cometer fraude de qualquer natureza;</w:t>
      </w:r>
    </w:p>
    <w:p w14:paraId="1F982982" w14:textId="77777777" w:rsidR="00593A8C" w:rsidRDefault="00593A8C" w:rsidP="00593A8C">
      <w:pPr>
        <w:tabs>
          <w:tab w:val="left" w:pos="288"/>
          <w:tab w:val="left" w:pos="540"/>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19"/>
          <w:szCs w:val="19"/>
        </w:rPr>
      </w:pPr>
      <w:r>
        <w:rPr>
          <w:rFonts w:ascii="Arial" w:hAnsi="Arial" w:cs="Arial"/>
          <w:sz w:val="19"/>
          <w:szCs w:val="19"/>
        </w:rPr>
        <w:t>d - praticar atos ilícitos com vistas a frustrar os objetivos da licitação;</w:t>
      </w:r>
    </w:p>
    <w:p w14:paraId="2B7D25FD" w14:textId="77777777" w:rsidR="00593A8C" w:rsidRDefault="00593A8C" w:rsidP="00593A8C">
      <w:pPr>
        <w:tabs>
          <w:tab w:val="left" w:pos="288"/>
          <w:tab w:val="left" w:pos="540"/>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19"/>
          <w:szCs w:val="19"/>
        </w:rPr>
      </w:pPr>
      <w:r>
        <w:rPr>
          <w:rFonts w:ascii="Arial" w:hAnsi="Arial" w:cs="Arial"/>
          <w:sz w:val="19"/>
          <w:szCs w:val="19"/>
        </w:rPr>
        <w:t>e - praticar ato lesivo previsto no art. 5º da Lei nº 12.846, de 1º de agosto de 2013.</w:t>
      </w:r>
    </w:p>
    <w:p w14:paraId="7B271281" w14:textId="77777777" w:rsidR="00593A8C" w:rsidRDefault="00593A8C" w:rsidP="00593A8C">
      <w:pPr>
        <w:tabs>
          <w:tab w:val="left" w:pos="288"/>
          <w:tab w:val="left" w:pos="540"/>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19"/>
          <w:szCs w:val="19"/>
        </w:rPr>
      </w:pPr>
    </w:p>
    <w:p w14:paraId="24FDD687" w14:textId="77777777" w:rsidR="00593A8C" w:rsidRDefault="00593A8C" w:rsidP="00593A8C">
      <w:pPr>
        <w:tabs>
          <w:tab w:val="left" w:pos="288"/>
          <w:tab w:val="left" w:pos="540"/>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19"/>
          <w:szCs w:val="19"/>
        </w:rPr>
      </w:pPr>
      <w:r>
        <w:rPr>
          <w:rFonts w:ascii="Arial" w:hAnsi="Arial" w:cs="Arial"/>
          <w:sz w:val="19"/>
          <w:szCs w:val="19"/>
        </w:rPr>
        <w:t>§ 3º. Para os fins da Subcondição “c” do § 2º, reputar-se-ão inidôneos atos como os descritos nos artigos 337-F, 337-G, 337-I, 337-J e 337-K do Código Penal.</w:t>
      </w:r>
    </w:p>
    <w:p w14:paraId="391BAFAB" w14:textId="77777777" w:rsidR="00593A8C" w:rsidRDefault="00593A8C" w:rsidP="00593A8C">
      <w:pPr>
        <w:tabs>
          <w:tab w:val="left" w:pos="288"/>
          <w:tab w:val="left" w:pos="540"/>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19"/>
          <w:szCs w:val="19"/>
        </w:rPr>
      </w:pPr>
      <w:r>
        <w:rPr>
          <w:rFonts w:ascii="Arial" w:hAnsi="Arial" w:cs="Arial"/>
          <w:sz w:val="19"/>
          <w:szCs w:val="19"/>
        </w:rPr>
        <w:t>§ 4º. Na aplicação das penalidades previstas a ADMINISTRAÇÃO considerará, motivadamente, a gravidade da falta, seus efeitos, bem como os antecedentes da COMPROMITENTE PRESTADORA DOS SERVIÇOS, podendo deixar de aplicá-las, se admitidas as suas justificativas, nos termos do que dispõe os artigos 156 e 157 da Lei nº. 14.133/21.</w:t>
      </w:r>
    </w:p>
    <w:p w14:paraId="762EF68E" w14:textId="77777777" w:rsidR="00593A8C" w:rsidRDefault="00593A8C" w:rsidP="00593A8C">
      <w:pPr>
        <w:tabs>
          <w:tab w:val="left" w:pos="288"/>
          <w:tab w:val="left" w:pos="540"/>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19"/>
          <w:szCs w:val="19"/>
        </w:rPr>
      </w:pPr>
      <w:r>
        <w:rPr>
          <w:rFonts w:ascii="Arial" w:hAnsi="Arial" w:cs="Arial"/>
          <w:sz w:val="19"/>
          <w:szCs w:val="19"/>
        </w:rPr>
        <w:t>§ 5°. As penalidades serão registradas no cadastro da COMPROMITENTE PRESTADORA DOS SERVIÇOS, quando for o caso.</w:t>
      </w:r>
    </w:p>
    <w:p w14:paraId="02B591B6" w14:textId="77777777" w:rsidR="00593A8C" w:rsidRDefault="00593A8C" w:rsidP="00593A8C">
      <w:pPr>
        <w:tabs>
          <w:tab w:val="left" w:pos="288"/>
          <w:tab w:val="left" w:pos="540"/>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19"/>
          <w:szCs w:val="19"/>
        </w:rPr>
      </w:pPr>
      <w:r>
        <w:rPr>
          <w:rFonts w:ascii="Arial" w:hAnsi="Arial" w:cs="Arial"/>
          <w:sz w:val="19"/>
          <w:szCs w:val="19"/>
        </w:rPr>
        <w:t>§ 6°. A sanção pelas infrações previstas nos incisos VIII e XII do caput do art. 155 Lei 14.133/21 exigirá, como condição de reabilitação do licitante ou COMPROMITENTE PRESTADORA DOS SERVIÇOS, a implantação ou aperfeiçoamento de programa de integridade pelo responsável.</w:t>
      </w:r>
    </w:p>
    <w:p w14:paraId="0AA3AACB" w14:textId="77777777" w:rsidR="00593A8C" w:rsidRDefault="00593A8C" w:rsidP="00593A8C">
      <w:pPr>
        <w:tabs>
          <w:tab w:val="left" w:pos="288"/>
          <w:tab w:val="left" w:pos="540"/>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19"/>
          <w:szCs w:val="19"/>
        </w:rPr>
      </w:pPr>
      <w:r>
        <w:rPr>
          <w:rFonts w:ascii="Arial" w:hAnsi="Arial" w:cs="Arial"/>
          <w:sz w:val="19"/>
          <w:szCs w:val="19"/>
        </w:rPr>
        <w:t>§ 7º. Nenhum pagamento será efetuado enquanto pendente de liquidação qualquer obrigação financeira que for imposta ao fornecedor em virtude de penalidade ou inadimplência contratual.</w:t>
      </w:r>
    </w:p>
    <w:p w14:paraId="43DBDFA7" w14:textId="77777777" w:rsidR="00593A8C" w:rsidRDefault="00593A8C" w:rsidP="00593A8C">
      <w:pPr>
        <w:tabs>
          <w:tab w:val="left" w:pos="288"/>
          <w:tab w:val="left" w:pos="540"/>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19"/>
          <w:szCs w:val="19"/>
        </w:rPr>
      </w:pPr>
      <w:r>
        <w:rPr>
          <w:rFonts w:ascii="Arial" w:hAnsi="Arial" w:cs="Arial"/>
          <w:sz w:val="19"/>
          <w:szCs w:val="19"/>
        </w:rPr>
        <w:t>§ 8º. As multas são independentes e a aplicação de uma não exclui a(s) outra(s).</w:t>
      </w:r>
    </w:p>
    <w:p w14:paraId="651FD316" w14:textId="77777777" w:rsidR="00593A8C" w:rsidRDefault="00593A8C" w:rsidP="00593A8C">
      <w:pPr>
        <w:tabs>
          <w:tab w:val="left" w:pos="288"/>
          <w:tab w:val="left" w:pos="540"/>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b/>
          <w:iCs/>
          <w:sz w:val="19"/>
          <w:szCs w:val="19"/>
        </w:rPr>
      </w:pPr>
      <w:r>
        <w:rPr>
          <w:rFonts w:ascii="Arial" w:hAnsi="Arial" w:cs="Arial"/>
          <w:sz w:val="19"/>
          <w:szCs w:val="19"/>
        </w:rPr>
        <w:t>§ 9º. Será facultada apresentação de defesa prévia na ocorrência de quaisquer das situações previstas, poderá, também, ser anulada a Nota de Empenho e aplicada às penas previstas no art. 156, III, da Lei nº 14.133/21, pelo prazo de, no mínimo, 36 (trinta e seis) meses.</w:t>
      </w:r>
    </w:p>
    <w:p w14:paraId="10F1E436" w14:textId="77777777" w:rsidR="00593A8C" w:rsidRDefault="00593A8C" w:rsidP="00593A8C">
      <w:pPr>
        <w:ind w:firstLine="1134"/>
        <w:jc w:val="both"/>
        <w:rPr>
          <w:rFonts w:ascii="Arial" w:hAnsi="Arial" w:cs="Arial"/>
          <w:b/>
          <w:iCs/>
          <w:sz w:val="19"/>
          <w:szCs w:val="19"/>
        </w:rPr>
      </w:pPr>
    </w:p>
    <w:p w14:paraId="2ACCB0B4" w14:textId="77777777" w:rsidR="00593A8C" w:rsidRDefault="00593A8C" w:rsidP="00593A8C">
      <w:pPr>
        <w:ind w:firstLine="1134"/>
        <w:jc w:val="both"/>
        <w:rPr>
          <w:rFonts w:ascii="Arial" w:hAnsi="Arial" w:cs="Arial"/>
          <w:b/>
          <w:bCs/>
          <w:sz w:val="19"/>
          <w:szCs w:val="19"/>
        </w:rPr>
      </w:pPr>
      <w:r>
        <w:rPr>
          <w:rFonts w:ascii="Arial" w:hAnsi="Arial" w:cs="Arial"/>
          <w:b/>
          <w:iCs/>
          <w:sz w:val="19"/>
          <w:szCs w:val="19"/>
        </w:rPr>
        <w:lastRenderedPageBreak/>
        <w:t>CLÁUSULA DÉCIMA SEGUNDA - DO REAJUSTE E DA ATUALIZAÇÃO DOS PREÇOS</w:t>
      </w:r>
    </w:p>
    <w:p w14:paraId="09A3AF01" w14:textId="77777777" w:rsidR="00593A8C" w:rsidRDefault="00593A8C" w:rsidP="00593A8C">
      <w:pPr>
        <w:ind w:firstLine="1080"/>
        <w:jc w:val="both"/>
        <w:rPr>
          <w:rFonts w:ascii="Arial" w:hAnsi="Arial" w:cs="Arial"/>
          <w:iCs/>
          <w:sz w:val="19"/>
          <w:szCs w:val="19"/>
        </w:rPr>
      </w:pPr>
      <w:r>
        <w:rPr>
          <w:rFonts w:ascii="Arial" w:hAnsi="Arial" w:cs="Arial"/>
          <w:iCs/>
          <w:sz w:val="19"/>
          <w:szCs w:val="19"/>
        </w:rPr>
        <w:t>I - O beneficiário do registro de preços, em função da dinâmica do mercado, poderá solicitar o equilíbrio econômico dos preços vigentes através de solicitação formal, desde que acompanhado de documentos que comprovem a procedência do pedido. Até a decisão final da Administração, a qual deverá ser prolatada em até 30 (trinta) dias a contar da entrega completa da documentação comprobatória, o fornecimento do produto quando solicitado pela Administração, deverá ocorrer normalmente, pelo preço registrado em vigor.</w:t>
      </w:r>
    </w:p>
    <w:p w14:paraId="677D6305" w14:textId="77777777" w:rsidR="00593A8C" w:rsidRDefault="00593A8C" w:rsidP="00593A8C">
      <w:pPr>
        <w:ind w:firstLine="1080"/>
        <w:jc w:val="both"/>
        <w:rPr>
          <w:rFonts w:ascii="Arial" w:hAnsi="Arial" w:cs="Arial"/>
          <w:iCs/>
          <w:sz w:val="19"/>
          <w:szCs w:val="19"/>
        </w:rPr>
      </w:pPr>
      <w:r>
        <w:rPr>
          <w:rFonts w:ascii="Arial" w:hAnsi="Arial" w:cs="Arial"/>
          <w:iCs/>
          <w:sz w:val="19"/>
          <w:szCs w:val="19"/>
        </w:rPr>
        <w:t>II – O Município poderá, na vigência do registro, solicitar a redução dos preços registrados, garantido a prévia defesa do beneficiário do registro, e de conformidade com os parâmetros de pesquisa de mercado realizada ou quando alterações conjunturais provocarem a redução dos preços praticados no mercado nacional e/ou internacional.</w:t>
      </w:r>
    </w:p>
    <w:p w14:paraId="504CB6B8" w14:textId="77777777" w:rsidR="00593A8C" w:rsidRDefault="00593A8C" w:rsidP="00593A8C">
      <w:pPr>
        <w:ind w:firstLine="1080"/>
        <w:jc w:val="both"/>
        <w:rPr>
          <w:rFonts w:ascii="Arial" w:hAnsi="Arial" w:cs="Arial"/>
          <w:iCs/>
          <w:sz w:val="19"/>
          <w:szCs w:val="19"/>
        </w:rPr>
      </w:pPr>
      <w:r>
        <w:rPr>
          <w:rFonts w:ascii="Arial" w:hAnsi="Arial" w:cs="Arial"/>
          <w:iCs/>
          <w:sz w:val="19"/>
          <w:szCs w:val="19"/>
        </w:rPr>
        <w:t>III - A Ata de Registro de Preços poderá sofrer alterações, obedecidas as disposições contidas no art. 124 da Lei n.º 14.133/21 e suas alterações.</w:t>
      </w:r>
    </w:p>
    <w:p w14:paraId="2A0A8D02" w14:textId="77777777" w:rsidR="00593A8C" w:rsidRDefault="00593A8C" w:rsidP="00593A8C">
      <w:pPr>
        <w:ind w:firstLine="1080"/>
        <w:jc w:val="both"/>
        <w:rPr>
          <w:rFonts w:ascii="Arial" w:hAnsi="Arial" w:cs="Arial"/>
          <w:iCs/>
          <w:sz w:val="19"/>
          <w:szCs w:val="19"/>
        </w:rPr>
      </w:pPr>
      <w:r>
        <w:rPr>
          <w:rFonts w:ascii="Arial" w:hAnsi="Arial" w:cs="Arial"/>
          <w:iCs/>
          <w:sz w:val="19"/>
          <w:szCs w:val="19"/>
        </w:rPr>
        <w:t>a) O preço registrado poderá ser revisto em decorrência de eventual redução ou elevação daqueles praticados no mercado.</w:t>
      </w:r>
    </w:p>
    <w:p w14:paraId="71D0493C" w14:textId="77777777" w:rsidR="00593A8C" w:rsidRDefault="00593A8C" w:rsidP="00593A8C">
      <w:pPr>
        <w:ind w:firstLine="1080"/>
        <w:jc w:val="both"/>
        <w:rPr>
          <w:rFonts w:ascii="Arial" w:hAnsi="Arial" w:cs="Arial"/>
          <w:iCs/>
          <w:sz w:val="19"/>
          <w:szCs w:val="19"/>
        </w:rPr>
      </w:pPr>
      <w:r>
        <w:rPr>
          <w:rFonts w:ascii="Arial" w:hAnsi="Arial" w:cs="Arial"/>
          <w:iCs/>
          <w:sz w:val="19"/>
          <w:szCs w:val="19"/>
        </w:rPr>
        <w:t>b)- Quando o preço inicialmente registrado, por motivo superveniente, tornar-se superior ao preço praticado no mercado, o Município:</w:t>
      </w:r>
    </w:p>
    <w:p w14:paraId="5E9675E3" w14:textId="77777777" w:rsidR="00593A8C" w:rsidRDefault="00593A8C" w:rsidP="00593A8C">
      <w:pPr>
        <w:ind w:firstLine="1080"/>
        <w:jc w:val="both"/>
        <w:rPr>
          <w:rFonts w:ascii="Arial" w:hAnsi="Arial" w:cs="Arial"/>
          <w:iCs/>
          <w:sz w:val="19"/>
          <w:szCs w:val="19"/>
        </w:rPr>
      </w:pPr>
      <w:r>
        <w:rPr>
          <w:rFonts w:ascii="Arial" w:hAnsi="Arial" w:cs="Arial"/>
          <w:iCs/>
          <w:sz w:val="19"/>
          <w:szCs w:val="19"/>
        </w:rPr>
        <w:t>1. convocará o fornecedor visando a negociação para redução de preços e sua adequação ao praticado pelo mercado;</w:t>
      </w:r>
    </w:p>
    <w:p w14:paraId="4D355F4E" w14:textId="77777777" w:rsidR="00593A8C" w:rsidRDefault="00593A8C" w:rsidP="00593A8C">
      <w:pPr>
        <w:ind w:firstLine="1080"/>
        <w:jc w:val="both"/>
        <w:rPr>
          <w:rFonts w:ascii="Arial" w:hAnsi="Arial" w:cs="Arial"/>
          <w:iCs/>
          <w:sz w:val="19"/>
          <w:szCs w:val="19"/>
        </w:rPr>
      </w:pPr>
      <w:r>
        <w:rPr>
          <w:rFonts w:ascii="Arial" w:hAnsi="Arial" w:cs="Arial"/>
          <w:iCs/>
          <w:sz w:val="19"/>
          <w:szCs w:val="19"/>
        </w:rPr>
        <w:t>2. frustrada a negociação e comprovado que o preço registrado é superior ao de mercado, o fornecedor será liberado do compromisso assumido; e</w:t>
      </w:r>
    </w:p>
    <w:p w14:paraId="13960503" w14:textId="77777777" w:rsidR="00593A8C" w:rsidRDefault="00593A8C" w:rsidP="00593A8C">
      <w:pPr>
        <w:ind w:firstLine="1080"/>
        <w:jc w:val="both"/>
        <w:rPr>
          <w:rFonts w:ascii="Arial" w:hAnsi="Arial" w:cs="Arial"/>
          <w:iCs/>
          <w:sz w:val="19"/>
          <w:szCs w:val="19"/>
        </w:rPr>
      </w:pPr>
      <w:r>
        <w:rPr>
          <w:rFonts w:ascii="Arial" w:hAnsi="Arial" w:cs="Arial"/>
          <w:iCs/>
          <w:sz w:val="19"/>
          <w:szCs w:val="19"/>
        </w:rPr>
        <w:t>3. convocará os demais fornecedores registrados visando igual oportunidade de negociação.</w:t>
      </w:r>
    </w:p>
    <w:p w14:paraId="7D4AF71D" w14:textId="77777777" w:rsidR="00593A8C" w:rsidRDefault="00593A8C" w:rsidP="00593A8C">
      <w:pPr>
        <w:ind w:firstLine="1080"/>
        <w:jc w:val="both"/>
        <w:rPr>
          <w:rFonts w:ascii="Arial" w:hAnsi="Arial" w:cs="Arial"/>
          <w:iCs/>
          <w:sz w:val="19"/>
          <w:szCs w:val="19"/>
        </w:rPr>
      </w:pPr>
      <w:r>
        <w:rPr>
          <w:rFonts w:ascii="Arial" w:hAnsi="Arial" w:cs="Arial"/>
          <w:iCs/>
          <w:sz w:val="19"/>
          <w:szCs w:val="19"/>
        </w:rPr>
        <w:t>IV - Quando o preço de mercado tornar-se superior aos registrados e o fornecedor, mediante requerimento devidamente comprovado, não puder cumprir o compromisso, o Município poderá:</w:t>
      </w:r>
    </w:p>
    <w:p w14:paraId="3FF70820" w14:textId="77777777" w:rsidR="00593A8C" w:rsidRDefault="00593A8C" w:rsidP="00593A8C">
      <w:pPr>
        <w:ind w:firstLine="1080"/>
        <w:jc w:val="both"/>
        <w:rPr>
          <w:rFonts w:ascii="Arial" w:hAnsi="Arial" w:cs="Arial"/>
          <w:iCs/>
          <w:sz w:val="19"/>
          <w:szCs w:val="19"/>
        </w:rPr>
      </w:pPr>
      <w:r>
        <w:rPr>
          <w:rFonts w:ascii="Arial" w:hAnsi="Arial" w:cs="Arial"/>
          <w:iCs/>
          <w:sz w:val="19"/>
          <w:szCs w:val="19"/>
        </w:rPr>
        <w:t>a) liberar o fornecedor do compromisso assumido, sem aplicação de penalidade, confirmando a veracidade dos motivos e comprovantes apresentados, e se a comunicação ocorrer antes do pedido de fornecimento; e</w:t>
      </w:r>
    </w:p>
    <w:p w14:paraId="02FF7F62" w14:textId="77777777" w:rsidR="00593A8C" w:rsidRDefault="00593A8C" w:rsidP="00593A8C">
      <w:pPr>
        <w:ind w:firstLine="1080"/>
        <w:jc w:val="both"/>
        <w:rPr>
          <w:rFonts w:ascii="Arial" w:hAnsi="Arial" w:cs="Arial"/>
          <w:iCs/>
          <w:sz w:val="19"/>
          <w:szCs w:val="19"/>
        </w:rPr>
      </w:pPr>
      <w:r>
        <w:rPr>
          <w:rFonts w:ascii="Arial" w:hAnsi="Arial" w:cs="Arial"/>
          <w:iCs/>
          <w:sz w:val="19"/>
          <w:szCs w:val="19"/>
        </w:rPr>
        <w:t>b) convocar os demais fornecedores visando igual oportunidade de negociação.</w:t>
      </w:r>
    </w:p>
    <w:p w14:paraId="1EC67838" w14:textId="77777777" w:rsidR="00593A8C" w:rsidRDefault="00593A8C" w:rsidP="00593A8C">
      <w:pPr>
        <w:ind w:firstLine="1080"/>
        <w:jc w:val="both"/>
        <w:rPr>
          <w:rFonts w:ascii="Arial" w:hAnsi="Arial" w:cs="Arial"/>
          <w:iCs/>
          <w:sz w:val="19"/>
          <w:szCs w:val="19"/>
        </w:rPr>
      </w:pPr>
      <w:r>
        <w:rPr>
          <w:rFonts w:ascii="Arial" w:hAnsi="Arial" w:cs="Arial"/>
          <w:iCs/>
          <w:sz w:val="19"/>
          <w:szCs w:val="19"/>
        </w:rPr>
        <w:t>V - Não havendo êxito nas negociações, o Órgão Gerenciador procederá à revogação da Ata de Registro de Preços para o item, adotando as medidas cabíveis para obtenção da contratação mais vantajosa.</w:t>
      </w:r>
    </w:p>
    <w:p w14:paraId="3EFEB6DE" w14:textId="77777777" w:rsidR="00593A8C" w:rsidRDefault="00593A8C" w:rsidP="00593A8C">
      <w:pPr>
        <w:ind w:firstLine="1134"/>
        <w:jc w:val="both"/>
        <w:rPr>
          <w:rFonts w:ascii="Arial" w:hAnsi="Arial" w:cs="Arial"/>
          <w:b/>
          <w:sz w:val="19"/>
          <w:szCs w:val="19"/>
        </w:rPr>
      </w:pPr>
    </w:p>
    <w:p w14:paraId="4CBA27CF" w14:textId="77777777" w:rsidR="00593A8C" w:rsidRDefault="00593A8C" w:rsidP="00593A8C">
      <w:pPr>
        <w:ind w:firstLine="1134"/>
        <w:jc w:val="both"/>
        <w:rPr>
          <w:rFonts w:ascii="Arial" w:hAnsi="Arial" w:cs="Arial"/>
          <w:b/>
          <w:bCs/>
          <w:color w:val="000000"/>
          <w:sz w:val="19"/>
          <w:szCs w:val="19"/>
        </w:rPr>
      </w:pPr>
      <w:r>
        <w:rPr>
          <w:rFonts w:ascii="Arial" w:hAnsi="Arial" w:cs="Arial"/>
          <w:b/>
          <w:bCs/>
          <w:color w:val="000000"/>
          <w:sz w:val="19"/>
          <w:szCs w:val="19"/>
        </w:rPr>
        <w:t>CLÁUSULA DÉCIMA TERCEIRA - DO CANCELAMENTO DOS PREÇOS REGISTRADOS</w:t>
      </w:r>
    </w:p>
    <w:p w14:paraId="1C95FCC7" w14:textId="77777777" w:rsidR="00593A8C" w:rsidRDefault="00593A8C" w:rsidP="00593A8C">
      <w:pPr>
        <w:ind w:firstLine="1134"/>
        <w:jc w:val="both"/>
        <w:rPr>
          <w:rFonts w:ascii="Arial" w:hAnsi="Arial" w:cs="Arial"/>
          <w:b/>
          <w:bCs/>
          <w:color w:val="000000"/>
          <w:sz w:val="19"/>
          <w:szCs w:val="19"/>
        </w:rPr>
      </w:pPr>
    </w:p>
    <w:p w14:paraId="410F2A32" w14:textId="77777777" w:rsidR="00593A8C" w:rsidRDefault="00593A8C" w:rsidP="00593A8C">
      <w:pPr>
        <w:autoSpaceDE w:val="0"/>
        <w:autoSpaceDN w:val="0"/>
        <w:adjustRightInd w:val="0"/>
        <w:ind w:firstLine="1134"/>
        <w:jc w:val="both"/>
        <w:rPr>
          <w:rFonts w:ascii="Arial" w:hAnsi="Arial" w:cs="Arial"/>
          <w:color w:val="000000"/>
          <w:sz w:val="19"/>
          <w:szCs w:val="19"/>
        </w:rPr>
      </w:pPr>
      <w:r>
        <w:rPr>
          <w:rFonts w:ascii="Arial" w:hAnsi="Arial" w:cs="Arial"/>
          <w:color w:val="000000"/>
          <w:sz w:val="19"/>
          <w:szCs w:val="19"/>
        </w:rPr>
        <w:t>A Ata de Registro de Preço será cancelada, automaticamente, por decurso do prazo de vigência ou quando não restarem fornecedores registrados e, por iniciativa do Gestor da Ata, quando:</w:t>
      </w:r>
    </w:p>
    <w:p w14:paraId="7DD29A13" w14:textId="77777777" w:rsidR="00593A8C" w:rsidRDefault="00593A8C" w:rsidP="00593A8C">
      <w:pPr>
        <w:autoSpaceDE w:val="0"/>
        <w:autoSpaceDN w:val="0"/>
        <w:adjustRightInd w:val="0"/>
        <w:ind w:firstLine="1134"/>
        <w:jc w:val="both"/>
        <w:rPr>
          <w:rFonts w:ascii="Arial" w:hAnsi="Arial" w:cs="Arial"/>
          <w:color w:val="000000"/>
          <w:sz w:val="19"/>
          <w:szCs w:val="19"/>
        </w:rPr>
      </w:pPr>
      <w:r>
        <w:rPr>
          <w:rFonts w:ascii="Arial" w:hAnsi="Arial" w:cs="Arial"/>
          <w:b/>
          <w:color w:val="000000"/>
          <w:sz w:val="19"/>
          <w:szCs w:val="19"/>
        </w:rPr>
        <w:t xml:space="preserve">I - </w:t>
      </w:r>
      <w:r>
        <w:rPr>
          <w:rFonts w:ascii="Arial" w:hAnsi="Arial" w:cs="Arial"/>
          <w:color w:val="000000"/>
          <w:sz w:val="19"/>
          <w:szCs w:val="19"/>
        </w:rPr>
        <w:t>O fornecedor não formalizar o contrato decorrente do registro de preços e/ou não retirar o instrumento equivalente no prazo estipulado ou descumprir exigências da Ata, sem justificativa aceitável;</w:t>
      </w:r>
    </w:p>
    <w:p w14:paraId="136DC9E9" w14:textId="77777777" w:rsidR="00593A8C" w:rsidRDefault="00593A8C" w:rsidP="00593A8C">
      <w:pPr>
        <w:autoSpaceDE w:val="0"/>
        <w:autoSpaceDN w:val="0"/>
        <w:adjustRightInd w:val="0"/>
        <w:ind w:firstLine="1134"/>
        <w:jc w:val="both"/>
        <w:rPr>
          <w:rFonts w:ascii="Arial" w:hAnsi="Arial" w:cs="Arial"/>
          <w:color w:val="000000"/>
          <w:sz w:val="19"/>
          <w:szCs w:val="19"/>
        </w:rPr>
      </w:pPr>
      <w:r>
        <w:rPr>
          <w:rFonts w:ascii="Arial" w:hAnsi="Arial" w:cs="Arial"/>
          <w:b/>
          <w:color w:val="000000"/>
          <w:sz w:val="19"/>
          <w:szCs w:val="19"/>
        </w:rPr>
        <w:t xml:space="preserve">II - </w:t>
      </w:r>
      <w:r>
        <w:rPr>
          <w:rFonts w:ascii="Arial" w:hAnsi="Arial" w:cs="Arial"/>
          <w:color w:val="000000"/>
          <w:sz w:val="19"/>
          <w:szCs w:val="19"/>
        </w:rPr>
        <w:t>Ocorrer qualquer das hipóteses de inexecução total ou parcial do instrumento de ajuste;</w:t>
      </w:r>
    </w:p>
    <w:p w14:paraId="75E79E9F" w14:textId="77777777" w:rsidR="00593A8C" w:rsidRDefault="00593A8C" w:rsidP="00593A8C">
      <w:pPr>
        <w:autoSpaceDE w:val="0"/>
        <w:autoSpaceDN w:val="0"/>
        <w:adjustRightInd w:val="0"/>
        <w:ind w:firstLine="1134"/>
        <w:jc w:val="both"/>
        <w:rPr>
          <w:rFonts w:ascii="Arial" w:hAnsi="Arial" w:cs="Arial"/>
          <w:color w:val="000000"/>
          <w:sz w:val="19"/>
          <w:szCs w:val="19"/>
        </w:rPr>
      </w:pPr>
      <w:r>
        <w:rPr>
          <w:rFonts w:ascii="Arial" w:hAnsi="Arial" w:cs="Arial"/>
          <w:b/>
          <w:color w:val="000000"/>
          <w:sz w:val="19"/>
          <w:szCs w:val="19"/>
        </w:rPr>
        <w:t xml:space="preserve">III - </w:t>
      </w:r>
      <w:r>
        <w:rPr>
          <w:rFonts w:ascii="Arial" w:hAnsi="Arial" w:cs="Arial"/>
          <w:color w:val="000000"/>
          <w:sz w:val="19"/>
          <w:szCs w:val="19"/>
        </w:rPr>
        <w:t>Os preços registrados apresentarem-se superiores ao do mercado e não houver êxito na negociação;</w:t>
      </w:r>
    </w:p>
    <w:p w14:paraId="51BD35B1" w14:textId="77777777" w:rsidR="00593A8C" w:rsidRDefault="00593A8C" w:rsidP="00593A8C">
      <w:pPr>
        <w:autoSpaceDE w:val="0"/>
        <w:autoSpaceDN w:val="0"/>
        <w:adjustRightInd w:val="0"/>
        <w:ind w:firstLine="1134"/>
        <w:jc w:val="both"/>
        <w:rPr>
          <w:rFonts w:ascii="Arial" w:hAnsi="Arial" w:cs="Arial"/>
          <w:color w:val="000000"/>
          <w:sz w:val="19"/>
          <w:szCs w:val="19"/>
        </w:rPr>
      </w:pPr>
      <w:r>
        <w:rPr>
          <w:rFonts w:ascii="Arial" w:hAnsi="Arial" w:cs="Arial"/>
          <w:b/>
          <w:color w:val="000000"/>
          <w:sz w:val="19"/>
          <w:szCs w:val="19"/>
        </w:rPr>
        <w:t xml:space="preserve">IV - </w:t>
      </w:r>
      <w:r>
        <w:rPr>
          <w:rFonts w:ascii="Arial" w:hAnsi="Arial" w:cs="Arial"/>
          <w:color w:val="000000"/>
          <w:sz w:val="19"/>
          <w:szCs w:val="19"/>
        </w:rPr>
        <w:t>Der causa a rescisão administrativa do ajuste decorrente do registro de preços por motivos elencados no art. 155 e seguintes da Lei nº 14.133/21.</w:t>
      </w:r>
    </w:p>
    <w:p w14:paraId="62C1B1EC" w14:textId="77777777" w:rsidR="00593A8C" w:rsidRDefault="00593A8C" w:rsidP="00593A8C">
      <w:pPr>
        <w:autoSpaceDE w:val="0"/>
        <w:autoSpaceDN w:val="0"/>
        <w:adjustRightInd w:val="0"/>
        <w:ind w:firstLine="1134"/>
        <w:jc w:val="both"/>
        <w:rPr>
          <w:rFonts w:ascii="Arial" w:hAnsi="Arial" w:cs="Arial"/>
          <w:color w:val="000000"/>
          <w:sz w:val="19"/>
          <w:szCs w:val="19"/>
        </w:rPr>
      </w:pPr>
      <w:r>
        <w:rPr>
          <w:rFonts w:ascii="Arial" w:hAnsi="Arial" w:cs="Arial"/>
          <w:b/>
          <w:color w:val="000000"/>
          <w:sz w:val="19"/>
          <w:szCs w:val="19"/>
        </w:rPr>
        <w:t xml:space="preserve">V - </w:t>
      </w:r>
      <w:r>
        <w:rPr>
          <w:rFonts w:ascii="Arial" w:hAnsi="Arial" w:cs="Arial"/>
          <w:color w:val="000000"/>
          <w:sz w:val="19"/>
          <w:szCs w:val="19"/>
        </w:rPr>
        <w:t>Por razão de interesse público, devidamente motivado.</w:t>
      </w:r>
    </w:p>
    <w:p w14:paraId="3BD396C8" w14:textId="77777777" w:rsidR="00593A8C" w:rsidRDefault="00593A8C" w:rsidP="00593A8C">
      <w:pPr>
        <w:autoSpaceDE w:val="0"/>
        <w:autoSpaceDN w:val="0"/>
        <w:adjustRightInd w:val="0"/>
        <w:ind w:firstLine="1134"/>
        <w:jc w:val="both"/>
        <w:rPr>
          <w:rFonts w:ascii="Arial" w:hAnsi="Arial" w:cs="Arial"/>
          <w:color w:val="000000"/>
          <w:sz w:val="19"/>
          <w:szCs w:val="19"/>
        </w:rPr>
      </w:pPr>
      <w:r>
        <w:rPr>
          <w:rFonts w:ascii="Arial" w:hAnsi="Arial" w:cs="Arial"/>
          <w:b/>
          <w:color w:val="000000"/>
          <w:sz w:val="19"/>
          <w:szCs w:val="19"/>
        </w:rPr>
        <w:t xml:space="preserve">§ 1º. </w:t>
      </w:r>
      <w:r>
        <w:rPr>
          <w:rFonts w:ascii="Arial" w:hAnsi="Arial" w:cs="Arial"/>
          <w:color w:val="000000"/>
          <w:sz w:val="19"/>
          <w:szCs w:val="19"/>
        </w:rPr>
        <w:t xml:space="preserve">No caso de cancelamento do registro de preço, devidamente justificado nos autos do Processo, terá a </w:t>
      </w:r>
      <w:r>
        <w:rPr>
          <w:rFonts w:ascii="Arial" w:hAnsi="Arial" w:cs="Arial"/>
          <w:b/>
          <w:sz w:val="19"/>
          <w:szCs w:val="19"/>
        </w:rPr>
        <w:t>COMPROMITENTE FORNECEDORA</w:t>
      </w:r>
      <w:r>
        <w:rPr>
          <w:rFonts w:ascii="Arial" w:hAnsi="Arial" w:cs="Arial"/>
          <w:color w:val="000000"/>
          <w:sz w:val="19"/>
          <w:szCs w:val="19"/>
        </w:rPr>
        <w:t xml:space="preserve"> o prazo de 05 (cinco dias) úteis, contados da notificação, para apresentar o contraditório e a ampla defesa.</w:t>
      </w:r>
    </w:p>
    <w:p w14:paraId="3F4C4DA6" w14:textId="77777777" w:rsidR="00593A8C" w:rsidRDefault="00593A8C" w:rsidP="00593A8C">
      <w:pPr>
        <w:autoSpaceDE w:val="0"/>
        <w:autoSpaceDN w:val="0"/>
        <w:adjustRightInd w:val="0"/>
        <w:ind w:firstLine="1134"/>
        <w:jc w:val="both"/>
        <w:rPr>
          <w:rFonts w:ascii="Arial" w:hAnsi="Arial" w:cs="Arial"/>
          <w:color w:val="000000"/>
          <w:sz w:val="19"/>
          <w:szCs w:val="19"/>
        </w:rPr>
      </w:pPr>
      <w:r>
        <w:rPr>
          <w:rFonts w:ascii="Arial" w:hAnsi="Arial" w:cs="Arial"/>
          <w:b/>
          <w:color w:val="000000"/>
          <w:sz w:val="19"/>
          <w:szCs w:val="19"/>
        </w:rPr>
        <w:t xml:space="preserve">§ 2º. </w:t>
      </w:r>
      <w:r>
        <w:rPr>
          <w:rFonts w:ascii="Arial" w:hAnsi="Arial" w:cs="Arial"/>
          <w:color w:val="000000"/>
          <w:sz w:val="19"/>
          <w:szCs w:val="19"/>
        </w:rPr>
        <w:t>O cancelamento do registro de preço poderá ensejar a convocação do fornecedor com classificação imediatamente subsequente ou a realização de nova licitação para a aquisição do produto, a critério da ADMINISTRAÇÃO.</w:t>
      </w:r>
    </w:p>
    <w:p w14:paraId="6D4BAEB8" w14:textId="77777777" w:rsidR="00593A8C" w:rsidRDefault="00593A8C" w:rsidP="00593A8C">
      <w:pPr>
        <w:ind w:firstLine="1134"/>
        <w:jc w:val="both"/>
        <w:rPr>
          <w:rFonts w:ascii="Arial" w:hAnsi="Arial" w:cs="Arial"/>
          <w:b/>
          <w:sz w:val="19"/>
          <w:szCs w:val="19"/>
        </w:rPr>
      </w:pPr>
    </w:p>
    <w:p w14:paraId="0B7ACBBF" w14:textId="77777777" w:rsidR="00593A8C" w:rsidRDefault="00593A8C" w:rsidP="00593A8C">
      <w:pPr>
        <w:ind w:firstLine="1134"/>
        <w:jc w:val="both"/>
        <w:rPr>
          <w:rFonts w:ascii="Arial" w:hAnsi="Arial" w:cs="Arial"/>
          <w:b/>
          <w:sz w:val="19"/>
          <w:szCs w:val="19"/>
        </w:rPr>
      </w:pPr>
      <w:r>
        <w:rPr>
          <w:rFonts w:ascii="Arial" w:hAnsi="Arial" w:cs="Arial"/>
          <w:b/>
          <w:sz w:val="19"/>
          <w:szCs w:val="19"/>
        </w:rPr>
        <w:t>CLÁUSULA DÉCIMA QUARTA - DOS DIREITOS DA ADMINISTRAÇÃO</w:t>
      </w:r>
    </w:p>
    <w:p w14:paraId="00E71E74" w14:textId="77777777" w:rsidR="00593A8C" w:rsidRDefault="00593A8C" w:rsidP="00593A8C">
      <w:pPr>
        <w:ind w:firstLine="1134"/>
        <w:jc w:val="both"/>
        <w:rPr>
          <w:rFonts w:ascii="Arial" w:hAnsi="Arial" w:cs="Arial"/>
          <w:b/>
          <w:sz w:val="19"/>
          <w:szCs w:val="19"/>
        </w:rPr>
      </w:pPr>
    </w:p>
    <w:p w14:paraId="3D88073B" w14:textId="77777777" w:rsidR="00593A8C" w:rsidRDefault="00593A8C" w:rsidP="00593A8C">
      <w:pPr>
        <w:ind w:firstLine="1134"/>
        <w:jc w:val="both"/>
        <w:rPr>
          <w:rFonts w:ascii="Arial" w:hAnsi="Arial" w:cs="Arial"/>
          <w:sz w:val="19"/>
          <w:szCs w:val="19"/>
        </w:rPr>
      </w:pPr>
      <w:r>
        <w:rPr>
          <w:rFonts w:ascii="Arial" w:hAnsi="Arial" w:cs="Arial"/>
          <w:sz w:val="19"/>
          <w:szCs w:val="19"/>
        </w:rPr>
        <w:t>A</w:t>
      </w:r>
      <w:r>
        <w:rPr>
          <w:rFonts w:ascii="Arial" w:hAnsi="Arial" w:cs="Arial"/>
          <w:b/>
          <w:sz w:val="19"/>
          <w:szCs w:val="19"/>
        </w:rPr>
        <w:t xml:space="preserve"> </w:t>
      </w:r>
      <w:r>
        <w:rPr>
          <w:rFonts w:ascii="Arial" w:hAnsi="Arial" w:cs="Arial"/>
          <w:b/>
          <w:color w:val="000000"/>
          <w:sz w:val="19"/>
          <w:szCs w:val="19"/>
        </w:rPr>
        <w:t>COMPROMITENTE FORNECEDORA</w:t>
      </w:r>
      <w:r>
        <w:rPr>
          <w:rFonts w:ascii="Arial" w:hAnsi="Arial" w:cs="Arial"/>
          <w:sz w:val="19"/>
          <w:szCs w:val="19"/>
        </w:rPr>
        <w:t>, em caso de rescisão administrativa, reconhece todos os direitos da Administração, consoante prevê o artigo 77 da lei vigente.</w:t>
      </w:r>
    </w:p>
    <w:p w14:paraId="268A3A07" w14:textId="77777777" w:rsidR="00593A8C" w:rsidRDefault="00593A8C" w:rsidP="00593A8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b/>
          <w:sz w:val="19"/>
          <w:szCs w:val="19"/>
        </w:rPr>
      </w:pPr>
    </w:p>
    <w:p w14:paraId="5F0DF333" w14:textId="77777777" w:rsidR="00A8491B" w:rsidRDefault="00A8491B" w:rsidP="00593A8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b/>
          <w:sz w:val="19"/>
          <w:szCs w:val="19"/>
        </w:rPr>
      </w:pPr>
    </w:p>
    <w:p w14:paraId="370E9F28" w14:textId="77777777" w:rsidR="00A8491B" w:rsidRDefault="00A8491B" w:rsidP="00593A8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b/>
          <w:sz w:val="19"/>
          <w:szCs w:val="19"/>
        </w:rPr>
      </w:pPr>
    </w:p>
    <w:p w14:paraId="1FE0EA73" w14:textId="77777777" w:rsidR="00593A8C" w:rsidRDefault="00593A8C" w:rsidP="00593A8C">
      <w:pPr>
        <w:ind w:firstLine="1134"/>
        <w:jc w:val="both"/>
        <w:rPr>
          <w:rFonts w:ascii="Arial" w:hAnsi="Arial" w:cs="Arial"/>
          <w:b/>
          <w:sz w:val="19"/>
          <w:szCs w:val="19"/>
        </w:rPr>
      </w:pPr>
      <w:r>
        <w:rPr>
          <w:rFonts w:ascii="Arial" w:hAnsi="Arial" w:cs="Arial"/>
          <w:b/>
          <w:sz w:val="19"/>
          <w:szCs w:val="19"/>
        </w:rPr>
        <w:lastRenderedPageBreak/>
        <w:t>CLÁUSULA DÉCIMA QUINTA - DA LEI REGRADORA</w:t>
      </w:r>
    </w:p>
    <w:p w14:paraId="128EF155" w14:textId="77777777" w:rsidR="00593A8C" w:rsidRDefault="00593A8C" w:rsidP="00593A8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19"/>
          <w:szCs w:val="19"/>
        </w:rPr>
      </w:pPr>
    </w:p>
    <w:p w14:paraId="10CCFC29" w14:textId="3F3FE69D" w:rsidR="00593A8C" w:rsidRDefault="00593A8C" w:rsidP="00593A8C">
      <w:pPr>
        <w:ind w:firstLine="1134"/>
        <w:jc w:val="both"/>
        <w:rPr>
          <w:rFonts w:ascii="Arial" w:hAnsi="Arial" w:cs="Arial"/>
          <w:sz w:val="19"/>
          <w:szCs w:val="19"/>
        </w:rPr>
      </w:pPr>
      <w:r>
        <w:rPr>
          <w:rFonts w:ascii="Arial" w:hAnsi="Arial" w:cs="Arial"/>
          <w:sz w:val="19"/>
          <w:szCs w:val="19"/>
        </w:rPr>
        <w:t xml:space="preserve">A presente contratação reger-se-á pela Lei nº 14.133/21 e suas alterações, o edital de Pregão Eletrônica nº </w:t>
      </w:r>
      <w:r w:rsidR="00A8491B">
        <w:rPr>
          <w:rFonts w:ascii="Arial" w:hAnsi="Arial" w:cs="Arial"/>
          <w:sz w:val="19"/>
          <w:szCs w:val="19"/>
        </w:rPr>
        <w:t>171</w:t>
      </w:r>
      <w:r>
        <w:rPr>
          <w:rFonts w:ascii="Arial" w:hAnsi="Arial" w:cs="Arial"/>
          <w:sz w:val="19"/>
          <w:szCs w:val="19"/>
        </w:rPr>
        <w:t>/2023 e seus anexos, juntamente com normas de direito público, resolverão os casos omissos.</w:t>
      </w:r>
    </w:p>
    <w:p w14:paraId="22F25FCD" w14:textId="77777777" w:rsidR="00593A8C" w:rsidRDefault="00593A8C" w:rsidP="00593A8C">
      <w:pPr>
        <w:ind w:firstLine="1134"/>
        <w:jc w:val="both"/>
        <w:rPr>
          <w:rFonts w:ascii="Arial" w:hAnsi="Arial" w:cs="Arial"/>
          <w:b/>
          <w:sz w:val="19"/>
          <w:szCs w:val="19"/>
        </w:rPr>
      </w:pPr>
    </w:p>
    <w:p w14:paraId="47520A13" w14:textId="77777777" w:rsidR="00593A8C" w:rsidRDefault="00593A8C" w:rsidP="00593A8C">
      <w:pPr>
        <w:widowControl w:val="0"/>
        <w:suppressAutoHyphens/>
        <w:ind w:firstLine="1134"/>
        <w:jc w:val="both"/>
        <w:rPr>
          <w:rFonts w:ascii="Arial" w:hAnsi="Arial" w:cs="Arial"/>
          <w:b/>
          <w:sz w:val="19"/>
          <w:szCs w:val="19"/>
        </w:rPr>
      </w:pPr>
      <w:r>
        <w:rPr>
          <w:rFonts w:ascii="Arial" w:hAnsi="Arial" w:cs="Arial"/>
          <w:b/>
          <w:sz w:val="19"/>
          <w:szCs w:val="19"/>
        </w:rPr>
        <w:t>CLÁUSULA DÉCIMA SEXTA – DA VINCULAÇÃO AO EDITAL</w:t>
      </w:r>
    </w:p>
    <w:p w14:paraId="31594322" w14:textId="77777777" w:rsidR="00593A8C" w:rsidRDefault="00593A8C" w:rsidP="00593A8C">
      <w:pPr>
        <w:widowControl w:val="0"/>
        <w:suppressAutoHyphens/>
        <w:ind w:firstLine="1134"/>
        <w:jc w:val="both"/>
        <w:rPr>
          <w:rFonts w:ascii="Arial" w:hAnsi="Arial" w:cs="Arial"/>
          <w:b/>
          <w:sz w:val="19"/>
          <w:szCs w:val="19"/>
        </w:rPr>
      </w:pPr>
    </w:p>
    <w:p w14:paraId="48714D16" w14:textId="5A016047" w:rsidR="00593A8C" w:rsidRDefault="00593A8C" w:rsidP="00593A8C">
      <w:pPr>
        <w:ind w:firstLine="1134"/>
        <w:jc w:val="both"/>
        <w:rPr>
          <w:rFonts w:ascii="Arial" w:hAnsi="Arial" w:cs="Arial"/>
          <w:sz w:val="19"/>
          <w:szCs w:val="19"/>
        </w:rPr>
      </w:pPr>
      <w:r>
        <w:rPr>
          <w:rFonts w:ascii="Arial" w:hAnsi="Arial" w:cs="Arial"/>
          <w:sz w:val="19"/>
          <w:szCs w:val="19"/>
        </w:rPr>
        <w:t xml:space="preserve">Esta Ata fica vinculada ao processo licitatório modalidade Pregão Eletrônico Nº </w:t>
      </w:r>
      <w:r w:rsidR="00A8491B">
        <w:rPr>
          <w:rFonts w:ascii="Arial" w:hAnsi="Arial" w:cs="Arial"/>
          <w:sz w:val="19"/>
          <w:szCs w:val="19"/>
        </w:rPr>
        <w:t>171</w:t>
      </w:r>
      <w:r>
        <w:rPr>
          <w:rFonts w:ascii="Arial" w:hAnsi="Arial" w:cs="Arial"/>
          <w:sz w:val="19"/>
          <w:szCs w:val="19"/>
        </w:rPr>
        <w:t>/2023 e seus anexos.</w:t>
      </w:r>
    </w:p>
    <w:p w14:paraId="3DA727C0" w14:textId="77777777" w:rsidR="00593A8C" w:rsidRDefault="00593A8C" w:rsidP="00593A8C">
      <w:pPr>
        <w:ind w:firstLine="1134"/>
        <w:jc w:val="both"/>
        <w:rPr>
          <w:rFonts w:ascii="Arial" w:hAnsi="Arial" w:cs="Arial"/>
          <w:b/>
          <w:sz w:val="19"/>
          <w:szCs w:val="19"/>
        </w:rPr>
      </w:pPr>
    </w:p>
    <w:p w14:paraId="50ACB3A9" w14:textId="77777777" w:rsidR="00593A8C" w:rsidRDefault="00593A8C" w:rsidP="00593A8C">
      <w:pPr>
        <w:ind w:firstLine="1134"/>
        <w:jc w:val="both"/>
        <w:rPr>
          <w:rFonts w:ascii="Arial" w:hAnsi="Arial" w:cs="Arial"/>
          <w:b/>
          <w:sz w:val="19"/>
          <w:szCs w:val="19"/>
        </w:rPr>
      </w:pPr>
      <w:r>
        <w:rPr>
          <w:rFonts w:ascii="Arial" w:hAnsi="Arial" w:cs="Arial"/>
          <w:b/>
          <w:sz w:val="19"/>
          <w:szCs w:val="19"/>
        </w:rPr>
        <w:t>CLÁUSULA DÉCIMA SÉTIMA - DO FORO</w:t>
      </w:r>
    </w:p>
    <w:p w14:paraId="0C753C1B" w14:textId="77777777" w:rsidR="00593A8C" w:rsidRDefault="00593A8C" w:rsidP="00593A8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19"/>
          <w:szCs w:val="19"/>
        </w:rPr>
      </w:pPr>
    </w:p>
    <w:p w14:paraId="088F85E5" w14:textId="77777777" w:rsidR="00593A8C" w:rsidRDefault="00593A8C" w:rsidP="00593A8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19"/>
          <w:szCs w:val="19"/>
        </w:rPr>
      </w:pPr>
      <w:r>
        <w:rPr>
          <w:rFonts w:ascii="Arial" w:hAnsi="Arial" w:cs="Arial"/>
          <w:sz w:val="19"/>
          <w:szCs w:val="19"/>
        </w:rPr>
        <w:t>As partes elegem o Foro da Comarca de Flores da Cunha - RS com renúncia expressa de qualquer outro, por mais privilegiado que seja, para dirimir dúvidas porventura emergentes da presente contratação.</w:t>
      </w:r>
    </w:p>
    <w:p w14:paraId="05104A82" w14:textId="10F02226" w:rsidR="00593A8C" w:rsidRDefault="00593A8C" w:rsidP="00593A8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19"/>
          <w:szCs w:val="19"/>
        </w:rPr>
      </w:pPr>
      <w:r>
        <w:rPr>
          <w:rFonts w:ascii="Arial" w:hAnsi="Arial" w:cs="Arial"/>
          <w:sz w:val="19"/>
          <w:szCs w:val="19"/>
        </w:rPr>
        <w:t xml:space="preserve">E por estarem assim justos e contratados, assinam o presente instrumento, em </w:t>
      </w:r>
      <w:r w:rsidR="00C12F79">
        <w:rPr>
          <w:rFonts w:ascii="Arial" w:hAnsi="Arial" w:cs="Arial"/>
          <w:sz w:val="19"/>
          <w:szCs w:val="19"/>
        </w:rPr>
        <w:t>5</w:t>
      </w:r>
      <w:r>
        <w:rPr>
          <w:rFonts w:ascii="Arial" w:hAnsi="Arial" w:cs="Arial"/>
          <w:sz w:val="19"/>
          <w:szCs w:val="19"/>
        </w:rPr>
        <w:t xml:space="preserve"> (</w:t>
      </w:r>
      <w:r w:rsidR="00C12F79">
        <w:rPr>
          <w:rFonts w:ascii="Arial" w:hAnsi="Arial" w:cs="Arial"/>
          <w:sz w:val="19"/>
          <w:szCs w:val="19"/>
        </w:rPr>
        <w:t>cinco</w:t>
      </w:r>
      <w:r>
        <w:rPr>
          <w:rFonts w:ascii="Arial" w:hAnsi="Arial" w:cs="Arial"/>
          <w:sz w:val="19"/>
          <w:szCs w:val="19"/>
        </w:rPr>
        <w:t>) vias de igual teor e forma, na presença das testemunhas ao final subscritas, para que o mesmo produza todos os jurídicos e legais efeitos.</w:t>
      </w:r>
    </w:p>
    <w:p w14:paraId="5D070610" w14:textId="77777777" w:rsidR="00593A8C" w:rsidRDefault="00593A8C" w:rsidP="00593A8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19"/>
          <w:szCs w:val="19"/>
        </w:rPr>
      </w:pPr>
    </w:p>
    <w:p w14:paraId="71806D6D" w14:textId="1BB26263" w:rsidR="00593A8C" w:rsidRDefault="00593A8C" w:rsidP="00593A8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19"/>
          <w:szCs w:val="19"/>
        </w:rPr>
      </w:pPr>
      <w:r>
        <w:rPr>
          <w:rFonts w:ascii="Arial" w:hAnsi="Arial" w:cs="Arial"/>
          <w:sz w:val="19"/>
          <w:szCs w:val="19"/>
        </w:rPr>
        <w:t xml:space="preserve">Flores da Cunha - RS, </w:t>
      </w:r>
      <w:r w:rsidR="00A8491B">
        <w:rPr>
          <w:rFonts w:ascii="Arial" w:hAnsi="Arial" w:cs="Arial"/>
          <w:sz w:val="19"/>
          <w:szCs w:val="19"/>
        </w:rPr>
        <w:t>06</w:t>
      </w:r>
      <w:r>
        <w:rPr>
          <w:rFonts w:ascii="Arial" w:hAnsi="Arial" w:cs="Arial"/>
          <w:sz w:val="19"/>
          <w:szCs w:val="19"/>
        </w:rPr>
        <w:t xml:space="preserve"> de </w:t>
      </w:r>
      <w:r w:rsidR="00A8491B">
        <w:rPr>
          <w:rFonts w:ascii="Arial" w:hAnsi="Arial" w:cs="Arial"/>
          <w:sz w:val="19"/>
          <w:szCs w:val="19"/>
        </w:rPr>
        <w:t>novembro</w:t>
      </w:r>
      <w:r>
        <w:rPr>
          <w:rFonts w:ascii="Arial" w:hAnsi="Arial" w:cs="Arial"/>
          <w:sz w:val="19"/>
          <w:szCs w:val="19"/>
        </w:rPr>
        <w:t xml:space="preserve"> de 2023.</w:t>
      </w:r>
    </w:p>
    <w:p w14:paraId="66F2D1BA" w14:textId="77777777" w:rsidR="00593A8C" w:rsidRDefault="00593A8C" w:rsidP="00593A8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19"/>
          <w:szCs w:val="19"/>
        </w:rPr>
      </w:pPr>
    </w:p>
    <w:p w14:paraId="5225D72B" w14:textId="77777777" w:rsidR="00DD618D" w:rsidRDefault="00DD618D" w:rsidP="00593A8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19"/>
          <w:szCs w:val="19"/>
        </w:rPr>
      </w:pPr>
    </w:p>
    <w:p w14:paraId="296E0F1D" w14:textId="77777777" w:rsidR="00DD618D" w:rsidRDefault="00DD618D" w:rsidP="00593A8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19"/>
          <w:szCs w:val="19"/>
        </w:rPr>
      </w:pPr>
    </w:p>
    <w:p w14:paraId="0C64B267" w14:textId="77777777" w:rsidR="00593A8C" w:rsidRDefault="00593A8C" w:rsidP="00593A8C">
      <w:pPr>
        <w:jc w:val="center"/>
        <w:rPr>
          <w:rFonts w:ascii="Arial" w:hAnsi="Arial" w:cs="Arial"/>
          <w:b/>
          <w:sz w:val="19"/>
          <w:szCs w:val="19"/>
        </w:rPr>
      </w:pPr>
    </w:p>
    <w:p w14:paraId="0E1CC721" w14:textId="77777777" w:rsidR="00593A8C" w:rsidRPr="00C12F79" w:rsidRDefault="00593A8C" w:rsidP="00593A8C">
      <w:pPr>
        <w:jc w:val="center"/>
        <w:rPr>
          <w:rFonts w:ascii="Arial" w:hAnsi="Arial" w:cs="Arial"/>
          <w:bCs/>
          <w:sz w:val="19"/>
          <w:szCs w:val="19"/>
        </w:rPr>
      </w:pPr>
      <w:r w:rsidRPr="00C12F79">
        <w:rPr>
          <w:rFonts w:ascii="Arial" w:hAnsi="Arial" w:cs="Arial"/>
          <w:bCs/>
          <w:sz w:val="19"/>
          <w:szCs w:val="19"/>
        </w:rPr>
        <w:t>CÉSAR ULIAN</w:t>
      </w:r>
    </w:p>
    <w:p w14:paraId="010FE8D3" w14:textId="77777777" w:rsidR="00593A8C" w:rsidRPr="00C12F79" w:rsidRDefault="00593A8C" w:rsidP="00593A8C">
      <w:pPr>
        <w:jc w:val="center"/>
        <w:rPr>
          <w:rFonts w:ascii="Arial" w:hAnsi="Arial" w:cs="Arial"/>
          <w:bCs/>
          <w:sz w:val="19"/>
          <w:szCs w:val="19"/>
        </w:rPr>
      </w:pPr>
      <w:r w:rsidRPr="00C12F79">
        <w:rPr>
          <w:rFonts w:ascii="Arial" w:hAnsi="Arial" w:cs="Arial"/>
          <w:bCs/>
          <w:sz w:val="19"/>
          <w:szCs w:val="19"/>
        </w:rPr>
        <w:t>Prefeito Municipal</w:t>
      </w:r>
    </w:p>
    <w:p w14:paraId="5A63A418" w14:textId="77777777" w:rsidR="00593A8C" w:rsidRPr="00C12F79" w:rsidRDefault="00593A8C" w:rsidP="00593A8C">
      <w:pPr>
        <w:jc w:val="center"/>
        <w:rPr>
          <w:rFonts w:ascii="Arial" w:hAnsi="Arial" w:cs="Arial"/>
          <w:bCs/>
          <w:color w:val="000000"/>
          <w:sz w:val="19"/>
          <w:szCs w:val="19"/>
        </w:rPr>
      </w:pPr>
      <w:r w:rsidRPr="00C12F79">
        <w:rPr>
          <w:rFonts w:ascii="Arial" w:hAnsi="Arial" w:cs="Arial"/>
          <w:bCs/>
          <w:color w:val="000000"/>
          <w:sz w:val="19"/>
          <w:szCs w:val="19"/>
        </w:rPr>
        <w:t>ADMINISTRAÇÃO</w:t>
      </w:r>
    </w:p>
    <w:p w14:paraId="3B9B0476" w14:textId="77777777" w:rsidR="00593A8C" w:rsidRPr="00C12F79" w:rsidRDefault="00593A8C" w:rsidP="00593A8C">
      <w:pPr>
        <w:jc w:val="center"/>
        <w:rPr>
          <w:rFonts w:ascii="Arial" w:hAnsi="Arial" w:cs="Arial"/>
          <w:bCs/>
          <w:sz w:val="19"/>
          <w:szCs w:val="19"/>
        </w:rPr>
      </w:pPr>
    </w:p>
    <w:p w14:paraId="4D89DCD7" w14:textId="77777777" w:rsidR="00DD618D" w:rsidRPr="00C12F79" w:rsidRDefault="00DD618D" w:rsidP="00593A8C">
      <w:pPr>
        <w:jc w:val="center"/>
        <w:rPr>
          <w:rFonts w:ascii="Arial" w:hAnsi="Arial" w:cs="Arial"/>
          <w:bCs/>
          <w:sz w:val="19"/>
          <w:szCs w:val="19"/>
        </w:rPr>
      </w:pPr>
    </w:p>
    <w:p w14:paraId="764D2F44" w14:textId="77777777" w:rsidR="00DD618D" w:rsidRPr="00C12F79" w:rsidRDefault="00DD618D" w:rsidP="00593A8C">
      <w:pPr>
        <w:jc w:val="center"/>
        <w:rPr>
          <w:rFonts w:ascii="Arial" w:hAnsi="Arial" w:cs="Arial"/>
          <w:bCs/>
          <w:sz w:val="19"/>
          <w:szCs w:val="19"/>
        </w:rPr>
      </w:pPr>
    </w:p>
    <w:p w14:paraId="76998D2D" w14:textId="77777777" w:rsidR="00DD618D" w:rsidRPr="00C12F79" w:rsidRDefault="00DD618D" w:rsidP="00593A8C">
      <w:pPr>
        <w:jc w:val="center"/>
        <w:rPr>
          <w:rFonts w:ascii="Arial" w:hAnsi="Arial" w:cs="Arial"/>
          <w:bCs/>
          <w:sz w:val="19"/>
          <w:szCs w:val="19"/>
        </w:rPr>
      </w:pPr>
    </w:p>
    <w:p w14:paraId="62FE6606" w14:textId="549CDDC1" w:rsidR="00DD618D" w:rsidRPr="00C12F79" w:rsidRDefault="00DD618D" w:rsidP="00DD618D">
      <w:pPr>
        <w:jc w:val="center"/>
        <w:rPr>
          <w:rFonts w:ascii="Arial" w:hAnsi="Arial" w:cs="Arial"/>
          <w:bCs/>
          <w:sz w:val="19"/>
          <w:szCs w:val="19"/>
        </w:rPr>
      </w:pPr>
      <w:r w:rsidRPr="00C12F79">
        <w:rPr>
          <w:rFonts w:ascii="Arial" w:hAnsi="Arial" w:cs="Arial"/>
          <w:bCs/>
          <w:sz w:val="19"/>
          <w:szCs w:val="19"/>
        </w:rPr>
        <w:t>Pedro Antônio Reginato</w:t>
      </w:r>
    </w:p>
    <w:p w14:paraId="075FE413" w14:textId="1E46DD8C" w:rsidR="00DD618D" w:rsidRPr="00C12F79" w:rsidRDefault="00DD618D" w:rsidP="00593A8C">
      <w:pPr>
        <w:jc w:val="center"/>
        <w:rPr>
          <w:rFonts w:ascii="Arial" w:hAnsi="Arial" w:cs="Arial"/>
          <w:bCs/>
          <w:sz w:val="19"/>
          <w:szCs w:val="19"/>
        </w:rPr>
      </w:pPr>
      <w:r w:rsidRPr="00C12F79">
        <w:rPr>
          <w:rFonts w:ascii="Arial" w:hAnsi="Arial" w:cs="Arial"/>
          <w:bCs/>
          <w:sz w:val="19"/>
          <w:szCs w:val="19"/>
        </w:rPr>
        <w:t>CONCRESUL ENGENHARIA LTDA</w:t>
      </w:r>
    </w:p>
    <w:p w14:paraId="4506FCB5" w14:textId="77777777" w:rsidR="00593A8C" w:rsidRPr="00C12F79" w:rsidRDefault="00593A8C" w:rsidP="00593A8C">
      <w:pPr>
        <w:jc w:val="center"/>
        <w:rPr>
          <w:rFonts w:ascii="Arial" w:hAnsi="Arial" w:cs="Arial"/>
          <w:bCs/>
          <w:sz w:val="19"/>
          <w:szCs w:val="19"/>
        </w:rPr>
      </w:pPr>
      <w:r w:rsidRPr="00C12F79">
        <w:rPr>
          <w:rFonts w:ascii="Arial" w:hAnsi="Arial" w:cs="Arial"/>
          <w:bCs/>
          <w:sz w:val="19"/>
          <w:szCs w:val="19"/>
        </w:rPr>
        <w:t>COMPROMITENTE FORNECEDORA</w:t>
      </w:r>
    </w:p>
    <w:p w14:paraId="38197D6D" w14:textId="77777777" w:rsidR="00593A8C" w:rsidRDefault="00593A8C" w:rsidP="00593A8C">
      <w:pPr>
        <w:jc w:val="both"/>
        <w:rPr>
          <w:rFonts w:ascii="Arial" w:hAnsi="Arial" w:cs="Arial"/>
          <w:b/>
          <w:sz w:val="19"/>
          <w:szCs w:val="19"/>
        </w:rPr>
      </w:pPr>
      <w:r>
        <w:rPr>
          <w:rFonts w:ascii="Arial" w:hAnsi="Arial" w:cs="Arial"/>
          <w:b/>
          <w:sz w:val="19"/>
          <w:szCs w:val="19"/>
        </w:rPr>
        <w:t>Aprovado:</w:t>
      </w:r>
    </w:p>
    <w:p w14:paraId="44ED97FD" w14:textId="77777777" w:rsidR="00593A8C" w:rsidRDefault="00593A8C" w:rsidP="00593A8C">
      <w:pPr>
        <w:jc w:val="both"/>
        <w:rPr>
          <w:rFonts w:ascii="Arial" w:hAnsi="Arial" w:cs="Arial"/>
          <w:b/>
          <w:sz w:val="19"/>
          <w:szCs w:val="19"/>
        </w:rPr>
      </w:pPr>
    </w:p>
    <w:p w14:paraId="69EC9322" w14:textId="77777777" w:rsidR="00593A8C" w:rsidRDefault="00593A8C" w:rsidP="00593A8C">
      <w:pPr>
        <w:jc w:val="both"/>
        <w:rPr>
          <w:rFonts w:ascii="Arial" w:hAnsi="Arial" w:cs="Arial"/>
          <w:sz w:val="19"/>
          <w:szCs w:val="19"/>
        </w:rPr>
      </w:pPr>
      <w:r>
        <w:rPr>
          <w:rFonts w:ascii="Arial" w:hAnsi="Arial" w:cs="Arial"/>
          <w:sz w:val="19"/>
          <w:szCs w:val="19"/>
        </w:rPr>
        <w:t xml:space="preserve">  Fernando Foss</w:t>
      </w:r>
    </w:p>
    <w:p w14:paraId="33D57178" w14:textId="77777777" w:rsidR="00593A8C" w:rsidRDefault="00593A8C" w:rsidP="00593A8C">
      <w:pPr>
        <w:jc w:val="both"/>
        <w:rPr>
          <w:rFonts w:ascii="Arial" w:hAnsi="Arial" w:cs="Arial"/>
          <w:sz w:val="19"/>
          <w:szCs w:val="19"/>
        </w:rPr>
      </w:pPr>
      <w:r>
        <w:rPr>
          <w:rFonts w:ascii="Arial" w:hAnsi="Arial" w:cs="Arial"/>
          <w:sz w:val="19"/>
          <w:szCs w:val="19"/>
        </w:rPr>
        <w:t xml:space="preserve">  OAB/RS 66.112</w:t>
      </w:r>
    </w:p>
    <w:p w14:paraId="1E6ED493" w14:textId="77777777" w:rsidR="00593A8C" w:rsidRDefault="00593A8C" w:rsidP="00593A8C">
      <w:pPr>
        <w:jc w:val="both"/>
        <w:rPr>
          <w:rFonts w:ascii="Arial" w:hAnsi="Arial" w:cs="Arial"/>
          <w:sz w:val="19"/>
          <w:szCs w:val="19"/>
        </w:rPr>
      </w:pPr>
      <w:r>
        <w:rPr>
          <w:rFonts w:ascii="Arial" w:hAnsi="Arial" w:cs="Arial"/>
          <w:sz w:val="19"/>
          <w:szCs w:val="19"/>
        </w:rPr>
        <w:t>Procurador Geral</w:t>
      </w:r>
    </w:p>
    <w:p w14:paraId="4D9EB225" w14:textId="77777777" w:rsidR="005057CE" w:rsidRDefault="005057CE"/>
    <w:sectPr w:rsidR="005057CE" w:rsidSect="003D4820">
      <w:pgSz w:w="11906" w:h="16838"/>
      <w:pgMar w:top="2665" w:right="1134"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1E5345"/>
    <w:multiLevelType w:val="multilevel"/>
    <w:tmpl w:val="974A7F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1224551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3A8C"/>
    <w:rsid w:val="00061CF4"/>
    <w:rsid w:val="00084CC2"/>
    <w:rsid w:val="003D4820"/>
    <w:rsid w:val="005057CE"/>
    <w:rsid w:val="00593A8C"/>
    <w:rsid w:val="005C0821"/>
    <w:rsid w:val="00604855"/>
    <w:rsid w:val="007C2EEA"/>
    <w:rsid w:val="0080771C"/>
    <w:rsid w:val="00A8491B"/>
    <w:rsid w:val="00C12F79"/>
    <w:rsid w:val="00CA2C81"/>
    <w:rsid w:val="00DD618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71502E"/>
  <w15:chartTrackingRefBased/>
  <w15:docId w15:val="{2974A707-FDDE-4500-88CF-3CBBAE9965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3A8C"/>
    <w:pPr>
      <w:spacing w:after="0" w:line="240" w:lineRule="auto"/>
    </w:pPr>
    <w:rPr>
      <w:rFonts w:ascii="Times New Roman" w:eastAsia="Times New Roman" w:hAnsi="Times New Roman" w:cs="Times New Roman"/>
      <w:kern w:val="0"/>
      <w:sz w:val="24"/>
      <w:szCs w:val="24"/>
      <w:lang w:eastAsia="pt-BR"/>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593A8C"/>
    <w:pPr>
      <w:widowControl w:val="0"/>
      <w:autoSpaceDE w:val="0"/>
      <w:autoSpaceDN w:val="0"/>
      <w:ind w:left="1024"/>
      <w:jc w:val="both"/>
    </w:pPr>
    <w:rPr>
      <w:rFonts w:ascii="Arial" w:eastAsia="Arial" w:hAnsi="Arial" w:cs="Arial"/>
      <w:sz w:val="22"/>
      <w:szCs w:val="22"/>
      <w:lang w:bidi="pt-BR"/>
    </w:rPr>
  </w:style>
  <w:style w:type="paragraph" w:customStyle="1" w:styleId="Padro">
    <w:name w:val="Padrão"/>
    <w:uiPriority w:val="99"/>
    <w:rsid w:val="00593A8C"/>
    <w:pPr>
      <w:tabs>
        <w:tab w:val="left" w:pos="708"/>
      </w:tabs>
      <w:suppressAutoHyphens/>
      <w:spacing w:after="0" w:line="100" w:lineRule="atLeast"/>
    </w:pPr>
    <w:rPr>
      <w:rFonts w:ascii="Times New Roman" w:eastAsia="Times New Roman" w:hAnsi="Times New Roman" w:cs="Times New Roman"/>
      <w:kern w:val="0"/>
      <w:sz w:val="24"/>
      <w:szCs w:val="24"/>
      <w:lang w:eastAsia="pt-BR"/>
      <w14:ligatures w14:val="none"/>
    </w:rPr>
  </w:style>
  <w:style w:type="character" w:customStyle="1" w:styleId="Fontepargpadro1">
    <w:name w:val="Fonte parág. padrão1"/>
    <w:rsid w:val="00593A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7997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12</Pages>
  <Words>7628</Words>
  <Characters>41197</Characters>
  <Application>Microsoft Office Word</Application>
  <DocSecurity>0</DocSecurity>
  <Lines>343</Lines>
  <Paragraphs>97</Paragraphs>
  <ScaleCrop>false</ScaleCrop>
  <Company/>
  <LinksUpToDate>false</LinksUpToDate>
  <CharactersWithSpaces>48728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Compras 7</dc:creator>
  <cp:keywords/>
  <dc:description/>
  <cp:lastModifiedBy>Compras 7</cp:lastModifiedBy>
  <cp:revision>9</cp:revision>
  <dcterms:created xsi:type="dcterms:W3CDTF">2023-11-06T20:12:00Z</dcterms:created>
  <dcterms:modified xsi:type="dcterms:W3CDTF">2023-11-06T20:26:00Z</dcterms:modified>
</cp:coreProperties>
</file>