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6B3C" w:rsidRPr="00A43023" w:rsidRDefault="00106B3C" w:rsidP="00106B3C">
      <w:pPr>
        <w:spacing w:line="360" w:lineRule="auto"/>
        <w:ind w:firstLine="709"/>
        <w:jc w:val="center"/>
        <w:rPr>
          <w:rFonts w:ascii="Arial" w:hAnsi="Arial" w:cs="Arial"/>
        </w:rPr>
      </w:pPr>
    </w:p>
    <w:p w:rsidR="00DF06E3" w:rsidRDefault="00DF06E3">
      <w:pPr>
        <w:divId w:val="1262908356"/>
        <w:rPr>
          <w:sz w:val="24"/>
          <w:szCs w:val="24"/>
        </w:rPr>
      </w:pPr>
    </w:p>
    <w:p w:rsidR="00DF06E3" w:rsidRDefault="00DF06E3">
      <w:pPr>
        <w:pStyle w:val="NormalWeb"/>
        <w:spacing w:before="0" w:beforeAutospacing="0" w:after="120" w:afterAutospacing="0"/>
        <w:jc w:val="center"/>
        <w:divId w:val="1262908356"/>
      </w:pPr>
      <w:r>
        <w:rPr>
          <w:b/>
          <w:bCs/>
          <w:color w:val="000000"/>
          <w:sz w:val="22"/>
          <w:szCs w:val="22"/>
        </w:rPr>
        <w:t>TERMO DE DISPENSA DE LICITAÇÃO</w:t>
      </w:r>
    </w:p>
    <w:p w:rsidR="00DF06E3" w:rsidRDefault="00DF06E3">
      <w:pPr>
        <w:divId w:val="1262908356"/>
      </w:pPr>
    </w:p>
    <w:p w:rsidR="00DF06E3" w:rsidRDefault="00DF06E3">
      <w:pPr>
        <w:pStyle w:val="NormalWeb"/>
        <w:spacing w:before="0" w:beforeAutospacing="0" w:after="120" w:afterAutospacing="0"/>
        <w:jc w:val="center"/>
        <w:divId w:val="1262908356"/>
      </w:pPr>
      <w:r>
        <w:rPr>
          <w:b/>
          <w:bCs/>
          <w:color w:val="FF0000"/>
          <w:sz w:val="22"/>
          <w:szCs w:val="22"/>
        </w:rPr>
        <w:t>PROCESSO ADMINISTRATIVO Nº </w:t>
      </w:r>
      <w:r w:rsidR="00E12F5A">
        <w:rPr>
          <w:b/>
          <w:bCs/>
          <w:color w:val="FF0000"/>
          <w:sz w:val="22"/>
          <w:szCs w:val="22"/>
        </w:rPr>
        <w:t>23/0801-0002463-0</w:t>
      </w:r>
    </w:p>
    <w:p w:rsidR="00DF06E3" w:rsidRDefault="00DF06E3">
      <w:pPr>
        <w:divId w:val="1262908356"/>
      </w:pPr>
    </w:p>
    <w:p w:rsidR="00DF06E3" w:rsidRDefault="00DF06E3">
      <w:pPr>
        <w:pStyle w:val="NormalWeb"/>
        <w:spacing w:before="0" w:beforeAutospacing="0" w:after="60" w:afterAutospacing="0"/>
        <w:jc w:val="both"/>
        <w:divId w:val="1262908356"/>
      </w:pPr>
      <w:r>
        <w:rPr>
          <w:color w:val="000000"/>
          <w:sz w:val="22"/>
          <w:szCs w:val="22"/>
        </w:rPr>
        <w:t>CONDIÇÕES GERAIS DE DISPENSA DE LICITAÇÃO – CGDL [Participante conforme Anexo I – FOLHA DE DADOS (CGDL - Preâmbulo)] torna público que realizará DISPENSA DE LICITAÇÃO, tipo menor preço, realizada por meio da INTERNET. A presente dispensa reger-se-á pela Lei Federal nº 14.133 de 01 de abril de 2021 e pelo Decreto 57.034 de 22 de maio de 2023.</w:t>
      </w:r>
    </w:p>
    <w:p w:rsidR="00DF06E3" w:rsidRDefault="00DF06E3">
      <w:pPr>
        <w:pStyle w:val="Ttulo5"/>
        <w:spacing w:before="0" w:after="60"/>
        <w:jc w:val="both"/>
        <w:divId w:val="1262908356"/>
        <w:rPr>
          <w:rFonts w:eastAsia="Times New Roman"/>
        </w:rPr>
      </w:pPr>
      <w:r>
        <w:rPr>
          <w:rFonts w:eastAsia="Times New Roman"/>
          <w:color w:val="000000"/>
          <w:sz w:val="22"/>
          <w:szCs w:val="22"/>
        </w:rPr>
        <w:t>1. DO OBJETO </w:t>
      </w:r>
    </w:p>
    <w:p w:rsidR="00DF06E3" w:rsidRDefault="00DF06E3">
      <w:pPr>
        <w:pStyle w:val="NormalWeb"/>
        <w:spacing w:before="0" w:beforeAutospacing="0" w:after="60" w:afterAutospacing="0"/>
        <w:jc w:val="both"/>
        <w:divId w:val="1262908356"/>
      </w:pPr>
      <w:r>
        <w:rPr>
          <w:color w:val="000000"/>
          <w:sz w:val="22"/>
          <w:szCs w:val="22"/>
        </w:rPr>
        <w:t>1.1. O objeto da presente dispensa de licitação visa à aquisição de bens/serviços, conforme descrição e condições especificadas no Anexo I – Folha de Dados (CGDL 1.1) e de acordo com as condições contidas no Termo de Referência – Anexo II, que fará parte do Contrato como anexo. </w:t>
      </w:r>
    </w:p>
    <w:p w:rsidR="00DF06E3" w:rsidRDefault="00DF06E3">
      <w:pPr>
        <w:divId w:val="1262908356"/>
      </w:pPr>
    </w:p>
    <w:p w:rsidR="00DF06E3" w:rsidRDefault="00DF06E3">
      <w:pPr>
        <w:pStyle w:val="Ttulo5"/>
        <w:spacing w:before="0" w:after="60"/>
        <w:jc w:val="both"/>
        <w:divId w:val="1262908356"/>
        <w:rPr>
          <w:rFonts w:eastAsia="Times New Roman"/>
        </w:rPr>
      </w:pPr>
      <w:r>
        <w:rPr>
          <w:rFonts w:eastAsia="Times New Roman"/>
          <w:color w:val="000000"/>
          <w:sz w:val="22"/>
          <w:szCs w:val="22"/>
        </w:rPr>
        <w:t>2. DA DISPONIBILIZAÇÃO DO TERMO DE DISPENSA DE LICITAÇÃO </w:t>
      </w:r>
    </w:p>
    <w:p w:rsidR="00DF06E3" w:rsidRDefault="00DF06E3">
      <w:pPr>
        <w:pStyle w:val="NormalWeb"/>
        <w:spacing w:before="0" w:beforeAutospacing="0" w:after="60" w:afterAutospacing="0"/>
        <w:jc w:val="both"/>
        <w:divId w:val="1262908356"/>
      </w:pPr>
      <w:r>
        <w:rPr>
          <w:color w:val="000000"/>
          <w:sz w:val="22"/>
          <w:szCs w:val="22"/>
        </w:rPr>
        <w:t>2.1. O Termo de Dispensa de Licitação poderá ser obtido no site referido no Anexo I – FOLHA DE DADOS (CGDL 2.1). </w:t>
      </w:r>
    </w:p>
    <w:p w:rsidR="00DF06E3" w:rsidRDefault="00DF06E3">
      <w:pPr>
        <w:pStyle w:val="NormalWeb"/>
        <w:spacing w:before="0" w:beforeAutospacing="0" w:after="60" w:afterAutospacing="0"/>
        <w:jc w:val="both"/>
        <w:divId w:val="1262908356"/>
      </w:pPr>
      <w:r>
        <w:rPr>
          <w:color w:val="000000"/>
          <w:sz w:val="22"/>
          <w:szCs w:val="22"/>
        </w:rPr>
        <w:t>2.2. A dispensa de licitação será realizada na forma eletrônica, por meio do endereço indicado no Anexo I – FOLHA DE DADOS (CGDL 2.2), mediante condições de segurança, criptografia e autenticação. </w:t>
      </w:r>
    </w:p>
    <w:p w:rsidR="00DF06E3" w:rsidRDefault="00DF06E3">
      <w:pPr>
        <w:divId w:val="1262908356"/>
      </w:pPr>
    </w:p>
    <w:p w:rsidR="00DF06E3" w:rsidRDefault="00DF06E3">
      <w:pPr>
        <w:pStyle w:val="Ttulo5"/>
        <w:spacing w:before="0" w:after="60"/>
        <w:jc w:val="both"/>
        <w:divId w:val="1262908356"/>
        <w:rPr>
          <w:rFonts w:eastAsia="Times New Roman"/>
        </w:rPr>
      </w:pPr>
      <w:r>
        <w:rPr>
          <w:rFonts w:eastAsia="Times New Roman"/>
          <w:color w:val="000000"/>
          <w:sz w:val="22"/>
          <w:szCs w:val="22"/>
        </w:rPr>
        <w:t>3. DA DATA E DO HORÁRIO DA DISPENSA DE LICITAÇÃO </w:t>
      </w:r>
    </w:p>
    <w:p w:rsidR="00DF06E3" w:rsidRDefault="00DF06E3">
      <w:pPr>
        <w:pStyle w:val="NormalWeb"/>
        <w:spacing w:before="0" w:beforeAutospacing="0" w:after="60" w:afterAutospacing="0"/>
        <w:jc w:val="both"/>
        <w:divId w:val="1262908356"/>
      </w:pPr>
      <w:r>
        <w:rPr>
          <w:color w:val="000000"/>
          <w:sz w:val="22"/>
          <w:szCs w:val="22"/>
        </w:rPr>
        <w:t>3.1. Na data e horário designados no Anexo I – FOLHA DE DADOS (CGDL 3.1) será aberta sessão pública pelo agente de dispensa. </w:t>
      </w:r>
    </w:p>
    <w:p w:rsidR="00DF06E3" w:rsidRDefault="00DF06E3">
      <w:pPr>
        <w:pStyle w:val="NormalWeb"/>
        <w:spacing w:before="0" w:beforeAutospacing="0" w:after="60" w:afterAutospacing="0"/>
        <w:jc w:val="both"/>
        <w:divId w:val="1262908356"/>
      </w:pPr>
      <w:r>
        <w:rPr>
          <w:color w:val="000000"/>
          <w:sz w:val="22"/>
          <w:szCs w:val="22"/>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dispensa em sentido contrário.</w:t>
      </w:r>
    </w:p>
    <w:p w:rsidR="00DF06E3" w:rsidRDefault="00DF06E3">
      <w:pPr>
        <w:divId w:val="1262908356"/>
      </w:pPr>
    </w:p>
    <w:p w:rsidR="00DF06E3" w:rsidRDefault="00DF06E3">
      <w:pPr>
        <w:pStyle w:val="Ttulo5"/>
        <w:spacing w:before="0" w:after="60"/>
        <w:jc w:val="both"/>
        <w:divId w:val="1262908356"/>
        <w:rPr>
          <w:rFonts w:eastAsia="Times New Roman"/>
        </w:rPr>
      </w:pPr>
      <w:r>
        <w:rPr>
          <w:rFonts w:eastAsia="Times New Roman"/>
          <w:color w:val="000000"/>
          <w:sz w:val="22"/>
          <w:szCs w:val="22"/>
        </w:rPr>
        <w:t>4. DA PARTICIPAÇÃO </w:t>
      </w:r>
    </w:p>
    <w:p w:rsidR="00DF06E3" w:rsidRDefault="00DF06E3">
      <w:pPr>
        <w:pStyle w:val="NormalWeb"/>
        <w:spacing w:before="0" w:beforeAutospacing="0" w:after="60" w:afterAutospacing="0"/>
        <w:jc w:val="both"/>
        <w:divId w:val="1262908356"/>
      </w:pPr>
      <w:r>
        <w:rPr>
          <w:color w:val="000000"/>
          <w:sz w:val="22"/>
          <w:szCs w:val="22"/>
        </w:rPr>
        <w:t>4.1. Respeitadas as condições normativas próprias e as constantes deste Termo, poderá participar desta dispensa de licitação: </w:t>
      </w:r>
    </w:p>
    <w:p w:rsidR="00DF06E3" w:rsidRDefault="00DF06E3">
      <w:pPr>
        <w:pStyle w:val="NormalWeb"/>
        <w:spacing w:before="0" w:beforeAutospacing="0" w:after="0" w:afterAutospacing="0"/>
        <w:jc w:val="both"/>
        <w:divId w:val="1262908356"/>
      </w:pPr>
      <w:r>
        <w:rPr>
          <w:color w:val="000000"/>
          <w:sz w:val="22"/>
          <w:szCs w:val="22"/>
        </w:rPr>
        <w:t xml:space="preserve">4.1.1. pessoa jurídica legalmente estabelecida no País, devidamente credenciada nos termos do item 6 e que atenda a todas as exigências estabelecidas neste Termo de Dispensa de Licitação e seus Anexos, observado o disposto no </w:t>
      </w:r>
      <w:r>
        <w:rPr>
          <w:b/>
          <w:bCs/>
          <w:color w:val="000000"/>
          <w:sz w:val="22"/>
          <w:szCs w:val="22"/>
        </w:rPr>
        <w:t>Anexo I – FOLHA DE DADOS (CGL 4.1.1)</w:t>
      </w:r>
      <w:r>
        <w:rPr>
          <w:color w:val="000000"/>
          <w:sz w:val="22"/>
          <w:szCs w:val="22"/>
        </w:rPr>
        <w:t>;</w:t>
      </w:r>
    </w:p>
    <w:p w:rsidR="00DF06E3" w:rsidRDefault="00DF06E3">
      <w:pPr>
        <w:pStyle w:val="NormalWeb"/>
        <w:spacing w:before="0" w:beforeAutospacing="0" w:after="60" w:afterAutospacing="0"/>
        <w:jc w:val="both"/>
        <w:divId w:val="1262908356"/>
      </w:pPr>
      <w:r>
        <w:rPr>
          <w:color w:val="000000"/>
          <w:sz w:val="22"/>
          <w:szCs w:val="22"/>
        </w:rPr>
        <w:t>4.1.2. pessoa física que esteja devidamente credenciada nos termos do item 5 deste Termo de Dispensa de Licitação. </w:t>
      </w:r>
    </w:p>
    <w:p w:rsidR="00DF06E3" w:rsidRDefault="00DF06E3">
      <w:pPr>
        <w:pStyle w:val="NormalWeb"/>
        <w:spacing w:before="0" w:beforeAutospacing="0" w:after="60" w:afterAutospacing="0"/>
        <w:jc w:val="both"/>
        <w:divId w:val="1262908356"/>
      </w:pPr>
      <w:r>
        <w:rPr>
          <w:color w:val="000000"/>
          <w:sz w:val="22"/>
          <w:szCs w:val="22"/>
        </w:rPr>
        <w:t>4.1.3.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 </w:t>
      </w:r>
    </w:p>
    <w:p w:rsidR="00DF06E3" w:rsidRDefault="00DF06E3">
      <w:pPr>
        <w:pStyle w:val="NormalWeb"/>
        <w:spacing w:before="0" w:beforeAutospacing="0" w:after="60" w:afterAutospacing="0"/>
        <w:jc w:val="both"/>
        <w:divId w:val="1262908356"/>
      </w:pPr>
      <w:r>
        <w:rPr>
          <w:color w:val="000000"/>
          <w:sz w:val="22"/>
          <w:szCs w:val="22"/>
        </w:rPr>
        <w:lastRenderedPageBreak/>
        <w:t>4.2. Não poderá participar direta ou indiretamente desta dispensa de licitação o fornecedor enquadrado em qualquer das seguintes hipóteses: </w:t>
      </w:r>
    </w:p>
    <w:p w:rsidR="00DF06E3" w:rsidRDefault="00DF06E3">
      <w:pPr>
        <w:pStyle w:val="NormalWeb"/>
        <w:spacing w:before="0" w:beforeAutospacing="0" w:after="60" w:afterAutospacing="0"/>
        <w:jc w:val="both"/>
        <w:divId w:val="1262908356"/>
      </w:pPr>
      <w:r>
        <w:rPr>
          <w:color w:val="000000"/>
          <w:sz w:val="22"/>
          <w:szCs w:val="22"/>
        </w:rPr>
        <w:t>4.2.1. em que o proprietário, sócio ou administrador com poder de direção, preste serviços ou desenvolva projeto no órgão ou entidade da Administração Pública Estadual em que familiar exerça cargo em comissão ou função de confiança, na forma do art. 8ª do Decreto nº 48.705/2011; </w:t>
      </w:r>
    </w:p>
    <w:p w:rsidR="00DF06E3" w:rsidRDefault="00DF06E3">
      <w:pPr>
        <w:pStyle w:val="NormalWeb"/>
        <w:spacing w:before="0" w:beforeAutospacing="0" w:after="60" w:afterAutospacing="0"/>
        <w:jc w:val="both"/>
        <w:divId w:val="1262908356"/>
      </w:pPr>
      <w:r>
        <w:rPr>
          <w:color w:val="000000"/>
          <w:sz w:val="22"/>
          <w:szCs w:val="22"/>
        </w:rPr>
        <w:t>4.2.2. cooperativas de trabalho, considerando a vedação contida no art. 5º da Lei federal nº 12.690/2012, salvo se legalmente viável e nestes termos, autorizado no Anexo I – FOLHA DE DADOS (CGDL 4.2.2). </w:t>
      </w:r>
    </w:p>
    <w:p w:rsidR="00DF06E3" w:rsidRDefault="00DF06E3">
      <w:pPr>
        <w:pStyle w:val="NormalWeb"/>
        <w:spacing w:before="0" w:beforeAutospacing="0" w:after="60" w:afterAutospacing="0"/>
        <w:jc w:val="both"/>
        <w:divId w:val="1262908356"/>
      </w:pPr>
      <w:r>
        <w:rPr>
          <w:color w:val="000000"/>
          <w:sz w:val="22"/>
          <w:szCs w:val="22"/>
        </w:rPr>
        <w:t>4.2.3. consórcios.</w:t>
      </w:r>
    </w:p>
    <w:p w:rsidR="00DF06E3" w:rsidRDefault="00DF06E3">
      <w:pPr>
        <w:pStyle w:val="NormalWeb"/>
        <w:spacing w:before="0" w:beforeAutospacing="0" w:after="60" w:afterAutospacing="0"/>
        <w:jc w:val="both"/>
        <w:divId w:val="1262908356"/>
      </w:pPr>
      <w:r>
        <w:rPr>
          <w:color w:val="000000"/>
          <w:sz w:val="22"/>
          <w:szCs w:val="22"/>
        </w:rPr>
        <w:t>4.3. Não poderá participar desta dispensa de licitação, ainda que direta ou indiretamente, servidor público da entidade ou do órgão contratante, ou responsável pela dispensa de licitação. </w:t>
      </w:r>
    </w:p>
    <w:p w:rsidR="00DF06E3" w:rsidRDefault="00DF06E3">
      <w:pPr>
        <w:pStyle w:val="NormalWeb"/>
        <w:spacing w:before="0" w:beforeAutospacing="0" w:after="60" w:afterAutospacing="0"/>
        <w:jc w:val="both"/>
        <w:divId w:val="1262908356"/>
      </w:pPr>
      <w:r>
        <w:rPr>
          <w:color w:val="000000"/>
          <w:sz w:val="22"/>
          <w:szCs w:val="22"/>
        </w:rPr>
        <w:t>4.3.1. Para fins do disposto no subitem 4.3, considera-se participação indireta a existência de qualquer vínculo de natureza técnica, comercial, econômica, financeira ou trabalhista.</w:t>
      </w:r>
    </w:p>
    <w:p w:rsidR="00DF06E3" w:rsidRDefault="00DF06E3">
      <w:pPr>
        <w:pStyle w:val="NormalWeb"/>
        <w:spacing w:before="0" w:beforeAutospacing="0" w:after="60" w:afterAutospacing="0"/>
        <w:jc w:val="both"/>
        <w:divId w:val="1262908356"/>
      </w:pPr>
      <w:r>
        <w:rPr>
          <w:color w:val="000000"/>
          <w:sz w:val="22"/>
          <w:szCs w:val="22"/>
        </w:rPr>
        <w:t>4.4. Nenhum fornecedor poderá participar desta dispensa de licitação com mais de uma proposta por lote. </w:t>
      </w:r>
    </w:p>
    <w:p w:rsidR="00DF06E3" w:rsidRDefault="00DF06E3">
      <w:pPr>
        <w:pStyle w:val="Ttulo5"/>
        <w:spacing w:before="0" w:after="60"/>
        <w:jc w:val="both"/>
        <w:divId w:val="1262908356"/>
        <w:rPr>
          <w:rFonts w:eastAsia="Times New Roman"/>
        </w:rPr>
      </w:pPr>
      <w:r>
        <w:rPr>
          <w:rFonts w:eastAsia="Times New Roman"/>
          <w:color w:val="000000"/>
          <w:sz w:val="22"/>
          <w:szCs w:val="22"/>
        </w:rPr>
        <w:t>5. DA PARTICIPAÇÃO DE MICROEMPRESAS E DE EMPRESAS DE PEQUENO PORTE</w:t>
      </w:r>
    </w:p>
    <w:p w:rsidR="00DF06E3" w:rsidRDefault="00DF06E3">
      <w:pPr>
        <w:pStyle w:val="NormalWeb"/>
        <w:spacing w:before="0" w:beforeAutospacing="0" w:after="0" w:afterAutospacing="0"/>
        <w:jc w:val="both"/>
        <w:divId w:val="1262908356"/>
      </w:pPr>
      <w:r>
        <w:rPr>
          <w:color w:val="000000"/>
          <w:sz w:val="22"/>
          <w:szCs w:val="22"/>
        </w:rPr>
        <w:t>5.1. Os participantes que declararem, eletronicamente, em campo próprio, quando do envio da proposta inicial, o enquadramento social de que trata este item, devidamente comprovado conforme estabelece o presente Edital, terão tratamento diferenciado e favorecido nos termos da Lei Complementar federal nº 123/2006.</w:t>
      </w:r>
    </w:p>
    <w:p w:rsidR="00DF06E3" w:rsidRDefault="00DF06E3">
      <w:pPr>
        <w:pStyle w:val="NormalWeb"/>
        <w:spacing w:before="0" w:beforeAutospacing="0" w:after="0" w:afterAutospacing="0"/>
        <w:jc w:val="both"/>
        <w:divId w:val="1262908356"/>
      </w:pPr>
      <w:r>
        <w:rPr>
          <w:color w:val="000000"/>
          <w:sz w:val="22"/>
          <w:szCs w:val="22"/>
        </w:rPr>
        <w:t>5.1.1. A apresentação da Declaração de enquadramento como microempresa ou empresa de pequeno porte na forma eletrônica, dispensa a apresentação da Declaração de enquadramento na forma do Anexo V.</w:t>
      </w:r>
    </w:p>
    <w:p w:rsidR="00DF06E3" w:rsidRDefault="00DF06E3">
      <w:pPr>
        <w:pStyle w:val="NormalWeb"/>
        <w:spacing w:before="0" w:beforeAutospacing="0" w:after="0" w:afterAutospacing="0"/>
        <w:jc w:val="both"/>
        <w:divId w:val="1262908356"/>
      </w:pPr>
      <w:r>
        <w:rPr>
          <w:color w:val="000000"/>
          <w:sz w:val="22"/>
          <w:szCs w:val="22"/>
        </w:rPr>
        <w:t>5.2. A ausência dessa declaração, no momento do envio da proposta, significará a desistência da microempresa e/ou de empresa de pequeno porte de utilizar-se das prerrogativas a elas concedidas pela Lei Complementar federal nº 123/2006.</w:t>
      </w:r>
    </w:p>
    <w:p w:rsidR="00DF06E3" w:rsidRDefault="00DF06E3">
      <w:pPr>
        <w:pStyle w:val="NormalWeb"/>
        <w:spacing w:before="0" w:beforeAutospacing="0" w:after="0" w:afterAutospacing="0"/>
        <w:jc w:val="both"/>
        <w:divId w:val="1262908356"/>
      </w:pPr>
      <w:r>
        <w:rPr>
          <w:color w:val="000000"/>
          <w:sz w:val="22"/>
          <w:szCs w:val="22"/>
        </w:rPr>
        <w:t>5.3. Consideram-se empatadas as propostas apresentadas pelas microempresas e empresas de pequeno porte que estiverem no limite de até 5% (cinco por cento) superiores à proposta melhor classificada, desde que esta não seja microempresa ou empresa de pequeno porte.</w:t>
      </w:r>
    </w:p>
    <w:p w:rsidR="00DF06E3" w:rsidRDefault="00DF06E3">
      <w:pPr>
        <w:pStyle w:val="NormalWeb"/>
        <w:spacing w:before="0" w:beforeAutospacing="0" w:after="0" w:afterAutospacing="0"/>
        <w:jc w:val="both"/>
        <w:divId w:val="1262908356"/>
      </w:pPr>
      <w:r>
        <w:rPr>
          <w:color w:val="000000"/>
          <w:sz w:val="22"/>
          <w:szCs w:val="22"/>
        </w:rPr>
        <w:t>5.4. Ocorrendo o empate, nos termos da Lei Complementar federal nº 123/2006, a microempresa e empresa de pequeno porte melhor classificada poderá apresentar proposta inferior à proposta de menor preço apurada no certame, no prazo máximo de 5 (cinco) minutos após o encerramento dos lances, sob pena de preclusão.</w:t>
      </w:r>
    </w:p>
    <w:p w:rsidR="00DF06E3" w:rsidRDefault="00DF06E3">
      <w:pPr>
        <w:pStyle w:val="NormalWeb"/>
        <w:spacing w:before="0" w:beforeAutospacing="0" w:after="0" w:afterAutospacing="0"/>
        <w:jc w:val="both"/>
        <w:divId w:val="1262908356"/>
      </w:pPr>
      <w:r>
        <w:rPr>
          <w:color w:val="000000"/>
          <w:sz w:val="22"/>
          <w:szCs w:val="22"/>
        </w:rPr>
        <w:t>5.5. No caso de não contratação da microempresa ou da empresa de pequeno porte serão convocadas as empresas remanescentes, de mesmo enquadramento social, na ordem classificatória, para o exercício de mesmo direito, que se encontrem na situação de empate. </w:t>
      </w:r>
    </w:p>
    <w:p w:rsidR="00DF06E3" w:rsidRDefault="00DF06E3">
      <w:pPr>
        <w:pStyle w:val="NormalWeb"/>
        <w:spacing w:before="0" w:beforeAutospacing="0" w:after="0" w:afterAutospacing="0"/>
        <w:jc w:val="both"/>
        <w:divId w:val="1262908356"/>
      </w:pPr>
      <w:r>
        <w:rPr>
          <w:color w:val="000000"/>
          <w:sz w:val="22"/>
          <w:szCs w:val="22"/>
        </w:rPr>
        <w:t>5.5.1. Na hipótese de não haver mais empresas de mesmo enquadramento social, o objeto da licitação será adjudicado para a empresa originalmente vencedora.</w:t>
      </w:r>
    </w:p>
    <w:p w:rsidR="00DF06E3" w:rsidRDefault="00DF06E3">
      <w:pPr>
        <w:pStyle w:val="NormalWeb"/>
        <w:spacing w:before="0" w:beforeAutospacing="0" w:after="0" w:afterAutospacing="0"/>
        <w:jc w:val="both"/>
        <w:divId w:val="1262908356"/>
      </w:pPr>
      <w:r>
        <w:rPr>
          <w:color w:val="000000"/>
          <w:sz w:val="22"/>
          <w:szCs w:val="22"/>
        </w:rPr>
        <w:t>5.6. As microempresas e empresas de pequeno porte deverão apresentar os documentos de habilitação, mesmo que estes apresentem alguma restrição relativa à regularidade fiscal e trabalhista, sob pena de inabilitação. </w:t>
      </w:r>
    </w:p>
    <w:p w:rsidR="00DF06E3" w:rsidRDefault="00DF06E3">
      <w:pPr>
        <w:pStyle w:val="NormalWeb"/>
        <w:spacing w:before="0" w:beforeAutospacing="0" w:after="0" w:afterAutospacing="0"/>
        <w:jc w:val="both"/>
        <w:divId w:val="1262908356"/>
      </w:pPr>
      <w:r>
        <w:rPr>
          <w:color w:val="000000"/>
          <w:sz w:val="22"/>
          <w:szCs w:val="22"/>
        </w:rPr>
        <w:t>5.7. A microempresa ou empresa de pequeno porte que apresentar documentos com restrições quanto à regularidade fiscal e trabalhista tem assegurado o prazo de 5 (cinco) dias úteis, a partir da declaração de vencedor da licitação, prorrogável por igual período, a critério da Administração, para apresentar as respectivas certidões de regularidade.</w:t>
      </w:r>
    </w:p>
    <w:p w:rsidR="00DF06E3" w:rsidRDefault="00DF06E3">
      <w:pPr>
        <w:pStyle w:val="NormalWeb"/>
        <w:spacing w:before="0" w:beforeAutospacing="0" w:after="0" w:afterAutospacing="0"/>
        <w:jc w:val="both"/>
        <w:divId w:val="1262908356"/>
      </w:pPr>
      <w:r>
        <w:rPr>
          <w:color w:val="000000"/>
          <w:sz w:val="22"/>
          <w:szCs w:val="22"/>
        </w:rPr>
        <w:t>5.8. A não regularização da documentação implicará decadência do direito à contratação, sem prejuízo da aplicação da multa de 2% (dois por cento) sobre o valor total da proposta inicial, sendo facultado à Administração convocar as participantes remanescentes, na ordem de classificação.</w:t>
      </w:r>
    </w:p>
    <w:p w:rsidR="00DF06E3" w:rsidRDefault="00DF06E3">
      <w:pPr>
        <w:pStyle w:val="NormalWeb"/>
        <w:spacing w:before="0" w:beforeAutospacing="0" w:after="0" w:afterAutospacing="0"/>
        <w:jc w:val="both"/>
        <w:divId w:val="1262908356"/>
      </w:pPr>
      <w:r>
        <w:rPr>
          <w:color w:val="000000"/>
          <w:sz w:val="22"/>
          <w:szCs w:val="22"/>
        </w:rPr>
        <w:t>5.9. Não se aplicam os critérios de desempate previstos nos itens 5.3, 5.4, caso a licitação se destine exclusivamente a participação de microempresas e empresas de pequeno porte. </w:t>
      </w:r>
    </w:p>
    <w:p w:rsidR="00DF06E3" w:rsidRDefault="00DF06E3">
      <w:pPr>
        <w:divId w:val="1262908356"/>
      </w:pPr>
    </w:p>
    <w:p w:rsidR="00DF06E3" w:rsidRDefault="00DF06E3">
      <w:pPr>
        <w:pStyle w:val="Ttulo5"/>
        <w:spacing w:before="0" w:after="60"/>
        <w:jc w:val="both"/>
        <w:divId w:val="1262908356"/>
        <w:rPr>
          <w:rFonts w:eastAsia="Times New Roman"/>
        </w:rPr>
      </w:pPr>
      <w:r>
        <w:rPr>
          <w:rFonts w:eastAsia="Times New Roman"/>
          <w:color w:val="000000"/>
          <w:sz w:val="22"/>
          <w:szCs w:val="22"/>
        </w:rPr>
        <w:t>6. DO CREDENCIAMENTO</w:t>
      </w:r>
    </w:p>
    <w:p w:rsidR="00DF06E3" w:rsidRDefault="00DF06E3">
      <w:pPr>
        <w:pStyle w:val="NormalWeb"/>
        <w:spacing w:before="0" w:beforeAutospacing="0" w:after="60" w:afterAutospacing="0"/>
        <w:jc w:val="both"/>
        <w:divId w:val="1262908356"/>
      </w:pPr>
      <w:r>
        <w:rPr>
          <w:color w:val="000000"/>
          <w:sz w:val="22"/>
          <w:szCs w:val="22"/>
        </w:rPr>
        <w:t>6.1. Os interessados em participar na presente dispensa de licitação deverão estar regularmente credenciados junto ao provedor do sistema.</w:t>
      </w:r>
    </w:p>
    <w:p w:rsidR="00DF06E3" w:rsidRDefault="00DF06E3">
      <w:pPr>
        <w:pStyle w:val="NormalWeb"/>
        <w:spacing w:before="0" w:beforeAutospacing="0" w:after="60" w:afterAutospacing="0"/>
        <w:jc w:val="both"/>
        <w:divId w:val="1262908356"/>
      </w:pPr>
      <w:r>
        <w:rPr>
          <w:color w:val="000000"/>
          <w:sz w:val="22"/>
          <w:szCs w:val="22"/>
        </w:rPr>
        <w:t>6.2. O credenciamento será encaminhado por meio dos sites indicados no Anexo I – FOLHA DE DADOS (CGDL 2.1) ou (CGDL 2.2).</w:t>
      </w:r>
    </w:p>
    <w:p w:rsidR="00DF06E3" w:rsidRDefault="00DF06E3">
      <w:pPr>
        <w:pStyle w:val="NormalWeb"/>
        <w:spacing w:before="0" w:beforeAutospacing="0" w:after="60" w:afterAutospacing="0"/>
        <w:jc w:val="both"/>
        <w:divId w:val="1262908356"/>
      </w:pPr>
      <w:r>
        <w:rPr>
          <w:color w:val="000000"/>
          <w:sz w:val="22"/>
          <w:szCs w:val="22"/>
        </w:rPr>
        <w:t>6.3. O credenciamento dar-se-á pela atribuição de chave de identificação e de senha, pessoal e intransferível, para acesso ao sistema eletrônico.</w:t>
      </w:r>
    </w:p>
    <w:p w:rsidR="00DF06E3" w:rsidRDefault="00DF06E3">
      <w:pPr>
        <w:pStyle w:val="NormalWeb"/>
        <w:spacing w:before="0" w:beforeAutospacing="0" w:after="60" w:afterAutospacing="0"/>
        <w:jc w:val="both"/>
        <w:divId w:val="1262908356"/>
      </w:pPr>
      <w:r>
        <w:rPr>
          <w:color w:val="000000"/>
          <w:sz w:val="22"/>
          <w:szCs w:val="22"/>
        </w:rPr>
        <w:t>6.4. O credenciamento implica a responsabilidade legal do participante ou de seu representante e a presunção de sua capacidade técnica para realização das transações inerentes a esta dispensa de licitação.</w:t>
      </w:r>
    </w:p>
    <w:p w:rsidR="00DF06E3" w:rsidRDefault="00DF06E3">
      <w:pPr>
        <w:pStyle w:val="NormalWeb"/>
        <w:spacing w:before="0" w:beforeAutospacing="0" w:after="60" w:afterAutospacing="0"/>
        <w:jc w:val="both"/>
        <w:divId w:val="1262908356"/>
      </w:pPr>
      <w:r>
        <w:rPr>
          <w:color w:val="000000"/>
          <w:sz w:val="22"/>
          <w:szCs w:val="22"/>
        </w:rPr>
        <w:t>6.5. A perda da senha ou a quebra de sigilo deverão ser comunicadas imediatamente ao provedor do sistema, para imediato bloqueio de acesso.</w:t>
      </w:r>
    </w:p>
    <w:p w:rsidR="00DF06E3" w:rsidRDefault="00DF06E3">
      <w:pPr>
        <w:pStyle w:val="NormalWeb"/>
        <w:spacing w:before="0" w:beforeAutospacing="0" w:after="60" w:afterAutospacing="0"/>
        <w:jc w:val="both"/>
        <w:divId w:val="1262908356"/>
      </w:pPr>
      <w:r>
        <w:rPr>
          <w:color w:val="000000"/>
          <w:sz w:val="22"/>
          <w:szCs w:val="22"/>
        </w:rPr>
        <w:t>6.6. O participante será responsável por todas as transações que forem efetuadas em seu nome no sistema eletrônico, assumindo como firmes e verdadeiras suas propostas e lances.</w:t>
      </w:r>
    </w:p>
    <w:p w:rsidR="00DF06E3" w:rsidRDefault="00DF06E3">
      <w:pPr>
        <w:divId w:val="1262908356"/>
      </w:pPr>
    </w:p>
    <w:p w:rsidR="00DF06E3" w:rsidRDefault="00DF06E3">
      <w:pPr>
        <w:pStyle w:val="Ttulo5"/>
        <w:spacing w:before="0" w:after="60"/>
        <w:jc w:val="both"/>
        <w:divId w:val="1262908356"/>
        <w:rPr>
          <w:rFonts w:eastAsia="Times New Roman"/>
        </w:rPr>
      </w:pPr>
      <w:r>
        <w:rPr>
          <w:rFonts w:eastAsia="Times New Roman"/>
          <w:color w:val="000000"/>
          <w:sz w:val="22"/>
          <w:szCs w:val="22"/>
        </w:rPr>
        <w:t>7. DA PROPOSTA DE PREÇOS </w:t>
      </w:r>
    </w:p>
    <w:p w:rsidR="00DF06E3" w:rsidRDefault="00DF06E3">
      <w:pPr>
        <w:pStyle w:val="NormalWeb"/>
        <w:spacing w:before="0" w:beforeAutospacing="0" w:after="60" w:afterAutospacing="0"/>
        <w:jc w:val="both"/>
        <w:divId w:val="1262908356"/>
      </w:pPr>
      <w:r>
        <w:rPr>
          <w:color w:val="000000"/>
          <w:sz w:val="22"/>
          <w:szCs w:val="22"/>
        </w:rPr>
        <w:t>7.1. Os participantes deverão encaminhar proposta inicial até a data e hora marcadas para a abertura da sessão, exclusivamente no sistema eletrônico referido no Anexo I – FOLHA DE DADOS (CGDL 2.2), quando se encerrará a fase de recebimento de propostas. </w:t>
      </w:r>
    </w:p>
    <w:p w:rsidR="00DF06E3" w:rsidRDefault="00DF06E3">
      <w:pPr>
        <w:pStyle w:val="NormalWeb"/>
        <w:spacing w:before="0" w:beforeAutospacing="0" w:after="60" w:afterAutospacing="0"/>
        <w:jc w:val="both"/>
        <w:divId w:val="1262908356"/>
      </w:pPr>
      <w:r>
        <w:rPr>
          <w:color w:val="000000"/>
          <w:sz w:val="22"/>
          <w:szCs w:val="22"/>
        </w:rPr>
        <w:t>7.2. As propostas deverão ter prazo de validade não inferior a 60 (sessenta) dias, a contar da data da abertura da dispensa de licitação. </w:t>
      </w:r>
    </w:p>
    <w:p w:rsidR="00DF06E3" w:rsidRDefault="00DF06E3">
      <w:pPr>
        <w:pStyle w:val="NormalWeb"/>
        <w:spacing w:before="0" w:beforeAutospacing="0" w:after="60" w:afterAutospacing="0"/>
        <w:jc w:val="both"/>
        <w:divId w:val="1262908356"/>
      </w:pPr>
      <w:r>
        <w:rPr>
          <w:color w:val="000000"/>
          <w:sz w:val="22"/>
          <w:szCs w:val="22"/>
        </w:rPr>
        <w:t>7.2.1. Se não constar o prazo de validade, entende-se 60 (sessenta) dias. </w:t>
      </w:r>
    </w:p>
    <w:p w:rsidR="00DF06E3" w:rsidRDefault="00DF06E3">
      <w:pPr>
        <w:pStyle w:val="NormalWeb"/>
        <w:spacing w:before="0" w:beforeAutospacing="0" w:after="60" w:afterAutospacing="0"/>
        <w:jc w:val="both"/>
        <w:divId w:val="1262908356"/>
      </w:pPr>
      <w:r>
        <w:rPr>
          <w:color w:val="000000"/>
          <w:sz w:val="22"/>
          <w:szCs w:val="22"/>
        </w:rPr>
        <w:t>7.3. A proposta de preços inicial deverá conter o disposto no Anexo I – FOLHA DE DADOS (CGDL 7.3).</w:t>
      </w:r>
    </w:p>
    <w:p w:rsidR="00DF06E3" w:rsidRDefault="00DF06E3">
      <w:pPr>
        <w:pStyle w:val="NormalWeb"/>
        <w:spacing w:before="0" w:beforeAutospacing="0" w:after="60" w:afterAutospacing="0"/>
        <w:jc w:val="both"/>
        <w:divId w:val="1262908356"/>
      </w:pPr>
      <w:r>
        <w:rPr>
          <w:color w:val="000000"/>
          <w:sz w:val="22"/>
          <w:szCs w:val="22"/>
        </w:rPr>
        <w:t>7.4. Os participantes deverão consignar o valor da proposta, conforme indicado no Anexo I – FOLHA DE DADOS (CGDL 7.4),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F06E3" w:rsidRDefault="00DF06E3">
      <w:pPr>
        <w:pStyle w:val="NormalWeb"/>
        <w:spacing w:before="0" w:beforeAutospacing="0" w:after="60" w:afterAutospacing="0"/>
        <w:jc w:val="both"/>
        <w:divId w:val="1262908356"/>
      </w:pPr>
      <w:r>
        <w:rPr>
          <w:color w:val="000000"/>
          <w:sz w:val="22"/>
          <w:szCs w:val="22"/>
        </w:rPr>
        <w:t>7.5. No momento do envio da proposta, o participante deverá prestar, por meio do sistema eletrônico, as seguintes declarações: </w:t>
      </w:r>
    </w:p>
    <w:p w:rsidR="00DF06E3" w:rsidRDefault="00DF06E3">
      <w:pPr>
        <w:pStyle w:val="NormalWeb"/>
        <w:spacing w:before="0" w:beforeAutospacing="0" w:after="60" w:afterAutospacing="0"/>
        <w:jc w:val="both"/>
        <w:divId w:val="1262908356"/>
      </w:pPr>
      <w:r>
        <w:rPr>
          <w:color w:val="000000"/>
          <w:sz w:val="22"/>
          <w:szCs w:val="22"/>
        </w:rPr>
        <w:t>7.5.1. que a participante tem conhecimento e atende a todas as exigências de habilitação e especificações técnicas previstas no Termo de Dispensa de Licitação;</w:t>
      </w:r>
    </w:p>
    <w:p w:rsidR="00DF06E3" w:rsidRDefault="00DF06E3">
      <w:pPr>
        <w:pStyle w:val="NormalWeb"/>
        <w:spacing w:before="0" w:beforeAutospacing="0" w:after="60" w:afterAutospacing="0"/>
        <w:jc w:val="both"/>
        <w:divId w:val="1262908356"/>
      </w:pPr>
      <w:r>
        <w:rPr>
          <w:color w:val="000000"/>
          <w:sz w:val="22"/>
          <w:szCs w:val="22"/>
        </w:rPr>
        <w:t>7.5.2. que a participante assume o compromisso de guardar todos os documentos originais/autenticados, anexados eletronicamente ou apresentados para digitalização, se for o caso, pelo prazo de 10 (dez) anos, e apresentá-los quando requeridos pela Administração Pública;</w:t>
      </w:r>
    </w:p>
    <w:p w:rsidR="00DF06E3" w:rsidRDefault="00DF06E3">
      <w:pPr>
        <w:pStyle w:val="NormalWeb"/>
        <w:spacing w:before="0" w:beforeAutospacing="0" w:after="60" w:afterAutospacing="0"/>
        <w:jc w:val="both"/>
        <w:divId w:val="1262908356"/>
      </w:pPr>
      <w:r>
        <w:rPr>
          <w:color w:val="000000"/>
          <w:sz w:val="22"/>
          <w:szCs w:val="22"/>
        </w:rPr>
        <w:t>7.5.3. que os documentos anexados eletronicamente ou apresentados para digitalização, se for o caso, são fiéis aos originais e válidos para todos os efeitos legais, incorrendo nas sanções previstas na Lei Federal nº 10.520/2002, Lei Federal nº 12.462/2011 e Lei Federal nº 8.666/1993, conforme a legislação aplicável, em caso de declaração falsa, sem prejuízo da responsabilização civil e criminal;</w:t>
      </w:r>
    </w:p>
    <w:p w:rsidR="00DF06E3" w:rsidRDefault="00DF06E3">
      <w:pPr>
        <w:pStyle w:val="NormalWeb"/>
        <w:spacing w:before="0" w:beforeAutospacing="0" w:after="60" w:afterAutospacing="0"/>
        <w:jc w:val="both"/>
        <w:divId w:val="1262908356"/>
      </w:pPr>
      <w:r>
        <w:rPr>
          <w:color w:val="000000"/>
          <w:sz w:val="22"/>
          <w:szCs w:val="22"/>
        </w:rPr>
        <w:t>7.5.4. que a participante não emprega menor de dezoito anos em trabalho noturno, perigoso ou insalubre e não emprega menor de dezesseis anos, salvo na condição de aprendiz, a partir de quatorze anos, conforme previsto no inciso V do art. 27 da Lei nº 8.666, de 21 de junho de 1993 (inciso XXXIII do art. 7º da Constituição Federal);</w:t>
      </w:r>
    </w:p>
    <w:p w:rsidR="00DF06E3" w:rsidRDefault="00DF06E3">
      <w:pPr>
        <w:pStyle w:val="NormalWeb"/>
        <w:spacing w:before="0" w:beforeAutospacing="0" w:after="60" w:afterAutospacing="0"/>
        <w:jc w:val="both"/>
        <w:divId w:val="1262908356"/>
      </w:pPr>
      <w:r>
        <w:rPr>
          <w:color w:val="000000"/>
          <w:sz w:val="22"/>
          <w:szCs w:val="22"/>
        </w:rPr>
        <w:t>7.5.5. que a participante tem conhecimento acerca das condutas passíveis de penalidades elencadas no Termo de Dispensa de Licitação, de acordo com a modalidade, e aquelas previstas na Lei 14.133/2021;</w:t>
      </w:r>
    </w:p>
    <w:p w:rsidR="00DF06E3" w:rsidRDefault="00DF06E3">
      <w:pPr>
        <w:pStyle w:val="NormalWeb"/>
        <w:spacing w:before="0" w:beforeAutospacing="0" w:after="60" w:afterAutospacing="0"/>
        <w:jc w:val="both"/>
        <w:divId w:val="1262908356"/>
      </w:pPr>
      <w:r>
        <w:rPr>
          <w:color w:val="000000"/>
          <w:sz w:val="22"/>
          <w:szCs w:val="22"/>
        </w:rPr>
        <w:t>7.5.6. que até a presente data inexistem fatos impeditivos à participação da participante, conforme consta no Termo de Dispensa de Licitação, salvo disposição extraordinária prevista em lei específica.</w:t>
      </w:r>
    </w:p>
    <w:p w:rsidR="00DF06E3" w:rsidRDefault="00DF06E3">
      <w:pPr>
        <w:pStyle w:val="NormalWeb"/>
        <w:spacing w:before="0" w:beforeAutospacing="0" w:after="60" w:afterAutospacing="0"/>
        <w:jc w:val="both"/>
        <w:divId w:val="1262908356"/>
      </w:pPr>
      <w:r>
        <w:rPr>
          <w:color w:val="000000"/>
          <w:sz w:val="22"/>
          <w:szCs w:val="22"/>
        </w:rPr>
        <w:t>7.6. As declarações mencionadas nos subitens anteriores são condicionantes para a participação na Dispensa de Licitação. </w:t>
      </w:r>
    </w:p>
    <w:p w:rsidR="00DF06E3" w:rsidRDefault="00DF06E3">
      <w:pPr>
        <w:pStyle w:val="NormalWeb"/>
        <w:spacing w:before="0" w:beforeAutospacing="0" w:after="60" w:afterAutospacing="0"/>
        <w:jc w:val="both"/>
        <w:divId w:val="1262908356"/>
      </w:pPr>
      <w:r>
        <w:rPr>
          <w:color w:val="000000"/>
          <w:sz w:val="22"/>
          <w:szCs w:val="22"/>
        </w:rPr>
        <w:t xml:space="preserve">7.7. Nos casos de emissão de declaração falsa, o participante estará sujeito à tipificação no crime de falsidade ideológica, previsto no art. 299 do Código Penal Brasileiro, nos crimes previstos nos </w:t>
      </w:r>
      <w:proofErr w:type="spellStart"/>
      <w:r>
        <w:rPr>
          <w:color w:val="000000"/>
          <w:sz w:val="22"/>
          <w:szCs w:val="22"/>
        </w:rPr>
        <w:t>arts</w:t>
      </w:r>
      <w:proofErr w:type="spellEnd"/>
      <w:r>
        <w:rPr>
          <w:color w:val="000000"/>
          <w:sz w:val="22"/>
          <w:szCs w:val="22"/>
        </w:rPr>
        <w:t>. 337-F e 337-I do Capítulo II-B, do Título XI da Parte Especial do Decreto-Lei nº 2.848, de 7 de dezembro de 1940 (Código Penal), e no art. 5º da Lei federal 12.846/2013, sem prejuízo da aplicação das sanções administrativas previstas no presente Termo de Dispensa de Licitação. </w:t>
      </w:r>
    </w:p>
    <w:p w:rsidR="00DF06E3" w:rsidRDefault="00DF06E3">
      <w:pPr>
        <w:pStyle w:val="NormalWeb"/>
        <w:spacing w:before="0" w:beforeAutospacing="0" w:after="60" w:afterAutospacing="0"/>
        <w:jc w:val="both"/>
        <w:divId w:val="1262908356"/>
      </w:pPr>
      <w:r>
        <w:rPr>
          <w:color w:val="000000"/>
          <w:sz w:val="22"/>
          <w:szCs w:val="22"/>
        </w:rPr>
        <w:t>7.8. Até data e hora marcadas como fim do recebimento de propostas, o participante poderá retirar ou substituir a proposta anteriormente apresentada. </w:t>
      </w:r>
    </w:p>
    <w:p w:rsidR="00DF06E3" w:rsidRDefault="00DF06E3">
      <w:pPr>
        <w:pStyle w:val="NormalWeb"/>
        <w:spacing w:before="0" w:beforeAutospacing="0" w:after="60" w:afterAutospacing="0"/>
        <w:jc w:val="both"/>
        <w:divId w:val="1262908356"/>
      </w:pPr>
      <w:r>
        <w:rPr>
          <w:color w:val="000000"/>
          <w:sz w:val="22"/>
          <w:szCs w:val="22"/>
        </w:rPr>
        <w:t>7.9. Após a abertura da sessão, não cabe desistência da proposta, salvo por motivo resultante de fato superveniente e aceito pelo agente de dispensa. </w:t>
      </w:r>
    </w:p>
    <w:p w:rsidR="00DF06E3" w:rsidRDefault="00DF06E3">
      <w:pPr>
        <w:pStyle w:val="NormalWeb"/>
        <w:spacing w:before="0" w:beforeAutospacing="0" w:after="60" w:afterAutospacing="0"/>
        <w:jc w:val="both"/>
        <w:divId w:val="1262908356"/>
      </w:pPr>
      <w:r>
        <w:rPr>
          <w:color w:val="000000"/>
          <w:sz w:val="22"/>
          <w:szCs w:val="22"/>
        </w:rPr>
        <w:t>7.9.1. O fornecedor ou prestador que não mantiver a proposta, falhar ou fraudar a execução do fornecimento estará sujeito às sanções previstas na Lei Federal nº 14.133/2021, sem prejuízo do eventual cancelamento da Nota de Empenho.</w:t>
      </w:r>
    </w:p>
    <w:p w:rsidR="00DF06E3" w:rsidRDefault="00DF06E3">
      <w:pPr>
        <w:pStyle w:val="NormalWeb"/>
        <w:spacing w:before="0" w:beforeAutospacing="0" w:after="60" w:afterAutospacing="0"/>
        <w:jc w:val="both"/>
        <w:divId w:val="1262908356"/>
      </w:pPr>
      <w:r>
        <w:rPr>
          <w:color w:val="000000"/>
          <w:sz w:val="22"/>
          <w:szCs w:val="22"/>
        </w:rPr>
        <w:t>7.10. Serão desclassificadas as propostas que não atenderem às exigências do presente Termo de Dispensa de Licitação, que forem omissas ou apresentarem irregularidades.</w:t>
      </w:r>
    </w:p>
    <w:p w:rsidR="00DF06E3" w:rsidRDefault="00DF06E3">
      <w:pPr>
        <w:pStyle w:val="NormalWeb"/>
        <w:spacing w:before="0" w:beforeAutospacing="0" w:after="60" w:afterAutospacing="0"/>
        <w:jc w:val="both"/>
        <w:divId w:val="1262908356"/>
      </w:pPr>
      <w:r>
        <w:rPr>
          <w:color w:val="000000"/>
          <w:sz w:val="22"/>
          <w:szCs w:val="22"/>
        </w:rPr>
        <w:t>7.11. O preço proposto será de exclusiva responsabilidade do participante, não lhe assistindo o direito de pleitear qualquer alteração sob a alegação de erro, omissão ou qualquer outro pretexto. </w:t>
      </w:r>
    </w:p>
    <w:p w:rsidR="00DF06E3" w:rsidRDefault="00DF06E3">
      <w:pPr>
        <w:pStyle w:val="NormalWeb"/>
        <w:spacing w:before="0" w:beforeAutospacing="0" w:after="60" w:afterAutospacing="0"/>
        <w:jc w:val="both"/>
        <w:divId w:val="1262908356"/>
      </w:pPr>
      <w:r>
        <w:rPr>
          <w:color w:val="000000"/>
          <w:sz w:val="22"/>
          <w:szCs w:val="22"/>
        </w:rPr>
        <w:t>7.12. Não será admitida a subcontratação.</w:t>
      </w:r>
    </w:p>
    <w:p w:rsidR="00DF06E3" w:rsidRDefault="00DF06E3">
      <w:pPr>
        <w:pStyle w:val="NormalWeb"/>
        <w:spacing w:before="0" w:beforeAutospacing="0" w:after="60" w:afterAutospacing="0"/>
        <w:jc w:val="both"/>
        <w:divId w:val="1262908356"/>
      </w:pPr>
      <w:r>
        <w:rPr>
          <w:color w:val="000000"/>
          <w:sz w:val="22"/>
          <w:szCs w:val="22"/>
        </w:rPr>
        <w:t>7.13. A omissão de qualquer despesa necessária ao perfeito cumprimento do objeto deste certame será interpretada como não existente ou já incluída no preço, não podendo o participante pleitear acréscimo após a abertura da sessão pública.</w:t>
      </w:r>
    </w:p>
    <w:p w:rsidR="00DF06E3" w:rsidRDefault="00DF06E3">
      <w:pPr>
        <w:pStyle w:val="NormalWeb"/>
        <w:spacing w:before="0" w:beforeAutospacing="0" w:after="60" w:afterAutospacing="0"/>
        <w:jc w:val="both"/>
        <w:divId w:val="1262908356"/>
      </w:pPr>
      <w:r>
        <w:rPr>
          <w:color w:val="000000"/>
          <w:sz w:val="22"/>
          <w:szCs w:val="22"/>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DF06E3" w:rsidRDefault="00DF06E3">
      <w:pPr>
        <w:pStyle w:val="NormalWeb"/>
        <w:spacing w:before="0" w:beforeAutospacing="0" w:after="60" w:afterAutospacing="0"/>
        <w:jc w:val="both"/>
        <w:divId w:val="1262908356"/>
      </w:pPr>
      <w:r>
        <w:rPr>
          <w:color w:val="000000"/>
          <w:sz w:val="22"/>
          <w:szCs w:val="22"/>
        </w:rPr>
        <w:t>7.15. As propostas ficarão disponíveis no sistema eletrônico.</w:t>
      </w:r>
    </w:p>
    <w:p w:rsidR="00DF06E3" w:rsidRDefault="00DF06E3">
      <w:pPr>
        <w:divId w:val="1262908356"/>
      </w:pPr>
    </w:p>
    <w:p w:rsidR="00DF06E3" w:rsidRDefault="00DF06E3">
      <w:pPr>
        <w:pStyle w:val="Ttulo5"/>
        <w:spacing w:before="0" w:after="60"/>
        <w:jc w:val="both"/>
        <w:divId w:val="1262908356"/>
        <w:rPr>
          <w:rFonts w:eastAsia="Times New Roman"/>
        </w:rPr>
      </w:pPr>
      <w:r>
        <w:rPr>
          <w:rFonts w:eastAsia="Times New Roman"/>
          <w:color w:val="000000"/>
          <w:sz w:val="22"/>
          <w:szCs w:val="22"/>
        </w:rPr>
        <w:t>8. DA REFERÊNCIA DE TEMPO </w:t>
      </w:r>
    </w:p>
    <w:p w:rsidR="00DF06E3" w:rsidRDefault="00DF06E3">
      <w:pPr>
        <w:pStyle w:val="NormalWeb"/>
        <w:spacing w:before="0" w:beforeAutospacing="0" w:after="60" w:afterAutospacing="0"/>
        <w:jc w:val="both"/>
        <w:divId w:val="1262908356"/>
      </w:pPr>
      <w:r>
        <w:rPr>
          <w:color w:val="000000"/>
          <w:sz w:val="22"/>
          <w:szCs w:val="22"/>
        </w:rPr>
        <w:t>8.1.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rsidR="00DF06E3" w:rsidRDefault="00DF06E3">
      <w:pPr>
        <w:divId w:val="1262908356"/>
      </w:pPr>
    </w:p>
    <w:p w:rsidR="00DF06E3" w:rsidRDefault="00DF06E3">
      <w:pPr>
        <w:pStyle w:val="Ttulo5"/>
        <w:spacing w:before="0" w:after="60"/>
        <w:jc w:val="both"/>
        <w:divId w:val="1262908356"/>
        <w:rPr>
          <w:rFonts w:eastAsia="Times New Roman"/>
        </w:rPr>
      </w:pPr>
      <w:r>
        <w:rPr>
          <w:rFonts w:eastAsia="Times New Roman"/>
          <w:color w:val="000000"/>
          <w:sz w:val="22"/>
          <w:szCs w:val="22"/>
        </w:rPr>
        <w:t>9. DA SESSÃO PÚBLICA DE DISPENSA DE LICITAÇÃO ELETRÔNICA</w:t>
      </w:r>
    </w:p>
    <w:p w:rsidR="00DF06E3" w:rsidRDefault="00DF06E3">
      <w:pPr>
        <w:pStyle w:val="NormalWeb"/>
        <w:spacing w:before="0" w:beforeAutospacing="0" w:after="60" w:afterAutospacing="0"/>
        <w:jc w:val="both"/>
        <w:divId w:val="1262908356"/>
      </w:pPr>
      <w:r>
        <w:rPr>
          <w:color w:val="000000"/>
          <w:sz w:val="22"/>
          <w:szCs w:val="22"/>
        </w:rPr>
        <w:t>9.1. A partir da abertura das propostas, as empresas participantes terão conhecimento do menor valor ofertado. </w:t>
      </w:r>
    </w:p>
    <w:p w:rsidR="00DF06E3" w:rsidRDefault="00DF06E3">
      <w:pPr>
        <w:pStyle w:val="NormalWeb"/>
        <w:spacing w:before="0" w:beforeAutospacing="0" w:after="60" w:afterAutospacing="0"/>
        <w:jc w:val="both"/>
        <w:divId w:val="1262908356"/>
      </w:pPr>
      <w:r>
        <w:rPr>
          <w:color w:val="000000"/>
          <w:sz w:val="22"/>
          <w:szCs w:val="22"/>
        </w:rPr>
        <w:t>9.2. A partir do momento de início da disputa, as empresas participantes poderão formular lances de menor valor, sendo informados sobre seu recebimento, com indicação de horário e valor. </w:t>
      </w:r>
    </w:p>
    <w:p w:rsidR="00DF06E3" w:rsidRDefault="00DF06E3">
      <w:pPr>
        <w:pStyle w:val="NormalWeb"/>
        <w:spacing w:before="0" w:beforeAutospacing="0" w:after="60" w:afterAutospacing="0"/>
        <w:jc w:val="both"/>
        <w:divId w:val="1262908356"/>
      </w:pPr>
      <w:r>
        <w:rPr>
          <w:color w:val="000000"/>
          <w:sz w:val="22"/>
          <w:szCs w:val="22"/>
        </w:rPr>
        <w:t>9.2.1. Só serão aceitos novos lances cujos valores forem inferiores ao último lance registrado pela própria empresa, respeitando o decremento mínimo, previsto no Anexo I – FOLHA DE DADOS (CGDL 9.2.1).</w:t>
      </w:r>
    </w:p>
    <w:p w:rsidR="00DF06E3" w:rsidRDefault="00DF06E3">
      <w:pPr>
        <w:pStyle w:val="NormalWeb"/>
        <w:spacing w:before="0" w:beforeAutospacing="0" w:after="0" w:afterAutospacing="0"/>
        <w:jc w:val="both"/>
        <w:divId w:val="1262908356"/>
      </w:pPr>
      <w:r>
        <w:rPr>
          <w:color w:val="000000"/>
          <w:sz w:val="22"/>
          <w:szCs w:val="22"/>
        </w:rPr>
        <w:t>9.2.2. Os participantes deverão observar os seguintes intervalos entre os lances:</w:t>
      </w:r>
    </w:p>
    <w:p w:rsidR="00DF06E3" w:rsidRDefault="00DF06E3">
      <w:pPr>
        <w:pStyle w:val="NormalWeb"/>
        <w:spacing w:before="0" w:beforeAutospacing="0" w:after="0" w:afterAutospacing="0"/>
        <w:jc w:val="both"/>
        <w:divId w:val="1262908356"/>
      </w:pPr>
      <w:r>
        <w:rPr>
          <w:color w:val="000000"/>
          <w:sz w:val="22"/>
          <w:szCs w:val="22"/>
        </w:rPr>
        <w:t>9.2.2.1. 3 (três) segundos caso os lances sejam de participantes diferentes.</w:t>
      </w:r>
    </w:p>
    <w:p w:rsidR="00DF06E3" w:rsidRDefault="00DF06E3">
      <w:pPr>
        <w:pStyle w:val="NormalWeb"/>
        <w:spacing w:before="0" w:beforeAutospacing="0" w:after="60" w:afterAutospacing="0"/>
        <w:jc w:val="both"/>
        <w:divId w:val="1262908356"/>
      </w:pPr>
      <w:r>
        <w:rPr>
          <w:color w:val="000000"/>
          <w:sz w:val="22"/>
          <w:szCs w:val="22"/>
        </w:rPr>
        <w:t>9.2.2.2. 10 (dez) segundos caso os lances sejam de um mesmo participante.</w:t>
      </w:r>
    </w:p>
    <w:p w:rsidR="00DF06E3" w:rsidRDefault="00DF06E3">
      <w:pPr>
        <w:pStyle w:val="NormalWeb"/>
        <w:spacing w:before="0" w:beforeAutospacing="0" w:after="60" w:afterAutospacing="0"/>
        <w:jc w:val="both"/>
        <w:divId w:val="1262908356"/>
      </w:pPr>
      <w:r>
        <w:rPr>
          <w:color w:val="000000"/>
          <w:sz w:val="22"/>
          <w:szCs w:val="22"/>
        </w:rPr>
        <w:t>9.3. Durante todo o transcurso da disputa, os participantes serão informados do valor do menor lance. </w:t>
      </w:r>
    </w:p>
    <w:p w:rsidR="00DF06E3" w:rsidRDefault="00DF06E3">
      <w:pPr>
        <w:pStyle w:val="NormalWeb"/>
        <w:spacing w:before="0" w:beforeAutospacing="0" w:after="60" w:afterAutospacing="0"/>
        <w:jc w:val="both"/>
        <w:divId w:val="1262908356"/>
      </w:pPr>
      <w:r>
        <w:rPr>
          <w:color w:val="000000"/>
          <w:sz w:val="22"/>
          <w:szCs w:val="22"/>
        </w:rPr>
        <w:t>9.4. A etapa de lances será encerrada aleatoriamente pelo sistema, após a apresentação de aviso de fechamento iminente, observado o tempo máximo de 30 (trinta) minutos. </w:t>
      </w:r>
    </w:p>
    <w:p w:rsidR="00DF06E3" w:rsidRDefault="00DF06E3">
      <w:pPr>
        <w:pStyle w:val="NormalWeb"/>
        <w:spacing w:before="0" w:beforeAutospacing="0" w:after="60" w:afterAutospacing="0"/>
        <w:jc w:val="both"/>
        <w:divId w:val="1262908356"/>
      </w:pPr>
      <w:r>
        <w:rPr>
          <w:color w:val="000000"/>
          <w:sz w:val="22"/>
          <w:szCs w:val="22"/>
        </w:rPr>
        <w:t>9.5. O critério de julgamento de classificação das empresas será o indicado no Anexo I – FOLHA DE DADOS (CGDL 7.4). </w:t>
      </w:r>
    </w:p>
    <w:p w:rsidR="00DF06E3" w:rsidRDefault="00DF06E3">
      <w:pPr>
        <w:pStyle w:val="NormalWeb"/>
        <w:spacing w:before="0" w:beforeAutospacing="0" w:after="60" w:afterAutospacing="0"/>
        <w:jc w:val="both"/>
        <w:divId w:val="1262908356"/>
      </w:pPr>
      <w:r>
        <w:rPr>
          <w:color w:val="000000"/>
          <w:sz w:val="22"/>
          <w:szCs w:val="22"/>
        </w:rPr>
        <w:t>9.6. Encerrada a etapa de lances, poderá ser realizada negociação, por meio do sistema, com o proponente do lance de menor valor, podendo ser acompanhada pelos demais participantes. </w:t>
      </w:r>
    </w:p>
    <w:p w:rsidR="00DF06E3" w:rsidRDefault="00DF06E3">
      <w:pPr>
        <w:pStyle w:val="NormalWeb"/>
        <w:spacing w:before="0" w:beforeAutospacing="0" w:after="0" w:afterAutospacing="0"/>
        <w:jc w:val="both"/>
        <w:divId w:val="1262908356"/>
      </w:pPr>
      <w:r>
        <w:rPr>
          <w:color w:val="000000"/>
          <w:sz w:val="22"/>
          <w:szCs w:val="22"/>
        </w:rPr>
        <w:t>9.7.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rsidR="00DF06E3" w:rsidRDefault="00DF06E3">
      <w:pPr>
        <w:pStyle w:val="NormalWeb"/>
        <w:spacing w:before="0" w:beforeAutospacing="0" w:after="0" w:afterAutospacing="0"/>
        <w:jc w:val="both"/>
        <w:divId w:val="1262908356"/>
      </w:pPr>
      <w:r>
        <w:rPr>
          <w:color w:val="000000"/>
          <w:sz w:val="22"/>
          <w:szCs w:val="22"/>
        </w:rPr>
        <w:t>9.8. Se ocorrer a desconexão do agente de dispensa durante a etapa de lances, e o sistema eletrônico permanecer acessível aos participantes, os lances continuarão sendo recebidos, sem prejuízo dos atos realizados.</w:t>
      </w:r>
    </w:p>
    <w:p w:rsidR="00DF06E3" w:rsidRDefault="00DF06E3">
      <w:pPr>
        <w:pStyle w:val="NormalWeb"/>
        <w:spacing w:before="0" w:beforeAutospacing="0" w:after="0" w:afterAutospacing="0"/>
        <w:jc w:val="both"/>
        <w:divId w:val="1262908356"/>
      </w:pPr>
      <w:r>
        <w:rPr>
          <w:color w:val="000000"/>
          <w:sz w:val="22"/>
          <w:szCs w:val="22"/>
        </w:rPr>
        <w:t>9.9 Quando a desconexão persistir por tempo superior a 10 (dez) minutos, a sessão pública da dispensa de licitação será suspensa e terá reinício, com o aproveitamento dos atos anteriormente praticados, somente após comunicação expressa do agente de dispensa aos participantes.</w:t>
      </w:r>
    </w:p>
    <w:p w:rsidR="00DF06E3" w:rsidRDefault="00DF06E3">
      <w:pPr>
        <w:pStyle w:val="NormalWeb"/>
        <w:spacing w:before="0" w:beforeAutospacing="0" w:after="0" w:afterAutospacing="0"/>
        <w:jc w:val="both"/>
        <w:divId w:val="1262908356"/>
      </w:pPr>
      <w:r>
        <w:rPr>
          <w:color w:val="000000"/>
          <w:sz w:val="22"/>
          <w:szCs w:val="22"/>
        </w:rPr>
        <w:t>9.10 No caso de desconexão do participante, o mesmo deverá de imediato, sob sua inteira responsabilidade, providenciar sua conexão ao sistema.</w:t>
      </w:r>
    </w:p>
    <w:p w:rsidR="00DF06E3" w:rsidRDefault="00DF06E3">
      <w:pPr>
        <w:divId w:val="1262908356"/>
      </w:pPr>
    </w:p>
    <w:p w:rsidR="00DF06E3" w:rsidRDefault="00DF06E3">
      <w:pPr>
        <w:pStyle w:val="Ttulo5"/>
        <w:spacing w:before="0" w:after="60"/>
        <w:jc w:val="both"/>
        <w:divId w:val="1262908356"/>
        <w:rPr>
          <w:rFonts w:eastAsia="Times New Roman"/>
        </w:rPr>
      </w:pPr>
      <w:r>
        <w:rPr>
          <w:rFonts w:eastAsia="Times New Roman"/>
          <w:color w:val="000000"/>
          <w:sz w:val="22"/>
          <w:szCs w:val="22"/>
        </w:rPr>
        <w:t>10. DA NEGOCIAÇÃO </w:t>
      </w:r>
    </w:p>
    <w:p w:rsidR="00DF06E3" w:rsidRDefault="00DF06E3">
      <w:pPr>
        <w:pStyle w:val="NormalWeb"/>
        <w:spacing w:before="0" w:beforeAutospacing="0" w:after="0" w:afterAutospacing="0"/>
        <w:jc w:val="both"/>
        <w:divId w:val="1262908356"/>
      </w:pPr>
      <w:r>
        <w:rPr>
          <w:color w:val="000000"/>
          <w:sz w:val="22"/>
          <w:szCs w:val="22"/>
        </w:rPr>
        <w:t>10.1. Após o encerramento da etapa de lances e da aplicação do empate ficto, se for o caso, o pregoeiro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Edital. </w:t>
      </w:r>
    </w:p>
    <w:p w:rsidR="00DF06E3" w:rsidRDefault="00DF06E3">
      <w:pPr>
        <w:pStyle w:val="NormalWeb"/>
        <w:spacing w:before="0" w:beforeAutospacing="0" w:after="0" w:afterAutospacing="0"/>
        <w:jc w:val="both"/>
        <w:divId w:val="1262908356"/>
      </w:pPr>
      <w:r>
        <w:rPr>
          <w:color w:val="000000"/>
          <w:sz w:val="22"/>
          <w:szCs w:val="22"/>
        </w:rPr>
        <w:t>10.2. A negociação será realizada por meio do sistema, podendo ser acompanhada pelos demais participantes.</w:t>
      </w:r>
    </w:p>
    <w:p w:rsidR="00DF06E3" w:rsidRDefault="00DF06E3">
      <w:pPr>
        <w:divId w:val="1262908356"/>
      </w:pPr>
    </w:p>
    <w:p w:rsidR="00DF06E3" w:rsidRDefault="00DF06E3">
      <w:pPr>
        <w:pStyle w:val="Ttulo5"/>
        <w:spacing w:before="0" w:after="60"/>
        <w:jc w:val="both"/>
        <w:divId w:val="1262908356"/>
        <w:rPr>
          <w:rFonts w:eastAsia="Times New Roman"/>
        </w:rPr>
      </w:pPr>
      <w:r>
        <w:rPr>
          <w:rFonts w:eastAsia="Times New Roman"/>
          <w:color w:val="000000"/>
          <w:sz w:val="22"/>
          <w:szCs w:val="22"/>
        </w:rPr>
        <w:t>11. DA ACEITABILIDADE E DO JULGAMENTO DAS PROPOSTAS</w:t>
      </w:r>
    </w:p>
    <w:p w:rsidR="00DF06E3" w:rsidRDefault="00DF06E3">
      <w:pPr>
        <w:pStyle w:val="NormalWeb"/>
        <w:spacing w:before="0" w:beforeAutospacing="0" w:after="0" w:afterAutospacing="0"/>
        <w:jc w:val="both"/>
        <w:divId w:val="1262908356"/>
      </w:pPr>
      <w:r>
        <w:rPr>
          <w:color w:val="000000"/>
          <w:sz w:val="22"/>
          <w:szCs w:val="22"/>
        </w:rPr>
        <w:t>11.1. O participante classificado em primeiro lugar, por convocação e no prazo definido pelo agente de dispensa de, no mínimo 01 (uma) hora, deverá encaminhar a proposta de preço adequada ao valor proposto, por meio eletrônico - Anexo I - FOLHA DE DADOS (CGDL 2.2), que fará parte do contrato como anexo.</w:t>
      </w:r>
    </w:p>
    <w:p w:rsidR="00DF06E3" w:rsidRDefault="00DF06E3">
      <w:pPr>
        <w:pStyle w:val="NormalWeb"/>
        <w:spacing w:before="0" w:beforeAutospacing="0" w:after="0" w:afterAutospacing="0"/>
        <w:jc w:val="both"/>
        <w:divId w:val="1262908356"/>
      </w:pPr>
      <w:r>
        <w:rPr>
          <w:color w:val="000000"/>
          <w:sz w:val="22"/>
          <w:szCs w:val="22"/>
        </w:rPr>
        <w:t>11.2. O participante que abandonar o certame, deixando de enviar a documentação solicitada, será desclassificado e estará sujeito às sanções previstas neste Termo de Dispensa.</w:t>
      </w:r>
    </w:p>
    <w:p w:rsidR="00DF06E3" w:rsidRDefault="00DF06E3">
      <w:pPr>
        <w:pStyle w:val="NormalWeb"/>
        <w:spacing w:before="0" w:beforeAutospacing="0" w:after="0" w:afterAutospacing="0"/>
        <w:jc w:val="both"/>
        <w:divId w:val="1262908356"/>
      </w:pPr>
      <w:r>
        <w:rPr>
          <w:color w:val="000000"/>
          <w:sz w:val="22"/>
          <w:szCs w:val="22"/>
        </w:rPr>
        <w:t>11.3. O agente de dispensa poderá solicitar parecer de técnicos pertencentes ao quadro de pessoal do órgão ou entidade contratante ou de terceiros, para orientar sua decisão.</w:t>
      </w:r>
    </w:p>
    <w:p w:rsidR="00DF06E3" w:rsidRDefault="00DF06E3">
      <w:pPr>
        <w:pStyle w:val="NormalWeb"/>
        <w:spacing w:before="0" w:beforeAutospacing="0" w:after="0" w:afterAutospacing="0"/>
        <w:jc w:val="both"/>
        <w:divId w:val="1262908356"/>
      </w:pPr>
      <w:r>
        <w:rPr>
          <w:color w:val="000000"/>
          <w:sz w:val="22"/>
          <w:szCs w:val="22"/>
        </w:rPr>
        <w:t>11.4. Não se considerará qualquer oferta de vantagem não prevista neste Termo de Dispensa, inclusive financiamentos subsidiados ou a fundo perdido.</w:t>
      </w:r>
    </w:p>
    <w:p w:rsidR="00DF06E3" w:rsidRDefault="00DF06E3">
      <w:pPr>
        <w:pStyle w:val="NormalWeb"/>
        <w:spacing w:before="0" w:beforeAutospacing="0" w:after="0" w:afterAutospacing="0"/>
        <w:jc w:val="both"/>
        <w:divId w:val="1262908356"/>
      </w:pPr>
      <w:r>
        <w:rPr>
          <w:color w:val="000000"/>
          <w:sz w:val="22"/>
          <w:szCs w:val="22"/>
        </w:rPr>
        <w:t>11.5.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DF06E3" w:rsidRDefault="00DF06E3">
      <w:pPr>
        <w:pStyle w:val="NormalWeb"/>
        <w:spacing w:before="0" w:beforeAutospacing="0" w:after="0" w:afterAutospacing="0"/>
        <w:jc w:val="both"/>
        <w:divId w:val="1262908356"/>
      </w:pPr>
      <w:r>
        <w:rPr>
          <w:color w:val="000000"/>
          <w:sz w:val="22"/>
          <w:szCs w:val="22"/>
        </w:rPr>
        <w:t>11.6. Na verificação da conformidade da melhor proposta apresentada com os requisitos deste Termo de Dispensa, será desclassificada aquela que: </w:t>
      </w:r>
    </w:p>
    <w:p w:rsidR="00DF06E3" w:rsidRDefault="00DF06E3">
      <w:pPr>
        <w:pStyle w:val="NormalWeb"/>
        <w:spacing w:before="0" w:beforeAutospacing="0" w:after="0" w:afterAutospacing="0"/>
        <w:jc w:val="both"/>
        <w:divId w:val="1262908356"/>
      </w:pPr>
      <w:r>
        <w:rPr>
          <w:color w:val="000000"/>
          <w:sz w:val="22"/>
          <w:szCs w:val="22"/>
        </w:rPr>
        <w:t>11.6.1. não atenda às exigências do ato convocatório do Termo de Dispensa; </w:t>
      </w:r>
    </w:p>
    <w:p w:rsidR="00DF06E3" w:rsidRDefault="00DF06E3">
      <w:pPr>
        <w:pStyle w:val="NormalWeb"/>
        <w:spacing w:before="0" w:beforeAutospacing="0" w:after="0" w:afterAutospacing="0"/>
        <w:jc w:val="both"/>
        <w:divId w:val="1262908356"/>
      </w:pPr>
      <w:r>
        <w:rPr>
          <w:color w:val="000000"/>
          <w:sz w:val="22"/>
          <w:szCs w:val="22"/>
        </w:rPr>
        <w:t>11.6.2. apresentar preços em desacordo com os critérios de aceitabilidade estabelecidos no Anexo I – FOLHA DE DADOS (CGDL 11.6.2);</w:t>
      </w:r>
    </w:p>
    <w:p w:rsidR="00DF06E3" w:rsidRDefault="00DF06E3">
      <w:pPr>
        <w:pStyle w:val="NormalWeb"/>
        <w:spacing w:before="0" w:beforeAutospacing="0" w:after="0" w:afterAutospacing="0"/>
        <w:jc w:val="both"/>
        <w:divId w:val="1262908356"/>
      </w:pPr>
      <w:r>
        <w:rPr>
          <w:color w:val="000000"/>
          <w:sz w:val="22"/>
          <w:szCs w:val="22"/>
        </w:rPr>
        <w:t>11.6.3. apresentar preços manifestamente inexequíveis não comprovando sua exequibilidade.</w:t>
      </w:r>
    </w:p>
    <w:p w:rsidR="00DF06E3" w:rsidRDefault="00DF06E3">
      <w:pPr>
        <w:pStyle w:val="NormalWeb"/>
        <w:spacing w:before="0" w:beforeAutospacing="0" w:after="0" w:afterAutospacing="0"/>
        <w:jc w:val="both"/>
        <w:divId w:val="1262908356"/>
      </w:pPr>
      <w:r>
        <w:rPr>
          <w:color w:val="000000"/>
          <w:sz w:val="22"/>
          <w:szCs w:val="22"/>
        </w:rPr>
        <w:t>11.7. Em caso de divergência entre valores grafados em algarismos e por extenso, prevalecerá o valor por extenso.</w:t>
      </w:r>
    </w:p>
    <w:p w:rsidR="00DF06E3" w:rsidRDefault="00DF06E3">
      <w:pPr>
        <w:pStyle w:val="NormalWeb"/>
        <w:spacing w:before="0" w:beforeAutospacing="0" w:after="0" w:afterAutospacing="0"/>
        <w:jc w:val="both"/>
        <w:divId w:val="1262908356"/>
      </w:pPr>
      <w:r>
        <w:rPr>
          <w:color w:val="000000"/>
          <w:sz w:val="22"/>
          <w:szCs w:val="22"/>
        </w:rPr>
        <w:t>11.8. A Administração concederá ao participante a oportunidade de demonstrar a exequibilidade de sua proposta.</w:t>
      </w:r>
    </w:p>
    <w:p w:rsidR="00DF06E3" w:rsidRDefault="00DF06E3">
      <w:pPr>
        <w:pStyle w:val="NormalWeb"/>
        <w:spacing w:before="0" w:beforeAutospacing="0" w:after="0" w:afterAutospacing="0"/>
        <w:jc w:val="both"/>
        <w:divId w:val="1262908356"/>
      </w:pPr>
      <w:r>
        <w:rPr>
          <w:color w:val="000000"/>
          <w:sz w:val="22"/>
          <w:szCs w:val="22"/>
        </w:rPr>
        <w:t>11.8.1. O agente de dispensa poderá realizar diligências para aferir a exequibilidade da proposta ou exigir do participante a sua demonstração;</w:t>
      </w:r>
    </w:p>
    <w:p w:rsidR="00DF06E3" w:rsidRDefault="00DF06E3">
      <w:pPr>
        <w:pStyle w:val="NormalWeb"/>
        <w:spacing w:before="0" w:beforeAutospacing="0" w:after="0" w:afterAutospacing="0"/>
        <w:jc w:val="both"/>
        <w:divId w:val="1262908356"/>
      </w:pPr>
      <w:r>
        <w:rPr>
          <w:color w:val="000000"/>
          <w:sz w:val="22"/>
          <w:szCs w:val="22"/>
        </w:rPr>
        <w:t>11.8.2. se houver indícios de inexequibilidade da proposta de preço, o agente de dispensa poderá adotar, dentre outros, os seguintes procedimentos: </w:t>
      </w:r>
    </w:p>
    <w:p w:rsidR="00DF06E3" w:rsidRDefault="00DF06E3">
      <w:pPr>
        <w:pStyle w:val="NormalWeb"/>
        <w:spacing w:before="0" w:beforeAutospacing="0" w:after="0" w:afterAutospacing="0"/>
        <w:jc w:val="both"/>
        <w:divId w:val="1262908356"/>
      </w:pPr>
      <w:r>
        <w:rPr>
          <w:color w:val="000000"/>
          <w:sz w:val="22"/>
          <w:szCs w:val="22"/>
        </w:rPr>
        <w:t>11.8.2.1. questionamentos junto ao participante para a apresentação de justificativas e comprovações em relação aos custos com indícios de inexequibilidade;</w:t>
      </w:r>
    </w:p>
    <w:p w:rsidR="00DF06E3" w:rsidRDefault="00DF06E3">
      <w:pPr>
        <w:pStyle w:val="NormalWeb"/>
        <w:spacing w:before="0" w:beforeAutospacing="0" w:after="0" w:afterAutospacing="0"/>
        <w:jc w:val="both"/>
        <w:divId w:val="1262908356"/>
      </w:pPr>
      <w:r>
        <w:rPr>
          <w:color w:val="000000"/>
          <w:sz w:val="22"/>
          <w:szCs w:val="22"/>
        </w:rPr>
        <w:t>11.8.2.2. pesquisas em órgãos públicos ou empresas privadas;</w:t>
      </w:r>
    </w:p>
    <w:p w:rsidR="00DF06E3" w:rsidRDefault="00DF06E3">
      <w:pPr>
        <w:pStyle w:val="NormalWeb"/>
        <w:spacing w:before="0" w:beforeAutospacing="0" w:after="0" w:afterAutospacing="0"/>
        <w:jc w:val="both"/>
        <w:divId w:val="1262908356"/>
      </w:pPr>
      <w:r>
        <w:rPr>
          <w:color w:val="000000"/>
          <w:sz w:val="22"/>
          <w:szCs w:val="22"/>
        </w:rPr>
        <w:t>11.8.2.3. verificação de outros contratos que o participante mantenha com a Administração Pública ou com a iniciativa privada; </w:t>
      </w:r>
    </w:p>
    <w:p w:rsidR="00DF06E3" w:rsidRDefault="00DF06E3">
      <w:pPr>
        <w:pStyle w:val="NormalWeb"/>
        <w:spacing w:before="0" w:beforeAutospacing="0" w:after="0" w:afterAutospacing="0"/>
        <w:jc w:val="both"/>
        <w:divId w:val="1262908356"/>
      </w:pPr>
      <w:r>
        <w:rPr>
          <w:color w:val="000000"/>
          <w:sz w:val="22"/>
          <w:szCs w:val="22"/>
        </w:rPr>
        <w:t>11.8.2.4. pesquisa de preço com fornecedores dos insumos utilizados, tais como: atacadistas, lojas de suprimentos, supermercados e fabricantes;</w:t>
      </w:r>
    </w:p>
    <w:p w:rsidR="00DF06E3" w:rsidRDefault="00DF06E3">
      <w:pPr>
        <w:pStyle w:val="NormalWeb"/>
        <w:spacing w:before="0" w:beforeAutospacing="0" w:after="0" w:afterAutospacing="0"/>
        <w:jc w:val="both"/>
        <w:divId w:val="1262908356"/>
      </w:pPr>
      <w:r>
        <w:rPr>
          <w:color w:val="000000"/>
          <w:sz w:val="22"/>
          <w:szCs w:val="22"/>
        </w:rPr>
        <w:t>11.8.2.5. verificação de notas fiscais dos produtos adquiridos pelo participante;</w:t>
      </w:r>
    </w:p>
    <w:p w:rsidR="00DF06E3" w:rsidRDefault="00DF06E3">
      <w:pPr>
        <w:pStyle w:val="NormalWeb"/>
        <w:spacing w:before="0" w:beforeAutospacing="0" w:after="0" w:afterAutospacing="0"/>
        <w:jc w:val="both"/>
        <w:divId w:val="1262908356"/>
      </w:pPr>
      <w:r>
        <w:rPr>
          <w:color w:val="000000"/>
          <w:sz w:val="22"/>
          <w:szCs w:val="22"/>
        </w:rPr>
        <w:t>11.8.2.6. estudos setoriais;</w:t>
      </w:r>
    </w:p>
    <w:p w:rsidR="00DF06E3" w:rsidRDefault="00DF06E3">
      <w:pPr>
        <w:pStyle w:val="NormalWeb"/>
        <w:spacing w:before="0" w:beforeAutospacing="0" w:after="0" w:afterAutospacing="0"/>
        <w:jc w:val="both"/>
        <w:divId w:val="1262908356"/>
      </w:pPr>
      <w:r>
        <w:rPr>
          <w:color w:val="000000"/>
          <w:sz w:val="22"/>
          <w:szCs w:val="22"/>
        </w:rPr>
        <w:t>11.8.2.7. consultas às Secretarias de Fazenda Federal, Distrital, Estadual ou Municipal;</w:t>
      </w:r>
    </w:p>
    <w:p w:rsidR="00DF06E3" w:rsidRDefault="00DF06E3">
      <w:pPr>
        <w:pStyle w:val="NormalWeb"/>
        <w:spacing w:before="0" w:beforeAutospacing="0" w:after="0" w:afterAutospacing="0"/>
        <w:jc w:val="both"/>
        <w:divId w:val="1262908356"/>
      </w:pPr>
      <w:r>
        <w:rPr>
          <w:color w:val="000000"/>
          <w:sz w:val="22"/>
          <w:szCs w:val="22"/>
        </w:rPr>
        <w:t>11.8.2.8. análise de soluções técnicas escolhidas e/ou condições excepcionalmente favoráveis que o participante disponha para o fornecimento;</w:t>
      </w:r>
    </w:p>
    <w:p w:rsidR="00DF06E3" w:rsidRDefault="00DF06E3">
      <w:pPr>
        <w:pStyle w:val="NormalWeb"/>
        <w:spacing w:before="0" w:beforeAutospacing="0" w:after="0" w:afterAutospacing="0"/>
        <w:jc w:val="both"/>
        <w:divId w:val="1262908356"/>
      </w:pPr>
      <w:r>
        <w:rPr>
          <w:color w:val="000000"/>
          <w:sz w:val="22"/>
          <w:szCs w:val="22"/>
        </w:rPr>
        <w:t>11.8.2.9. demais verificações que porventura se fizerem necessárias.</w:t>
      </w:r>
    </w:p>
    <w:p w:rsidR="00DF06E3" w:rsidRDefault="00DF06E3">
      <w:pPr>
        <w:pStyle w:val="NormalWeb"/>
        <w:spacing w:before="0" w:beforeAutospacing="0" w:after="0" w:afterAutospacing="0"/>
        <w:jc w:val="both"/>
        <w:divId w:val="1262908356"/>
      </w:pPr>
      <w:r>
        <w:rPr>
          <w:color w:val="000000"/>
          <w:sz w:val="22"/>
          <w:szCs w:val="22"/>
        </w:rPr>
        <w:t>11.8.3. Será considerada inexequível a proposta que não venha a ter demonstrada sua viabilidade por meio de documentação que comprove que os custos envolvidos na contratação são coerentes com os de mercado do objeto deste Pregão.     </w:t>
      </w:r>
    </w:p>
    <w:p w:rsidR="00DF06E3" w:rsidRDefault="00DF06E3">
      <w:pPr>
        <w:pStyle w:val="NormalWeb"/>
        <w:spacing w:before="0" w:beforeAutospacing="0" w:after="0" w:afterAutospacing="0"/>
        <w:jc w:val="both"/>
        <w:divId w:val="1262908356"/>
      </w:pPr>
      <w:r>
        <w:rPr>
          <w:color w:val="000000"/>
          <w:sz w:val="22"/>
          <w:szCs w:val="22"/>
        </w:rPr>
        <w:t>11.9. Será vencedor o participante que atender a íntegra do Termo de Dispensa e ofertar o menor preço, considerando o previsto no Anexo I – FOLHA DE DADOS (CGDL 7.4). </w:t>
      </w:r>
    </w:p>
    <w:p w:rsidR="00DF06E3" w:rsidRDefault="00DF06E3">
      <w:pPr>
        <w:pStyle w:val="NormalWeb"/>
        <w:spacing w:before="0" w:beforeAutospacing="0" w:after="0" w:afterAutospacing="0"/>
        <w:jc w:val="both"/>
        <w:divId w:val="1262908356"/>
      </w:pPr>
      <w:r>
        <w:rPr>
          <w:color w:val="000000"/>
          <w:sz w:val="22"/>
          <w:szCs w:val="22"/>
        </w:rPr>
        <w:t>11.10.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DF06E3" w:rsidRDefault="00DF06E3">
      <w:pPr>
        <w:divId w:val="1262908356"/>
      </w:pPr>
    </w:p>
    <w:p w:rsidR="00DF06E3" w:rsidRDefault="00DF06E3">
      <w:pPr>
        <w:pStyle w:val="Ttulo5"/>
        <w:spacing w:before="0" w:after="60"/>
        <w:jc w:val="both"/>
        <w:divId w:val="1262908356"/>
        <w:rPr>
          <w:rFonts w:eastAsia="Times New Roman"/>
        </w:rPr>
      </w:pPr>
      <w:r>
        <w:rPr>
          <w:rFonts w:eastAsia="Times New Roman"/>
          <w:color w:val="000000"/>
          <w:sz w:val="22"/>
          <w:szCs w:val="22"/>
        </w:rPr>
        <w:t>12. DA HABILITAÇÃO </w:t>
      </w:r>
    </w:p>
    <w:p w:rsidR="00DF06E3" w:rsidRDefault="00DF06E3">
      <w:pPr>
        <w:pStyle w:val="NormalWeb"/>
        <w:spacing w:before="0" w:beforeAutospacing="0" w:after="0" w:afterAutospacing="0"/>
        <w:jc w:val="both"/>
        <w:divId w:val="1262908356"/>
      </w:pPr>
      <w:r>
        <w:rPr>
          <w:color w:val="000000"/>
          <w:sz w:val="22"/>
          <w:szCs w:val="22"/>
        </w:rPr>
        <w:t>12.1. A empresa declarada vencedora deverá encaminhar os documentos relacionados no Anexo I – FOLHA DE DADOS (CGDL 12.1) através de upload em campo próprio do sistema eletrônico no qual o certame foi realizado, após o aceite definitivo da proposta final, no prazo mínimo de 01 (uma) hora definido pelo agente de dispensa.</w:t>
      </w:r>
    </w:p>
    <w:p w:rsidR="00DF06E3" w:rsidRDefault="00DF06E3">
      <w:pPr>
        <w:pStyle w:val="NormalWeb"/>
        <w:spacing w:before="0" w:beforeAutospacing="0" w:after="60" w:afterAutospacing="0"/>
        <w:jc w:val="both"/>
        <w:divId w:val="1262908356"/>
      </w:pPr>
      <w:r>
        <w:rPr>
          <w:color w:val="000000"/>
          <w:sz w:val="22"/>
          <w:szCs w:val="22"/>
        </w:rPr>
        <w:t>12.2. Sob pena de inabilitação, os documentos encaminhados deverão estar em nome da participante, com indicação do número de inscrição no CNPJ/CPF. </w:t>
      </w:r>
    </w:p>
    <w:p w:rsidR="00DF06E3" w:rsidRDefault="00DF06E3">
      <w:pPr>
        <w:pStyle w:val="NormalWeb"/>
        <w:spacing w:before="0" w:beforeAutospacing="0" w:after="60" w:afterAutospacing="0"/>
        <w:jc w:val="both"/>
        <w:divId w:val="1262908356"/>
      </w:pPr>
      <w:r>
        <w:rPr>
          <w:color w:val="000000"/>
          <w:sz w:val="22"/>
          <w:szCs w:val="22"/>
        </w:rPr>
        <w:t xml:space="preserve">12.3. Todos os documentos emitidos em língua estrangeira deverão ser entregues acompanhados da tradução para língua portuguesa, efetuada por tradutor juramentado, e também devidamente </w:t>
      </w:r>
      <w:proofErr w:type="spellStart"/>
      <w:r>
        <w:rPr>
          <w:color w:val="000000"/>
          <w:sz w:val="22"/>
          <w:szCs w:val="22"/>
        </w:rPr>
        <w:t>consularizados</w:t>
      </w:r>
      <w:proofErr w:type="spellEnd"/>
      <w:r>
        <w:rPr>
          <w:color w:val="000000"/>
          <w:sz w:val="22"/>
          <w:szCs w:val="22"/>
        </w:rPr>
        <w:t xml:space="preserve"> ou registrados no cartório de títulos e documentos. </w:t>
      </w:r>
    </w:p>
    <w:p w:rsidR="00DF06E3" w:rsidRDefault="00DF06E3">
      <w:pPr>
        <w:pStyle w:val="NormalWeb"/>
        <w:spacing w:before="0" w:beforeAutospacing="0" w:after="60" w:afterAutospacing="0"/>
        <w:jc w:val="both"/>
        <w:divId w:val="1262908356"/>
      </w:pPr>
      <w:r>
        <w:rPr>
          <w:color w:val="000000"/>
          <w:sz w:val="22"/>
          <w:szCs w:val="22"/>
        </w:rPr>
        <w:t>12.4. Tratando-se de filial, os documentos de habilitação deverão estar em nome da filial, exceto aqueles que, pela própria natureza, são emitidos somente em nome da matriz. </w:t>
      </w:r>
    </w:p>
    <w:p w:rsidR="00DF06E3" w:rsidRDefault="00DF06E3">
      <w:pPr>
        <w:pStyle w:val="NormalWeb"/>
        <w:spacing w:before="0" w:beforeAutospacing="0" w:after="60" w:afterAutospacing="0"/>
        <w:jc w:val="both"/>
        <w:divId w:val="1262908356"/>
      </w:pPr>
      <w:r>
        <w:rPr>
          <w:color w:val="000000"/>
          <w:sz w:val="22"/>
          <w:szCs w:val="22"/>
        </w:rPr>
        <w:t>12.5. As certidões exigidas que não tenham prazo de validade expresso em seu corpo ter-se-ão como válidas pelo período de 180 (cento e oitenta) dias, a contar da sua emissão. </w:t>
      </w:r>
    </w:p>
    <w:p w:rsidR="00DF06E3" w:rsidRDefault="00DF06E3">
      <w:pPr>
        <w:pStyle w:val="NormalWeb"/>
        <w:spacing w:before="0" w:beforeAutospacing="0" w:after="60" w:afterAutospacing="0"/>
        <w:jc w:val="both"/>
        <w:divId w:val="1262908356"/>
      </w:pPr>
      <w:r>
        <w:rPr>
          <w:color w:val="000000"/>
          <w:sz w:val="22"/>
          <w:szCs w:val="22"/>
        </w:rPr>
        <w:t>12.6. Caso seja apresentado o Certificado de Fornecedor do Estado, acompanhado do anexo, emitido pela Central de Licitações do Estado do Rio Grande do Sul – CELIC, este substituirá apenas os documentos que contemple, desde que estejam vigentes. </w:t>
      </w:r>
    </w:p>
    <w:p w:rsidR="00DF06E3" w:rsidRDefault="00DF06E3">
      <w:pPr>
        <w:pStyle w:val="NormalWeb"/>
        <w:spacing w:before="0" w:beforeAutospacing="0" w:after="60" w:afterAutospacing="0"/>
        <w:jc w:val="both"/>
        <w:divId w:val="1262908356"/>
      </w:pPr>
      <w:r>
        <w:rPr>
          <w:color w:val="000000"/>
          <w:sz w:val="22"/>
          <w:szCs w:val="22"/>
        </w:rPr>
        <w:t>12.7. Todos os documentos em que se exija assinatura devem ser firmados e digitalizados antes de sua remessa via sistema.</w:t>
      </w:r>
    </w:p>
    <w:p w:rsidR="00DF06E3" w:rsidRDefault="00DF06E3">
      <w:pPr>
        <w:pStyle w:val="NormalWeb"/>
        <w:spacing w:before="0" w:beforeAutospacing="0" w:after="60" w:afterAutospacing="0"/>
        <w:jc w:val="both"/>
        <w:divId w:val="1262908356"/>
      </w:pPr>
      <w:r>
        <w:rPr>
          <w:color w:val="000000"/>
          <w:sz w:val="22"/>
          <w:szCs w:val="22"/>
        </w:rPr>
        <w:t xml:space="preserve">12.8. Nos casos de apresentação de documento falso, o participante estará sujeito à tipificação nos crimes de falsidade, previstos nos artigos 297 e 298 do Código Penal Brasileiro, nos crimes previstos nos </w:t>
      </w:r>
      <w:proofErr w:type="spellStart"/>
      <w:r>
        <w:rPr>
          <w:color w:val="000000"/>
          <w:sz w:val="22"/>
          <w:szCs w:val="22"/>
        </w:rPr>
        <w:t>arts</w:t>
      </w:r>
      <w:proofErr w:type="spellEnd"/>
      <w:r>
        <w:rPr>
          <w:color w:val="000000"/>
          <w:sz w:val="22"/>
          <w:szCs w:val="22"/>
        </w:rPr>
        <w:t>. 337-F e 337-I do Capítulo II-B, do Título XI da Parte Especial do Decreto-Lei nº 2.848, de 7 de dezembro de 1940 (Código Penal), e no art. 5º da Lei federal 12.846/2013, sem prejuízo da aplicação das sanções administrativas previstas no presente Edital.</w:t>
      </w:r>
    </w:p>
    <w:p w:rsidR="00DF06E3" w:rsidRDefault="00DF06E3">
      <w:pPr>
        <w:divId w:val="1262908356"/>
      </w:pPr>
    </w:p>
    <w:p w:rsidR="00DF06E3" w:rsidRDefault="00DF06E3">
      <w:pPr>
        <w:pStyle w:val="Ttulo5"/>
        <w:spacing w:before="0" w:after="60"/>
        <w:jc w:val="both"/>
        <w:divId w:val="1262908356"/>
        <w:rPr>
          <w:rFonts w:eastAsia="Times New Roman"/>
        </w:rPr>
      </w:pPr>
      <w:r>
        <w:rPr>
          <w:rFonts w:eastAsia="Times New Roman"/>
          <w:color w:val="000000"/>
          <w:sz w:val="22"/>
          <w:szCs w:val="22"/>
        </w:rPr>
        <w:t>13. DOS PEDIDOS DE ESCLARECIMENTOS E DOS RECURSOS</w:t>
      </w:r>
    </w:p>
    <w:p w:rsidR="00DF06E3" w:rsidRDefault="00DF06E3">
      <w:pPr>
        <w:pStyle w:val="NormalWeb"/>
        <w:spacing w:before="0" w:beforeAutospacing="0" w:after="60" w:afterAutospacing="0"/>
        <w:jc w:val="both"/>
        <w:divId w:val="1262908356"/>
      </w:pPr>
      <w:r>
        <w:rPr>
          <w:color w:val="000000"/>
          <w:sz w:val="22"/>
          <w:szCs w:val="22"/>
        </w:rPr>
        <w:t>13.1. Os esclarecimentos quanto ao Termo de Dispensa de Licitação poderão ser solicitados ao agente de dispensa em até 1 (uma) hora antes da data fixada para a abertura da dispensa de licitação, conforme informado no Anexo I – FOLHA DE DADOS (CGDL 2.1).</w:t>
      </w:r>
    </w:p>
    <w:p w:rsidR="00DF06E3" w:rsidRDefault="00DF06E3">
      <w:pPr>
        <w:pStyle w:val="NormalWeb"/>
        <w:spacing w:before="0" w:beforeAutospacing="0" w:after="60" w:afterAutospacing="0"/>
        <w:jc w:val="both"/>
        <w:divId w:val="1262908356"/>
      </w:pPr>
      <w:r>
        <w:rPr>
          <w:color w:val="000000"/>
          <w:sz w:val="22"/>
          <w:szCs w:val="22"/>
        </w:rPr>
        <w:t>13.2. Declarado o vencedor, qualquer participante poderá manifestar imediata e motivadamente a intenção de recorrer, em campo próprio do sistema, no prazo estipulado e divulgado pelo agente de dispensa, com registro em ata da síntese das suas razões, sendo que o recurso terá efeito suspensivo.</w:t>
      </w:r>
      <w:r>
        <w:rPr>
          <w:strike/>
          <w:color w:val="000000"/>
          <w:sz w:val="22"/>
          <w:szCs w:val="22"/>
        </w:rPr>
        <w:t> </w:t>
      </w:r>
    </w:p>
    <w:p w:rsidR="00DF06E3" w:rsidRDefault="00DF06E3">
      <w:pPr>
        <w:pStyle w:val="NormalWeb"/>
        <w:spacing w:before="0" w:beforeAutospacing="0" w:after="60" w:afterAutospacing="0"/>
        <w:jc w:val="both"/>
        <w:divId w:val="1262908356"/>
      </w:pPr>
      <w:r>
        <w:rPr>
          <w:color w:val="000000"/>
          <w:sz w:val="22"/>
          <w:szCs w:val="22"/>
        </w:rPr>
        <w:t>13.2.1. A falta de manifestação acerca da intenção de recorrer, nos termos previstos neste Termo de Dispensa de Licitação, importará a decadência desse direito.</w:t>
      </w:r>
    </w:p>
    <w:p w:rsidR="00DF06E3" w:rsidRDefault="00DF06E3">
      <w:pPr>
        <w:pStyle w:val="NormalWeb"/>
        <w:spacing w:before="0" w:beforeAutospacing="0" w:after="60" w:afterAutospacing="0"/>
        <w:jc w:val="both"/>
        <w:divId w:val="1262908356"/>
      </w:pPr>
      <w:r>
        <w:rPr>
          <w:color w:val="000000"/>
          <w:sz w:val="22"/>
          <w:szCs w:val="22"/>
        </w:rPr>
        <w:t>13.2.2. Será concedido o prazo de vinte e quatro horas, contado da declaração de vencedor, para o participante interessado apresentar suas razões fundamentadas, exclusivamente via sistema – Anexo I - FOLHA DE DADOS (CGDL 2.2), ficando os demais participantes, desde logo, intimados para, querendo, apresentar contrarrazões em igual prazo, que começará a contar do término do prazo do recorrente, sendo-lhes assegurada vista imediata dos elementos indispensáveis à defesa dos seus interesses. </w:t>
      </w:r>
    </w:p>
    <w:p w:rsidR="00DF06E3" w:rsidRDefault="00DF06E3">
      <w:pPr>
        <w:pStyle w:val="NormalWeb"/>
        <w:spacing w:before="0" w:beforeAutospacing="0" w:after="60" w:afterAutospacing="0"/>
        <w:jc w:val="both"/>
        <w:divId w:val="1262908356"/>
      </w:pPr>
      <w:r>
        <w:rPr>
          <w:color w:val="000000"/>
          <w:sz w:val="22"/>
          <w:szCs w:val="22"/>
        </w:rPr>
        <w:t>13.3. Caberá ao agente de dispensa receber, examinar e decidir os recursos, no prazo de 2 (dois) dias úteis, encaminhando à autoridade competente, devidamente informado, quando mantiver a sua decisão. </w:t>
      </w:r>
    </w:p>
    <w:p w:rsidR="00DF06E3" w:rsidRDefault="00DF06E3">
      <w:pPr>
        <w:pStyle w:val="NormalWeb"/>
        <w:spacing w:before="0" w:beforeAutospacing="0" w:after="60" w:afterAutospacing="0"/>
        <w:jc w:val="both"/>
        <w:divId w:val="1262908356"/>
      </w:pPr>
      <w:r>
        <w:rPr>
          <w:color w:val="000000"/>
          <w:sz w:val="22"/>
          <w:szCs w:val="22"/>
        </w:rPr>
        <w:t>13.3.1. A autoridade competente deverá proferir a sua decisão no prazo de 2 (dois) dias úteis , contados a partir do recebimento do recurso. </w:t>
      </w:r>
    </w:p>
    <w:p w:rsidR="00DF06E3" w:rsidRDefault="00DF06E3">
      <w:pPr>
        <w:pStyle w:val="NormalWeb"/>
        <w:spacing w:before="0" w:beforeAutospacing="0" w:after="60" w:afterAutospacing="0"/>
        <w:jc w:val="both"/>
        <w:divId w:val="1262908356"/>
      </w:pPr>
      <w:r>
        <w:rPr>
          <w:color w:val="000000"/>
          <w:sz w:val="22"/>
          <w:szCs w:val="22"/>
        </w:rPr>
        <w:t>13.3.2. A petição de recurso dirigida à autoridade competente, por intermédio do agente de dispensa, deverá ser fundamentada e encaminhada eletronicamente por meio do sistema em que foi realizada a disputa – Anexo I – FOLHA DE DADOS (CGDL 2.2). </w:t>
      </w:r>
    </w:p>
    <w:p w:rsidR="00DF06E3" w:rsidRDefault="00DF06E3">
      <w:pPr>
        <w:pStyle w:val="NormalWeb"/>
        <w:spacing w:before="0" w:beforeAutospacing="0" w:after="60" w:afterAutospacing="0"/>
        <w:jc w:val="both"/>
        <w:divId w:val="1262908356"/>
      </w:pPr>
      <w:r>
        <w:rPr>
          <w:color w:val="000000"/>
          <w:sz w:val="22"/>
          <w:szCs w:val="22"/>
        </w:rPr>
        <w:t>13.3.3. O recurso será conhecido pelo agente de dispensa, se for tempestivo, se estiver fundamentado conforme as razões manifestadas no final da sessão pública, se estiver de acordo com as condições deste Termo de Dispensa de Licitação e se atender as demais condições para a sua admissibilidade.</w:t>
      </w:r>
    </w:p>
    <w:p w:rsidR="00DF06E3" w:rsidRDefault="00DF06E3">
      <w:pPr>
        <w:pStyle w:val="NormalWeb"/>
        <w:spacing w:before="0" w:beforeAutospacing="0" w:after="60" w:afterAutospacing="0"/>
        <w:jc w:val="both"/>
        <w:divId w:val="1262908356"/>
      </w:pPr>
      <w:r>
        <w:rPr>
          <w:color w:val="000000"/>
          <w:sz w:val="22"/>
          <w:szCs w:val="22"/>
        </w:rPr>
        <w:t>13.3.4. O acolhimento de recurso implicará invalidação apenas dos atos insuscetíveis de aproveitamento. </w:t>
      </w:r>
    </w:p>
    <w:p w:rsidR="00DF06E3" w:rsidRDefault="00DF06E3">
      <w:pPr>
        <w:pStyle w:val="NormalWeb"/>
        <w:spacing w:before="0" w:beforeAutospacing="0" w:after="60" w:afterAutospacing="0"/>
        <w:jc w:val="both"/>
        <w:divId w:val="1262908356"/>
      </w:pPr>
      <w:r>
        <w:rPr>
          <w:color w:val="000000"/>
          <w:sz w:val="22"/>
          <w:szCs w:val="22"/>
        </w:rPr>
        <w:t>13.3.5. Os arquivos eletrônicos com textos das razões e contrarrazões serão encaminhados eletronicamente pelo que foi realizada a disputa, indicado no Anexo I – FOLHA DE DADOS (CGDL 2.2). </w:t>
      </w:r>
    </w:p>
    <w:p w:rsidR="00DF06E3" w:rsidRDefault="00DF06E3">
      <w:pPr>
        <w:divId w:val="1262908356"/>
      </w:pPr>
    </w:p>
    <w:p w:rsidR="00DF06E3" w:rsidRDefault="00DF06E3">
      <w:pPr>
        <w:pStyle w:val="Ttulo5"/>
        <w:spacing w:before="0" w:after="60"/>
        <w:jc w:val="both"/>
        <w:divId w:val="1262908356"/>
        <w:rPr>
          <w:rFonts w:eastAsia="Times New Roman"/>
        </w:rPr>
      </w:pPr>
      <w:r>
        <w:rPr>
          <w:rFonts w:eastAsia="Times New Roman"/>
          <w:color w:val="000000"/>
          <w:sz w:val="22"/>
          <w:szCs w:val="22"/>
        </w:rPr>
        <w:t>14. DA ADJUDICAÇÃO E DA HOMOLOGAÇÃO </w:t>
      </w:r>
    </w:p>
    <w:p w:rsidR="00DF06E3" w:rsidRDefault="00DF06E3">
      <w:pPr>
        <w:pStyle w:val="NormalWeb"/>
        <w:spacing w:before="0" w:beforeAutospacing="0" w:after="60" w:afterAutospacing="0"/>
        <w:jc w:val="both"/>
        <w:divId w:val="1262908356"/>
      </w:pPr>
      <w:r>
        <w:rPr>
          <w:color w:val="000000"/>
          <w:sz w:val="22"/>
          <w:szCs w:val="22"/>
        </w:rPr>
        <w:t>14.1. O objeto da dispensa de licitação será adjudicado ao participante declarado vencedor, por ato do agente de dispensa ou pela autoridade competente. </w:t>
      </w:r>
    </w:p>
    <w:p w:rsidR="00DF06E3" w:rsidRDefault="00DF06E3">
      <w:pPr>
        <w:pStyle w:val="NormalWeb"/>
        <w:spacing w:before="0" w:beforeAutospacing="0" w:after="60" w:afterAutospacing="0"/>
        <w:jc w:val="both"/>
        <w:divId w:val="1262908356"/>
      </w:pPr>
      <w:r>
        <w:rPr>
          <w:color w:val="000000"/>
          <w:sz w:val="22"/>
          <w:szCs w:val="22"/>
        </w:rPr>
        <w:t>14.1.1 Fica autorizada a adjudicação do objeto após o término do prazo para manifestação da intenção de recorrer, independentemente de seu recebimento. </w:t>
      </w:r>
    </w:p>
    <w:p w:rsidR="00DF06E3" w:rsidRDefault="00DF06E3">
      <w:pPr>
        <w:pStyle w:val="NormalWeb"/>
        <w:spacing w:before="0" w:beforeAutospacing="0" w:after="60" w:afterAutospacing="0"/>
        <w:jc w:val="both"/>
        <w:divId w:val="1262908356"/>
      </w:pPr>
      <w:r>
        <w:rPr>
          <w:color w:val="000000"/>
          <w:sz w:val="22"/>
          <w:szCs w:val="22"/>
        </w:rPr>
        <w:t>14.2. Constatada a regularidade dos atos praticados, a autoridade competente homologará o procedimento de dispensa de licitação. </w:t>
      </w:r>
    </w:p>
    <w:p w:rsidR="00DF06E3" w:rsidRDefault="00DF06E3">
      <w:pPr>
        <w:divId w:val="1262908356"/>
      </w:pPr>
    </w:p>
    <w:p w:rsidR="00DF06E3" w:rsidRDefault="00DF06E3">
      <w:pPr>
        <w:pStyle w:val="Ttulo5"/>
        <w:spacing w:before="0" w:after="60"/>
        <w:jc w:val="both"/>
        <w:divId w:val="1262908356"/>
        <w:rPr>
          <w:rFonts w:eastAsia="Times New Roman"/>
        </w:rPr>
      </w:pPr>
      <w:r>
        <w:rPr>
          <w:rFonts w:eastAsia="Times New Roman"/>
          <w:color w:val="000000"/>
          <w:sz w:val="22"/>
          <w:szCs w:val="22"/>
        </w:rPr>
        <w:t>15. DO TERMO DE CONTRATO </w:t>
      </w:r>
    </w:p>
    <w:p w:rsidR="00DF06E3" w:rsidRDefault="00DF06E3">
      <w:pPr>
        <w:pStyle w:val="NormalWeb"/>
        <w:spacing w:before="0" w:beforeAutospacing="0" w:after="60" w:afterAutospacing="0"/>
        <w:jc w:val="both"/>
        <w:divId w:val="1262908356"/>
      </w:pPr>
      <w:r>
        <w:rPr>
          <w:color w:val="000000"/>
          <w:sz w:val="22"/>
          <w:szCs w:val="22"/>
        </w:rPr>
        <w:t>15.1. O participante terá o prazo previsto no Anexo I – FOLHA DE DADOS (CGDL 15.1), após formalmente convocado, para assinar o contrato, se houver. </w:t>
      </w:r>
    </w:p>
    <w:p w:rsidR="00DF06E3" w:rsidRDefault="00DF06E3">
      <w:pPr>
        <w:pStyle w:val="NormalWeb"/>
        <w:spacing w:before="0" w:beforeAutospacing="0" w:after="60" w:afterAutospacing="0"/>
        <w:jc w:val="both"/>
        <w:divId w:val="1262908356"/>
      </w:pPr>
      <w:r>
        <w:rPr>
          <w:color w:val="000000"/>
          <w:sz w:val="22"/>
          <w:szCs w:val="22"/>
        </w:rPr>
        <w:t>15.2. Alternativamente à convocação para comparecer perante o órgão ou entidade para a assinatura do contrato, a Administração poderá encaminhá-lo para assinatura, mediante correspondência postal com aviso de recebimento (AR) ou meio eletrônico, para que seja assinado no prazo de 5 (cinco) dias úteis, a contar da data de seu recebimento. </w:t>
      </w:r>
    </w:p>
    <w:p w:rsidR="00DF06E3" w:rsidRDefault="00DF06E3">
      <w:pPr>
        <w:pStyle w:val="NormalWeb"/>
        <w:spacing w:before="0" w:beforeAutospacing="0" w:after="60" w:afterAutospacing="0"/>
        <w:jc w:val="both"/>
        <w:divId w:val="1262908356"/>
      </w:pPr>
      <w:r>
        <w:rPr>
          <w:color w:val="000000"/>
          <w:sz w:val="22"/>
          <w:szCs w:val="22"/>
        </w:rPr>
        <w:t>15.3. O prazo previsto no subitem 15.3 poderá ser prorrogado, por igual período, por solicitação justificada do adjudicatário e aceita pela Administração. </w:t>
      </w:r>
    </w:p>
    <w:p w:rsidR="00DF06E3" w:rsidRDefault="00DF06E3">
      <w:pPr>
        <w:pStyle w:val="NormalWeb"/>
        <w:spacing w:before="0" w:beforeAutospacing="0" w:after="60" w:afterAutospacing="0"/>
        <w:jc w:val="both"/>
        <w:divId w:val="1262908356"/>
      </w:pPr>
      <w:r>
        <w:rPr>
          <w:color w:val="000000"/>
          <w:sz w:val="22"/>
          <w:szCs w:val="22"/>
        </w:rPr>
        <w:t>15.4. O prazo de vigência do contrato será o equivalente ao prazo de entrega estabelecido no Anexo II – Termo de Referência, encerrando-se com o aceite definitivo do objeto, salvo se houver previsão contrária no Anexo I – FOLHA DE DADOS (CGDL 15.3). </w:t>
      </w:r>
    </w:p>
    <w:p w:rsidR="00DF06E3" w:rsidRDefault="00DF06E3">
      <w:pPr>
        <w:pStyle w:val="NormalWeb"/>
        <w:spacing w:before="0" w:beforeAutospacing="0" w:after="60" w:afterAutospacing="0"/>
        <w:jc w:val="both"/>
        <w:divId w:val="1262908356"/>
      </w:pPr>
      <w:r>
        <w:rPr>
          <w:color w:val="000000"/>
          <w:sz w:val="22"/>
          <w:szCs w:val="22"/>
        </w:rPr>
        <w:t>15.5. A prorrogação dos prazos de entrega será precedida de justificativa e autorização da autoridade competente para a celebração do ajuste, devendo ser formalizada nos autos do processo administrativo. </w:t>
      </w:r>
    </w:p>
    <w:p w:rsidR="00DF06E3" w:rsidRDefault="00DF06E3">
      <w:pPr>
        <w:pStyle w:val="NormalWeb"/>
        <w:spacing w:before="0" w:beforeAutospacing="0" w:after="60" w:afterAutospacing="0"/>
        <w:jc w:val="both"/>
        <w:divId w:val="1262908356"/>
      </w:pPr>
      <w:r>
        <w:rPr>
          <w:color w:val="000000"/>
          <w:sz w:val="22"/>
          <w:szCs w:val="22"/>
        </w:rPr>
        <w:t>15.6. Previamente à contratação, será realizada consulta ao Cadastro de Fornecedores Impedidos de Licitar e Contratar com a Administração Pública Estadual – CFIL/RS, ao Cadastro Informativo – CADIN/RS, ao CEIS e ao CNEP, pelo contratante, para identificar possível impedimento relativo ao participante vencedor, cujo comprovante será anexado ao processo. </w:t>
      </w:r>
    </w:p>
    <w:p w:rsidR="00DF06E3" w:rsidRDefault="00DF06E3">
      <w:pPr>
        <w:pStyle w:val="NormalWeb"/>
        <w:spacing w:before="0" w:beforeAutospacing="0" w:after="60" w:afterAutospacing="0"/>
        <w:jc w:val="both"/>
        <w:divId w:val="1262908356"/>
      </w:pPr>
      <w:r>
        <w:rPr>
          <w:color w:val="000000"/>
          <w:sz w:val="22"/>
          <w:szCs w:val="22"/>
        </w:rPr>
        <w:t>15.7. Se o adjudicatário, no ato da assinatura do contrato, não comprovar que mantém as mesmas condições de habilitação, ou quando, injustificadamente, recusar-se à assinatura, poderá ser convocado outro participante, desde que respeitada a ordem de classificação, para, após a verificação da aceitabilidade da proposta, negociação e comprovados os requisitos de habilitação, celebrar a contratação, sem prejuízo das sanções previstas neste Termo de Dispensa de Licitação e das demais cominações legais. </w:t>
      </w:r>
    </w:p>
    <w:p w:rsidR="00DF06E3" w:rsidRDefault="00DF06E3">
      <w:pPr>
        <w:divId w:val="1262908356"/>
      </w:pPr>
    </w:p>
    <w:p w:rsidR="00DF06E3" w:rsidRDefault="00DF06E3">
      <w:pPr>
        <w:pStyle w:val="Ttulo5"/>
        <w:spacing w:before="0" w:after="60"/>
        <w:jc w:val="both"/>
        <w:divId w:val="1262908356"/>
        <w:rPr>
          <w:rFonts w:eastAsia="Times New Roman"/>
        </w:rPr>
      </w:pPr>
      <w:r>
        <w:rPr>
          <w:rFonts w:eastAsia="Times New Roman"/>
          <w:color w:val="000000"/>
          <w:sz w:val="22"/>
          <w:szCs w:val="22"/>
        </w:rPr>
        <w:t>16. DO PAGAMENTO </w:t>
      </w:r>
    </w:p>
    <w:p w:rsidR="00DF06E3" w:rsidRDefault="00DF06E3">
      <w:pPr>
        <w:pStyle w:val="NormalWeb"/>
        <w:spacing w:before="0" w:beforeAutospacing="0" w:after="60" w:afterAutospacing="0"/>
        <w:jc w:val="both"/>
        <w:divId w:val="1262908356"/>
      </w:pPr>
      <w:r>
        <w:rPr>
          <w:color w:val="000000"/>
          <w:sz w:val="22"/>
          <w:szCs w:val="22"/>
        </w:rPr>
        <w:t>16.1. As condições para pagamento são as previstas no Anexo I – FOLHA DE DADOS (CGDL 16.1).</w:t>
      </w:r>
    </w:p>
    <w:p w:rsidR="00DF06E3" w:rsidRDefault="00DF06E3">
      <w:pPr>
        <w:divId w:val="1262908356"/>
      </w:pPr>
    </w:p>
    <w:p w:rsidR="00DF06E3" w:rsidRDefault="00DF06E3">
      <w:pPr>
        <w:pStyle w:val="Ttulo5"/>
        <w:spacing w:before="0" w:after="60"/>
        <w:jc w:val="both"/>
        <w:divId w:val="1262908356"/>
        <w:rPr>
          <w:rFonts w:eastAsia="Times New Roman"/>
        </w:rPr>
      </w:pPr>
      <w:r>
        <w:rPr>
          <w:rFonts w:eastAsia="Times New Roman"/>
          <w:color w:val="000000"/>
          <w:sz w:val="22"/>
          <w:szCs w:val="22"/>
        </w:rPr>
        <w:t>17. DO REAJUSTE </w:t>
      </w:r>
    </w:p>
    <w:p w:rsidR="00DF06E3" w:rsidRDefault="00DF06E3">
      <w:pPr>
        <w:pStyle w:val="NormalWeb"/>
        <w:spacing w:before="0" w:beforeAutospacing="0" w:after="60" w:afterAutospacing="0"/>
        <w:jc w:val="both"/>
        <w:divId w:val="1262908356"/>
      </w:pPr>
      <w:r>
        <w:rPr>
          <w:color w:val="000000"/>
          <w:sz w:val="22"/>
          <w:szCs w:val="22"/>
        </w:rPr>
        <w:t>17.1. O contrato, se houver, será reajustado, conforme disposto na Cláusula Oitava do contrato, cuja minuta compõe o Anexo III do presente Termo de Dispensa de Licitação. </w:t>
      </w:r>
    </w:p>
    <w:p w:rsidR="00DF06E3" w:rsidRDefault="00DF06E3">
      <w:pPr>
        <w:divId w:val="1262908356"/>
      </w:pPr>
    </w:p>
    <w:p w:rsidR="00DF06E3" w:rsidRDefault="00DF06E3">
      <w:pPr>
        <w:pStyle w:val="Ttulo5"/>
        <w:spacing w:before="0" w:after="60"/>
        <w:jc w:val="both"/>
        <w:divId w:val="1262908356"/>
        <w:rPr>
          <w:rFonts w:eastAsia="Times New Roman"/>
        </w:rPr>
      </w:pPr>
      <w:r>
        <w:rPr>
          <w:rFonts w:eastAsia="Times New Roman"/>
          <w:color w:val="000000"/>
          <w:sz w:val="22"/>
          <w:szCs w:val="22"/>
        </w:rPr>
        <w:t>18. DAS SANÇÕES ADMINISTRATIVAS </w:t>
      </w:r>
    </w:p>
    <w:p w:rsidR="00DF06E3" w:rsidRDefault="00DF06E3">
      <w:pPr>
        <w:pStyle w:val="NormalWeb"/>
        <w:spacing w:before="0" w:beforeAutospacing="0" w:after="60" w:afterAutospacing="0"/>
        <w:jc w:val="both"/>
        <w:divId w:val="1262908356"/>
      </w:pPr>
      <w:r>
        <w:rPr>
          <w:color w:val="000000"/>
          <w:sz w:val="22"/>
          <w:szCs w:val="22"/>
        </w:rPr>
        <w:t xml:space="preserve">18.1. Comete infração administrativa, nos termos da Lei nº 14.133/21, o Contratado que </w:t>
      </w:r>
      <w:proofErr w:type="spellStart"/>
      <w:r>
        <w:rPr>
          <w:color w:val="000000"/>
          <w:sz w:val="22"/>
          <w:szCs w:val="22"/>
        </w:rPr>
        <w:t>inexecutar</w:t>
      </w:r>
      <w:proofErr w:type="spellEnd"/>
      <w:r>
        <w:rPr>
          <w:color w:val="000000"/>
          <w:sz w:val="22"/>
          <w:szCs w:val="22"/>
        </w:rPr>
        <w:t xml:space="preserve"> total ou parcialmente quaisquer das obrigações assumidas em decorrência da contratação; ensejar o retardamento da execução do objeto; fraudar na execução do contrato; comportar-se de modo inidôneo; cometer fraude fiscal; ou não mantiver a proposta.</w:t>
      </w:r>
    </w:p>
    <w:p w:rsidR="00DF06E3" w:rsidRDefault="00DF06E3">
      <w:pPr>
        <w:pStyle w:val="NormalWeb"/>
        <w:spacing w:before="0" w:beforeAutospacing="0" w:after="60" w:afterAutospacing="0"/>
        <w:jc w:val="both"/>
        <w:divId w:val="1262908356"/>
      </w:pPr>
      <w:r>
        <w:rPr>
          <w:color w:val="000000"/>
          <w:sz w:val="22"/>
          <w:szCs w:val="22"/>
        </w:rPr>
        <w:t>18.2. No caso de infringência aos regramentos deste certame, uma vez não sendo considerada satisfatória a justificativa apresentada pelo participante, ser-lhe-ão aplicadas penalidades em relação a sua participação em licitações, sem prejuízo das demais sanções estabelecidas na Lei federal nº 14.133/21, tudo em consonância com as situações e os prazos abaixo indicados:</w:t>
      </w:r>
    </w:p>
    <w:p w:rsidR="00DF06E3" w:rsidRDefault="00DF06E3">
      <w:pPr>
        <w:pStyle w:val="NormalWeb"/>
        <w:spacing w:before="0" w:beforeAutospacing="0" w:after="60" w:afterAutospacing="0"/>
        <w:jc w:val="both"/>
        <w:divId w:val="1262908356"/>
      </w:pPr>
      <w:r>
        <w:rPr>
          <w:color w:val="000000"/>
          <w:sz w:val="22"/>
          <w:szCs w:val="22"/>
        </w:rPr>
        <w:t>18.2.1. advertência por escrito, decorrente de faltas leves, assim entendidas aquelas que não acarretem prejuízos significativos para o Contratante.</w:t>
      </w:r>
    </w:p>
    <w:p w:rsidR="00DF06E3" w:rsidRDefault="00DF06E3">
      <w:pPr>
        <w:pStyle w:val="NormalWeb"/>
        <w:spacing w:before="0" w:beforeAutospacing="0" w:after="60" w:afterAutospacing="0"/>
        <w:jc w:val="both"/>
        <w:divId w:val="1262908356"/>
      </w:pPr>
      <w:r>
        <w:rPr>
          <w:color w:val="000000"/>
          <w:sz w:val="22"/>
          <w:szCs w:val="22"/>
        </w:rPr>
        <w:t>18.2.2. multa moratória de até 0,5% (meio por cento) por dia de atraso injustificado sobre o valor da parcela inadimplida, até o limite de 30 (trinta) dias;</w:t>
      </w:r>
    </w:p>
    <w:p w:rsidR="00DF06E3" w:rsidRDefault="00DF06E3">
      <w:pPr>
        <w:pStyle w:val="NormalWeb"/>
        <w:spacing w:before="0" w:beforeAutospacing="0" w:after="60" w:afterAutospacing="0"/>
        <w:jc w:val="both"/>
        <w:divId w:val="1262908356"/>
      </w:pPr>
      <w:r>
        <w:rPr>
          <w:color w:val="000000"/>
          <w:sz w:val="22"/>
          <w:szCs w:val="22"/>
        </w:rPr>
        <w:t>18.2.2.1.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DF06E3" w:rsidRDefault="00DF06E3">
      <w:pPr>
        <w:pStyle w:val="NormalWeb"/>
        <w:spacing w:before="0" w:beforeAutospacing="0" w:after="60" w:afterAutospacing="0"/>
        <w:jc w:val="both"/>
        <w:divId w:val="1262908356"/>
      </w:pPr>
      <w:r>
        <w:rPr>
          <w:color w:val="000000"/>
          <w:sz w:val="22"/>
          <w:szCs w:val="22"/>
        </w:rPr>
        <w:t>18.2.2.2. as penalidades de multa decorrentes de fatos diversos serão consideradas independentes entre si.</w:t>
      </w:r>
    </w:p>
    <w:p w:rsidR="00DF06E3" w:rsidRDefault="00DF06E3">
      <w:pPr>
        <w:pStyle w:val="NormalWeb"/>
        <w:spacing w:before="0" w:beforeAutospacing="0" w:after="60" w:afterAutospacing="0"/>
        <w:jc w:val="both"/>
        <w:divId w:val="1262908356"/>
      </w:pPr>
      <w:r>
        <w:rPr>
          <w:color w:val="000000"/>
          <w:sz w:val="22"/>
          <w:szCs w:val="22"/>
        </w:rPr>
        <w:t>18.2.3. multa compensatória de até 10% (dez por cento) sobre o valor total atualizado do contrato, no caso de inexecução total do objeto;</w:t>
      </w:r>
    </w:p>
    <w:p w:rsidR="00DF06E3" w:rsidRDefault="00DF06E3">
      <w:pPr>
        <w:pStyle w:val="NormalWeb"/>
        <w:spacing w:before="0" w:beforeAutospacing="0" w:after="60" w:afterAutospacing="0"/>
        <w:jc w:val="both"/>
        <w:divId w:val="1262908356"/>
      </w:pPr>
      <w:r>
        <w:rPr>
          <w:color w:val="000000"/>
          <w:sz w:val="22"/>
          <w:szCs w:val="22"/>
        </w:rPr>
        <w:t>18.2.3.1. em caso de inexecução parcial, execução imperfeita ou em desacordo com as especificações, negligência na execução do objeto contratado e nos casos de descumprimento de cláusula contratual ou norma de legislação pertinente, a multa compensatória, no mesmo percentual do subitem 15.2.3, será aplicada de forma proporcional à obrigação inadimplida;</w:t>
      </w:r>
    </w:p>
    <w:p w:rsidR="00DF06E3" w:rsidRDefault="00DF06E3">
      <w:pPr>
        <w:pStyle w:val="NormalWeb"/>
        <w:spacing w:before="0" w:beforeAutospacing="0" w:after="60" w:afterAutospacing="0"/>
        <w:jc w:val="both"/>
        <w:divId w:val="1262908356"/>
      </w:pPr>
      <w:r>
        <w:rPr>
          <w:color w:val="000000"/>
          <w:sz w:val="22"/>
          <w:szCs w:val="22"/>
        </w:rPr>
        <w:t>18.2.4. suspensão temporária de participação em licitação e impedimento de contratar com a Administração Pública Estadual, no caso de infringência aos regramentos desta licitação, desde que não considerada satisfatória a justificativa apresentada pelo participante nas situações e nos prazos indicados no Decreto nº 42.250/2003 e alterações posteriores;</w:t>
      </w:r>
    </w:p>
    <w:p w:rsidR="00DF06E3" w:rsidRDefault="00DF06E3">
      <w:pPr>
        <w:pStyle w:val="NormalWeb"/>
        <w:spacing w:before="0" w:beforeAutospacing="0" w:after="60" w:afterAutospacing="0"/>
        <w:jc w:val="both"/>
        <w:divId w:val="1262908356"/>
      </w:pPr>
      <w:r>
        <w:rPr>
          <w:color w:val="000000"/>
          <w:sz w:val="22"/>
          <w:szCs w:val="22"/>
        </w:rPr>
        <w:t>18.2.5. declaração de inidoneidade para licitar ou contratar com a Administração Pública, nos casos estabelecidos no Decreto nº 42.250/2003 e alterações posteriores, enquanto perdurarem os motivos determinantes da punição ou até que seja promovida a reabilitação perante a própria autoridade que aplicou a penalidade, que será concedida sempre que o Contratado ressarcir o Contratante pelos prejuízos causados e após decorrido o prazo da penalidade de suspensão do subitem anterior.</w:t>
      </w:r>
    </w:p>
    <w:p w:rsidR="00DF06E3" w:rsidRDefault="00DF06E3">
      <w:pPr>
        <w:pStyle w:val="NormalWeb"/>
        <w:spacing w:before="0" w:beforeAutospacing="0" w:after="60" w:afterAutospacing="0"/>
        <w:jc w:val="both"/>
        <w:divId w:val="1262908356"/>
      </w:pPr>
      <w:r>
        <w:rPr>
          <w:color w:val="000000"/>
          <w:sz w:val="22"/>
          <w:szCs w:val="22"/>
        </w:rPr>
        <w:t>18.3. A aplicação de multa não impede que a Administração rescinda unilateralmente o Contrato e aplique as outras sanções cabíveis.</w:t>
      </w:r>
    </w:p>
    <w:p w:rsidR="00DF06E3" w:rsidRDefault="00DF06E3">
      <w:pPr>
        <w:pStyle w:val="NormalWeb"/>
        <w:spacing w:before="0" w:beforeAutospacing="0" w:after="60" w:afterAutospacing="0"/>
        <w:jc w:val="both"/>
        <w:divId w:val="1262908356"/>
      </w:pPr>
      <w:r>
        <w:rPr>
          <w:color w:val="000000"/>
          <w:sz w:val="22"/>
          <w:szCs w:val="22"/>
        </w:rPr>
        <w:t>18.4. A recusa injustificada da Adjudicatária em assinar o Contrato, após devidamente convocada, dentro do prazo estabelecido pela Administração, equivale à inexecução total do contrato, sujeitando-a às penalidades estabelecidas no subitem 16.2.3, sem prejuízo das demais cominações legais.</w:t>
      </w:r>
    </w:p>
    <w:p w:rsidR="00DF06E3" w:rsidRDefault="00DF06E3">
      <w:pPr>
        <w:pStyle w:val="NormalWeb"/>
        <w:spacing w:before="0" w:beforeAutospacing="0" w:after="60" w:afterAutospacing="0"/>
        <w:jc w:val="both"/>
        <w:divId w:val="1262908356"/>
      </w:pPr>
      <w:r>
        <w:rPr>
          <w:color w:val="000000"/>
          <w:sz w:val="22"/>
          <w:szCs w:val="22"/>
        </w:rPr>
        <w:t>18.5. A aplicação de qualquer penalidade não exclui a aplicação da multa.</w:t>
      </w:r>
    </w:p>
    <w:p w:rsidR="00DF06E3" w:rsidRDefault="00DF06E3">
      <w:pPr>
        <w:pStyle w:val="NormalWeb"/>
        <w:spacing w:before="0" w:beforeAutospacing="0" w:after="60" w:afterAutospacing="0"/>
        <w:jc w:val="both"/>
        <w:divId w:val="1262908356"/>
      </w:pPr>
      <w:r>
        <w:rPr>
          <w:color w:val="000000"/>
          <w:sz w:val="22"/>
          <w:szCs w:val="22"/>
        </w:rPr>
        <w:t>18.6. As sanções de suspensão e declaração de inidoneidade poderão também ser aplicadas às empresas ou aos profissionais que, em razão dos contratos regidos por esta Lei, tenham:</w:t>
      </w:r>
    </w:p>
    <w:p w:rsidR="00DF06E3" w:rsidRDefault="00DF06E3">
      <w:pPr>
        <w:pStyle w:val="NormalWeb"/>
        <w:spacing w:before="0" w:beforeAutospacing="0" w:after="60" w:afterAutospacing="0"/>
        <w:jc w:val="both"/>
        <w:divId w:val="1262908356"/>
      </w:pPr>
      <w:r>
        <w:rPr>
          <w:color w:val="000000"/>
          <w:sz w:val="22"/>
          <w:szCs w:val="22"/>
        </w:rPr>
        <w:t>18.6.1. sofrido condenação definitiva por praticarem, por meios dolosos, fraude fiscal no recolhimento de quaisquer tributos;</w:t>
      </w:r>
    </w:p>
    <w:p w:rsidR="00DF06E3" w:rsidRDefault="00DF06E3">
      <w:pPr>
        <w:pStyle w:val="NormalWeb"/>
        <w:spacing w:before="0" w:beforeAutospacing="0" w:after="60" w:afterAutospacing="0"/>
        <w:jc w:val="both"/>
        <w:divId w:val="1262908356"/>
      </w:pPr>
      <w:r>
        <w:rPr>
          <w:color w:val="000000"/>
          <w:sz w:val="22"/>
          <w:szCs w:val="22"/>
        </w:rPr>
        <w:t>18.6.2. cometido atos ilícitos visando a frustrar os objetivos da licitação;</w:t>
      </w:r>
    </w:p>
    <w:p w:rsidR="00DF06E3" w:rsidRDefault="00DF06E3">
      <w:pPr>
        <w:pStyle w:val="NormalWeb"/>
        <w:spacing w:before="0" w:beforeAutospacing="0" w:after="60" w:afterAutospacing="0"/>
        <w:jc w:val="both"/>
        <w:divId w:val="1262908356"/>
      </w:pPr>
      <w:r>
        <w:rPr>
          <w:color w:val="000000"/>
          <w:sz w:val="22"/>
          <w:szCs w:val="22"/>
        </w:rPr>
        <w:t>18.6.3. demonstrado não possuir idoneidade para contratar com a Administração em virtude de atos ilícitos praticados.</w:t>
      </w:r>
    </w:p>
    <w:p w:rsidR="00DF06E3" w:rsidRDefault="00DF06E3">
      <w:pPr>
        <w:pStyle w:val="NormalWeb"/>
        <w:spacing w:before="0" w:beforeAutospacing="0" w:after="60" w:afterAutospacing="0"/>
        <w:jc w:val="both"/>
        <w:divId w:val="1262908356"/>
      </w:pPr>
      <w:r>
        <w:rPr>
          <w:color w:val="000000"/>
          <w:sz w:val="22"/>
          <w:szCs w:val="22"/>
        </w:rPr>
        <w:t>18.7. A aplicação de quaisquer das penalidades previstas realizar-se-á em processo administrativo que assegurará o contraditório e a ampla defesa, observando-se o procedimento previsto na Lei nº 14.133/21.</w:t>
      </w:r>
    </w:p>
    <w:p w:rsidR="00DF06E3" w:rsidRDefault="00DF06E3">
      <w:pPr>
        <w:pStyle w:val="NormalWeb"/>
        <w:spacing w:before="0" w:beforeAutospacing="0" w:after="60" w:afterAutospacing="0"/>
        <w:jc w:val="both"/>
        <w:divId w:val="1262908356"/>
      </w:pPr>
      <w:r>
        <w:rPr>
          <w:color w:val="000000"/>
          <w:sz w:val="22"/>
          <w:szCs w:val="22"/>
        </w:rPr>
        <w:t>18.8. A autoridade competente, na aplicação das sanções, levará em consideração a gravidade da conduta do infrator, o caráter educativo da pena, bem como o dano causado à Administração, observado o princípio da proporcionalidade.</w:t>
      </w:r>
    </w:p>
    <w:p w:rsidR="00DF06E3" w:rsidRDefault="00DF06E3">
      <w:pPr>
        <w:pStyle w:val="NormalWeb"/>
        <w:spacing w:before="0" w:beforeAutospacing="0" w:after="60" w:afterAutospacing="0"/>
        <w:jc w:val="both"/>
        <w:divId w:val="1262908356"/>
      </w:pPr>
      <w:r>
        <w:rPr>
          <w:color w:val="000000"/>
          <w:sz w:val="22"/>
          <w:szCs w:val="22"/>
        </w:rPr>
        <w:t>18.9. O valor da multa poderá ser descontado da garantia contratual.</w:t>
      </w:r>
    </w:p>
    <w:p w:rsidR="00DF06E3" w:rsidRDefault="00DF06E3">
      <w:pPr>
        <w:pStyle w:val="NormalWeb"/>
        <w:spacing w:before="0" w:beforeAutospacing="0" w:after="60" w:afterAutospacing="0"/>
        <w:jc w:val="both"/>
        <w:divId w:val="1262908356"/>
      </w:pPr>
      <w:r>
        <w:rPr>
          <w:color w:val="000000"/>
          <w:sz w:val="22"/>
          <w:szCs w:val="22"/>
        </w:rPr>
        <w:t>18.9.1. Se a multa for de valor superior ao da garantia prestada, além da perda desta, responderá o Contratado pela sua diferença, a qual será descontada dos pagamentos eventuais devidos pelo Contratante.</w:t>
      </w:r>
    </w:p>
    <w:p w:rsidR="00DF06E3" w:rsidRDefault="00DF06E3">
      <w:pPr>
        <w:pStyle w:val="NormalWeb"/>
        <w:spacing w:before="0" w:beforeAutospacing="0" w:after="60" w:afterAutospacing="0"/>
        <w:jc w:val="both"/>
        <w:divId w:val="1262908356"/>
      </w:pPr>
      <w:r>
        <w:rPr>
          <w:color w:val="000000"/>
          <w:sz w:val="22"/>
          <w:szCs w:val="22"/>
        </w:rPr>
        <w:t>18.9.2. Se os valores da garantia e das faturas forem insuficientes, fica o Contratado obrigado a recolher a importância devida no prazo de 15 (quinze) dias, contados da comunicação oficial.</w:t>
      </w:r>
    </w:p>
    <w:p w:rsidR="00DF06E3" w:rsidRDefault="00DF06E3">
      <w:pPr>
        <w:pStyle w:val="NormalWeb"/>
        <w:spacing w:before="0" w:beforeAutospacing="0" w:after="60" w:afterAutospacing="0"/>
        <w:jc w:val="both"/>
        <w:divId w:val="1262908356"/>
      </w:pPr>
      <w:r>
        <w:rPr>
          <w:color w:val="000000"/>
          <w:sz w:val="22"/>
          <w:szCs w:val="22"/>
        </w:rPr>
        <w:t>18.9.3. Esgotados os meios administrativos para cobrança do valor devido pelo Contratado ao Contratante, o débito será encaminhado para inscrição em dívida ativa não tributária.</w:t>
      </w:r>
    </w:p>
    <w:p w:rsidR="00DF06E3" w:rsidRDefault="00DF06E3">
      <w:pPr>
        <w:pStyle w:val="NormalWeb"/>
        <w:spacing w:before="0" w:beforeAutospacing="0" w:after="60" w:afterAutospacing="0"/>
        <w:jc w:val="both"/>
        <w:divId w:val="1262908356"/>
      </w:pPr>
      <w:r>
        <w:rPr>
          <w:color w:val="000000"/>
          <w:sz w:val="22"/>
          <w:szCs w:val="22"/>
        </w:rPr>
        <w:t>18.9.4. Caso o valor da garantia seja utilizado no todo ou em parte para o pagamento da multa, essa deve ser complementada no prazo de até 10 (dez) dias, contado da solicitação do Contratante.</w:t>
      </w:r>
    </w:p>
    <w:p w:rsidR="00DF06E3" w:rsidRDefault="00DF06E3">
      <w:pPr>
        <w:pStyle w:val="NormalWeb"/>
        <w:spacing w:before="0" w:beforeAutospacing="0" w:after="60" w:afterAutospacing="0"/>
        <w:jc w:val="both"/>
        <w:divId w:val="1262908356"/>
      </w:pPr>
      <w:r>
        <w:rPr>
          <w:color w:val="000000"/>
          <w:sz w:val="22"/>
          <w:szCs w:val="22"/>
        </w:rPr>
        <w:t>18.9.5. Serão reputados como inidôneos atos como os descritos nos arts.337-F, 337-I, 337-J, 337-K, 337-L e no art. 337-M, §§ 1º e 2º, do Capítulo II-B, do Título XI da Parte Especial do Decreto-Lei nº 2.848, de 7 de dezembro de 1940 (Código Penal).</w:t>
      </w:r>
    </w:p>
    <w:p w:rsidR="00DF06E3" w:rsidRDefault="00DF06E3">
      <w:pPr>
        <w:pStyle w:val="NormalWeb"/>
        <w:spacing w:before="0" w:beforeAutospacing="0" w:after="60" w:afterAutospacing="0"/>
        <w:jc w:val="both"/>
        <w:divId w:val="1262908356"/>
      </w:pPr>
      <w:r>
        <w:rPr>
          <w:color w:val="000000"/>
          <w:sz w:val="22"/>
          <w:szCs w:val="22"/>
        </w:rPr>
        <w:t>18.10. As sanções de suspensão e de declaração de inidoneidade levam à inclusão do participante no CFIL/RS.</w:t>
      </w:r>
    </w:p>
    <w:p w:rsidR="00DF06E3" w:rsidRDefault="00DF06E3">
      <w:pPr>
        <w:pStyle w:val="NormalWeb"/>
        <w:spacing w:before="0" w:beforeAutospacing="0" w:after="60" w:afterAutospacing="0"/>
        <w:jc w:val="both"/>
        <w:divId w:val="1262908356"/>
      </w:pPr>
      <w:r>
        <w:rPr>
          <w:color w:val="000000"/>
          <w:sz w:val="22"/>
          <w:szCs w:val="22"/>
        </w:rPr>
        <w:t>18.11. As sanções aqui previstas são independentes entre si, podendo ser aplicadas isoladas ou, no caso das multas, cumulativamente, sem prejuízo de outras medidas cabíveis.</w:t>
      </w:r>
    </w:p>
    <w:p w:rsidR="00DF06E3" w:rsidRDefault="00DF06E3">
      <w:pPr>
        <w:pStyle w:val="NormalWeb"/>
        <w:spacing w:before="0" w:beforeAutospacing="0" w:after="60" w:afterAutospacing="0"/>
        <w:jc w:val="both"/>
        <w:divId w:val="1262908356"/>
      </w:pPr>
      <w:r>
        <w:rPr>
          <w:color w:val="000000"/>
          <w:sz w:val="22"/>
          <w:szCs w:val="22"/>
        </w:rPr>
        <w:t>18.12. A aplicação de sanções não exime o Contratado da obrigação de reparar os danos, perdas ou prejuízos que venha a causar ao ente público.</w:t>
      </w:r>
    </w:p>
    <w:p w:rsidR="00DF06E3" w:rsidRDefault="00DF06E3">
      <w:pPr>
        <w:pStyle w:val="NormalWeb"/>
        <w:spacing w:before="0" w:beforeAutospacing="0" w:after="60" w:afterAutospacing="0"/>
        <w:jc w:val="both"/>
        <w:divId w:val="1262908356"/>
      </w:pPr>
      <w:r>
        <w:rPr>
          <w:color w:val="000000"/>
          <w:sz w:val="22"/>
          <w:szCs w:val="22"/>
        </w:rPr>
        <w:t>18.12.1.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rsidR="00DF06E3" w:rsidRDefault="00DF06E3">
      <w:pPr>
        <w:pStyle w:val="NormalWeb"/>
        <w:spacing w:before="0" w:beforeAutospacing="0" w:after="60" w:afterAutospacing="0"/>
        <w:jc w:val="both"/>
        <w:divId w:val="1262908356"/>
      </w:pPr>
      <w:r>
        <w:rPr>
          <w:color w:val="000000"/>
          <w:sz w:val="22"/>
          <w:szCs w:val="22"/>
        </w:rPr>
        <w:t>18.13. O contrato, sem prejuízo das multas e demais cominações legais previstas no instrumento, poderá ser rescindido unilateralmente, por ato formal da Administração, nos casos enumerados na Lei federal nº 14.133/21.</w:t>
      </w:r>
    </w:p>
    <w:p w:rsidR="00DF06E3" w:rsidRDefault="00DF06E3">
      <w:pPr>
        <w:pStyle w:val="NormalWeb"/>
        <w:spacing w:before="0" w:beforeAutospacing="0" w:after="60" w:afterAutospacing="0"/>
        <w:jc w:val="both"/>
        <w:divId w:val="1262908356"/>
      </w:pPr>
      <w:r>
        <w:rPr>
          <w:color w:val="000000"/>
          <w:sz w:val="22"/>
          <w:szCs w:val="22"/>
        </w:rPr>
        <w:t xml:space="preserve">18.14. As sanções previstas neste item não elidem a aplicação das penalidades estabelecidas na Lei federal nº 12.846, de 1º de agosto de 2013, conforme o disposto no seu art. 30 ou nos </w:t>
      </w:r>
      <w:proofErr w:type="spellStart"/>
      <w:r>
        <w:rPr>
          <w:color w:val="000000"/>
          <w:sz w:val="22"/>
          <w:szCs w:val="22"/>
        </w:rPr>
        <w:t>arts</w:t>
      </w:r>
      <w:proofErr w:type="spellEnd"/>
      <w:r>
        <w:rPr>
          <w:color w:val="000000"/>
          <w:sz w:val="22"/>
          <w:szCs w:val="22"/>
        </w:rPr>
        <w:t>. 337-E a 337-P, Capítulo II-B, do Título XI da Parte Especial do Decreto-Lei nº 2.848, de 7 de dezembro de 1940 (Código Penal).</w:t>
      </w:r>
    </w:p>
    <w:p w:rsidR="00DF06E3" w:rsidRDefault="00DF06E3">
      <w:pPr>
        <w:divId w:val="1262908356"/>
      </w:pPr>
    </w:p>
    <w:p w:rsidR="00DF06E3" w:rsidRDefault="00DF06E3">
      <w:pPr>
        <w:pStyle w:val="Ttulo5"/>
        <w:spacing w:before="0" w:after="60"/>
        <w:jc w:val="both"/>
        <w:divId w:val="1262908356"/>
        <w:rPr>
          <w:rFonts w:eastAsia="Times New Roman"/>
        </w:rPr>
      </w:pPr>
      <w:r>
        <w:rPr>
          <w:rFonts w:eastAsia="Times New Roman"/>
          <w:color w:val="000000"/>
          <w:sz w:val="22"/>
          <w:szCs w:val="22"/>
        </w:rPr>
        <w:t>19. DAS OBRIGAÇÕES DO ADJUDICATÁRIO</w:t>
      </w:r>
    </w:p>
    <w:p w:rsidR="00DF06E3" w:rsidRDefault="00DF06E3">
      <w:pPr>
        <w:pStyle w:val="NormalWeb"/>
        <w:spacing w:before="0" w:beforeAutospacing="0" w:after="60" w:afterAutospacing="0"/>
        <w:jc w:val="both"/>
        <w:divId w:val="1262908356"/>
      </w:pPr>
      <w:r>
        <w:rPr>
          <w:color w:val="000000"/>
          <w:sz w:val="22"/>
          <w:szCs w:val="22"/>
        </w:rPr>
        <w:t>19.1 O adjudicatário deverá atender às obrigações previstas na Cláusula Décima da Minuta de Contrato e as demais obrigações específicas ao objeto contratual estabelecidas no Anexo I – FOLHA DE DADOS (CGDL 19.1).</w:t>
      </w:r>
    </w:p>
    <w:p w:rsidR="00DF06E3" w:rsidRDefault="00DF06E3">
      <w:pPr>
        <w:divId w:val="1262908356"/>
      </w:pPr>
    </w:p>
    <w:p w:rsidR="00DF06E3" w:rsidRDefault="00DF06E3">
      <w:pPr>
        <w:pStyle w:val="Ttulo5"/>
        <w:spacing w:before="0" w:after="60"/>
        <w:jc w:val="both"/>
        <w:divId w:val="1262908356"/>
        <w:rPr>
          <w:rFonts w:eastAsia="Times New Roman"/>
        </w:rPr>
      </w:pPr>
      <w:r>
        <w:rPr>
          <w:rFonts w:eastAsia="Times New Roman"/>
          <w:color w:val="000000"/>
          <w:sz w:val="22"/>
          <w:szCs w:val="22"/>
        </w:rPr>
        <w:t>20. DA GARANTIA DE EXECUÇÃO</w:t>
      </w:r>
    </w:p>
    <w:p w:rsidR="00DF06E3" w:rsidRDefault="00DF06E3">
      <w:pPr>
        <w:pStyle w:val="NormalWeb"/>
        <w:spacing w:before="0" w:beforeAutospacing="0" w:after="60" w:afterAutospacing="0"/>
        <w:jc w:val="both"/>
        <w:divId w:val="1262908356"/>
      </w:pPr>
      <w:r>
        <w:rPr>
          <w:color w:val="000000"/>
          <w:sz w:val="22"/>
          <w:szCs w:val="22"/>
        </w:rPr>
        <w:t>20.1. A garantia será prestada, conforme disposto na Cláusula Quinta da Minuta de Contrato, que compõe o Anexo III do presente Termo de Dispensa de Licitação, indicado no Anexo I – FOLHA DE DADOS (CGDL 20.1). </w:t>
      </w:r>
    </w:p>
    <w:p w:rsidR="00DF06E3" w:rsidRDefault="00DF06E3">
      <w:pPr>
        <w:divId w:val="1262908356"/>
      </w:pPr>
    </w:p>
    <w:p w:rsidR="00DF06E3" w:rsidRDefault="00DF06E3">
      <w:pPr>
        <w:pStyle w:val="Ttulo5"/>
        <w:spacing w:before="0" w:after="60"/>
        <w:jc w:val="both"/>
        <w:divId w:val="1262908356"/>
        <w:rPr>
          <w:rFonts w:eastAsia="Times New Roman"/>
        </w:rPr>
      </w:pPr>
      <w:r>
        <w:rPr>
          <w:rFonts w:eastAsia="Times New Roman"/>
          <w:color w:val="000000"/>
          <w:sz w:val="22"/>
          <w:szCs w:val="22"/>
        </w:rPr>
        <w:t>21. DAS DISPOSIÇÕES FINAIS </w:t>
      </w:r>
    </w:p>
    <w:p w:rsidR="00DF06E3" w:rsidRDefault="00DF06E3">
      <w:pPr>
        <w:pStyle w:val="NormalWeb"/>
        <w:spacing w:before="0" w:beforeAutospacing="0" w:after="60" w:afterAutospacing="0"/>
        <w:jc w:val="both"/>
        <w:divId w:val="1262908356"/>
      </w:pPr>
      <w:r>
        <w:rPr>
          <w:color w:val="000000"/>
          <w:sz w:val="22"/>
          <w:szCs w:val="22"/>
        </w:rPr>
        <w:t>21.1. As atas serão geradas eletronicamente após o encerramento da sessão pública pelo agente de dispensa. </w:t>
      </w:r>
    </w:p>
    <w:p w:rsidR="00DF06E3" w:rsidRDefault="00DF06E3">
      <w:pPr>
        <w:pStyle w:val="NormalWeb"/>
        <w:spacing w:before="0" w:beforeAutospacing="0" w:after="60" w:afterAutospacing="0"/>
        <w:jc w:val="both"/>
        <w:divId w:val="1262908356"/>
      </w:pPr>
      <w:r>
        <w:rPr>
          <w:color w:val="000000"/>
          <w:sz w:val="22"/>
          <w:szCs w:val="22"/>
        </w:rPr>
        <w:t>21.1.1.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 </w:t>
      </w:r>
    </w:p>
    <w:p w:rsidR="00DF06E3" w:rsidRDefault="00DF06E3">
      <w:pPr>
        <w:pStyle w:val="NormalWeb"/>
        <w:spacing w:before="0" w:beforeAutospacing="0" w:after="60" w:afterAutospacing="0"/>
        <w:jc w:val="both"/>
        <w:divId w:val="1262908356"/>
      </w:pPr>
      <w:r>
        <w:rPr>
          <w:color w:val="000000"/>
          <w:sz w:val="22"/>
          <w:szCs w:val="22"/>
        </w:rPr>
        <w:t>21.1.2. os demais atos desta dispensa de licitação serão registrados nos autos do processo. </w:t>
      </w:r>
    </w:p>
    <w:p w:rsidR="00DF06E3" w:rsidRDefault="00DF06E3">
      <w:pPr>
        <w:pStyle w:val="NormalWeb"/>
        <w:spacing w:before="0" w:beforeAutospacing="0" w:after="60" w:afterAutospacing="0"/>
        <w:jc w:val="both"/>
        <w:divId w:val="1262908356"/>
      </w:pPr>
      <w:r>
        <w:rPr>
          <w:color w:val="000000"/>
          <w:sz w:val="22"/>
          <w:szCs w:val="22"/>
        </w:rPr>
        <w:t xml:space="preserve">21.2. O participante deverá examinar detidamente as disposições contidas neste Termo de Dispensa de Licitação, pois a simples apresentação da proposta o vincula de modo incondicional ao </w:t>
      </w:r>
      <w:proofErr w:type="spellStart"/>
      <w:r>
        <w:rPr>
          <w:color w:val="000000"/>
          <w:sz w:val="22"/>
          <w:szCs w:val="22"/>
        </w:rPr>
        <w:t>competitório</w:t>
      </w:r>
      <w:proofErr w:type="spellEnd"/>
      <w:r>
        <w:rPr>
          <w:color w:val="000000"/>
          <w:sz w:val="22"/>
          <w:szCs w:val="22"/>
        </w:rPr>
        <w:t>. </w:t>
      </w:r>
    </w:p>
    <w:p w:rsidR="00DF06E3" w:rsidRDefault="00DF06E3">
      <w:pPr>
        <w:pStyle w:val="NormalWeb"/>
        <w:spacing w:before="0" w:beforeAutospacing="0" w:after="60" w:afterAutospacing="0"/>
        <w:jc w:val="both"/>
        <w:divId w:val="1262908356"/>
      </w:pPr>
      <w:r>
        <w:rPr>
          <w:color w:val="000000"/>
          <w:sz w:val="22"/>
          <w:szCs w:val="22"/>
        </w:rPr>
        <w:t>21.3. A falsidade de qualquer documento ou a inverdade das informações nele contidas implicará a imediata desclassificação do participante que o tiver apresentado, sem prejuízo das demais sanções cabíveis. </w:t>
      </w:r>
    </w:p>
    <w:p w:rsidR="00DF06E3" w:rsidRDefault="00DF06E3">
      <w:pPr>
        <w:pStyle w:val="NormalWeb"/>
        <w:spacing w:before="0" w:beforeAutospacing="0" w:after="60" w:afterAutospacing="0"/>
        <w:jc w:val="both"/>
        <w:divId w:val="1262908356"/>
      </w:pPr>
      <w:r>
        <w:rPr>
          <w:color w:val="000000"/>
          <w:sz w:val="22"/>
          <w:szCs w:val="22"/>
        </w:rPr>
        <w:t>21.4. No julgamento da habilitação e das propostas, o agente de dispensa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DF06E3" w:rsidRDefault="00DF06E3">
      <w:pPr>
        <w:pStyle w:val="NormalWeb"/>
        <w:spacing w:before="0" w:beforeAutospacing="0" w:after="60" w:afterAutospacing="0"/>
        <w:jc w:val="both"/>
        <w:divId w:val="1262908356"/>
      </w:pPr>
      <w:r>
        <w:rPr>
          <w:color w:val="000000"/>
          <w:sz w:val="22"/>
          <w:szCs w:val="22"/>
        </w:rPr>
        <w:t>21.5. Todas as informações, atas e relatórios pertinentes à presente dispensa de licitação serão disponibilizados no site referido no Anexo I – FOLHA DE DADOS (CGDL 2.1). </w:t>
      </w:r>
    </w:p>
    <w:p w:rsidR="00DF06E3" w:rsidRDefault="00DF06E3">
      <w:pPr>
        <w:pStyle w:val="NormalWeb"/>
        <w:spacing w:before="0" w:beforeAutospacing="0" w:after="60" w:afterAutospacing="0"/>
        <w:jc w:val="both"/>
        <w:divId w:val="1262908356"/>
      </w:pPr>
      <w:r>
        <w:rPr>
          <w:color w:val="000000"/>
          <w:sz w:val="22"/>
          <w:szCs w:val="22"/>
        </w:rPr>
        <w:t>21.6. O contratado deverá conceder livre acesso aos seus documentos e registros contábeis, referentes ao objeto da dispensa de licitação, para os servidores do órgão ou entidade contratante e dos órgãos de controle interno e externo. </w:t>
      </w:r>
    </w:p>
    <w:p w:rsidR="00DF06E3" w:rsidRDefault="00DF06E3">
      <w:pPr>
        <w:pStyle w:val="NormalWeb"/>
        <w:spacing w:before="0" w:beforeAutospacing="0" w:after="60" w:afterAutospacing="0"/>
        <w:jc w:val="both"/>
        <w:divId w:val="1262908356"/>
      </w:pPr>
      <w:r>
        <w:rPr>
          <w:color w:val="000000"/>
          <w:sz w:val="22"/>
          <w:szCs w:val="22"/>
        </w:rPr>
        <w:t>21.7. A homologação do resultado desta dispensa de licitação não implicará direito à contratação. </w:t>
      </w:r>
    </w:p>
    <w:p w:rsidR="00DF06E3" w:rsidRDefault="00DF06E3">
      <w:pPr>
        <w:pStyle w:val="NormalWeb"/>
        <w:spacing w:before="0" w:beforeAutospacing="0" w:after="60" w:afterAutospacing="0"/>
        <w:jc w:val="both"/>
        <w:divId w:val="1262908356"/>
      </w:pPr>
      <w:r>
        <w:rPr>
          <w:color w:val="000000"/>
          <w:sz w:val="22"/>
          <w:szCs w:val="22"/>
        </w:rPr>
        <w:t>21.8. O presente Termo de Dispensa de Licitação, bem como a proposta vencedora, fará parte integrante do instrumento de contrato, como se nele estivessem transcritos. </w:t>
      </w:r>
    </w:p>
    <w:p w:rsidR="00DF06E3" w:rsidRDefault="00DF06E3">
      <w:pPr>
        <w:pStyle w:val="NormalWeb"/>
        <w:spacing w:before="0" w:beforeAutospacing="0" w:after="60" w:afterAutospacing="0"/>
        <w:jc w:val="both"/>
        <w:divId w:val="1262908356"/>
      </w:pPr>
      <w:r>
        <w:rPr>
          <w:color w:val="000000"/>
          <w:sz w:val="22"/>
          <w:szCs w:val="22"/>
        </w:rPr>
        <w:t>21.9. É facultado ao agente de dispensa ou à autoridade superior convocar os participantes para quaisquer esclarecimentos necessários ao entendimento de suas propostas. </w:t>
      </w:r>
    </w:p>
    <w:p w:rsidR="00DF06E3" w:rsidRDefault="00DF06E3">
      <w:pPr>
        <w:pStyle w:val="NormalWeb"/>
        <w:spacing w:before="0" w:beforeAutospacing="0" w:after="60" w:afterAutospacing="0"/>
        <w:jc w:val="both"/>
        <w:divId w:val="1262908356"/>
      </w:pPr>
      <w:r>
        <w:rPr>
          <w:color w:val="000000"/>
          <w:sz w:val="22"/>
          <w:szCs w:val="22"/>
        </w:rPr>
        <w:t>21.10. O Órgão Contratante poderá anular ou cancelar a Cotação Eletrônica de Preços, total ou parcialmente, sem que disso resulte para o proponente direito a qualquer indenização ou reclamação.</w:t>
      </w:r>
    </w:p>
    <w:p w:rsidR="00DF06E3" w:rsidRDefault="00DF06E3">
      <w:pPr>
        <w:pStyle w:val="NormalWeb"/>
        <w:spacing w:before="0" w:beforeAutospacing="0" w:after="60" w:afterAutospacing="0"/>
        <w:jc w:val="both"/>
        <w:divId w:val="1262908356"/>
      </w:pPr>
      <w:r>
        <w:rPr>
          <w:color w:val="000000"/>
          <w:sz w:val="22"/>
          <w:szCs w:val="22"/>
        </w:rPr>
        <w:t>21.11. Aplicam-se aos casos omissos as disposições constantes na Lei federal nº 8.666/1993. </w:t>
      </w:r>
    </w:p>
    <w:p w:rsidR="00DF06E3" w:rsidRDefault="00DF06E3">
      <w:pPr>
        <w:pStyle w:val="NormalWeb"/>
        <w:spacing w:before="0" w:beforeAutospacing="0" w:after="60" w:afterAutospacing="0"/>
        <w:jc w:val="both"/>
        <w:divId w:val="1262908356"/>
      </w:pPr>
      <w:r>
        <w:rPr>
          <w:color w:val="000000"/>
          <w:sz w:val="22"/>
          <w:szCs w:val="22"/>
        </w:rPr>
        <w:t>21.12. Em caso de divergência entre as disposições deste Termo de Dispensa de Licitação ou demais peças que compõem o processo, prevalecerá as deste Termo de Dispensa de Licitação. </w:t>
      </w:r>
    </w:p>
    <w:p w:rsidR="00DF06E3" w:rsidRDefault="00DF06E3">
      <w:pPr>
        <w:pStyle w:val="NormalWeb"/>
        <w:spacing w:before="0" w:beforeAutospacing="0" w:after="60" w:afterAutospacing="0"/>
        <w:jc w:val="both"/>
        <w:divId w:val="1262908356"/>
      </w:pPr>
      <w:r>
        <w:rPr>
          <w:color w:val="000000"/>
          <w:sz w:val="22"/>
          <w:szCs w:val="22"/>
        </w:rPr>
        <w:t>21.13. Fica eleito o foro da Comarca de Porto Alegre, para dirimir quaisquer dúvidas ou questões relacionadas a este Termo de Dispensa de Licitação ou ao contrato vinculado a esta dispensa de licitação.</w:t>
      </w:r>
    </w:p>
    <w:p w:rsidR="00DF06E3" w:rsidRDefault="00DF06E3">
      <w:pPr>
        <w:pStyle w:val="Ttulo2"/>
        <w:ind w:left="851" w:right="849"/>
        <w:jc w:val="center"/>
        <w:divId w:val="1262908356"/>
      </w:pPr>
      <w:r>
        <w:rPr>
          <w:smallCaps/>
          <w:color w:val="000000"/>
          <w:sz w:val="22"/>
          <w:szCs w:val="22"/>
        </w:rPr>
        <w:t>ANEXO I – FOLHA DE DADOS</w:t>
      </w:r>
    </w:p>
    <w:tbl>
      <w:tblPr>
        <w:tblW w:w="0" w:type="auto"/>
        <w:tblCellMar>
          <w:top w:w="15" w:type="dxa"/>
          <w:left w:w="15" w:type="dxa"/>
          <w:bottom w:w="15" w:type="dxa"/>
          <w:right w:w="15" w:type="dxa"/>
        </w:tblCellMar>
        <w:tblLook w:val="04A0" w:firstRow="1" w:lastRow="0" w:firstColumn="1" w:lastColumn="0" w:noHBand="0" w:noVBand="1"/>
      </w:tblPr>
      <w:tblGrid>
        <w:gridCol w:w="1195"/>
        <w:gridCol w:w="7576"/>
      </w:tblGrid>
      <w:tr w:rsidR="00DF06E3">
        <w:trPr>
          <w:divId w:val="1425371676"/>
          <w:trHeight w:val="910"/>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 w:rsidR="00DF06E3" w:rsidRDefault="00DF06E3">
            <w:pPr>
              <w:pStyle w:val="NormalWeb"/>
              <w:spacing w:before="0" w:beforeAutospacing="0" w:after="200" w:afterAutospacing="0"/>
              <w:jc w:val="both"/>
            </w:pPr>
            <w:r>
              <w:rPr>
                <w:b/>
                <w:bCs/>
                <w:color w:val="000000"/>
                <w:sz w:val="22"/>
                <w:szCs w:val="22"/>
              </w:rPr>
              <w:t>Cláusula das Condições Gerais de Dispensa de Licitação (CGDL)</w:t>
            </w:r>
          </w:p>
        </w:tc>
      </w:tr>
      <w:tr w:rsidR="00DF06E3">
        <w:trPr>
          <w:divId w:val="1425371676"/>
          <w:trHeight w:val="600"/>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200" w:afterAutospacing="0"/>
              <w:jc w:val="both"/>
            </w:pPr>
            <w:r>
              <w:rPr>
                <w:color w:val="000000"/>
                <w:sz w:val="22"/>
                <w:szCs w:val="22"/>
              </w:rPr>
              <w:t>Preâmbulo</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40" w:afterAutospacing="0"/>
              <w:jc w:val="both"/>
            </w:pPr>
            <w:r>
              <w:rPr>
                <w:color w:val="000000"/>
                <w:sz w:val="22"/>
                <w:szCs w:val="22"/>
              </w:rPr>
              <w:t>O Estado do Rio Grande do Sul por intermédio da Secretaria da Casa Civil</w:t>
            </w:r>
          </w:p>
        </w:tc>
      </w:tr>
      <w:tr w:rsidR="00DF06E3">
        <w:trPr>
          <w:divId w:val="1425371676"/>
          <w:trHeight w:val="266"/>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200" w:afterAutospacing="0"/>
              <w:jc w:val="both"/>
            </w:pPr>
            <w:r>
              <w:rPr>
                <w:color w:val="000000"/>
                <w:sz w:val="22"/>
                <w:szCs w:val="22"/>
              </w:rPr>
              <w:t>CGDL 1.1</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Pr="00F47AC4" w:rsidRDefault="00DF06E3" w:rsidP="00E12F5A">
            <w:pPr>
              <w:pStyle w:val="NormalWeb"/>
              <w:spacing w:after="40"/>
              <w:jc w:val="both"/>
              <w:rPr>
                <w:color w:val="FF0000"/>
                <w:sz w:val="22"/>
                <w:szCs w:val="22"/>
              </w:rPr>
            </w:pPr>
            <w:r>
              <w:rPr>
                <w:color w:val="FF0000"/>
                <w:sz w:val="22"/>
                <w:szCs w:val="22"/>
              </w:rPr>
              <w:t xml:space="preserve">Objeto da dispensa de licitação: </w:t>
            </w:r>
            <w:r w:rsidR="00E12F5A" w:rsidRPr="00E12F5A">
              <w:rPr>
                <w:b/>
                <w:color w:val="FF0000"/>
                <w:sz w:val="26"/>
                <w:szCs w:val="26"/>
              </w:rPr>
              <w:t>Contratação de serviços de fornecimento de banners para ser usado na Ouvidora-geral do Estado, localizada no do Centro Administrativo Fernando Ferrari- CAFF, andar térreo, na Avenida Borges de Medeiros 1501, Praia de Belas, Porto Alegre/RS. Demais detalhes e espe</w:t>
            </w:r>
            <w:bookmarkStart w:id="0" w:name="_GoBack"/>
            <w:bookmarkEnd w:id="0"/>
            <w:r w:rsidR="00E12F5A" w:rsidRPr="00E12F5A">
              <w:rPr>
                <w:b/>
                <w:color w:val="FF0000"/>
                <w:sz w:val="26"/>
                <w:szCs w:val="26"/>
              </w:rPr>
              <w:t>cificações sobre os serviços constam no Termo de Referência, anexo ao Edital.</w:t>
            </w:r>
          </w:p>
        </w:tc>
      </w:tr>
      <w:tr w:rsidR="00DF06E3">
        <w:trPr>
          <w:divId w:val="1425371676"/>
          <w:trHeight w:val="572"/>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200" w:afterAutospacing="0"/>
              <w:jc w:val="both"/>
            </w:pPr>
            <w:r>
              <w:rPr>
                <w:color w:val="000000"/>
                <w:sz w:val="22"/>
                <w:szCs w:val="22"/>
              </w:rPr>
              <w:t>CGDL 2.1</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0" w:afterAutospacing="0"/>
              <w:jc w:val="both"/>
            </w:pPr>
            <w:r>
              <w:rPr>
                <w:b/>
                <w:bCs/>
                <w:color w:val="000000"/>
                <w:sz w:val="22"/>
                <w:szCs w:val="22"/>
              </w:rPr>
              <w:t>Local de disponibilização do Edital:</w:t>
            </w:r>
            <w:r>
              <w:rPr>
                <w:color w:val="000000"/>
                <w:sz w:val="22"/>
                <w:szCs w:val="22"/>
              </w:rPr>
              <w:t xml:space="preserve"> </w:t>
            </w:r>
            <w:r>
              <w:rPr>
                <w:color w:val="000000"/>
                <w:sz w:val="22"/>
                <w:szCs w:val="22"/>
                <w:u w:val="single"/>
              </w:rPr>
              <w:t>www.compras.rs.gov.br</w:t>
            </w:r>
            <w:r>
              <w:rPr>
                <w:color w:val="000000"/>
                <w:sz w:val="22"/>
                <w:szCs w:val="22"/>
              </w:rPr>
              <w:t xml:space="preserve">  ou  </w:t>
            </w:r>
            <w:hyperlink r:id="rId7" w:history="1">
              <w:r>
                <w:rPr>
                  <w:rStyle w:val="Hyperlink"/>
                  <w:color w:val="000000"/>
                  <w:sz w:val="22"/>
                  <w:szCs w:val="22"/>
                </w:rPr>
                <w:t>www.celic.rs.gov.br</w:t>
              </w:r>
            </w:hyperlink>
            <w:r>
              <w:rPr>
                <w:color w:val="000000"/>
                <w:sz w:val="22"/>
                <w:szCs w:val="22"/>
              </w:rPr>
              <w:t>.</w:t>
            </w:r>
          </w:p>
          <w:p w:rsidR="00DF06E3" w:rsidRDefault="00DF06E3">
            <w:pPr>
              <w:pStyle w:val="NormalWeb"/>
              <w:spacing w:before="0" w:beforeAutospacing="0" w:after="0" w:afterAutospacing="0"/>
              <w:jc w:val="both"/>
            </w:pPr>
            <w:r>
              <w:rPr>
                <w:b/>
                <w:bCs/>
                <w:color w:val="000000"/>
                <w:sz w:val="22"/>
                <w:szCs w:val="22"/>
              </w:rPr>
              <w:t xml:space="preserve">Pedidos de esclarecimentos e impugnações: </w:t>
            </w:r>
            <w:r>
              <w:rPr>
                <w:color w:val="000000"/>
                <w:sz w:val="22"/>
                <w:szCs w:val="22"/>
              </w:rPr>
              <w:t xml:space="preserve">deverão ser encaminhados exclusivamente pelo Sistema Eletrônico: </w:t>
            </w:r>
            <w:hyperlink r:id="rId8" w:history="1">
              <w:r>
                <w:rPr>
                  <w:rStyle w:val="Hyperlink"/>
                  <w:color w:val="000000"/>
                  <w:sz w:val="22"/>
                  <w:szCs w:val="22"/>
                </w:rPr>
                <w:t>www.compras.rs.gov.br</w:t>
              </w:r>
            </w:hyperlink>
            <w:r>
              <w:rPr>
                <w:color w:val="000000"/>
                <w:sz w:val="22"/>
                <w:szCs w:val="22"/>
                <w:u w:val="single"/>
              </w:rPr>
              <w:t>,</w:t>
            </w:r>
            <w:r>
              <w:rPr>
                <w:color w:val="000000"/>
                <w:sz w:val="22"/>
                <w:szCs w:val="22"/>
              </w:rPr>
              <w:t xml:space="preserve"> na área de Informações do Edital. </w:t>
            </w:r>
          </w:p>
          <w:p w:rsidR="00DF06E3" w:rsidRDefault="00DF06E3">
            <w:pPr>
              <w:pStyle w:val="NormalWeb"/>
              <w:spacing w:before="0" w:beforeAutospacing="0" w:after="0" w:afterAutospacing="0"/>
              <w:jc w:val="both"/>
            </w:pPr>
            <w:r>
              <w:rPr>
                <w:b/>
                <w:bCs/>
                <w:color w:val="000000"/>
                <w:sz w:val="22"/>
                <w:szCs w:val="22"/>
              </w:rPr>
              <w:t xml:space="preserve">Recursos: </w:t>
            </w:r>
            <w:r>
              <w:rPr>
                <w:color w:val="000000"/>
                <w:sz w:val="22"/>
                <w:szCs w:val="22"/>
              </w:rPr>
              <w:t>mediante login no</w:t>
            </w:r>
            <w:r>
              <w:rPr>
                <w:b/>
                <w:bCs/>
                <w:color w:val="000000"/>
                <w:sz w:val="22"/>
                <w:szCs w:val="22"/>
              </w:rPr>
              <w:t xml:space="preserve"> </w:t>
            </w:r>
            <w:r>
              <w:rPr>
                <w:color w:val="000000"/>
                <w:sz w:val="22"/>
                <w:szCs w:val="22"/>
              </w:rPr>
              <w:t xml:space="preserve">portal </w:t>
            </w:r>
            <w:hyperlink r:id="rId9" w:history="1">
              <w:r>
                <w:rPr>
                  <w:rStyle w:val="Hyperlink"/>
                  <w:color w:val="000000"/>
                  <w:sz w:val="22"/>
                  <w:szCs w:val="22"/>
                </w:rPr>
                <w:t>www.compras.rs.gov.br</w:t>
              </w:r>
            </w:hyperlink>
          </w:p>
          <w:p w:rsidR="00DF06E3" w:rsidRDefault="00DF06E3">
            <w:pPr>
              <w:pStyle w:val="NormalWeb"/>
              <w:spacing w:before="0" w:beforeAutospacing="0" w:after="0" w:afterAutospacing="0"/>
              <w:jc w:val="both"/>
            </w:pPr>
            <w:r>
              <w:rPr>
                <w:b/>
                <w:bCs/>
                <w:color w:val="000000"/>
                <w:sz w:val="22"/>
                <w:szCs w:val="22"/>
              </w:rPr>
              <w:t xml:space="preserve">Credenciamento Pessoa Física: </w:t>
            </w:r>
            <w:hyperlink r:id="rId10" w:history="1">
              <w:r>
                <w:rPr>
                  <w:rStyle w:val="Hyperlink"/>
                  <w:color w:val="000000"/>
                  <w:sz w:val="22"/>
                  <w:szCs w:val="22"/>
                </w:rPr>
                <w:t>www.celic.rs.gov.br/index.php?menu=secao&amp;cod=42</w:t>
              </w:r>
            </w:hyperlink>
          </w:p>
          <w:p w:rsidR="00DF06E3" w:rsidRDefault="00DF06E3">
            <w:pPr>
              <w:pStyle w:val="NormalWeb"/>
              <w:spacing w:before="0" w:beforeAutospacing="0" w:after="40" w:afterAutospacing="0"/>
              <w:jc w:val="both"/>
            </w:pPr>
            <w:r>
              <w:rPr>
                <w:b/>
                <w:bCs/>
                <w:color w:val="000000"/>
                <w:sz w:val="22"/>
                <w:szCs w:val="22"/>
              </w:rPr>
              <w:t xml:space="preserve">Credenciamento Pessoa Jurídica: </w:t>
            </w:r>
            <w:r>
              <w:rPr>
                <w:color w:val="000000"/>
                <w:sz w:val="22"/>
                <w:szCs w:val="22"/>
                <w:u w:val="single"/>
              </w:rPr>
              <w:t>www.compras.rs.gov.br/fornecedores</w:t>
            </w:r>
          </w:p>
        </w:tc>
      </w:tr>
      <w:tr w:rsidR="00DF06E3">
        <w:trPr>
          <w:divId w:val="1425371676"/>
          <w:trHeight w:val="226"/>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200" w:afterAutospacing="0"/>
              <w:jc w:val="both"/>
            </w:pPr>
            <w:r>
              <w:rPr>
                <w:color w:val="000000"/>
                <w:sz w:val="22"/>
                <w:szCs w:val="22"/>
              </w:rPr>
              <w:t>CGDL 2.2</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0" w:afterAutospacing="0"/>
              <w:jc w:val="both"/>
            </w:pPr>
            <w:r>
              <w:rPr>
                <w:color w:val="000000"/>
                <w:sz w:val="22"/>
                <w:szCs w:val="22"/>
              </w:rPr>
              <w:t xml:space="preserve">Endereço eletrônico do ambiente de disputa: </w:t>
            </w:r>
            <w:r>
              <w:rPr>
                <w:color w:val="000000"/>
                <w:sz w:val="22"/>
                <w:szCs w:val="22"/>
                <w:u w:val="single"/>
              </w:rPr>
              <w:t>www.compras.rs.gov.br</w:t>
            </w:r>
          </w:p>
        </w:tc>
      </w:tr>
      <w:tr w:rsidR="00DF06E3">
        <w:trPr>
          <w:divId w:val="1425371676"/>
          <w:trHeight w:val="389"/>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200" w:afterAutospacing="0"/>
              <w:jc w:val="both"/>
            </w:pPr>
            <w:r>
              <w:rPr>
                <w:color w:val="000000"/>
                <w:sz w:val="22"/>
                <w:szCs w:val="22"/>
              </w:rPr>
              <w:t>CGDL 3.1</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40" w:afterAutospacing="0"/>
              <w:jc w:val="both"/>
            </w:pPr>
            <w:r>
              <w:rPr>
                <w:color w:val="FF0000"/>
                <w:sz w:val="22"/>
                <w:szCs w:val="22"/>
              </w:rPr>
              <w:t>Data da disputa eletrônica:</w:t>
            </w:r>
            <w:r w:rsidR="00F47AC4">
              <w:rPr>
                <w:color w:val="FF0000"/>
                <w:sz w:val="22"/>
                <w:szCs w:val="22"/>
              </w:rPr>
              <w:t xml:space="preserve"> </w:t>
            </w:r>
            <w:r w:rsidR="00E85AF5">
              <w:rPr>
                <w:b/>
                <w:color w:val="FF0000"/>
                <w:sz w:val="22"/>
                <w:szCs w:val="22"/>
              </w:rPr>
              <w:t>12</w:t>
            </w:r>
            <w:r w:rsidR="00F47AC4" w:rsidRPr="00F47AC4">
              <w:rPr>
                <w:b/>
                <w:color w:val="FF0000"/>
                <w:sz w:val="22"/>
                <w:szCs w:val="22"/>
              </w:rPr>
              <w:t>/06/2023</w:t>
            </w:r>
          </w:p>
          <w:p w:rsidR="00DF06E3" w:rsidRDefault="00DF06E3">
            <w:pPr>
              <w:pStyle w:val="NormalWeb"/>
              <w:spacing w:before="0" w:beforeAutospacing="0" w:after="40" w:afterAutospacing="0"/>
              <w:jc w:val="both"/>
            </w:pPr>
            <w:r>
              <w:rPr>
                <w:color w:val="FF0000"/>
                <w:sz w:val="22"/>
                <w:szCs w:val="22"/>
              </w:rPr>
              <w:t>Horário da disputa eletrônica:</w:t>
            </w:r>
            <w:r w:rsidR="00F47AC4">
              <w:rPr>
                <w:color w:val="FF0000"/>
                <w:sz w:val="22"/>
                <w:szCs w:val="22"/>
              </w:rPr>
              <w:t xml:space="preserve"> </w:t>
            </w:r>
            <w:r w:rsidR="00E12F5A">
              <w:rPr>
                <w:b/>
                <w:color w:val="FF0000"/>
                <w:sz w:val="22"/>
                <w:szCs w:val="22"/>
              </w:rPr>
              <w:t>14</w:t>
            </w:r>
            <w:r w:rsidR="00F47AC4" w:rsidRPr="00F47AC4">
              <w:rPr>
                <w:b/>
                <w:color w:val="FF0000"/>
                <w:sz w:val="22"/>
                <w:szCs w:val="22"/>
              </w:rPr>
              <w:t xml:space="preserve"> horas</w:t>
            </w:r>
          </w:p>
        </w:tc>
      </w:tr>
      <w:tr w:rsidR="00DF06E3">
        <w:trPr>
          <w:divId w:val="1425371676"/>
          <w:trHeight w:val="389"/>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200" w:afterAutospacing="0"/>
              <w:jc w:val="both"/>
            </w:pPr>
            <w:r>
              <w:rPr>
                <w:color w:val="000000"/>
                <w:sz w:val="22"/>
                <w:szCs w:val="22"/>
              </w:rPr>
              <w:t>CGDL 4.1.1</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0" w:afterAutospacing="0"/>
              <w:jc w:val="both"/>
            </w:pPr>
            <w:r>
              <w:rPr>
                <w:b/>
                <w:bCs/>
                <w:color w:val="000000"/>
                <w:sz w:val="22"/>
                <w:szCs w:val="22"/>
              </w:rPr>
              <w:t>PARA PREGÃO PREFERENCIAL</w:t>
            </w:r>
          </w:p>
          <w:p w:rsidR="00DF06E3" w:rsidRDefault="00DF06E3">
            <w:pPr>
              <w:pStyle w:val="NormalWeb"/>
              <w:spacing w:before="0" w:beforeAutospacing="0" w:after="0" w:afterAutospacing="0"/>
              <w:jc w:val="both"/>
            </w:pPr>
            <w:r>
              <w:rPr>
                <w:color w:val="000000"/>
                <w:sz w:val="22"/>
                <w:szCs w:val="22"/>
              </w:rPr>
              <w:t>Qualquer pessoa jurídica legalmente estabelecida no País que esteja devidamente credenciada nos termos do item 6 deste Edital.</w:t>
            </w:r>
          </w:p>
          <w:p w:rsidR="00DF06E3" w:rsidRDefault="00DF06E3">
            <w:pPr>
              <w:pStyle w:val="NormalWeb"/>
              <w:spacing w:before="0" w:beforeAutospacing="0" w:after="0" w:afterAutospacing="0"/>
              <w:jc w:val="both"/>
            </w:pPr>
            <w:r>
              <w:rPr>
                <w:b/>
                <w:bCs/>
                <w:color w:val="000000"/>
                <w:sz w:val="22"/>
                <w:szCs w:val="22"/>
              </w:rPr>
              <w:t>PARA PREGÃO EXCLUSIVO</w:t>
            </w:r>
          </w:p>
          <w:p w:rsidR="00DF06E3" w:rsidRDefault="00DF06E3">
            <w:pPr>
              <w:pStyle w:val="NormalWeb"/>
              <w:spacing w:before="0" w:beforeAutospacing="0" w:after="0" w:afterAutospacing="0"/>
              <w:jc w:val="both"/>
            </w:pPr>
            <w:r>
              <w:rPr>
                <w:b/>
                <w:bCs/>
                <w:color w:val="000000"/>
                <w:sz w:val="22"/>
                <w:szCs w:val="22"/>
              </w:rPr>
              <w:t xml:space="preserve">Exclusivamente microempresas e empresas de pequeno porte </w:t>
            </w:r>
            <w:r>
              <w:rPr>
                <w:color w:val="000000"/>
                <w:sz w:val="22"/>
                <w:szCs w:val="22"/>
              </w:rPr>
              <w:t>legalmente estabelecida no País que esteja devidamente credenciada nos termos do item 6 deste Edital.</w:t>
            </w:r>
          </w:p>
          <w:p w:rsidR="00DF06E3" w:rsidRDefault="00DF06E3"/>
        </w:tc>
      </w:tr>
      <w:tr w:rsidR="00DF06E3">
        <w:trPr>
          <w:divId w:val="1425371676"/>
          <w:trHeight w:val="386"/>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200" w:afterAutospacing="0"/>
              <w:jc w:val="both"/>
            </w:pPr>
            <w:r>
              <w:rPr>
                <w:color w:val="000000"/>
                <w:sz w:val="22"/>
                <w:szCs w:val="22"/>
              </w:rPr>
              <w:t>CGDL 4.2.2</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40" w:afterAutospacing="0"/>
              <w:jc w:val="both"/>
            </w:pPr>
            <w:r>
              <w:rPr>
                <w:color w:val="000000"/>
                <w:sz w:val="22"/>
                <w:szCs w:val="22"/>
              </w:rPr>
              <w:t>Não será permitida a participação de Cooperativa de Trabalho. </w:t>
            </w:r>
          </w:p>
        </w:tc>
      </w:tr>
      <w:tr w:rsidR="00DF06E3">
        <w:trPr>
          <w:divId w:val="1425371676"/>
          <w:trHeight w:val="386"/>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200" w:afterAutospacing="0"/>
              <w:jc w:val="both"/>
            </w:pPr>
            <w:r>
              <w:rPr>
                <w:color w:val="000000"/>
                <w:sz w:val="22"/>
                <w:szCs w:val="22"/>
              </w:rPr>
              <w:t>CGDL 7.3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60" w:afterAutospacing="0"/>
              <w:jc w:val="both"/>
            </w:pPr>
            <w:r>
              <w:rPr>
                <w:i/>
                <w:iCs/>
                <w:color w:val="000000"/>
                <w:sz w:val="22"/>
                <w:szCs w:val="22"/>
                <w:u w:val="single"/>
              </w:rPr>
              <w:t>Para fornecimento de bens/materiais</w:t>
            </w:r>
            <w:r>
              <w:rPr>
                <w:i/>
                <w:iCs/>
                <w:color w:val="000000"/>
                <w:sz w:val="22"/>
                <w:szCs w:val="22"/>
              </w:rPr>
              <w:t>:</w:t>
            </w:r>
          </w:p>
          <w:p w:rsidR="00DF06E3" w:rsidRDefault="00DF06E3">
            <w:pPr>
              <w:pStyle w:val="NormalWeb"/>
              <w:spacing w:before="0" w:beforeAutospacing="0" w:after="60" w:afterAutospacing="0"/>
              <w:jc w:val="both"/>
            </w:pPr>
            <w:r>
              <w:rPr>
                <w:color w:val="000000"/>
                <w:sz w:val="22"/>
                <w:szCs w:val="22"/>
              </w:rPr>
              <w:t>7.3.1. A proposta de preços inicial deverá conter as características técnicas do produto ofertado, indicando obrigatoriamente e expressamente, a sua marca e, se for o caso, o modelo. </w:t>
            </w:r>
          </w:p>
          <w:p w:rsidR="00DF06E3" w:rsidRDefault="00DF06E3">
            <w:pPr>
              <w:pStyle w:val="NormalWeb"/>
              <w:spacing w:before="0" w:beforeAutospacing="0" w:after="60" w:afterAutospacing="0"/>
              <w:jc w:val="both"/>
            </w:pPr>
            <w:r>
              <w:rPr>
                <w:color w:val="000000"/>
                <w:sz w:val="22"/>
                <w:szCs w:val="22"/>
              </w:rPr>
              <w:t>7.3.1.1. A proposta final deverá manter inalteradas as características, bem como a marca e modelo indicados no item 6.3.1. </w:t>
            </w:r>
          </w:p>
          <w:p w:rsidR="00DF06E3" w:rsidRDefault="00DF06E3">
            <w:pPr>
              <w:pStyle w:val="NormalWeb"/>
              <w:spacing w:before="0" w:beforeAutospacing="0" w:after="60" w:afterAutospacing="0"/>
              <w:jc w:val="both"/>
            </w:pPr>
            <w:r>
              <w:rPr>
                <w:color w:val="000000"/>
                <w:sz w:val="22"/>
                <w:szCs w:val="22"/>
              </w:rPr>
              <w:t>7.3.1.2. As propostas deverão, sempre que possível, conter o código de barras do objeto ofertado. </w:t>
            </w:r>
          </w:p>
          <w:p w:rsidR="00DF06E3" w:rsidRDefault="00DF06E3">
            <w:pPr>
              <w:pStyle w:val="NormalWeb"/>
              <w:spacing w:before="0" w:beforeAutospacing="0" w:after="60" w:afterAutospacing="0"/>
              <w:jc w:val="both"/>
            </w:pPr>
            <w:r>
              <w:rPr>
                <w:color w:val="000000"/>
                <w:sz w:val="22"/>
                <w:szCs w:val="22"/>
              </w:rPr>
              <w:t>7.3.1.2.1. O descumprimento do disposto no subitem 6.3.1.2 não motivará a desclassificação da proposta. </w:t>
            </w:r>
          </w:p>
          <w:p w:rsidR="00DF06E3" w:rsidRDefault="00DF06E3"/>
          <w:p w:rsidR="00DF06E3" w:rsidRDefault="00DF06E3">
            <w:pPr>
              <w:pStyle w:val="NormalWeb"/>
              <w:spacing w:before="0" w:beforeAutospacing="0" w:after="60" w:afterAutospacing="0"/>
              <w:jc w:val="both"/>
            </w:pPr>
            <w:r>
              <w:rPr>
                <w:i/>
                <w:iCs/>
                <w:color w:val="000000"/>
                <w:sz w:val="22"/>
                <w:szCs w:val="22"/>
                <w:u w:val="single"/>
              </w:rPr>
              <w:t>Para contratação de serviços</w:t>
            </w:r>
            <w:r>
              <w:rPr>
                <w:i/>
                <w:iCs/>
                <w:color w:val="000000"/>
                <w:sz w:val="22"/>
                <w:szCs w:val="22"/>
              </w:rPr>
              <w:t>:</w:t>
            </w:r>
          </w:p>
          <w:p w:rsidR="00DF06E3" w:rsidRDefault="00DF06E3">
            <w:pPr>
              <w:pStyle w:val="NormalWeb"/>
              <w:spacing w:before="0" w:beforeAutospacing="0" w:after="60" w:afterAutospacing="0"/>
              <w:jc w:val="both"/>
            </w:pPr>
            <w:r>
              <w:rPr>
                <w:color w:val="000000"/>
                <w:sz w:val="22"/>
                <w:szCs w:val="22"/>
              </w:rPr>
              <w:t>Não aplicável.</w:t>
            </w:r>
          </w:p>
        </w:tc>
      </w:tr>
      <w:tr w:rsidR="00DF06E3">
        <w:trPr>
          <w:divId w:val="1425371676"/>
          <w:trHeight w:val="170"/>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200" w:afterAutospacing="0"/>
              <w:jc w:val="both"/>
            </w:pPr>
            <w:r>
              <w:rPr>
                <w:color w:val="000000"/>
                <w:sz w:val="22"/>
                <w:szCs w:val="22"/>
              </w:rPr>
              <w:t>CGDL 7.4</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0" w:afterAutospacing="0"/>
              <w:jc w:val="both"/>
            </w:pPr>
            <w:r>
              <w:rPr>
                <w:b/>
                <w:bCs/>
                <w:color w:val="000000"/>
                <w:sz w:val="22"/>
                <w:szCs w:val="22"/>
              </w:rPr>
              <w:t>QUANDO HOUVER SÓ 1 LOTE:</w:t>
            </w:r>
          </w:p>
          <w:p w:rsidR="00DF06E3" w:rsidRDefault="00DF06E3">
            <w:pPr>
              <w:pStyle w:val="NormalWeb"/>
              <w:spacing w:before="0" w:beforeAutospacing="0" w:after="0" w:afterAutospacing="0"/>
              <w:jc w:val="both"/>
            </w:pPr>
            <w:r>
              <w:rPr>
                <w:color w:val="000000"/>
                <w:sz w:val="22"/>
                <w:szCs w:val="22"/>
              </w:rPr>
              <w:t>MENOR PREÇO DO LOTE, respeitados os valores unitários dos itens que compõem o(s) lote(s).</w:t>
            </w:r>
          </w:p>
          <w:p w:rsidR="00DF06E3" w:rsidRDefault="00DF06E3">
            <w:pPr>
              <w:pStyle w:val="NormalWeb"/>
              <w:spacing w:before="0" w:beforeAutospacing="0" w:after="0" w:afterAutospacing="0"/>
              <w:jc w:val="both"/>
            </w:pPr>
            <w:r>
              <w:rPr>
                <w:b/>
                <w:bCs/>
                <w:color w:val="000000"/>
                <w:sz w:val="22"/>
                <w:szCs w:val="22"/>
              </w:rPr>
              <w:t>QUANDO HOUVER MAIS DE 1 LOTE:</w:t>
            </w:r>
          </w:p>
          <w:p w:rsidR="00DF06E3" w:rsidRDefault="00DF06E3">
            <w:pPr>
              <w:pStyle w:val="NormalWeb"/>
              <w:spacing w:before="0" w:beforeAutospacing="0" w:after="40" w:afterAutospacing="0"/>
              <w:jc w:val="both"/>
            </w:pPr>
            <w:r>
              <w:rPr>
                <w:color w:val="000000"/>
                <w:sz w:val="22"/>
                <w:szCs w:val="22"/>
              </w:rPr>
              <w:t>MENOR PREÇO POR LOTE</w:t>
            </w:r>
          </w:p>
        </w:tc>
      </w:tr>
      <w:tr w:rsidR="00DF06E3">
        <w:trPr>
          <w:divId w:val="1425371676"/>
          <w:trHeight w:val="170"/>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200" w:afterAutospacing="0"/>
              <w:jc w:val="both"/>
            </w:pPr>
            <w:r>
              <w:rPr>
                <w:color w:val="000000"/>
                <w:sz w:val="22"/>
                <w:szCs w:val="22"/>
              </w:rPr>
              <w:t>CGDL 9.2.1</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40" w:afterAutospacing="0"/>
              <w:jc w:val="both"/>
            </w:pPr>
            <w:r>
              <w:rPr>
                <w:color w:val="000000"/>
                <w:sz w:val="22"/>
                <w:szCs w:val="22"/>
              </w:rPr>
              <w:t>0,01%</w:t>
            </w:r>
          </w:p>
        </w:tc>
      </w:tr>
      <w:tr w:rsidR="00DF06E3">
        <w:trPr>
          <w:divId w:val="1425371676"/>
          <w:trHeight w:val="170"/>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200" w:afterAutospacing="0"/>
              <w:jc w:val="both"/>
            </w:pPr>
            <w:r>
              <w:rPr>
                <w:color w:val="000000"/>
                <w:sz w:val="22"/>
                <w:szCs w:val="22"/>
              </w:rPr>
              <w:t>CGDL 11.9</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0" w:afterAutospacing="0"/>
              <w:jc w:val="both"/>
            </w:pPr>
            <w:r>
              <w:rPr>
                <w:b/>
                <w:bCs/>
                <w:color w:val="000000"/>
                <w:sz w:val="22"/>
                <w:szCs w:val="22"/>
              </w:rPr>
              <w:t>PADRÃO: </w:t>
            </w:r>
          </w:p>
          <w:p w:rsidR="00DF06E3" w:rsidRDefault="00DF06E3">
            <w:pPr>
              <w:pStyle w:val="NormalWeb"/>
              <w:spacing w:before="0" w:beforeAutospacing="0" w:after="0" w:afterAutospacing="0"/>
              <w:jc w:val="both"/>
            </w:pPr>
            <w:r>
              <w:rPr>
                <w:color w:val="000000"/>
                <w:sz w:val="22"/>
                <w:szCs w:val="22"/>
              </w:rPr>
              <w:t>Não aplicável</w:t>
            </w:r>
          </w:p>
        </w:tc>
      </w:tr>
      <w:tr w:rsidR="00DF06E3">
        <w:trPr>
          <w:divId w:val="1425371676"/>
          <w:trHeight w:val="170"/>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200" w:afterAutospacing="0"/>
              <w:jc w:val="both"/>
            </w:pPr>
            <w:r>
              <w:rPr>
                <w:color w:val="000000"/>
                <w:sz w:val="22"/>
                <w:szCs w:val="22"/>
              </w:rPr>
              <w:t>CGDL 12.1</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40" w:afterAutospacing="0"/>
              <w:jc w:val="both"/>
            </w:pPr>
            <w:r>
              <w:rPr>
                <w:color w:val="000000"/>
                <w:sz w:val="22"/>
                <w:szCs w:val="22"/>
              </w:rPr>
              <w:t xml:space="preserve">12.1  </w:t>
            </w:r>
            <w:r>
              <w:rPr>
                <w:b/>
                <w:bCs/>
                <w:color w:val="000000"/>
                <w:sz w:val="22"/>
                <w:szCs w:val="22"/>
              </w:rPr>
              <w:t>Documentos Relativos à Habilitação Jurídica</w:t>
            </w:r>
            <w:r>
              <w:rPr>
                <w:color w:val="000000"/>
                <w:sz w:val="22"/>
                <w:szCs w:val="22"/>
              </w:rPr>
              <w:t>:</w:t>
            </w:r>
          </w:p>
          <w:p w:rsidR="00DF06E3" w:rsidRDefault="00DF06E3">
            <w:pPr>
              <w:pStyle w:val="NormalWeb"/>
              <w:spacing w:before="0" w:beforeAutospacing="0" w:after="40" w:afterAutospacing="0"/>
              <w:jc w:val="both"/>
            </w:pPr>
            <w:r>
              <w:rPr>
                <w:color w:val="000000"/>
                <w:sz w:val="22"/>
                <w:szCs w:val="22"/>
              </w:rPr>
              <w:t>12.1.1. cédula de identidade em se tratando de pessoa física;</w:t>
            </w:r>
          </w:p>
          <w:p w:rsidR="00DF06E3" w:rsidRDefault="00DF06E3">
            <w:pPr>
              <w:pStyle w:val="NormalWeb"/>
              <w:spacing w:before="0" w:beforeAutospacing="0" w:after="40" w:afterAutospacing="0"/>
              <w:jc w:val="both"/>
            </w:pPr>
            <w:r>
              <w:rPr>
                <w:color w:val="000000"/>
                <w:sz w:val="22"/>
                <w:szCs w:val="22"/>
              </w:rPr>
              <w:t>12.1.2. registro comercial, no caso de empresa individual;</w:t>
            </w:r>
          </w:p>
          <w:p w:rsidR="00DF06E3" w:rsidRDefault="00DF06E3">
            <w:pPr>
              <w:pStyle w:val="NormalWeb"/>
              <w:spacing w:before="0" w:beforeAutospacing="0" w:after="40" w:afterAutospacing="0"/>
              <w:jc w:val="both"/>
            </w:pPr>
            <w:r>
              <w:rPr>
                <w:color w:val="000000"/>
                <w:sz w:val="22"/>
                <w:szCs w:val="22"/>
              </w:rPr>
              <w:t>12.1.3. ato constitutivo, estatuto ou contrato social em vigor, devidamente registrado, em se tratando de sociedades comerciais, e, no caso de sociedades por ações, acompanhado de documentos de eleição de seus administradores;</w:t>
            </w:r>
          </w:p>
          <w:p w:rsidR="00DF06E3" w:rsidRDefault="00DF06E3">
            <w:pPr>
              <w:pStyle w:val="NormalWeb"/>
              <w:spacing w:before="0" w:beforeAutospacing="0" w:after="40" w:afterAutospacing="0"/>
              <w:jc w:val="both"/>
            </w:pPr>
            <w:r>
              <w:rPr>
                <w:color w:val="000000"/>
                <w:sz w:val="22"/>
                <w:szCs w:val="22"/>
              </w:rPr>
              <w:t>12.1.4. inscrição do ato constitutivo, no caso de sociedades civis, acompanhada de prova de diretoria em exercício;</w:t>
            </w:r>
          </w:p>
          <w:p w:rsidR="00DF06E3" w:rsidRDefault="00DF06E3">
            <w:pPr>
              <w:pStyle w:val="NormalWeb"/>
              <w:spacing w:before="0" w:beforeAutospacing="0" w:after="40" w:afterAutospacing="0"/>
              <w:jc w:val="both"/>
            </w:pPr>
            <w:r>
              <w:rPr>
                <w:color w:val="000000"/>
                <w:sz w:val="22"/>
                <w:szCs w:val="22"/>
              </w:rPr>
              <w:t>12.1.5. decreto de autorização, em se tratando de empresa ou sociedade estrangeira em funcionamento no País, e ato de registro ou autorização para funcionamento expedido pelo órgão competente, quando a atividade assim o exigir;</w:t>
            </w:r>
          </w:p>
          <w:p w:rsidR="00DF06E3" w:rsidRDefault="00DF06E3">
            <w:pPr>
              <w:pStyle w:val="NormalWeb"/>
              <w:spacing w:before="0" w:beforeAutospacing="0" w:after="40" w:afterAutospacing="0"/>
              <w:jc w:val="both"/>
            </w:pPr>
            <w:r>
              <w:rPr>
                <w:color w:val="000000"/>
                <w:sz w:val="22"/>
                <w:szCs w:val="22"/>
              </w:rPr>
              <w:t>12.1.6. enquadramento como empresa de pequeno porte ou microempresa emitido pela Junta Comercial, Industrial e Serviços do Rio Grande do Sul ou Órgão equivalente de outro Estado da Federação, ou, ainda, pela forma prevista no art. 39A da Lei federal nº 8.934, de 18 de novembro de 1994, acompanhada da declaração na forma eletrônica, quando for o caso.</w:t>
            </w:r>
          </w:p>
          <w:p w:rsidR="00DF06E3" w:rsidRDefault="00DF06E3">
            <w:pPr>
              <w:pStyle w:val="NormalWeb"/>
              <w:spacing w:before="0" w:beforeAutospacing="0" w:after="40" w:afterAutospacing="0"/>
              <w:jc w:val="both"/>
            </w:pPr>
            <w:r>
              <w:rPr>
                <w:color w:val="000000"/>
                <w:sz w:val="22"/>
                <w:szCs w:val="22"/>
              </w:rPr>
              <w:t xml:space="preserve">12.2. </w:t>
            </w:r>
            <w:r>
              <w:rPr>
                <w:b/>
                <w:bCs/>
                <w:color w:val="000000"/>
                <w:sz w:val="22"/>
                <w:szCs w:val="22"/>
              </w:rPr>
              <w:t>Documentos Relativos à Regularidade Fiscal e Trabalhista</w:t>
            </w:r>
            <w:r>
              <w:rPr>
                <w:color w:val="000000"/>
                <w:sz w:val="22"/>
                <w:szCs w:val="22"/>
              </w:rPr>
              <w:t>:</w:t>
            </w:r>
          </w:p>
          <w:p w:rsidR="00DF06E3" w:rsidRDefault="00DF06E3">
            <w:pPr>
              <w:pStyle w:val="NormalWeb"/>
              <w:spacing w:before="0" w:beforeAutospacing="0" w:after="40" w:afterAutospacing="0"/>
              <w:jc w:val="both"/>
            </w:pPr>
            <w:r>
              <w:rPr>
                <w:color w:val="000000"/>
                <w:sz w:val="22"/>
                <w:szCs w:val="22"/>
              </w:rPr>
              <w:t>12.2.1. prova de inscrição no Cadastro de Pessoas Físicas (CPF);</w:t>
            </w:r>
          </w:p>
          <w:p w:rsidR="00DF06E3" w:rsidRDefault="00DF06E3">
            <w:pPr>
              <w:pStyle w:val="NormalWeb"/>
              <w:spacing w:before="0" w:beforeAutospacing="0" w:after="40" w:afterAutospacing="0"/>
              <w:jc w:val="both"/>
            </w:pPr>
            <w:r>
              <w:rPr>
                <w:color w:val="000000"/>
                <w:sz w:val="22"/>
                <w:szCs w:val="22"/>
              </w:rPr>
              <w:t>12.2.2. prova de inscrição no Cadastro Nacional de Pessoas Jurídicas (CNPJ);</w:t>
            </w:r>
          </w:p>
          <w:p w:rsidR="00DF06E3" w:rsidRDefault="00DF06E3">
            <w:pPr>
              <w:pStyle w:val="NormalWeb"/>
              <w:spacing w:before="0" w:beforeAutospacing="0" w:after="40" w:afterAutospacing="0"/>
              <w:jc w:val="both"/>
            </w:pPr>
            <w:r>
              <w:rPr>
                <w:color w:val="000000"/>
                <w:sz w:val="22"/>
                <w:szCs w:val="22"/>
              </w:rPr>
              <w:t xml:space="preserve">12.2.3. prova de inscrição no cadastro de contribuintes estadual ou municipal, se houver, relativo à sede do </w:t>
            </w:r>
            <w:r>
              <w:rPr>
                <w:color w:val="000000"/>
              </w:rPr>
              <w:t>participante</w:t>
            </w:r>
            <w:r>
              <w:rPr>
                <w:color w:val="000000"/>
                <w:sz w:val="22"/>
                <w:szCs w:val="22"/>
              </w:rPr>
              <w:t>, pertinente ao seu ramo de atividade e compatível com o objeto contratual;</w:t>
            </w:r>
          </w:p>
          <w:p w:rsidR="00DF06E3" w:rsidRDefault="00DF06E3">
            <w:pPr>
              <w:pStyle w:val="NormalWeb"/>
              <w:spacing w:before="0" w:beforeAutospacing="0" w:after="40" w:afterAutospacing="0"/>
              <w:jc w:val="both"/>
            </w:pPr>
            <w:r>
              <w:rPr>
                <w:color w:val="000000"/>
                <w:sz w:val="22"/>
                <w:szCs w:val="22"/>
              </w:rPr>
              <w:t xml:space="preserve">12.2.4. prova de regularidade para com a Fazenda Federal, Estadual e Municipal da sede do </w:t>
            </w:r>
            <w:r>
              <w:rPr>
                <w:color w:val="000000"/>
              </w:rPr>
              <w:t>participante</w:t>
            </w:r>
            <w:r>
              <w:rPr>
                <w:color w:val="000000"/>
                <w:sz w:val="22"/>
                <w:szCs w:val="22"/>
              </w:rPr>
              <w:t>, e, independentemente da sua sede, para com a Fazenda do Estado do Rio Grande do Sul, na forma da lei;</w:t>
            </w:r>
          </w:p>
          <w:p w:rsidR="00DF06E3" w:rsidRDefault="00DF06E3">
            <w:pPr>
              <w:pStyle w:val="NormalWeb"/>
              <w:spacing w:before="0" w:beforeAutospacing="0" w:after="40" w:afterAutospacing="0"/>
              <w:jc w:val="both"/>
            </w:pPr>
            <w:r>
              <w:rPr>
                <w:color w:val="000000"/>
                <w:sz w:val="22"/>
                <w:szCs w:val="22"/>
              </w:rPr>
              <w:t>12.2.5. prova de regularidade relativa à Seguridade Social e ao Fundo de Garantia do Tempo de Serviço (FGTS), demonstrando situação regular no cumprimento dos encargos sociais instituídos por lei;</w:t>
            </w:r>
          </w:p>
          <w:p w:rsidR="00DF06E3" w:rsidRDefault="00DF06E3">
            <w:pPr>
              <w:pStyle w:val="NormalWeb"/>
              <w:spacing w:before="0" w:beforeAutospacing="0" w:after="40" w:afterAutospacing="0"/>
              <w:jc w:val="both"/>
            </w:pPr>
            <w:r>
              <w:rPr>
                <w:color w:val="000000"/>
                <w:sz w:val="22"/>
                <w:szCs w:val="22"/>
              </w:rPr>
              <w:t>12.2.6. prova de inexistência de débitos inadimplidos perante a Justiça do Trabalho, mediante a apresentação de Certidão Negativa de Débitos Trabalhistas (CNDT).</w:t>
            </w:r>
          </w:p>
          <w:p w:rsidR="00DF06E3" w:rsidRDefault="00DF06E3">
            <w:pPr>
              <w:pStyle w:val="NormalWeb"/>
              <w:spacing w:before="0" w:beforeAutospacing="0" w:after="40" w:afterAutospacing="0"/>
              <w:jc w:val="both"/>
            </w:pPr>
            <w:r>
              <w:rPr>
                <w:color w:val="000000"/>
                <w:sz w:val="22"/>
                <w:szCs w:val="22"/>
              </w:rPr>
              <w:t>12.3</w:t>
            </w:r>
            <w:r>
              <w:rPr>
                <w:b/>
                <w:bCs/>
                <w:color w:val="000000"/>
                <w:sz w:val="22"/>
                <w:szCs w:val="22"/>
              </w:rPr>
              <w:t>. Documentos Relativos à Qualificação Técnica:</w:t>
            </w:r>
          </w:p>
          <w:p w:rsidR="00DF06E3" w:rsidRDefault="00DF06E3">
            <w:pPr>
              <w:pStyle w:val="NormalWeb"/>
              <w:spacing w:before="0" w:beforeAutospacing="0" w:after="40" w:afterAutospacing="0"/>
              <w:jc w:val="both"/>
            </w:pPr>
            <w:r>
              <w:rPr>
                <w:color w:val="000000"/>
                <w:sz w:val="22"/>
                <w:szCs w:val="22"/>
              </w:rPr>
              <w:t>12.3.1. comprovação de aptidão para o fornecimento em características, quantidades e prazos compatíveis com o objeto desta dispensa de licitação, ou com o item pertinente, mediante a apresentação de atestado fornecido por pessoas jurídicas de direito público ou privado;</w:t>
            </w:r>
          </w:p>
          <w:p w:rsidR="00DF06E3" w:rsidRDefault="00DF06E3">
            <w:pPr>
              <w:pStyle w:val="NormalWeb"/>
              <w:spacing w:before="0" w:beforeAutospacing="0" w:after="40" w:afterAutospacing="0"/>
              <w:jc w:val="both"/>
            </w:pPr>
            <w:r>
              <w:rPr>
                <w:color w:val="000000"/>
                <w:sz w:val="22"/>
                <w:szCs w:val="22"/>
              </w:rPr>
              <w:t>12.3.2. os atestados deverão referir-se a fornecimentos no âmbito de sua atividade econômica principal ou secundária especificadas no contrato social vigente.</w:t>
            </w:r>
          </w:p>
          <w:p w:rsidR="00DF06E3" w:rsidRDefault="00DF06E3">
            <w:pPr>
              <w:pStyle w:val="NormalWeb"/>
              <w:spacing w:before="0" w:beforeAutospacing="0" w:after="40" w:afterAutospacing="0"/>
              <w:jc w:val="both"/>
            </w:pPr>
            <w:r>
              <w:rPr>
                <w:color w:val="000000"/>
                <w:sz w:val="22"/>
                <w:szCs w:val="22"/>
              </w:rPr>
              <w:t xml:space="preserve">12.4. </w:t>
            </w:r>
            <w:r>
              <w:rPr>
                <w:b/>
                <w:bCs/>
                <w:color w:val="000000"/>
                <w:sz w:val="22"/>
                <w:szCs w:val="22"/>
              </w:rPr>
              <w:t>Documentos Relativos à Qualificação Econômico-Financeira:</w:t>
            </w:r>
          </w:p>
          <w:p w:rsidR="00DF06E3" w:rsidRDefault="00DF06E3">
            <w:pPr>
              <w:pStyle w:val="NormalWeb"/>
              <w:spacing w:before="0" w:beforeAutospacing="0" w:after="40" w:afterAutospacing="0"/>
              <w:jc w:val="both"/>
            </w:pPr>
            <w:r>
              <w:rPr>
                <w:color w:val="000000"/>
                <w:sz w:val="22"/>
                <w:szCs w:val="22"/>
              </w:rPr>
              <w:t xml:space="preserve">12.4.1. certidão negativa de falência, recuperação judicial ou extrajudicial, apresentação de plano especial (microempresas e empresas de pequeno porte), insolvência e concordatas deferidas antes da vigência da </w:t>
            </w:r>
            <w:hyperlink r:id="rId11" w:anchor="_blank" w:history="1">
              <w:r>
                <w:rPr>
                  <w:rStyle w:val="Hyperlink"/>
                  <w:color w:val="000000"/>
                  <w:sz w:val="22"/>
                  <w:szCs w:val="22"/>
                </w:rPr>
                <w:t>Lei federal nº 11.101/2005</w:t>
              </w:r>
            </w:hyperlink>
            <w:r>
              <w:rPr>
                <w:color w:val="000000"/>
                <w:sz w:val="22"/>
                <w:szCs w:val="22"/>
              </w:rPr>
              <w:t>, expedida pelo distribuidor da sede da pessoa jurídica, com data de emissão não superior a 180 (cento e oitenta) dias anteriores à data prevista para o recebimento da documentação da habilitação e da proposta;</w:t>
            </w:r>
          </w:p>
          <w:p w:rsidR="00DF06E3" w:rsidRDefault="00DF06E3">
            <w:pPr>
              <w:pStyle w:val="NormalWeb"/>
              <w:spacing w:before="0" w:beforeAutospacing="0" w:after="40" w:afterAutospacing="0"/>
              <w:jc w:val="both"/>
            </w:pPr>
            <w:r>
              <w:rPr>
                <w:color w:val="000000"/>
                <w:sz w:val="22"/>
                <w:szCs w:val="22"/>
              </w:rPr>
              <w:t xml:space="preserve">12.5. </w:t>
            </w:r>
            <w:r>
              <w:rPr>
                <w:b/>
                <w:bCs/>
                <w:color w:val="000000"/>
                <w:sz w:val="22"/>
                <w:szCs w:val="22"/>
              </w:rPr>
              <w:t>Do Trabalho de Menor:</w:t>
            </w:r>
          </w:p>
          <w:p w:rsidR="00DF06E3" w:rsidRDefault="00DF06E3">
            <w:pPr>
              <w:pStyle w:val="NormalWeb"/>
              <w:spacing w:before="0" w:beforeAutospacing="0" w:after="40" w:afterAutospacing="0"/>
              <w:jc w:val="both"/>
            </w:pPr>
            <w:r>
              <w:rPr>
                <w:color w:val="000000"/>
                <w:sz w:val="22"/>
                <w:szCs w:val="22"/>
              </w:rPr>
              <w:t>12.5.1. Para fins do disposto no inc. V do art. 27 da Lei federal nº 8.666/1993, declaração de que não emprega menor de 18 (dezoito) anos em trabalho noturno, perigoso ou insalubre, e não emprega menor de 16 (dezesseis) anos, salvo na condição de aprendiz, a partir de 14 (quatorze) anos, nos termos do inc. XXXIII do art. 7º da Constituição federal.</w:t>
            </w:r>
          </w:p>
          <w:p w:rsidR="00DF06E3" w:rsidRDefault="00DF06E3">
            <w:pPr>
              <w:pStyle w:val="NormalWeb"/>
              <w:spacing w:before="0" w:beforeAutospacing="0" w:after="40" w:afterAutospacing="0"/>
              <w:jc w:val="both"/>
            </w:pPr>
            <w:r>
              <w:rPr>
                <w:color w:val="000000"/>
                <w:sz w:val="22"/>
                <w:szCs w:val="22"/>
              </w:rPr>
              <w:t>12.5.2. a apresentação da declaração de que não emprega menor, será dispensada se for adotada declaração eletrônica.</w:t>
            </w:r>
          </w:p>
          <w:p w:rsidR="00DF06E3" w:rsidRDefault="00DF06E3">
            <w:pPr>
              <w:pStyle w:val="NormalWeb"/>
              <w:spacing w:before="0" w:beforeAutospacing="0" w:after="40" w:afterAutospacing="0"/>
              <w:jc w:val="both"/>
            </w:pPr>
            <w:r>
              <w:rPr>
                <w:color w:val="000000"/>
                <w:sz w:val="22"/>
                <w:szCs w:val="22"/>
              </w:rPr>
              <w:t xml:space="preserve">12.6. </w:t>
            </w:r>
            <w:r>
              <w:rPr>
                <w:b/>
                <w:bCs/>
                <w:color w:val="000000"/>
                <w:sz w:val="22"/>
                <w:szCs w:val="22"/>
              </w:rPr>
              <w:t>Outros Documentos Complementares de Habilitação:</w:t>
            </w:r>
          </w:p>
          <w:p w:rsidR="00DF06E3" w:rsidRDefault="00DF06E3">
            <w:pPr>
              <w:pStyle w:val="NormalWeb"/>
              <w:spacing w:before="0" w:beforeAutospacing="0" w:after="40" w:afterAutospacing="0"/>
              <w:jc w:val="both"/>
            </w:pPr>
            <w:r>
              <w:rPr>
                <w:color w:val="000000"/>
                <w:sz w:val="22"/>
                <w:szCs w:val="22"/>
              </w:rPr>
              <w:t>  ________________________________________________</w:t>
            </w:r>
          </w:p>
        </w:tc>
      </w:tr>
      <w:tr w:rsidR="00DF06E3">
        <w:trPr>
          <w:divId w:val="1425371676"/>
          <w:trHeight w:val="134"/>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200" w:afterAutospacing="0"/>
              <w:jc w:val="both"/>
            </w:pPr>
            <w:r>
              <w:rPr>
                <w:color w:val="000000"/>
                <w:sz w:val="22"/>
                <w:szCs w:val="22"/>
              </w:rPr>
              <w:t>CGDL 15.1</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40" w:afterAutospacing="0"/>
              <w:jc w:val="both"/>
            </w:pPr>
            <w:r>
              <w:rPr>
                <w:color w:val="000000"/>
                <w:sz w:val="22"/>
                <w:szCs w:val="22"/>
              </w:rPr>
              <w:t>Não haverá necessidade de celebrar contrato.</w:t>
            </w:r>
          </w:p>
          <w:p w:rsidR="00DF06E3" w:rsidRDefault="00DF06E3"/>
        </w:tc>
      </w:tr>
      <w:tr w:rsidR="00DF06E3">
        <w:trPr>
          <w:divId w:val="1425371676"/>
          <w:trHeight w:val="707"/>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200" w:afterAutospacing="0"/>
              <w:jc w:val="both"/>
            </w:pPr>
            <w:r>
              <w:rPr>
                <w:color w:val="000000"/>
                <w:sz w:val="22"/>
                <w:szCs w:val="22"/>
              </w:rPr>
              <w:t>CGDL 15.3</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40" w:afterAutospacing="0"/>
              <w:jc w:val="both"/>
            </w:pPr>
            <w:r>
              <w:rPr>
                <w:b/>
                <w:bCs/>
                <w:color w:val="000000"/>
                <w:sz w:val="22"/>
                <w:szCs w:val="22"/>
              </w:rPr>
              <w:t>Para aquisição de bens/materiais</w:t>
            </w:r>
            <w:r>
              <w:rPr>
                <w:color w:val="000000"/>
                <w:sz w:val="22"/>
                <w:szCs w:val="22"/>
              </w:rPr>
              <w:t>: </w:t>
            </w:r>
          </w:p>
          <w:p w:rsidR="00DF06E3" w:rsidRDefault="00DF06E3">
            <w:pPr>
              <w:pStyle w:val="NormalWeb"/>
              <w:spacing w:before="0" w:beforeAutospacing="0" w:after="40" w:afterAutospacing="0"/>
              <w:jc w:val="both"/>
            </w:pPr>
            <w:r>
              <w:rPr>
                <w:color w:val="000000"/>
                <w:sz w:val="22"/>
                <w:szCs w:val="22"/>
              </w:rPr>
              <w:t>O prazo de vigência do contrato será o equivalente ao prazo de entrega estabelecido no Anexo II – Termo de Referência.</w:t>
            </w:r>
          </w:p>
          <w:p w:rsidR="00DF06E3" w:rsidRDefault="00DF06E3">
            <w:pPr>
              <w:pStyle w:val="NormalWeb"/>
              <w:spacing w:before="0" w:beforeAutospacing="0" w:after="40" w:afterAutospacing="0"/>
              <w:jc w:val="both"/>
            </w:pPr>
            <w:r>
              <w:rPr>
                <w:b/>
                <w:bCs/>
                <w:color w:val="000000"/>
                <w:sz w:val="22"/>
                <w:szCs w:val="22"/>
              </w:rPr>
              <w:t>Para contratação de serviços</w:t>
            </w:r>
            <w:r>
              <w:rPr>
                <w:color w:val="000000"/>
                <w:sz w:val="22"/>
                <w:szCs w:val="22"/>
              </w:rPr>
              <w:t>: O prazo de vigência do contrato será o prazo estabelecido no Termo de Referência.</w:t>
            </w:r>
          </w:p>
        </w:tc>
      </w:tr>
      <w:tr w:rsidR="00DF06E3">
        <w:trPr>
          <w:divId w:val="1425371676"/>
          <w:trHeight w:val="363"/>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200" w:afterAutospacing="0"/>
              <w:jc w:val="both"/>
            </w:pPr>
            <w:r>
              <w:rPr>
                <w:color w:val="000000"/>
                <w:sz w:val="22"/>
                <w:szCs w:val="22"/>
              </w:rPr>
              <w:t>CGDL 16.1</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40" w:afterAutospacing="0"/>
              <w:jc w:val="both"/>
            </w:pPr>
            <w:r>
              <w:rPr>
                <w:b/>
                <w:bCs/>
                <w:color w:val="000000"/>
                <w:sz w:val="22"/>
                <w:szCs w:val="22"/>
              </w:rPr>
              <w:t>PADRÃO (ITENS):</w:t>
            </w:r>
          </w:p>
          <w:p w:rsidR="00DF06E3" w:rsidRDefault="00DF06E3">
            <w:pPr>
              <w:pStyle w:val="NormalWeb"/>
              <w:spacing w:before="0" w:beforeAutospacing="0" w:after="40" w:afterAutospacing="0"/>
              <w:jc w:val="both"/>
            </w:pPr>
            <w:r>
              <w:rPr>
                <w:color w:val="000000"/>
                <w:sz w:val="22"/>
                <w:szCs w:val="22"/>
              </w:rPr>
              <w:t>O pagamento deverá ser efetuado no prazo de 30 (trinta) dias mediante a apresentação de Nota Fiscal ou da Fatura pelo contratado, que deverá conter o detalhamento do fornecimento executado.</w:t>
            </w:r>
          </w:p>
          <w:p w:rsidR="00DF06E3" w:rsidRDefault="00DF06E3">
            <w:pPr>
              <w:pStyle w:val="NormalWeb"/>
              <w:spacing w:before="0" w:beforeAutospacing="0" w:after="40" w:afterAutospacing="0"/>
              <w:jc w:val="both"/>
            </w:pPr>
            <w:r>
              <w:rPr>
                <w:b/>
                <w:bCs/>
                <w:color w:val="000000"/>
                <w:sz w:val="22"/>
                <w:szCs w:val="22"/>
              </w:rPr>
              <w:t>PARA SERVIÇOS:</w:t>
            </w:r>
          </w:p>
          <w:p w:rsidR="00DF06E3" w:rsidRDefault="00DF06E3">
            <w:pPr>
              <w:pStyle w:val="NormalWeb"/>
              <w:spacing w:before="0" w:beforeAutospacing="0" w:after="40" w:afterAutospacing="0"/>
              <w:jc w:val="both"/>
            </w:pPr>
            <w:r>
              <w:rPr>
                <w:color w:val="000000"/>
                <w:sz w:val="22"/>
                <w:szCs w:val="22"/>
              </w:rPr>
              <w:t>Ao fim de cada etapa/fase prevista no cronograma de execução a contratada deverá apresentar nota fiscal correspondente, para fins de pagamento, considerando os valores discriminados na Planilha de Custos e Formação de Preços anexa.</w:t>
            </w:r>
          </w:p>
        </w:tc>
      </w:tr>
      <w:tr w:rsidR="00DF06E3">
        <w:trPr>
          <w:divId w:val="1425371676"/>
          <w:trHeight w:val="363"/>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200" w:afterAutospacing="0"/>
              <w:jc w:val="both"/>
            </w:pPr>
            <w:r>
              <w:rPr>
                <w:color w:val="000000"/>
                <w:sz w:val="22"/>
                <w:szCs w:val="22"/>
              </w:rPr>
              <w:t>CGDL 19.1</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40" w:afterAutospacing="0"/>
              <w:jc w:val="both"/>
            </w:pPr>
            <w:r>
              <w:rPr>
                <w:color w:val="000000"/>
                <w:sz w:val="22"/>
                <w:szCs w:val="22"/>
              </w:rPr>
              <w:t>[Indicar demais obrigações do contratado que sejam específicas ao objeto contratual e que não constem na Cláusula Décima da Minuta de Contrato.]</w:t>
            </w:r>
          </w:p>
          <w:p w:rsidR="00DF06E3" w:rsidRDefault="00DF06E3">
            <w:pPr>
              <w:pStyle w:val="NormalWeb"/>
              <w:spacing w:before="0" w:beforeAutospacing="0" w:after="40" w:afterAutospacing="0"/>
              <w:jc w:val="both"/>
            </w:pPr>
            <w:r>
              <w:rPr>
                <w:color w:val="000000"/>
                <w:sz w:val="22"/>
                <w:szCs w:val="22"/>
              </w:rPr>
              <w:t>Quando aplicável.</w:t>
            </w:r>
          </w:p>
        </w:tc>
      </w:tr>
      <w:tr w:rsidR="00DF06E3">
        <w:trPr>
          <w:divId w:val="1425371676"/>
          <w:trHeight w:val="142"/>
        </w:trPr>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200" w:afterAutospacing="0"/>
              <w:jc w:val="both"/>
            </w:pPr>
            <w:r>
              <w:rPr>
                <w:color w:val="000000"/>
                <w:sz w:val="22"/>
                <w:szCs w:val="22"/>
              </w:rPr>
              <w:t>CGDL 20.1</w:t>
            </w:r>
          </w:p>
        </w:tc>
        <w:tc>
          <w:tcPr>
            <w:tcW w:w="0" w:type="auto"/>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hideMark/>
          </w:tcPr>
          <w:p w:rsidR="00DF06E3" w:rsidRDefault="00DF06E3">
            <w:pPr>
              <w:pStyle w:val="NormalWeb"/>
              <w:spacing w:before="0" w:beforeAutospacing="0" w:after="0" w:afterAutospacing="0"/>
              <w:jc w:val="both"/>
            </w:pPr>
            <w:r>
              <w:rPr>
                <w:b/>
                <w:bCs/>
                <w:color w:val="000000"/>
                <w:sz w:val="22"/>
                <w:szCs w:val="22"/>
              </w:rPr>
              <w:t>PADRÃO:</w:t>
            </w:r>
          </w:p>
          <w:p w:rsidR="00DF06E3" w:rsidRDefault="00DF06E3">
            <w:pPr>
              <w:pStyle w:val="NormalWeb"/>
              <w:spacing w:before="0" w:beforeAutospacing="0" w:after="0" w:afterAutospacing="0"/>
              <w:jc w:val="both"/>
            </w:pPr>
            <w:r>
              <w:rPr>
                <w:color w:val="000000"/>
                <w:sz w:val="22"/>
                <w:szCs w:val="22"/>
              </w:rPr>
              <w:t>Não será solicitada Garantia de Cumprimento do Contrato</w:t>
            </w:r>
          </w:p>
          <w:p w:rsidR="00DF06E3" w:rsidRDefault="00DF06E3"/>
          <w:p w:rsidR="00DF06E3" w:rsidRDefault="00DF06E3">
            <w:pPr>
              <w:pStyle w:val="NormalWeb"/>
              <w:spacing w:before="0" w:beforeAutospacing="0" w:after="0" w:afterAutospacing="0"/>
              <w:jc w:val="both"/>
            </w:pPr>
            <w:r>
              <w:rPr>
                <w:b/>
                <w:bCs/>
                <w:color w:val="000000"/>
                <w:sz w:val="22"/>
                <w:szCs w:val="22"/>
              </w:rPr>
              <w:t>***SE O ÓRGÃO SOLICITAR GARANTIA***: </w:t>
            </w:r>
          </w:p>
          <w:p w:rsidR="00DF06E3" w:rsidRDefault="00DF06E3">
            <w:pPr>
              <w:pStyle w:val="NormalWeb"/>
              <w:spacing w:before="0" w:beforeAutospacing="0" w:after="0" w:afterAutospacing="0"/>
              <w:jc w:val="both"/>
            </w:pPr>
            <w:r>
              <w:rPr>
                <w:color w:val="000000"/>
                <w:sz w:val="22"/>
                <w:szCs w:val="22"/>
              </w:rPr>
              <w:t>Será solicitada Garantia de Cumprimento do Contrato</w:t>
            </w:r>
          </w:p>
          <w:p w:rsidR="00DF06E3" w:rsidRDefault="00DF06E3" w:rsidP="00DF06E3">
            <w:pPr>
              <w:pStyle w:val="NormalWeb"/>
              <w:numPr>
                <w:ilvl w:val="0"/>
                <w:numId w:val="3"/>
              </w:numPr>
              <w:spacing w:before="0" w:beforeAutospacing="0" w:after="0" w:afterAutospacing="0"/>
              <w:jc w:val="both"/>
              <w:textAlignment w:val="baseline"/>
              <w:rPr>
                <w:color w:val="000000"/>
                <w:sz w:val="22"/>
                <w:szCs w:val="22"/>
              </w:rPr>
            </w:pPr>
            <w:r>
              <w:rPr>
                <w:color w:val="000000"/>
                <w:sz w:val="22"/>
                <w:szCs w:val="22"/>
              </w:rPr>
              <w:t>A garantia poderá ser realizada em uma das seguintes modalidades: </w:t>
            </w:r>
          </w:p>
          <w:p w:rsidR="00DF06E3" w:rsidRDefault="00DF06E3">
            <w:pPr>
              <w:pStyle w:val="NormalWeb"/>
              <w:spacing w:before="0" w:beforeAutospacing="0" w:after="0" w:afterAutospacing="0"/>
              <w:jc w:val="both"/>
            </w:pPr>
            <w:r>
              <w:rPr>
                <w:color w:val="000000"/>
                <w:sz w:val="22"/>
                <w:szCs w:val="22"/>
              </w:rPr>
              <w:t>I - caução em dinheiro ou Título da Dívida Pública, devendo este ter sido emitido sob a forma escritural, mediante registro em sistema centralizado de liquidação e de custódia autorizado pelo Banco Central do Brasil e avaliados pelos seus valores econômicos, conforme definido pelo Ministério da Fazenda; </w:t>
            </w:r>
          </w:p>
          <w:p w:rsidR="00DF06E3" w:rsidRDefault="00DF06E3">
            <w:pPr>
              <w:pStyle w:val="NormalWeb"/>
              <w:spacing w:before="0" w:beforeAutospacing="0" w:after="0" w:afterAutospacing="0"/>
              <w:jc w:val="both"/>
            </w:pPr>
            <w:r>
              <w:rPr>
                <w:color w:val="000000"/>
                <w:sz w:val="22"/>
                <w:szCs w:val="22"/>
              </w:rPr>
              <w:t>II - Seguro-garantia;</w:t>
            </w:r>
          </w:p>
          <w:p w:rsidR="00DF06E3" w:rsidRDefault="00DF06E3">
            <w:pPr>
              <w:pStyle w:val="NormalWeb"/>
              <w:spacing w:before="0" w:beforeAutospacing="0" w:after="0" w:afterAutospacing="0"/>
              <w:jc w:val="both"/>
            </w:pPr>
            <w:r>
              <w:rPr>
                <w:color w:val="000000"/>
                <w:sz w:val="22"/>
                <w:szCs w:val="22"/>
              </w:rPr>
              <w:t>III - fiança bancária.</w:t>
            </w:r>
          </w:p>
          <w:p w:rsidR="00DF06E3" w:rsidRDefault="00DF06E3">
            <w:pPr>
              <w:pStyle w:val="NormalWeb"/>
              <w:spacing w:before="0" w:beforeAutospacing="0" w:after="0" w:afterAutospacing="0"/>
              <w:jc w:val="both"/>
            </w:pPr>
            <w:r>
              <w:rPr>
                <w:color w:val="000000"/>
                <w:sz w:val="22"/>
                <w:szCs w:val="22"/>
              </w:rPr>
              <w:t>b) O adjudicatário, no prazo de 10 (dez) dias a contar da assinatura do contrato, prestará garantia no valor correspondente a ............... % ( ............................................................................... ) [não excedendo a 5%] do valor total contratado, que será liberada após a execução do objeto da avença, conforme disposto no art. 56 da Lei federal nº 8.666/1993, desde que cumpridas as obrigações contratuais. </w:t>
            </w:r>
          </w:p>
          <w:p w:rsidR="00DF06E3" w:rsidRDefault="00DF06E3">
            <w:pPr>
              <w:pStyle w:val="NormalWeb"/>
              <w:spacing w:before="0" w:beforeAutospacing="0" w:after="0" w:afterAutospacing="0"/>
              <w:jc w:val="both"/>
            </w:pPr>
            <w:r>
              <w:rPr>
                <w:color w:val="000000"/>
                <w:sz w:val="22"/>
                <w:szCs w:val="22"/>
              </w:rPr>
              <w:t>b.1) O prazo para apresentação da garantia poderá ser prorrogado por igual período a critério do contratante. </w:t>
            </w:r>
          </w:p>
          <w:p w:rsidR="00DF06E3" w:rsidRDefault="00DF06E3">
            <w:pPr>
              <w:pStyle w:val="NormalWeb"/>
              <w:spacing w:before="0" w:beforeAutospacing="0" w:after="0" w:afterAutospacing="0"/>
              <w:jc w:val="both"/>
            </w:pPr>
            <w:r>
              <w:rPr>
                <w:color w:val="000000"/>
                <w:sz w:val="22"/>
                <w:szCs w:val="22"/>
              </w:rPr>
              <w:t>c) A inobservância do prazo fixado para apresentação da garantia, inclusive dos previstos nos itens “j” e “p”, acarretará a aplicação de multa de 0,07% (sete centésimos por cento) do valor total do contrato por dia de atraso, até o máximo de 2% (dois por cento).</w:t>
            </w:r>
          </w:p>
          <w:p w:rsidR="00DF06E3" w:rsidRDefault="00DF06E3">
            <w:pPr>
              <w:pStyle w:val="NormalWeb"/>
              <w:spacing w:before="0" w:beforeAutospacing="0" w:after="0" w:afterAutospacing="0"/>
              <w:jc w:val="both"/>
            </w:pPr>
            <w:r>
              <w:rPr>
                <w:color w:val="000000"/>
                <w:sz w:val="22"/>
                <w:szCs w:val="22"/>
              </w:rPr>
              <w:t>d) O atraso na apresentação da garantia autoriza a Administração a promover a rescisão do contrato por descumprimento ou cumprimento irregular de suas cláusulas, conforme dispõem os incisos I e II do art. 78 da Lei Federal nº 8.666/1993.</w:t>
            </w:r>
          </w:p>
          <w:p w:rsidR="00DF06E3" w:rsidRDefault="00DF06E3">
            <w:pPr>
              <w:pStyle w:val="NormalWeb"/>
              <w:spacing w:before="0" w:beforeAutospacing="0" w:after="0" w:afterAutospacing="0"/>
              <w:jc w:val="both"/>
            </w:pPr>
            <w:r>
              <w:rPr>
                <w:color w:val="000000"/>
                <w:sz w:val="22"/>
                <w:szCs w:val="22"/>
              </w:rPr>
              <w:t>e) O número do contrato deverá constar dos instrumentos de garantia a serem apresentados pelo garantidor.  </w:t>
            </w:r>
          </w:p>
          <w:p w:rsidR="00DF06E3" w:rsidRDefault="00DF06E3">
            <w:pPr>
              <w:pStyle w:val="NormalWeb"/>
              <w:spacing w:before="0" w:beforeAutospacing="0" w:after="0" w:afterAutospacing="0"/>
              <w:jc w:val="both"/>
            </w:pPr>
            <w:r>
              <w:rPr>
                <w:color w:val="000000"/>
                <w:sz w:val="22"/>
                <w:szCs w:val="22"/>
              </w:rPr>
              <w:t>f) Quando da abertura de processos para eventual aplicação de penalidade, a fiscalização do contrato deverá comunicar o fato à entidade garantidora paralelamente às comunicações de solicitação de defesa prévia ao contratado, bem como as decisões finais da instância administrativa.</w:t>
            </w:r>
          </w:p>
          <w:p w:rsidR="00DF06E3" w:rsidRDefault="00DF06E3">
            <w:pPr>
              <w:pStyle w:val="NormalWeb"/>
              <w:spacing w:before="0" w:beforeAutospacing="0" w:after="0" w:afterAutospacing="0"/>
              <w:jc w:val="both"/>
            </w:pPr>
            <w:r>
              <w:rPr>
                <w:color w:val="000000"/>
                <w:sz w:val="22"/>
                <w:szCs w:val="22"/>
              </w:rPr>
              <w:t>g) A entidade garantidora não é parte interessada para figurar em processo administrativo instaurado pelo contratante com o objetivo de apurar prejuízos e/ou aplicar sanções ao contratado.</w:t>
            </w:r>
          </w:p>
          <w:p w:rsidR="00DF06E3" w:rsidRDefault="00DF06E3">
            <w:pPr>
              <w:pStyle w:val="NormalWeb"/>
              <w:spacing w:before="0" w:beforeAutospacing="0" w:after="0" w:afterAutospacing="0"/>
              <w:jc w:val="both"/>
            </w:pPr>
            <w:r>
              <w:rPr>
                <w:color w:val="000000"/>
                <w:sz w:val="22"/>
                <w:szCs w:val="22"/>
              </w:rPr>
              <w:t>h) A validade da garantia, qualquer que seja a modalidade escolhida, deverá abranger um período de mais 3 (três) meses após o término da vigência contratual. </w:t>
            </w:r>
          </w:p>
          <w:p w:rsidR="00DF06E3" w:rsidRDefault="00DF06E3">
            <w:pPr>
              <w:pStyle w:val="NormalWeb"/>
              <w:spacing w:before="0" w:beforeAutospacing="0" w:after="0" w:afterAutospacing="0"/>
              <w:jc w:val="both"/>
            </w:pPr>
            <w:r>
              <w:rPr>
                <w:color w:val="000000"/>
                <w:sz w:val="22"/>
                <w:szCs w:val="22"/>
              </w:rPr>
              <w:t>i) A perda da garantia em favor da Administração, em decorrência de rescisão unilateral do contrato, far-se-á de pleno direito, independentemente de qualquer procedimento judicial e sem prejuízo das demais sanções previstas no contrato.</w:t>
            </w:r>
          </w:p>
          <w:p w:rsidR="00DF06E3" w:rsidRDefault="00DF06E3">
            <w:pPr>
              <w:pStyle w:val="NormalWeb"/>
              <w:spacing w:before="0" w:beforeAutospacing="0" w:after="0" w:afterAutospacing="0"/>
              <w:jc w:val="both"/>
            </w:pPr>
            <w:r>
              <w:rPr>
                <w:color w:val="000000"/>
                <w:sz w:val="22"/>
                <w:szCs w:val="22"/>
              </w:rPr>
              <w:t>j) A garantia deverá ser integralizada no prazo máximo de 10 (dez) dias, sempre que dela forem deduzidos quaisquer valores ou quando houver alteração para acréscimo de objeto.</w:t>
            </w:r>
          </w:p>
          <w:p w:rsidR="00DF06E3" w:rsidRDefault="00DF06E3">
            <w:pPr>
              <w:pStyle w:val="NormalWeb"/>
              <w:spacing w:before="0" w:beforeAutospacing="0" w:after="0" w:afterAutospacing="0"/>
              <w:jc w:val="both"/>
            </w:pPr>
            <w:r>
              <w:rPr>
                <w:color w:val="000000"/>
                <w:sz w:val="22"/>
                <w:szCs w:val="22"/>
              </w:rPr>
              <w:t>k) A garantia assegurará, qualquer que seja a modalidade escolhida, o pagamento de: </w:t>
            </w:r>
          </w:p>
          <w:p w:rsidR="00DF06E3" w:rsidRDefault="00DF06E3">
            <w:pPr>
              <w:pStyle w:val="NormalWeb"/>
              <w:spacing w:before="0" w:beforeAutospacing="0" w:after="0" w:afterAutospacing="0"/>
              <w:jc w:val="both"/>
            </w:pPr>
            <w:r>
              <w:rPr>
                <w:color w:val="000000"/>
                <w:sz w:val="22"/>
                <w:szCs w:val="22"/>
              </w:rPr>
              <w:t>I - prejuízo advindo do não cumprimento do objeto do contrato e do não adimplemento das demais obrigações nele previstas; </w:t>
            </w:r>
          </w:p>
          <w:p w:rsidR="00DF06E3" w:rsidRDefault="00DF06E3">
            <w:pPr>
              <w:pStyle w:val="NormalWeb"/>
              <w:spacing w:before="0" w:beforeAutospacing="0" w:after="0" w:afterAutospacing="0"/>
              <w:jc w:val="both"/>
            </w:pPr>
            <w:r>
              <w:rPr>
                <w:color w:val="000000"/>
                <w:sz w:val="22"/>
                <w:szCs w:val="22"/>
              </w:rPr>
              <w:t>II - prejuízos causados ao contratante ou a terceiro, decorrentes de culpa ou dolo durante a execução do contrato; </w:t>
            </w:r>
          </w:p>
          <w:p w:rsidR="00DF06E3" w:rsidRDefault="00DF06E3">
            <w:pPr>
              <w:pStyle w:val="NormalWeb"/>
              <w:spacing w:before="0" w:beforeAutospacing="0" w:after="0" w:afterAutospacing="0"/>
              <w:jc w:val="both"/>
            </w:pPr>
            <w:r>
              <w:rPr>
                <w:color w:val="000000"/>
                <w:sz w:val="22"/>
                <w:szCs w:val="22"/>
              </w:rPr>
              <w:t>III - as multas moratórias e punitivas aplicadas pelo contratante ao contratado;</w:t>
            </w:r>
          </w:p>
          <w:p w:rsidR="00DF06E3" w:rsidRDefault="00DF06E3">
            <w:pPr>
              <w:pStyle w:val="NormalWeb"/>
              <w:spacing w:before="0" w:beforeAutospacing="0" w:after="0" w:afterAutospacing="0"/>
              <w:jc w:val="both"/>
            </w:pPr>
            <w:r>
              <w:rPr>
                <w:color w:val="000000"/>
                <w:sz w:val="22"/>
                <w:szCs w:val="22"/>
              </w:rPr>
              <w:t>l) A garantia em dinheiro deverá ser efetuada em favor do contratante, em conta específica no Banco do Estado do Rio Grande do Sul, com atualização monetária. </w:t>
            </w:r>
          </w:p>
          <w:p w:rsidR="00DF06E3" w:rsidRDefault="00DF06E3">
            <w:pPr>
              <w:pStyle w:val="NormalWeb"/>
              <w:spacing w:before="0" w:beforeAutospacing="0" w:after="0" w:afterAutospacing="0"/>
              <w:jc w:val="both"/>
            </w:pPr>
            <w:r>
              <w:rPr>
                <w:color w:val="000000"/>
                <w:sz w:val="22"/>
                <w:szCs w:val="22"/>
              </w:rPr>
              <w:t>m) No caso de alteração do valor do contrato, ou prorrogação de sua vigência, a garantia deverá ser ajustada à nova situação ou renovada, no prazo máximo de 10 (dez) dias, seguindo os mesmos parâmetros utilizados quando da contratação. </w:t>
            </w:r>
          </w:p>
          <w:p w:rsidR="00DF06E3" w:rsidRDefault="00DF06E3">
            <w:pPr>
              <w:pStyle w:val="NormalWeb"/>
              <w:spacing w:before="0" w:beforeAutospacing="0" w:after="0" w:afterAutospacing="0"/>
              <w:jc w:val="both"/>
            </w:pPr>
            <w:r>
              <w:rPr>
                <w:color w:val="000000"/>
                <w:sz w:val="22"/>
                <w:szCs w:val="22"/>
              </w:rPr>
              <w:t>n) O contratante fica autorizado a utilizar a garantia para corrigir quaisquer imperfeições na execução do objeto do contrato ou para reparar danos decorrentes da ação ou omissão do contratado, de seu preposto ou de quem em seu nome agir.</w:t>
            </w:r>
          </w:p>
          <w:p w:rsidR="00DF06E3" w:rsidRDefault="00DF06E3">
            <w:pPr>
              <w:pStyle w:val="NormalWeb"/>
              <w:spacing w:before="0" w:beforeAutospacing="0" w:after="0" w:afterAutospacing="0"/>
              <w:jc w:val="both"/>
            </w:pPr>
            <w:r>
              <w:rPr>
                <w:color w:val="000000"/>
                <w:sz w:val="22"/>
                <w:szCs w:val="22"/>
              </w:rPr>
              <w:t>n.1) A autorização contida neste subitem é extensiva aos casos de multas aplicadas depois de esgotado o prazo recursal.</w:t>
            </w:r>
          </w:p>
          <w:p w:rsidR="00DF06E3" w:rsidRDefault="00DF06E3">
            <w:pPr>
              <w:pStyle w:val="NormalWeb"/>
              <w:spacing w:before="0" w:beforeAutospacing="0" w:after="0" w:afterAutospacing="0"/>
              <w:jc w:val="both"/>
            </w:pPr>
            <w:r>
              <w:rPr>
                <w:color w:val="000000"/>
                <w:sz w:val="22"/>
                <w:szCs w:val="22"/>
              </w:rPr>
              <w:t>o) A garantia prestada será retida definitivamente, integralmente ou pelo saldo que apresentar, no caso de rescisão por culpa do contratado, sem prejuízo das penalidades cabíveis.</w:t>
            </w:r>
          </w:p>
          <w:p w:rsidR="00DF06E3" w:rsidRDefault="00DF06E3">
            <w:pPr>
              <w:pStyle w:val="NormalWeb"/>
              <w:spacing w:before="0" w:beforeAutospacing="0" w:after="0" w:afterAutospacing="0"/>
              <w:jc w:val="both"/>
            </w:pPr>
            <w:r>
              <w:rPr>
                <w:color w:val="000000"/>
                <w:sz w:val="22"/>
                <w:szCs w:val="22"/>
              </w:rPr>
              <w:t>p) Se o valor da garantia for utilizado total ou parcialmente em pagamento de qualquer obrigação, o contratado obriga-se a fazer a respectiva reposição no prazo máximo de 10 (dez) dias, contados da data em que for notificado.</w:t>
            </w:r>
          </w:p>
          <w:p w:rsidR="00DF06E3" w:rsidRDefault="00DF06E3">
            <w:pPr>
              <w:pStyle w:val="NormalWeb"/>
              <w:spacing w:before="0" w:beforeAutospacing="0" w:after="0" w:afterAutospacing="0"/>
              <w:jc w:val="both"/>
            </w:pPr>
            <w:r>
              <w:rPr>
                <w:color w:val="000000"/>
                <w:sz w:val="22"/>
                <w:szCs w:val="22"/>
              </w:rPr>
              <w:t>q) O contratante não executará a garantia na ocorrência de uma ou mais das seguintes hipóteses: </w:t>
            </w:r>
          </w:p>
          <w:p w:rsidR="00DF06E3" w:rsidRDefault="00DF06E3">
            <w:pPr>
              <w:pStyle w:val="NormalWeb"/>
              <w:spacing w:before="0" w:beforeAutospacing="0" w:after="0" w:afterAutospacing="0"/>
              <w:jc w:val="both"/>
            </w:pPr>
            <w:r>
              <w:rPr>
                <w:color w:val="000000"/>
                <w:sz w:val="22"/>
                <w:szCs w:val="22"/>
              </w:rPr>
              <w:t>I - caso fortuito ou força maior; </w:t>
            </w:r>
          </w:p>
          <w:p w:rsidR="00DF06E3" w:rsidRDefault="00DF06E3">
            <w:pPr>
              <w:pStyle w:val="NormalWeb"/>
              <w:spacing w:before="0" w:beforeAutospacing="0" w:after="0" w:afterAutospacing="0"/>
              <w:jc w:val="both"/>
            </w:pPr>
            <w:r>
              <w:rPr>
                <w:color w:val="000000"/>
                <w:sz w:val="22"/>
                <w:szCs w:val="22"/>
              </w:rPr>
              <w:t>II - alteração, sem prévia anuência da entidade garantidora, das obrigações contratuais; </w:t>
            </w:r>
          </w:p>
          <w:p w:rsidR="00DF06E3" w:rsidRDefault="00DF06E3">
            <w:pPr>
              <w:pStyle w:val="NormalWeb"/>
              <w:spacing w:before="0" w:beforeAutospacing="0" w:after="0" w:afterAutospacing="0"/>
              <w:jc w:val="both"/>
            </w:pPr>
            <w:r>
              <w:rPr>
                <w:color w:val="000000"/>
                <w:sz w:val="22"/>
                <w:szCs w:val="22"/>
              </w:rPr>
              <w:t>III - descumprimento das obrigações pelo contratado decorrentes de atos ou fatos praticados pela Administração; </w:t>
            </w:r>
          </w:p>
          <w:p w:rsidR="00DF06E3" w:rsidRDefault="00DF06E3">
            <w:pPr>
              <w:pStyle w:val="NormalWeb"/>
              <w:spacing w:before="0" w:beforeAutospacing="0" w:after="0" w:afterAutospacing="0"/>
              <w:jc w:val="both"/>
            </w:pPr>
            <w:r>
              <w:rPr>
                <w:color w:val="000000"/>
                <w:sz w:val="22"/>
                <w:szCs w:val="22"/>
              </w:rPr>
              <w:t>IV - atos ilícitos dolosos praticados por servidores da Administração.</w:t>
            </w:r>
          </w:p>
          <w:p w:rsidR="00DF06E3" w:rsidRDefault="00DF06E3">
            <w:pPr>
              <w:pStyle w:val="NormalWeb"/>
              <w:spacing w:before="0" w:beforeAutospacing="0" w:after="0" w:afterAutospacing="0"/>
              <w:jc w:val="both"/>
            </w:pPr>
            <w:r>
              <w:rPr>
                <w:color w:val="000000"/>
                <w:sz w:val="22"/>
                <w:szCs w:val="22"/>
              </w:rPr>
              <w:t>r) Caberá à própria Administração apurar a isenção da responsabilidade prevista nos itens III e IV do item anterior, não sendo a entidade garantidora parte no processo instaurado pela Administração.</w:t>
            </w:r>
          </w:p>
          <w:p w:rsidR="00DF06E3" w:rsidRDefault="00DF06E3">
            <w:pPr>
              <w:pStyle w:val="NormalWeb"/>
              <w:spacing w:before="0" w:beforeAutospacing="0" w:after="0" w:afterAutospacing="0"/>
              <w:jc w:val="both"/>
            </w:pPr>
            <w:r>
              <w:rPr>
                <w:color w:val="000000"/>
                <w:sz w:val="22"/>
                <w:szCs w:val="22"/>
              </w:rPr>
              <w:t>s) Para efeitos da execução da garantia, os inadimplementos contratuais deverão ser comunicados pelo contratante ao contratado e/ou à entidade garantidora, no prazo de até 3 (três) meses após o término de vigência do contrato.</w:t>
            </w:r>
          </w:p>
          <w:p w:rsidR="00DF06E3" w:rsidRDefault="00DF06E3">
            <w:pPr>
              <w:pStyle w:val="NormalWeb"/>
              <w:spacing w:before="0" w:beforeAutospacing="0" w:after="0" w:afterAutospacing="0"/>
              <w:jc w:val="both"/>
            </w:pPr>
            <w:r>
              <w:rPr>
                <w:color w:val="000000"/>
                <w:sz w:val="22"/>
                <w:szCs w:val="22"/>
              </w:rPr>
              <w:t>t) Não serão aceitas garantias que incluam outras isenções de responsabilidade que não as previstas neste Termo de Dispensa de Licitação. </w:t>
            </w:r>
          </w:p>
          <w:p w:rsidR="00DF06E3" w:rsidRDefault="00DF06E3">
            <w:pPr>
              <w:pStyle w:val="NormalWeb"/>
              <w:spacing w:before="0" w:beforeAutospacing="0" w:after="0" w:afterAutospacing="0"/>
              <w:jc w:val="both"/>
            </w:pPr>
            <w:r>
              <w:rPr>
                <w:color w:val="000000"/>
                <w:sz w:val="22"/>
                <w:szCs w:val="22"/>
              </w:rPr>
              <w:t>u) Será considerada extinta a garantia:</w:t>
            </w:r>
          </w:p>
          <w:p w:rsidR="00DF06E3" w:rsidRDefault="00DF06E3">
            <w:pPr>
              <w:pStyle w:val="NormalWeb"/>
              <w:spacing w:before="0" w:beforeAutospacing="0" w:after="0" w:afterAutospacing="0"/>
              <w:jc w:val="both"/>
            </w:pPr>
            <w:r>
              <w:rPr>
                <w:color w:val="000000"/>
                <w:sz w:val="22"/>
                <w:szCs w:val="22"/>
              </w:rPr>
              <w:t>I - com a devolução da apólice, título da dívida pública, carta de fiança ou autorização para o levantamento de importâncias depositadas em dinheiro a título de garantia, acompanhada de declaração do contratante, mediante termo circunstanciado, de que o contratado cumpriu todas as cláusulas do contrato; </w:t>
            </w:r>
          </w:p>
          <w:p w:rsidR="00DF06E3" w:rsidRDefault="00DF06E3">
            <w:pPr>
              <w:pStyle w:val="NormalWeb"/>
              <w:spacing w:before="0" w:beforeAutospacing="0" w:after="0" w:afterAutospacing="0"/>
              <w:jc w:val="both"/>
            </w:pPr>
            <w:r>
              <w:rPr>
                <w:color w:val="000000"/>
                <w:sz w:val="22"/>
                <w:szCs w:val="22"/>
              </w:rPr>
              <w:t>II - no prazo de 03 (três) meses após o término da vigência do contrato, exceto quando ocorrer comunicação de sinistros, por parte da Administração, devendo o prazo ser ampliado de acordo com os termos da comunicação.</w:t>
            </w:r>
          </w:p>
          <w:p w:rsidR="00DF06E3" w:rsidRDefault="00DF06E3">
            <w:pPr>
              <w:pStyle w:val="NormalWeb"/>
              <w:spacing w:before="0" w:beforeAutospacing="0" w:after="0" w:afterAutospacing="0"/>
              <w:jc w:val="both"/>
            </w:pPr>
            <w:r>
              <w:rPr>
                <w:color w:val="000000"/>
                <w:sz w:val="22"/>
                <w:szCs w:val="22"/>
              </w:rPr>
              <w:t>v)  O contratado é responsável pelos danos causados diretamente à Administração ou a terceiros, na forma da Lei 14.133/21.</w:t>
            </w:r>
          </w:p>
        </w:tc>
      </w:tr>
    </w:tbl>
    <w:p w:rsidR="00DF06E3" w:rsidRDefault="00DF06E3">
      <w:pPr>
        <w:pStyle w:val="Ttulo2"/>
        <w:ind w:right="849" w:hanging="851"/>
        <w:divId w:val="1262908356"/>
      </w:pPr>
      <w:r>
        <w:rPr>
          <w:smallCaps/>
          <w:color w:val="000000"/>
          <w:sz w:val="22"/>
          <w:szCs w:val="22"/>
        </w:rPr>
        <w:t>ANEXO II – TERMO DE REFERÊNCIA</w:t>
      </w:r>
    </w:p>
    <w:p w:rsidR="00DF06E3" w:rsidRDefault="00DF06E3">
      <w:pPr>
        <w:pStyle w:val="Ttulo2"/>
        <w:ind w:right="849" w:hanging="851"/>
        <w:divId w:val="1262908356"/>
      </w:pPr>
      <w:r>
        <w:rPr>
          <w:smallCaps/>
          <w:color w:val="000000"/>
          <w:sz w:val="22"/>
          <w:szCs w:val="22"/>
        </w:rPr>
        <w:t xml:space="preserve">ANEXO III – TERMO DE CONTRATO – </w:t>
      </w:r>
      <w:r>
        <w:rPr>
          <w:smallCaps/>
          <w:color w:val="000000"/>
          <w:sz w:val="18"/>
          <w:szCs w:val="18"/>
        </w:rPr>
        <w:t>quando aplicável</w:t>
      </w:r>
    </w:p>
    <w:p w:rsidR="00106B3C" w:rsidRPr="002A1730" w:rsidRDefault="00106B3C" w:rsidP="00106B3C">
      <w:pPr>
        <w:spacing w:line="360" w:lineRule="auto"/>
        <w:ind w:firstLine="709"/>
        <w:jc w:val="center"/>
        <w:rPr>
          <w:rFonts w:ascii="Arial" w:hAnsi="Arial" w:cs="Arial"/>
        </w:rPr>
      </w:pPr>
    </w:p>
    <w:p w:rsidR="008E112D" w:rsidRPr="00B605BF" w:rsidRDefault="008E112D" w:rsidP="008E112D">
      <w:pPr>
        <w:spacing w:line="360" w:lineRule="auto"/>
        <w:ind w:firstLine="709"/>
        <w:jc w:val="center"/>
        <w:rPr>
          <w:rFonts w:ascii="Arial" w:hAnsi="Arial" w:cs="Arial"/>
        </w:rPr>
      </w:pPr>
    </w:p>
    <w:p w:rsidR="00A20A1A" w:rsidRPr="00B605BF" w:rsidRDefault="00A20A1A" w:rsidP="008E112D">
      <w:pPr>
        <w:spacing w:line="360" w:lineRule="auto"/>
        <w:ind w:firstLine="709"/>
        <w:jc w:val="center"/>
        <w:rPr>
          <w:rFonts w:ascii="Arial" w:hAnsi="Arial" w:cs="Arial"/>
        </w:rPr>
      </w:pPr>
    </w:p>
    <w:sectPr w:rsidR="00A20A1A" w:rsidRPr="00B605BF">
      <w:headerReference w:type="default" r:id="rId12"/>
      <w:footerReference w:type="default" r:id="rId13"/>
      <w:pgSz w:w="11906" w:h="16838"/>
      <w:pgMar w:top="1701" w:right="1701" w:bottom="1117" w:left="1418" w:header="567" w:footer="28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4B3C" w:rsidRDefault="006D4B3C">
      <w:r>
        <w:separator/>
      </w:r>
    </w:p>
  </w:endnote>
  <w:endnote w:type="continuationSeparator" w:id="0">
    <w:p w:rsidR="006D4B3C" w:rsidRDefault="006D4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pitch w:val="variable"/>
    <w:sig w:usb0="0000A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A70" w:rsidRDefault="00DB5A70">
    <w:pPr>
      <w:pStyle w:val="Rodap"/>
    </w:pPr>
    <w:r>
      <w:tab/>
    </w:r>
    <w:r>
      <w:tab/>
    </w: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4B3C" w:rsidRDefault="006D4B3C">
      <w:r>
        <w:separator/>
      </w:r>
    </w:p>
  </w:footnote>
  <w:footnote w:type="continuationSeparator" w:id="0">
    <w:p w:rsidR="006D4B3C" w:rsidRDefault="006D4B3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A70" w:rsidRDefault="000D331D">
    <w:pPr>
      <w:pStyle w:val="Cabealho"/>
      <w:jc w:val="center"/>
      <w:rPr>
        <w:rFonts w:ascii="Arial" w:hAnsi="Arial" w:cs="Arial"/>
        <w:color w:val="000000"/>
        <w:sz w:val="24"/>
        <w:szCs w:val="24"/>
      </w:rPr>
    </w:pPr>
    <w:r>
      <w:rPr>
        <w:noProof/>
        <w:lang w:eastAsia="pt-BR"/>
      </w:rPr>
      <w:drawing>
        <wp:inline distT="0" distB="0" distL="0" distR="0">
          <wp:extent cx="1151255" cy="1086485"/>
          <wp:effectExtent l="0" t="0" r="0" b="0"/>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1255" cy="1086485"/>
                  </a:xfrm>
                  <a:prstGeom prst="rect">
                    <a:avLst/>
                  </a:prstGeom>
                  <a:solidFill>
                    <a:srgbClr val="FFFFFF"/>
                  </a:solidFill>
                  <a:ln>
                    <a:noFill/>
                  </a:ln>
                </pic:spPr>
              </pic:pic>
            </a:graphicData>
          </a:graphic>
        </wp:inline>
      </w:drawing>
    </w:r>
    <w:r w:rsidR="00DB5A70">
      <w:rPr>
        <w:rFonts w:ascii="Arial" w:hAnsi="Arial" w:cs="Arial"/>
        <w:color w:val="000000"/>
        <w:sz w:val="24"/>
        <w:szCs w:val="24"/>
      </w:rPr>
      <w:cr/>
    </w:r>
  </w:p>
  <w:p w:rsidR="00DB5A70" w:rsidRDefault="00DB5A70">
    <w:pPr>
      <w:pStyle w:val="Cabealho"/>
      <w:jc w:val="center"/>
      <w:rPr>
        <w:rFonts w:ascii="Arial" w:hAnsi="Arial" w:cs="Arial"/>
        <w:color w:val="000000"/>
        <w:sz w:val="24"/>
        <w:szCs w:val="24"/>
      </w:rPr>
    </w:pPr>
  </w:p>
  <w:p w:rsidR="00DB5A70" w:rsidRDefault="00DB5A70">
    <w:pPr>
      <w:pStyle w:val="Cabealho"/>
      <w:jc w:val="center"/>
      <w:rPr>
        <w:rFonts w:ascii="Arial" w:hAnsi="Arial" w:cs="Arial"/>
        <w:color w:val="000000"/>
        <w:sz w:val="24"/>
        <w:szCs w:val="24"/>
      </w:rPr>
    </w:pPr>
  </w:p>
  <w:p w:rsidR="00DB5A70" w:rsidRDefault="00DB5A70">
    <w:pPr>
      <w:pStyle w:val="Cabealho"/>
      <w:jc w:val="center"/>
      <w:rPr>
        <w:rFonts w:ascii="Arial" w:hAnsi="Arial" w:cs="Arial"/>
        <w:color w:val="000000"/>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D377A3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1"/>
    <w:lvlOverride w:ilvl="0">
      <w:lvl w:ilvl="0">
        <w:numFmt w:val="lowerLetter"/>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31D"/>
    <w:rsid w:val="0000216B"/>
    <w:rsid w:val="00002ACF"/>
    <w:rsid w:val="00012C9A"/>
    <w:rsid w:val="00013FF5"/>
    <w:rsid w:val="00023F34"/>
    <w:rsid w:val="00035188"/>
    <w:rsid w:val="00040192"/>
    <w:rsid w:val="000448E7"/>
    <w:rsid w:val="000564F8"/>
    <w:rsid w:val="00062270"/>
    <w:rsid w:val="00065F43"/>
    <w:rsid w:val="00066C35"/>
    <w:rsid w:val="000705FD"/>
    <w:rsid w:val="00071501"/>
    <w:rsid w:val="00075B27"/>
    <w:rsid w:val="00077A8F"/>
    <w:rsid w:val="000870E1"/>
    <w:rsid w:val="00092060"/>
    <w:rsid w:val="000920AE"/>
    <w:rsid w:val="000A0239"/>
    <w:rsid w:val="000A2E76"/>
    <w:rsid w:val="000B2961"/>
    <w:rsid w:val="000B35F1"/>
    <w:rsid w:val="000B57C1"/>
    <w:rsid w:val="000C4B0E"/>
    <w:rsid w:val="000C74D6"/>
    <w:rsid w:val="000C79A7"/>
    <w:rsid w:val="000D1A41"/>
    <w:rsid w:val="000D331D"/>
    <w:rsid w:val="000D3C0F"/>
    <w:rsid w:val="000E3D02"/>
    <w:rsid w:val="000E4F02"/>
    <w:rsid w:val="000E4F55"/>
    <w:rsid w:val="000F658E"/>
    <w:rsid w:val="001039CD"/>
    <w:rsid w:val="00105511"/>
    <w:rsid w:val="00106B3C"/>
    <w:rsid w:val="00133C55"/>
    <w:rsid w:val="00134DAE"/>
    <w:rsid w:val="001406A4"/>
    <w:rsid w:val="0015048A"/>
    <w:rsid w:val="00154C24"/>
    <w:rsid w:val="00156DA7"/>
    <w:rsid w:val="00163622"/>
    <w:rsid w:val="0016489D"/>
    <w:rsid w:val="00172AB9"/>
    <w:rsid w:val="001802B4"/>
    <w:rsid w:val="001855FE"/>
    <w:rsid w:val="001924BB"/>
    <w:rsid w:val="001936B0"/>
    <w:rsid w:val="001A0EF4"/>
    <w:rsid w:val="001B1616"/>
    <w:rsid w:val="001B2493"/>
    <w:rsid w:val="001C2B1C"/>
    <w:rsid w:val="001C2DED"/>
    <w:rsid w:val="001D6F59"/>
    <w:rsid w:val="001E00AF"/>
    <w:rsid w:val="001E16BE"/>
    <w:rsid w:val="001E22F9"/>
    <w:rsid w:val="001E254E"/>
    <w:rsid w:val="001E64E5"/>
    <w:rsid w:val="001E6EB5"/>
    <w:rsid w:val="001F42A9"/>
    <w:rsid w:val="002120F3"/>
    <w:rsid w:val="00213355"/>
    <w:rsid w:val="00214A8B"/>
    <w:rsid w:val="002212A9"/>
    <w:rsid w:val="00226F49"/>
    <w:rsid w:val="002277AE"/>
    <w:rsid w:val="002335B0"/>
    <w:rsid w:val="00234B7F"/>
    <w:rsid w:val="0023562B"/>
    <w:rsid w:val="00237B27"/>
    <w:rsid w:val="002525E8"/>
    <w:rsid w:val="00252BBF"/>
    <w:rsid w:val="00255453"/>
    <w:rsid w:val="002557E0"/>
    <w:rsid w:val="002568B9"/>
    <w:rsid w:val="002607A6"/>
    <w:rsid w:val="002624C2"/>
    <w:rsid w:val="00266317"/>
    <w:rsid w:val="00273308"/>
    <w:rsid w:val="00276F2E"/>
    <w:rsid w:val="0028036E"/>
    <w:rsid w:val="002810A6"/>
    <w:rsid w:val="002811FE"/>
    <w:rsid w:val="00282952"/>
    <w:rsid w:val="002852E0"/>
    <w:rsid w:val="00285AA0"/>
    <w:rsid w:val="002942EB"/>
    <w:rsid w:val="00296FA7"/>
    <w:rsid w:val="002972B8"/>
    <w:rsid w:val="002A1730"/>
    <w:rsid w:val="002A258B"/>
    <w:rsid w:val="002A46BC"/>
    <w:rsid w:val="002C4166"/>
    <w:rsid w:val="002C4D3C"/>
    <w:rsid w:val="002C5412"/>
    <w:rsid w:val="002D108E"/>
    <w:rsid w:val="002D3576"/>
    <w:rsid w:val="002D4A1F"/>
    <w:rsid w:val="002E39CC"/>
    <w:rsid w:val="002E4783"/>
    <w:rsid w:val="002E6A8C"/>
    <w:rsid w:val="002E7DB7"/>
    <w:rsid w:val="002F1C19"/>
    <w:rsid w:val="002F41F2"/>
    <w:rsid w:val="003004F7"/>
    <w:rsid w:val="00302082"/>
    <w:rsid w:val="00304154"/>
    <w:rsid w:val="0030452D"/>
    <w:rsid w:val="00307BEB"/>
    <w:rsid w:val="00322B51"/>
    <w:rsid w:val="00323564"/>
    <w:rsid w:val="00332471"/>
    <w:rsid w:val="003458AF"/>
    <w:rsid w:val="00347D92"/>
    <w:rsid w:val="003664F1"/>
    <w:rsid w:val="00366547"/>
    <w:rsid w:val="00375683"/>
    <w:rsid w:val="00393F5E"/>
    <w:rsid w:val="00397B54"/>
    <w:rsid w:val="003A0B88"/>
    <w:rsid w:val="003A2548"/>
    <w:rsid w:val="003A5B2F"/>
    <w:rsid w:val="003A71A2"/>
    <w:rsid w:val="003A7711"/>
    <w:rsid w:val="003B5603"/>
    <w:rsid w:val="003C1BC8"/>
    <w:rsid w:val="003C3B04"/>
    <w:rsid w:val="003C7AC3"/>
    <w:rsid w:val="003D0142"/>
    <w:rsid w:val="003D1AE8"/>
    <w:rsid w:val="003D3071"/>
    <w:rsid w:val="003D7CC1"/>
    <w:rsid w:val="003E188C"/>
    <w:rsid w:val="003E5D13"/>
    <w:rsid w:val="003F0029"/>
    <w:rsid w:val="003F2B85"/>
    <w:rsid w:val="003F5B8A"/>
    <w:rsid w:val="00401CBC"/>
    <w:rsid w:val="00402A18"/>
    <w:rsid w:val="004068FF"/>
    <w:rsid w:val="004143C7"/>
    <w:rsid w:val="00416CC8"/>
    <w:rsid w:val="0043472D"/>
    <w:rsid w:val="00442B11"/>
    <w:rsid w:val="0045103B"/>
    <w:rsid w:val="0047318C"/>
    <w:rsid w:val="00474731"/>
    <w:rsid w:val="00477D72"/>
    <w:rsid w:val="00480496"/>
    <w:rsid w:val="00485E85"/>
    <w:rsid w:val="004915AE"/>
    <w:rsid w:val="00491B6B"/>
    <w:rsid w:val="0049356A"/>
    <w:rsid w:val="004A150C"/>
    <w:rsid w:val="004A15F9"/>
    <w:rsid w:val="004A48C2"/>
    <w:rsid w:val="004B026C"/>
    <w:rsid w:val="004B1A31"/>
    <w:rsid w:val="004B3284"/>
    <w:rsid w:val="004B4021"/>
    <w:rsid w:val="004B4809"/>
    <w:rsid w:val="004B7564"/>
    <w:rsid w:val="004E0A9E"/>
    <w:rsid w:val="004E521C"/>
    <w:rsid w:val="004E5E25"/>
    <w:rsid w:val="004E7378"/>
    <w:rsid w:val="004F17EA"/>
    <w:rsid w:val="004F21C1"/>
    <w:rsid w:val="004F495C"/>
    <w:rsid w:val="005012B4"/>
    <w:rsid w:val="00502987"/>
    <w:rsid w:val="00506A3C"/>
    <w:rsid w:val="00510461"/>
    <w:rsid w:val="0051445A"/>
    <w:rsid w:val="00514947"/>
    <w:rsid w:val="005216B1"/>
    <w:rsid w:val="005344DF"/>
    <w:rsid w:val="005358EC"/>
    <w:rsid w:val="005404CC"/>
    <w:rsid w:val="005477D6"/>
    <w:rsid w:val="00560BEB"/>
    <w:rsid w:val="00565348"/>
    <w:rsid w:val="0056709C"/>
    <w:rsid w:val="00572076"/>
    <w:rsid w:val="0057220C"/>
    <w:rsid w:val="00575819"/>
    <w:rsid w:val="00582AB3"/>
    <w:rsid w:val="005830CC"/>
    <w:rsid w:val="00590D6A"/>
    <w:rsid w:val="00597C54"/>
    <w:rsid w:val="00597FDE"/>
    <w:rsid w:val="005A01C4"/>
    <w:rsid w:val="005A1369"/>
    <w:rsid w:val="005A1C66"/>
    <w:rsid w:val="005A20CE"/>
    <w:rsid w:val="005A6D00"/>
    <w:rsid w:val="005A7E84"/>
    <w:rsid w:val="005B029E"/>
    <w:rsid w:val="005B0C70"/>
    <w:rsid w:val="005B7411"/>
    <w:rsid w:val="005C6002"/>
    <w:rsid w:val="005D101F"/>
    <w:rsid w:val="005D2F91"/>
    <w:rsid w:val="005D3258"/>
    <w:rsid w:val="005E037F"/>
    <w:rsid w:val="005E2BF7"/>
    <w:rsid w:val="005E4113"/>
    <w:rsid w:val="005E5C52"/>
    <w:rsid w:val="005F2751"/>
    <w:rsid w:val="005F6EAD"/>
    <w:rsid w:val="005F79B2"/>
    <w:rsid w:val="00617FAC"/>
    <w:rsid w:val="00623B55"/>
    <w:rsid w:val="00626B18"/>
    <w:rsid w:val="00626C38"/>
    <w:rsid w:val="00630DA1"/>
    <w:rsid w:val="006513AF"/>
    <w:rsid w:val="00652AAD"/>
    <w:rsid w:val="00654BDB"/>
    <w:rsid w:val="00660897"/>
    <w:rsid w:val="00662F42"/>
    <w:rsid w:val="006641FA"/>
    <w:rsid w:val="0066654D"/>
    <w:rsid w:val="006716C9"/>
    <w:rsid w:val="006859F3"/>
    <w:rsid w:val="00690200"/>
    <w:rsid w:val="006A0DA6"/>
    <w:rsid w:val="006A4C8A"/>
    <w:rsid w:val="006A5096"/>
    <w:rsid w:val="006C0286"/>
    <w:rsid w:val="006C3592"/>
    <w:rsid w:val="006D4B3C"/>
    <w:rsid w:val="006D5F70"/>
    <w:rsid w:val="006E1A59"/>
    <w:rsid w:val="006E2BC9"/>
    <w:rsid w:val="006E35C9"/>
    <w:rsid w:val="006E4AC3"/>
    <w:rsid w:val="006E6856"/>
    <w:rsid w:val="006E7123"/>
    <w:rsid w:val="006E7DD2"/>
    <w:rsid w:val="006F47EC"/>
    <w:rsid w:val="00703BE3"/>
    <w:rsid w:val="007071C7"/>
    <w:rsid w:val="007160E5"/>
    <w:rsid w:val="0071699A"/>
    <w:rsid w:val="00721A7F"/>
    <w:rsid w:val="00725C4B"/>
    <w:rsid w:val="007347DB"/>
    <w:rsid w:val="00734F70"/>
    <w:rsid w:val="00735169"/>
    <w:rsid w:val="0075062B"/>
    <w:rsid w:val="007613FA"/>
    <w:rsid w:val="00761AE1"/>
    <w:rsid w:val="00763370"/>
    <w:rsid w:val="00764A5B"/>
    <w:rsid w:val="007674F0"/>
    <w:rsid w:val="00767EDE"/>
    <w:rsid w:val="007706E7"/>
    <w:rsid w:val="00770CAD"/>
    <w:rsid w:val="00772F69"/>
    <w:rsid w:val="007867EF"/>
    <w:rsid w:val="00787614"/>
    <w:rsid w:val="00790375"/>
    <w:rsid w:val="007A18FF"/>
    <w:rsid w:val="007B0143"/>
    <w:rsid w:val="007C2170"/>
    <w:rsid w:val="007C3250"/>
    <w:rsid w:val="007C5028"/>
    <w:rsid w:val="007D43A7"/>
    <w:rsid w:val="007D5014"/>
    <w:rsid w:val="007D6B2A"/>
    <w:rsid w:val="007E1F77"/>
    <w:rsid w:val="007F155C"/>
    <w:rsid w:val="007F4023"/>
    <w:rsid w:val="007F50C9"/>
    <w:rsid w:val="00800C87"/>
    <w:rsid w:val="00800EC5"/>
    <w:rsid w:val="00803354"/>
    <w:rsid w:val="00804B87"/>
    <w:rsid w:val="00811CB5"/>
    <w:rsid w:val="008170CE"/>
    <w:rsid w:val="00817A44"/>
    <w:rsid w:val="00823BF0"/>
    <w:rsid w:val="0082716F"/>
    <w:rsid w:val="00827B99"/>
    <w:rsid w:val="00836C2E"/>
    <w:rsid w:val="00842369"/>
    <w:rsid w:val="00842659"/>
    <w:rsid w:val="00843C36"/>
    <w:rsid w:val="008455DD"/>
    <w:rsid w:val="00845BB8"/>
    <w:rsid w:val="00856181"/>
    <w:rsid w:val="00856FEE"/>
    <w:rsid w:val="008827D6"/>
    <w:rsid w:val="0088306A"/>
    <w:rsid w:val="00891860"/>
    <w:rsid w:val="00892455"/>
    <w:rsid w:val="008927B9"/>
    <w:rsid w:val="008979AA"/>
    <w:rsid w:val="008A0BB3"/>
    <w:rsid w:val="008A197B"/>
    <w:rsid w:val="008A3107"/>
    <w:rsid w:val="008A399A"/>
    <w:rsid w:val="008A6D9A"/>
    <w:rsid w:val="008B1D07"/>
    <w:rsid w:val="008B507C"/>
    <w:rsid w:val="008B6D7D"/>
    <w:rsid w:val="008B7A55"/>
    <w:rsid w:val="008C0A3F"/>
    <w:rsid w:val="008C1E2D"/>
    <w:rsid w:val="008C3C97"/>
    <w:rsid w:val="008D5331"/>
    <w:rsid w:val="008E0540"/>
    <w:rsid w:val="008E112D"/>
    <w:rsid w:val="008E21FB"/>
    <w:rsid w:val="008F2A74"/>
    <w:rsid w:val="00905F61"/>
    <w:rsid w:val="00906F9C"/>
    <w:rsid w:val="00914022"/>
    <w:rsid w:val="00915376"/>
    <w:rsid w:val="00916296"/>
    <w:rsid w:val="0092750B"/>
    <w:rsid w:val="00933C41"/>
    <w:rsid w:val="0093720A"/>
    <w:rsid w:val="00946AA6"/>
    <w:rsid w:val="009559A0"/>
    <w:rsid w:val="00956B05"/>
    <w:rsid w:val="00957D84"/>
    <w:rsid w:val="00960E0E"/>
    <w:rsid w:val="00964E32"/>
    <w:rsid w:val="0097120F"/>
    <w:rsid w:val="00972923"/>
    <w:rsid w:val="00974584"/>
    <w:rsid w:val="00984048"/>
    <w:rsid w:val="00985A39"/>
    <w:rsid w:val="009905B5"/>
    <w:rsid w:val="00992DE8"/>
    <w:rsid w:val="009A592C"/>
    <w:rsid w:val="009B69B0"/>
    <w:rsid w:val="009B726E"/>
    <w:rsid w:val="009C1743"/>
    <w:rsid w:val="009C3A62"/>
    <w:rsid w:val="009C3B4C"/>
    <w:rsid w:val="009D3EC7"/>
    <w:rsid w:val="009D4EC9"/>
    <w:rsid w:val="009D7772"/>
    <w:rsid w:val="009E7516"/>
    <w:rsid w:val="009F621B"/>
    <w:rsid w:val="009F6381"/>
    <w:rsid w:val="009F680E"/>
    <w:rsid w:val="00A01402"/>
    <w:rsid w:val="00A07999"/>
    <w:rsid w:val="00A07B87"/>
    <w:rsid w:val="00A125E0"/>
    <w:rsid w:val="00A14E07"/>
    <w:rsid w:val="00A15C2A"/>
    <w:rsid w:val="00A20A1A"/>
    <w:rsid w:val="00A246A6"/>
    <w:rsid w:val="00A26D31"/>
    <w:rsid w:val="00A32A34"/>
    <w:rsid w:val="00A3495B"/>
    <w:rsid w:val="00A34A2E"/>
    <w:rsid w:val="00A37689"/>
    <w:rsid w:val="00A4454F"/>
    <w:rsid w:val="00A45F0E"/>
    <w:rsid w:val="00A473C9"/>
    <w:rsid w:val="00A547A7"/>
    <w:rsid w:val="00A5718E"/>
    <w:rsid w:val="00A7331A"/>
    <w:rsid w:val="00A758AF"/>
    <w:rsid w:val="00A81041"/>
    <w:rsid w:val="00A814E2"/>
    <w:rsid w:val="00A847F8"/>
    <w:rsid w:val="00A868BE"/>
    <w:rsid w:val="00A87037"/>
    <w:rsid w:val="00A91C0D"/>
    <w:rsid w:val="00AA151B"/>
    <w:rsid w:val="00AA1F40"/>
    <w:rsid w:val="00AA5103"/>
    <w:rsid w:val="00AA52B6"/>
    <w:rsid w:val="00AA6385"/>
    <w:rsid w:val="00AB16E2"/>
    <w:rsid w:val="00AB1876"/>
    <w:rsid w:val="00AB488E"/>
    <w:rsid w:val="00AC3BB2"/>
    <w:rsid w:val="00AC62AD"/>
    <w:rsid w:val="00AC6FE7"/>
    <w:rsid w:val="00AD3D7E"/>
    <w:rsid w:val="00AD5F96"/>
    <w:rsid w:val="00AE260A"/>
    <w:rsid w:val="00AE3959"/>
    <w:rsid w:val="00AE63EC"/>
    <w:rsid w:val="00AE6BD9"/>
    <w:rsid w:val="00AF0053"/>
    <w:rsid w:val="00AF0E32"/>
    <w:rsid w:val="00AF1E4D"/>
    <w:rsid w:val="00AF6326"/>
    <w:rsid w:val="00B0070A"/>
    <w:rsid w:val="00B10CA7"/>
    <w:rsid w:val="00B1475B"/>
    <w:rsid w:val="00B211AB"/>
    <w:rsid w:val="00B23FE5"/>
    <w:rsid w:val="00B2483A"/>
    <w:rsid w:val="00B2487D"/>
    <w:rsid w:val="00B35F50"/>
    <w:rsid w:val="00B405FF"/>
    <w:rsid w:val="00B465DA"/>
    <w:rsid w:val="00B51375"/>
    <w:rsid w:val="00B555E9"/>
    <w:rsid w:val="00B5724E"/>
    <w:rsid w:val="00B57B88"/>
    <w:rsid w:val="00B605BF"/>
    <w:rsid w:val="00B618C7"/>
    <w:rsid w:val="00B63EFF"/>
    <w:rsid w:val="00B65C54"/>
    <w:rsid w:val="00B66EA4"/>
    <w:rsid w:val="00B770B6"/>
    <w:rsid w:val="00B77C00"/>
    <w:rsid w:val="00B77F90"/>
    <w:rsid w:val="00B80D1A"/>
    <w:rsid w:val="00B81836"/>
    <w:rsid w:val="00B84199"/>
    <w:rsid w:val="00B8497B"/>
    <w:rsid w:val="00B85069"/>
    <w:rsid w:val="00B91C47"/>
    <w:rsid w:val="00B91E5A"/>
    <w:rsid w:val="00B95D0F"/>
    <w:rsid w:val="00B963FD"/>
    <w:rsid w:val="00BA5F11"/>
    <w:rsid w:val="00BB0F27"/>
    <w:rsid w:val="00BB205F"/>
    <w:rsid w:val="00BB747A"/>
    <w:rsid w:val="00BC4725"/>
    <w:rsid w:val="00BC7DB9"/>
    <w:rsid w:val="00BC7FAE"/>
    <w:rsid w:val="00BD05CA"/>
    <w:rsid w:val="00BD584B"/>
    <w:rsid w:val="00BD6760"/>
    <w:rsid w:val="00BF0396"/>
    <w:rsid w:val="00BF27EE"/>
    <w:rsid w:val="00BF3B33"/>
    <w:rsid w:val="00C013D1"/>
    <w:rsid w:val="00C017B0"/>
    <w:rsid w:val="00C05E4D"/>
    <w:rsid w:val="00C12B9A"/>
    <w:rsid w:val="00C1446E"/>
    <w:rsid w:val="00C16AA0"/>
    <w:rsid w:val="00C24121"/>
    <w:rsid w:val="00C2758D"/>
    <w:rsid w:val="00C301A7"/>
    <w:rsid w:val="00C334D6"/>
    <w:rsid w:val="00C3410E"/>
    <w:rsid w:val="00C36740"/>
    <w:rsid w:val="00C3726D"/>
    <w:rsid w:val="00C41AF7"/>
    <w:rsid w:val="00C42E59"/>
    <w:rsid w:val="00C4431D"/>
    <w:rsid w:val="00C45A94"/>
    <w:rsid w:val="00C45EE6"/>
    <w:rsid w:val="00C45FB2"/>
    <w:rsid w:val="00C46BDC"/>
    <w:rsid w:val="00C50C54"/>
    <w:rsid w:val="00C54A40"/>
    <w:rsid w:val="00C57AC9"/>
    <w:rsid w:val="00C629DA"/>
    <w:rsid w:val="00C62DB6"/>
    <w:rsid w:val="00C632D2"/>
    <w:rsid w:val="00C8532D"/>
    <w:rsid w:val="00C920FF"/>
    <w:rsid w:val="00C962F4"/>
    <w:rsid w:val="00C97BB1"/>
    <w:rsid w:val="00CA02A8"/>
    <w:rsid w:val="00CA042E"/>
    <w:rsid w:val="00CA64A0"/>
    <w:rsid w:val="00CB0AB3"/>
    <w:rsid w:val="00CB145C"/>
    <w:rsid w:val="00CB73EA"/>
    <w:rsid w:val="00CD1D19"/>
    <w:rsid w:val="00CD2393"/>
    <w:rsid w:val="00CD4918"/>
    <w:rsid w:val="00CE1615"/>
    <w:rsid w:val="00CE3123"/>
    <w:rsid w:val="00CE796F"/>
    <w:rsid w:val="00CF0B14"/>
    <w:rsid w:val="00CF2945"/>
    <w:rsid w:val="00CF2984"/>
    <w:rsid w:val="00D00573"/>
    <w:rsid w:val="00D064C5"/>
    <w:rsid w:val="00D06613"/>
    <w:rsid w:val="00D0700D"/>
    <w:rsid w:val="00D10826"/>
    <w:rsid w:val="00D15617"/>
    <w:rsid w:val="00D31F2A"/>
    <w:rsid w:val="00D3442A"/>
    <w:rsid w:val="00D34542"/>
    <w:rsid w:val="00D36CA4"/>
    <w:rsid w:val="00D51697"/>
    <w:rsid w:val="00D52167"/>
    <w:rsid w:val="00D53CD6"/>
    <w:rsid w:val="00D6485F"/>
    <w:rsid w:val="00D65FC7"/>
    <w:rsid w:val="00D676B9"/>
    <w:rsid w:val="00D7190C"/>
    <w:rsid w:val="00D7234F"/>
    <w:rsid w:val="00D7289F"/>
    <w:rsid w:val="00D73996"/>
    <w:rsid w:val="00D9243F"/>
    <w:rsid w:val="00D95405"/>
    <w:rsid w:val="00D95BCA"/>
    <w:rsid w:val="00D96106"/>
    <w:rsid w:val="00D97088"/>
    <w:rsid w:val="00D97F50"/>
    <w:rsid w:val="00DA717E"/>
    <w:rsid w:val="00DB2709"/>
    <w:rsid w:val="00DB3B5A"/>
    <w:rsid w:val="00DB5A70"/>
    <w:rsid w:val="00DC2355"/>
    <w:rsid w:val="00DC6040"/>
    <w:rsid w:val="00DD1E75"/>
    <w:rsid w:val="00DD46C1"/>
    <w:rsid w:val="00DD7052"/>
    <w:rsid w:val="00DE3AE6"/>
    <w:rsid w:val="00DE40D0"/>
    <w:rsid w:val="00DE6B57"/>
    <w:rsid w:val="00DF06E3"/>
    <w:rsid w:val="00DF0706"/>
    <w:rsid w:val="00DF2558"/>
    <w:rsid w:val="00DF3409"/>
    <w:rsid w:val="00DF5BA5"/>
    <w:rsid w:val="00DF7014"/>
    <w:rsid w:val="00E03419"/>
    <w:rsid w:val="00E117C7"/>
    <w:rsid w:val="00E12F5A"/>
    <w:rsid w:val="00E15578"/>
    <w:rsid w:val="00E21F8D"/>
    <w:rsid w:val="00E300F1"/>
    <w:rsid w:val="00E474F2"/>
    <w:rsid w:val="00E47BEC"/>
    <w:rsid w:val="00E52775"/>
    <w:rsid w:val="00E6760D"/>
    <w:rsid w:val="00E80113"/>
    <w:rsid w:val="00E822F2"/>
    <w:rsid w:val="00E85AF5"/>
    <w:rsid w:val="00EB12C9"/>
    <w:rsid w:val="00EC25C8"/>
    <w:rsid w:val="00EC739A"/>
    <w:rsid w:val="00ED1FE6"/>
    <w:rsid w:val="00ED229A"/>
    <w:rsid w:val="00EE3A9A"/>
    <w:rsid w:val="00EE3DBF"/>
    <w:rsid w:val="00EF2AF3"/>
    <w:rsid w:val="00EF32CC"/>
    <w:rsid w:val="00EF7F3C"/>
    <w:rsid w:val="00F04BCE"/>
    <w:rsid w:val="00F115ED"/>
    <w:rsid w:val="00F13C72"/>
    <w:rsid w:val="00F142AA"/>
    <w:rsid w:val="00F2022C"/>
    <w:rsid w:val="00F2633A"/>
    <w:rsid w:val="00F264B0"/>
    <w:rsid w:val="00F37240"/>
    <w:rsid w:val="00F3754B"/>
    <w:rsid w:val="00F40750"/>
    <w:rsid w:val="00F40F0A"/>
    <w:rsid w:val="00F436F4"/>
    <w:rsid w:val="00F4532F"/>
    <w:rsid w:val="00F47AC4"/>
    <w:rsid w:val="00F56F9F"/>
    <w:rsid w:val="00F61EFD"/>
    <w:rsid w:val="00F62A11"/>
    <w:rsid w:val="00F7473A"/>
    <w:rsid w:val="00F7529D"/>
    <w:rsid w:val="00F803FB"/>
    <w:rsid w:val="00F85577"/>
    <w:rsid w:val="00F86331"/>
    <w:rsid w:val="00F91644"/>
    <w:rsid w:val="00F93B8E"/>
    <w:rsid w:val="00FA0BD8"/>
    <w:rsid w:val="00FA1594"/>
    <w:rsid w:val="00FA24CA"/>
    <w:rsid w:val="00FB5E0C"/>
    <w:rsid w:val="00FB7C11"/>
    <w:rsid w:val="00FB7CA8"/>
    <w:rsid w:val="00FC7549"/>
    <w:rsid w:val="00FC7B12"/>
    <w:rsid w:val="00FC7B41"/>
    <w:rsid w:val="00FC7BF8"/>
    <w:rsid w:val="00FD2AE6"/>
    <w:rsid w:val="00FE1DBE"/>
    <w:rsid w:val="00FE54F6"/>
    <w:rsid w:val="00FE66A1"/>
    <w:rsid w:val="00FF0CA0"/>
    <w:rsid w:val="00FF14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CFD4802"/>
  <w15:chartTrackingRefBased/>
  <w15:docId w15:val="{14F8184A-7081-1D47-84F0-A9E7FC8CC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lang w:eastAsia="zh-CN"/>
    </w:rPr>
  </w:style>
  <w:style w:type="paragraph" w:styleId="Ttulo1">
    <w:name w:val="heading 1"/>
    <w:basedOn w:val="Normal"/>
    <w:next w:val="Normal"/>
    <w:qFormat/>
    <w:pPr>
      <w:keepNext/>
      <w:numPr>
        <w:numId w:val="1"/>
      </w:numPr>
      <w:ind w:left="0" w:firstLine="1701"/>
      <w:jc w:val="both"/>
      <w:outlineLvl w:val="0"/>
    </w:pPr>
    <w:rPr>
      <w:rFonts w:ascii="Arial" w:hAnsi="Arial" w:cs="Arial"/>
      <w:sz w:val="24"/>
    </w:rPr>
  </w:style>
  <w:style w:type="paragraph" w:styleId="Ttulo2">
    <w:name w:val="heading 2"/>
    <w:basedOn w:val="Normal"/>
    <w:next w:val="Normal"/>
    <w:link w:val="Ttulo2Char"/>
    <w:uiPriority w:val="9"/>
    <w:qFormat/>
    <w:pPr>
      <w:keepNext/>
      <w:numPr>
        <w:ilvl w:val="1"/>
        <w:numId w:val="1"/>
      </w:numPr>
      <w:jc w:val="both"/>
      <w:outlineLvl w:val="1"/>
    </w:pPr>
    <w:rPr>
      <w:rFonts w:ascii="Arial" w:hAnsi="Arial" w:cs="Arial"/>
      <w:b/>
      <w:sz w:val="24"/>
    </w:rPr>
  </w:style>
  <w:style w:type="paragraph" w:styleId="Ttulo5">
    <w:name w:val="heading 5"/>
    <w:basedOn w:val="Normal"/>
    <w:next w:val="Normal"/>
    <w:link w:val="Ttulo5Char"/>
    <w:uiPriority w:val="9"/>
    <w:unhideWhenUsed/>
    <w:qFormat/>
    <w:rsid w:val="00DF06E3"/>
    <w:pPr>
      <w:keepNext/>
      <w:keepLines/>
      <w:spacing w:before="40"/>
      <w:outlineLvl w:val="4"/>
    </w:pPr>
    <w:rPr>
      <w:rFonts w:asciiTheme="majorHAnsi" w:eastAsiaTheme="majorEastAsia" w:hAnsiTheme="majorHAnsi" w:cstheme="majorBidi"/>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false">
    <w:name w:val="WW8Num1zfalse"/>
  </w:style>
  <w:style w:type="character" w:customStyle="1" w:styleId="WW8Num1ztrue">
    <w:name w:val="WW8Num1ztrue"/>
  </w:style>
  <w:style w:type="character" w:customStyle="1" w:styleId="WW8Num1ztrue0">
    <w:name w:val="WW8Num1ztrue"/>
  </w:style>
  <w:style w:type="character" w:customStyle="1" w:styleId="WW8Num1ztrue1">
    <w:name w:val="WW8Num1ztrue"/>
  </w:style>
  <w:style w:type="character" w:customStyle="1" w:styleId="WW8Num1ztrue2">
    <w:name w:val="WW8Num1ztrue"/>
  </w:style>
  <w:style w:type="character" w:customStyle="1" w:styleId="WW8Num1ztrue3">
    <w:name w:val="WW8Num1ztrue"/>
  </w:style>
  <w:style w:type="character" w:customStyle="1" w:styleId="WW8Num1ztrue4">
    <w:name w:val="WW8Num1ztrue"/>
  </w:style>
  <w:style w:type="character" w:customStyle="1" w:styleId="WW8Num1ztrue5">
    <w:name w:val="WW8Num1ztrue"/>
  </w:style>
  <w:style w:type="character" w:customStyle="1" w:styleId="WW8Num1ztrue6">
    <w:name w:val="WW8Num1ztrue"/>
  </w:style>
  <w:style w:type="character" w:customStyle="1" w:styleId="Fontepargpadro1">
    <w:name w:val="Fonte parág. padrão1"/>
  </w:style>
  <w:style w:type="character" w:styleId="Nmerodepgina">
    <w:name w:val="page number"/>
    <w:basedOn w:val="Fontepargpadro1"/>
  </w:style>
  <w:style w:type="paragraph" w:customStyle="1" w:styleId="Ttulo10">
    <w:name w:val="Título1"/>
    <w:basedOn w:val="Normal"/>
    <w:next w:val="Corpodetexto"/>
    <w:pPr>
      <w:keepNext/>
      <w:spacing w:before="240" w:after="120"/>
    </w:pPr>
    <w:rPr>
      <w:rFonts w:ascii="Arial" w:eastAsia="Microsoft YaHei" w:hAnsi="Arial" w:cs="Mangal"/>
      <w:sz w:val="28"/>
      <w:szCs w:val="28"/>
    </w:rPr>
  </w:style>
  <w:style w:type="paragraph" w:styleId="Corpodetexto">
    <w:name w:val="Body Text"/>
    <w:basedOn w:val="Normal"/>
    <w:pPr>
      <w:spacing w:after="120"/>
    </w:p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ind w:firstLine="1701"/>
      <w:jc w:val="both"/>
    </w:pPr>
    <w:rPr>
      <w:rFonts w:ascii="Arial" w:hAnsi="Arial" w:cs="Arial"/>
      <w:sz w:val="24"/>
    </w:rPr>
  </w:style>
  <w:style w:type="paragraph" w:styleId="Textodebalo">
    <w:name w:val="Balloon Text"/>
    <w:basedOn w:val="Normal"/>
    <w:rPr>
      <w:rFonts w:ascii="Tahoma" w:hAnsi="Tahoma" w:cs="Tahoma"/>
      <w:sz w:val="16"/>
      <w:szCs w:val="16"/>
    </w:rPr>
  </w:style>
  <w:style w:type="paragraph" w:customStyle="1" w:styleId="Recuodecorpodetexto21">
    <w:name w:val="Recuo de corpo de texto 21"/>
    <w:basedOn w:val="Normal"/>
    <w:pPr>
      <w:spacing w:after="120" w:line="480" w:lineRule="auto"/>
      <w:ind w:left="283"/>
    </w:pPr>
  </w:style>
  <w:style w:type="character" w:customStyle="1" w:styleId="Ttulo5Char">
    <w:name w:val="Título 5 Char"/>
    <w:basedOn w:val="Fontepargpadro"/>
    <w:link w:val="Ttulo5"/>
    <w:uiPriority w:val="9"/>
    <w:semiHidden/>
    <w:rsid w:val="00DF06E3"/>
    <w:rPr>
      <w:rFonts w:asciiTheme="majorHAnsi" w:eastAsiaTheme="majorEastAsia" w:hAnsiTheme="majorHAnsi" w:cstheme="majorBidi"/>
      <w:color w:val="2F5496" w:themeColor="accent1" w:themeShade="BF"/>
      <w:lang w:eastAsia="zh-CN"/>
    </w:rPr>
  </w:style>
  <w:style w:type="paragraph" w:styleId="NormalWeb">
    <w:name w:val="Normal (Web)"/>
    <w:basedOn w:val="Normal"/>
    <w:uiPriority w:val="99"/>
    <w:unhideWhenUsed/>
    <w:rsid w:val="00DF06E3"/>
    <w:pPr>
      <w:suppressAutoHyphens w:val="0"/>
      <w:spacing w:before="100" w:beforeAutospacing="1" w:after="100" w:afterAutospacing="1"/>
    </w:pPr>
    <w:rPr>
      <w:rFonts w:eastAsiaTheme="minorEastAsia"/>
      <w:sz w:val="24"/>
      <w:szCs w:val="24"/>
      <w:lang w:eastAsia="pt-BR"/>
    </w:rPr>
  </w:style>
  <w:style w:type="character" w:customStyle="1" w:styleId="Ttulo2Char">
    <w:name w:val="Título 2 Char"/>
    <w:basedOn w:val="Fontepargpadro"/>
    <w:link w:val="Ttulo2"/>
    <w:uiPriority w:val="9"/>
    <w:rsid w:val="00DF06E3"/>
    <w:rPr>
      <w:rFonts w:ascii="Arial" w:hAnsi="Arial" w:cs="Arial"/>
      <w:b/>
      <w:sz w:val="24"/>
      <w:lang w:eastAsia="zh-CN"/>
    </w:rPr>
  </w:style>
  <w:style w:type="character" w:styleId="Hyperlink">
    <w:name w:val="Hyperlink"/>
    <w:basedOn w:val="Fontepargpadro"/>
    <w:uiPriority w:val="99"/>
    <w:semiHidden/>
    <w:unhideWhenUsed/>
    <w:rsid w:val="00DF06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88428">
      <w:bodyDiv w:val="1"/>
      <w:marLeft w:val="0"/>
      <w:marRight w:val="0"/>
      <w:marTop w:val="0"/>
      <w:marBottom w:val="0"/>
      <w:divBdr>
        <w:top w:val="none" w:sz="0" w:space="0" w:color="auto"/>
        <w:left w:val="none" w:sz="0" w:space="0" w:color="auto"/>
        <w:bottom w:val="none" w:sz="0" w:space="0" w:color="auto"/>
        <w:right w:val="none" w:sz="0" w:space="0" w:color="auto"/>
      </w:divBdr>
    </w:div>
    <w:div w:id="284700403">
      <w:bodyDiv w:val="1"/>
      <w:marLeft w:val="0"/>
      <w:marRight w:val="0"/>
      <w:marTop w:val="0"/>
      <w:marBottom w:val="0"/>
      <w:divBdr>
        <w:top w:val="none" w:sz="0" w:space="0" w:color="auto"/>
        <w:left w:val="none" w:sz="0" w:space="0" w:color="auto"/>
        <w:bottom w:val="none" w:sz="0" w:space="0" w:color="auto"/>
        <w:right w:val="none" w:sz="0" w:space="0" w:color="auto"/>
      </w:divBdr>
    </w:div>
    <w:div w:id="437068978">
      <w:bodyDiv w:val="1"/>
      <w:marLeft w:val="0"/>
      <w:marRight w:val="0"/>
      <w:marTop w:val="0"/>
      <w:marBottom w:val="0"/>
      <w:divBdr>
        <w:top w:val="none" w:sz="0" w:space="0" w:color="auto"/>
        <w:left w:val="none" w:sz="0" w:space="0" w:color="auto"/>
        <w:bottom w:val="none" w:sz="0" w:space="0" w:color="auto"/>
        <w:right w:val="none" w:sz="0" w:space="0" w:color="auto"/>
      </w:divBdr>
    </w:div>
    <w:div w:id="1262908356">
      <w:bodyDiv w:val="1"/>
      <w:marLeft w:val="0"/>
      <w:marRight w:val="0"/>
      <w:marTop w:val="0"/>
      <w:marBottom w:val="0"/>
      <w:divBdr>
        <w:top w:val="none" w:sz="0" w:space="0" w:color="auto"/>
        <w:left w:val="none" w:sz="0" w:space="0" w:color="auto"/>
        <w:bottom w:val="none" w:sz="0" w:space="0" w:color="auto"/>
        <w:right w:val="none" w:sz="0" w:space="0" w:color="auto"/>
      </w:divBdr>
      <w:divsChild>
        <w:div w:id="1425371676">
          <w:marLeft w:val="-175"/>
          <w:marRight w:val="0"/>
          <w:marTop w:val="0"/>
          <w:marBottom w:val="0"/>
          <w:divBdr>
            <w:top w:val="none" w:sz="0" w:space="0" w:color="auto"/>
            <w:left w:val="none" w:sz="0" w:space="0" w:color="auto"/>
            <w:bottom w:val="none" w:sz="0" w:space="0" w:color="auto"/>
            <w:right w:val="none" w:sz="0" w:space="0" w:color="auto"/>
          </w:divBdr>
        </w:div>
      </w:divsChild>
    </w:div>
    <w:div w:id="1344435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rs.gov.b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ecom.rs.gov.b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4.planalto.gov.br/legislacao"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celic.rs.gov.br/index.php?menu=secao&amp;cod=42" TargetMode="External"/><Relationship Id="rId4" Type="http://schemas.openxmlformats.org/officeDocument/2006/relationships/webSettings" Target="webSettings.xml"/><Relationship Id="rId9" Type="http://schemas.openxmlformats.org/officeDocument/2006/relationships/hyperlink" Target="http://www.compras.rs.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7759</Words>
  <Characters>41901</Characters>
  <Application>Microsoft Office Word</Application>
  <DocSecurity>0</DocSecurity>
  <Lines>349</Lines>
  <Paragraphs>99</Paragraphs>
  <ScaleCrop>false</ScaleCrop>
  <HeadingPairs>
    <vt:vector size="2" baseType="variant">
      <vt:variant>
        <vt:lpstr>Título</vt:lpstr>
      </vt:variant>
      <vt:variant>
        <vt:i4>1</vt:i4>
      </vt:variant>
    </vt:vector>
  </HeadingPairs>
  <TitlesOfParts>
    <vt:vector size="1" baseType="lpstr">
      <vt:lpstr>Ref: Expediente no 000433-08</vt:lpstr>
    </vt:vector>
  </TitlesOfParts>
  <Company/>
  <LinksUpToDate>false</LinksUpToDate>
  <CharactersWithSpaces>49561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 Expediente no 000433-08</dc:title>
  <dc:subject/>
  <dc:creator>jc</dc:creator>
  <cp:keywords/>
  <cp:lastModifiedBy>FERNANDA</cp:lastModifiedBy>
  <cp:revision>4</cp:revision>
  <cp:lastPrinted>2016-11-09T13:42:00Z</cp:lastPrinted>
  <dcterms:created xsi:type="dcterms:W3CDTF">2023-06-02T13:13:00Z</dcterms:created>
  <dcterms:modified xsi:type="dcterms:W3CDTF">2023-06-02T19:44:00Z</dcterms:modified>
</cp:coreProperties>
</file>