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799" w:rsidRDefault="00EB0E98">
      <w:pPr>
        <w:pStyle w:val="normal1"/>
        <w:spacing w:after="0" w:line="360" w:lineRule="auto"/>
        <w:rPr>
          <w:b/>
        </w:rPr>
      </w:pPr>
      <w:r>
        <w:rPr>
          <w:b/>
        </w:rPr>
        <w:t>Informação Nº 038-2025 DG/SOP</w:t>
      </w:r>
    </w:p>
    <w:p w:rsidR="00391799" w:rsidRDefault="00EB0E98">
      <w:pPr>
        <w:pStyle w:val="normal1"/>
        <w:spacing w:after="0" w:line="360" w:lineRule="auto"/>
        <w:ind w:firstLine="2409"/>
        <w:jc w:val="right"/>
        <w:rPr>
          <w:b/>
        </w:rPr>
      </w:pPr>
      <w:r>
        <w:t>Porto Alegre,</w:t>
      </w:r>
      <w:proofErr w:type="gramStart"/>
      <w:r>
        <w:t xml:space="preserve">  </w:t>
      </w:r>
      <w:proofErr w:type="gramEnd"/>
      <w:r>
        <w:t>28 de agosto de 2025.</w:t>
      </w:r>
    </w:p>
    <w:p w:rsidR="00391799" w:rsidRDefault="00391799">
      <w:pPr>
        <w:pStyle w:val="normal1"/>
        <w:spacing w:after="0" w:line="240" w:lineRule="auto"/>
        <w:rPr>
          <w:b/>
        </w:rPr>
      </w:pPr>
    </w:p>
    <w:p w:rsidR="00391799" w:rsidRDefault="00EB0E98">
      <w:pPr>
        <w:pStyle w:val="normal1"/>
        <w:spacing w:after="0" w:line="240" w:lineRule="auto"/>
      </w:pPr>
      <w:r>
        <w:rPr>
          <w:b/>
        </w:rPr>
        <w:t xml:space="preserve">Destino: </w:t>
      </w:r>
      <w:r>
        <w:t>DCPL/DELIC/CELIC</w:t>
      </w:r>
    </w:p>
    <w:p w:rsidR="00391799" w:rsidRDefault="00EB0E98">
      <w:pPr>
        <w:pStyle w:val="normal1"/>
        <w:spacing w:after="0" w:line="240" w:lineRule="auto"/>
      </w:pPr>
      <w:r>
        <w:rPr>
          <w:b/>
        </w:rPr>
        <w:t xml:space="preserve">Processo: </w:t>
      </w:r>
      <w:r>
        <w:t>22/1203-0028470-6</w:t>
      </w:r>
    </w:p>
    <w:p w:rsidR="00391799" w:rsidRDefault="00EB0E98">
      <w:pPr>
        <w:pStyle w:val="normal1"/>
        <w:spacing w:after="0" w:line="240" w:lineRule="auto"/>
      </w:pPr>
      <w:r>
        <w:rPr>
          <w:b/>
        </w:rPr>
        <w:t>Assunto:</w:t>
      </w:r>
      <w:r>
        <w:rPr>
          <w:b/>
        </w:rPr>
        <w:t xml:space="preserve"> </w:t>
      </w:r>
      <w:r>
        <w:t xml:space="preserve">Análise de </w:t>
      </w:r>
      <w:proofErr w:type="spellStart"/>
      <w:r>
        <w:t>exequibilidade</w:t>
      </w:r>
      <w:proofErr w:type="spellEnd"/>
      <w:r>
        <w:rPr>
          <w:b/>
        </w:rPr>
        <w:t xml:space="preserve"> - </w:t>
      </w:r>
      <w:r>
        <w:t>CRE 0070/2025</w:t>
      </w:r>
    </w:p>
    <w:p w:rsidR="00391799" w:rsidRDefault="00391799">
      <w:pPr>
        <w:pStyle w:val="normal1"/>
        <w:spacing w:after="0" w:line="240" w:lineRule="auto"/>
        <w:ind w:left="992" w:hanging="992"/>
        <w:rPr>
          <w:b/>
        </w:rPr>
      </w:pPr>
    </w:p>
    <w:p w:rsidR="00391799" w:rsidRDefault="00391799">
      <w:pPr>
        <w:pStyle w:val="normal1"/>
        <w:spacing w:after="0" w:line="360" w:lineRule="auto"/>
        <w:jc w:val="both"/>
      </w:pPr>
    </w:p>
    <w:p w:rsidR="00391799" w:rsidRDefault="00EB0E98">
      <w:pPr>
        <w:pStyle w:val="normal1"/>
        <w:spacing w:after="240" w:line="360" w:lineRule="auto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Trata-se de análise técnica de </w:t>
      </w:r>
      <w:proofErr w:type="spellStart"/>
      <w:r>
        <w:rPr>
          <w:rFonts w:ascii="Arial" w:eastAsia="Arial" w:hAnsi="Arial" w:cs="Arial"/>
        </w:rPr>
        <w:t>exequibilidade</w:t>
      </w:r>
      <w:proofErr w:type="spellEnd"/>
      <w:r>
        <w:rPr>
          <w:rFonts w:ascii="Arial" w:eastAsia="Arial" w:hAnsi="Arial" w:cs="Arial"/>
        </w:rPr>
        <w:t xml:space="preserve"> solicitada pela Comissão Permanente de Licitações – CELIC, referente ao </w:t>
      </w:r>
      <w:r>
        <w:rPr>
          <w:rFonts w:ascii="Arial" w:eastAsia="Arial" w:hAnsi="Arial" w:cs="Arial"/>
          <w:b/>
        </w:rPr>
        <w:t>CRE nº 0070/2025</w:t>
      </w:r>
      <w:r>
        <w:rPr>
          <w:rFonts w:ascii="Arial" w:eastAsia="Arial" w:hAnsi="Arial" w:cs="Arial"/>
        </w:rPr>
        <w:t xml:space="preserve">, cujo objeto consiste </w:t>
      </w:r>
      <w:proofErr w:type="gramStart"/>
      <w:r>
        <w:rPr>
          <w:rFonts w:ascii="Arial" w:eastAsia="Arial" w:hAnsi="Arial" w:cs="Arial"/>
        </w:rPr>
        <w:t>na</w:t>
      </w:r>
      <w:proofErr w:type="gramEnd"/>
      <w:r>
        <w:rPr>
          <w:rFonts w:ascii="Arial" w:eastAsia="Arial" w:hAnsi="Arial" w:cs="Arial"/>
        </w:rPr>
        <w:t xml:space="preserve"> contratação de empresa especializada para execução da obra de reforma da Subestação de Energia E</w:t>
      </w:r>
      <w:r>
        <w:rPr>
          <w:rFonts w:ascii="Arial" w:eastAsia="Arial" w:hAnsi="Arial" w:cs="Arial"/>
        </w:rPr>
        <w:t xml:space="preserve">létrica do 28º Batalhão de Polícia Militar, no município de Charqueadas. A empresa Instaladora Elétrica Líder Ltda. apresentou proposta no valor de R$ 224.613,42, correspondente a </w:t>
      </w:r>
      <w:r>
        <w:rPr>
          <w:rFonts w:ascii="Arial" w:eastAsia="Arial" w:hAnsi="Arial" w:cs="Arial"/>
          <w:b/>
        </w:rPr>
        <w:t>desconto de 33,04%</w:t>
      </w:r>
      <w:r>
        <w:rPr>
          <w:rFonts w:ascii="Arial" w:eastAsia="Arial" w:hAnsi="Arial" w:cs="Arial"/>
        </w:rPr>
        <w:t xml:space="preserve"> sobre o valor orçado pela Administração. À vista do perce</w:t>
      </w:r>
      <w:r>
        <w:rPr>
          <w:rFonts w:ascii="Arial" w:eastAsia="Arial" w:hAnsi="Arial" w:cs="Arial"/>
        </w:rPr>
        <w:t xml:space="preserve">ntual ofertado, a proposta foi </w:t>
      </w:r>
      <w:r>
        <w:rPr>
          <w:rFonts w:ascii="Arial" w:eastAsia="Arial" w:hAnsi="Arial" w:cs="Arial"/>
          <w:b/>
        </w:rPr>
        <w:t>inicialmente enquadrada</w:t>
      </w:r>
      <w:r>
        <w:rPr>
          <w:rFonts w:ascii="Arial" w:eastAsia="Arial" w:hAnsi="Arial" w:cs="Arial"/>
        </w:rPr>
        <w:t xml:space="preserve"> como manifestamente </w:t>
      </w:r>
      <w:proofErr w:type="spellStart"/>
      <w:r>
        <w:rPr>
          <w:rFonts w:ascii="Arial" w:eastAsia="Arial" w:hAnsi="Arial" w:cs="Arial"/>
          <w:b/>
        </w:rPr>
        <w:t>inexequível</w:t>
      </w:r>
      <w:proofErr w:type="spellEnd"/>
      <w:r>
        <w:rPr>
          <w:rFonts w:ascii="Arial" w:eastAsia="Arial" w:hAnsi="Arial" w:cs="Arial"/>
        </w:rPr>
        <w:t xml:space="preserve">, nos termos do art. 59, inciso V, § 4º, da Lei nº 14.133/2021, tendo sido franqueada à licitante, em diligência, a oportunidade para demonstrar a </w:t>
      </w:r>
      <w:proofErr w:type="spellStart"/>
      <w:r>
        <w:rPr>
          <w:rFonts w:ascii="Arial" w:eastAsia="Arial" w:hAnsi="Arial" w:cs="Arial"/>
        </w:rPr>
        <w:t>exequibilidade</w:t>
      </w:r>
      <w:proofErr w:type="spellEnd"/>
      <w:r>
        <w:rPr>
          <w:rFonts w:ascii="Arial" w:eastAsia="Arial" w:hAnsi="Arial" w:cs="Arial"/>
        </w:rPr>
        <w:t>.</w:t>
      </w:r>
    </w:p>
    <w:p w:rsidR="00391799" w:rsidRDefault="00EB0E98">
      <w:pPr>
        <w:pStyle w:val="normal1"/>
        <w:spacing w:before="240" w:after="24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</w:t>
      </w:r>
      <w:r>
        <w:rPr>
          <w:rFonts w:ascii="Arial" w:eastAsia="Arial" w:hAnsi="Arial" w:cs="Arial"/>
        </w:rPr>
        <w:t xml:space="preserve">     No atendimento à diligência, a empresa juntou ao processo uma nota fiscal e duas propostas de fornecimento (folhas 869 a 871). Todavia, os documentos apresentados não se </w:t>
      </w:r>
      <w:proofErr w:type="gramStart"/>
      <w:r>
        <w:rPr>
          <w:rFonts w:ascii="Arial" w:eastAsia="Arial" w:hAnsi="Arial" w:cs="Arial"/>
        </w:rPr>
        <w:t>qualificam,</w:t>
      </w:r>
      <w:proofErr w:type="gramEnd"/>
      <w:r>
        <w:rPr>
          <w:rFonts w:ascii="Arial" w:eastAsia="Arial" w:hAnsi="Arial" w:cs="Arial"/>
        </w:rPr>
        <w:t xml:space="preserve"> por si sós, como comprovação idônea de </w:t>
      </w:r>
      <w:proofErr w:type="spellStart"/>
      <w:r>
        <w:rPr>
          <w:rFonts w:ascii="Arial" w:eastAsia="Arial" w:hAnsi="Arial" w:cs="Arial"/>
        </w:rPr>
        <w:t>exequibilidade</w:t>
      </w:r>
      <w:proofErr w:type="spellEnd"/>
      <w:r>
        <w:rPr>
          <w:rFonts w:ascii="Arial" w:eastAsia="Arial" w:hAnsi="Arial" w:cs="Arial"/>
        </w:rPr>
        <w:t>. A Lei nº 14.13</w:t>
      </w:r>
      <w:r>
        <w:rPr>
          <w:rFonts w:ascii="Arial" w:eastAsia="Arial" w:hAnsi="Arial" w:cs="Arial"/>
        </w:rPr>
        <w:t xml:space="preserve">3/2021 admite que o juízo de </w:t>
      </w:r>
      <w:proofErr w:type="spellStart"/>
      <w:r>
        <w:rPr>
          <w:rFonts w:ascii="Arial" w:eastAsia="Arial" w:hAnsi="Arial" w:cs="Arial"/>
        </w:rPr>
        <w:t>inexequibilidade</w:t>
      </w:r>
      <w:proofErr w:type="spellEnd"/>
      <w:r>
        <w:rPr>
          <w:rFonts w:ascii="Arial" w:eastAsia="Arial" w:hAnsi="Arial" w:cs="Arial"/>
        </w:rPr>
        <w:t xml:space="preserve"> seja afastado mediante demonstração técnica consistente, cabendo ao licitante a apresentação de peça analítica que </w:t>
      </w:r>
      <w:proofErr w:type="gramStart"/>
      <w:r>
        <w:rPr>
          <w:rFonts w:ascii="Arial" w:eastAsia="Arial" w:hAnsi="Arial" w:cs="Arial"/>
        </w:rPr>
        <w:t>correlacione,</w:t>
      </w:r>
      <w:proofErr w:type="gramEnd"/>
      <w:r>
        <w:rPr>
          <w:rFonts w:ascii="Arial" w:eastAsia="Arial" w:hAnsi="Arial" w:cs="Arial"/>
        </w:rPr>
        <w:t xml:space="preserve"> de modo claro e fundamentado, a sua formação de preços com os elementos objetivos</w:t>
      </w:r>
      <w:r>
        <w:rPr>
          <w:rFonts w:ascii="Arial" w:eastAsia="Arial" w:hAnsi="Arial" w:cs="Arial"/>
        </w:rPr>
        <w:t xml:space="preserve"> do caso concreto. Comprovantes esparsos (como notas fiscais antigas ou cotações genéricas) somente têm valor probatório quando integrados </w:t>
      </w:r>
      <w:proofErr w:type="gramStart"/>
      <w:r>
        <w:rPr>
          <w:rFonts w:ascii="Arial" w:eastAsia="Arial" w:hAnsi="Arial" w:cs="Arial"/>
        </w:rPr>
        <w:t>à</w:t>
      </w:r>
      <w:proofErr w:type="gramEnd"/>
      <w:r>
        <w:rPr>
          <w:rFonts w:ascii="Arial" w:eastAsia="Arial" w:hAnsi="Arial" w:cs="Arial"/>
        </w:rPr>
        <w:t xml:space="preserve"> raciocínio técnico que explique por que e como tais insumos, quantidades, prazos e condições de aquisição efetivame</w:t>
      </w:r>
      <w:r>
        <w:rPr>
          <w:rFonts w:ascii="Arial" w:eastAsia="Arial" w:hAnsi="Arial" w:cs="Arial"/>
        </w:rPr>
        <w:t>nte permitem executar a obra pelo preço ofertado, sem comprometer qualidade e desempenho.</w:t>
      </w:r>
    </w:p>
    <w:p w:rsidR="00391799" w:rsidRDefault="00EB0E98">
      <w:pPr>
        <w:pStyle w:val="normal1"/>
        <w:spacing w:before="240" w:after="24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No caso concreto, não houve, pelo menos: </w:t>
      </w:r>
      <w:r>
        <w:rPr>
          <w:rFonts w:ascii="Arial" w:eastAsia="Arial" w:hAnsi="Arial" w:cs="Arial"/>
          <w:b/>
        </w:rPr>
        <w:t>a)</w:t>
      </w:r>
      <w:r>
        <w:rPr>
          <w:rFonts w:ascii="Arial" w:eastAsia="Arial" w:hAnsi="Arial" w:cs="Arial"/>
        </w:rPr>
        <w:t xml:space="preserve"> apresentação de memória de cálculo da planilha orçamentária, com explicitação das premissas de composição de c</w:t>
      </w:r>
      <w:r>
        <w:rPr>
          <w:rFonts w:ascii="Arial" w:eastAsia="Arial" w:hAnsi="Arial" w:cs="Arial"/>
        </w:rPr>
        <w:t xml:space="preserve">ustos diretos (materiais, equipamentos, equipe, produtividade, </w:t>
      </w:r>
      <w:proofErr w:type="spellStart"/>
      <w:r>
        <w:rPr>
          <w:rFonts w:ascii="Arial" w:eastAsia="Arial" w:hAnsi="Arial" w:cs="Arial"/>
        </w:rPr>
        <w:t>etc</w:t>
      </w:r>
      <w:proofErr w:type="spellEnd"/>
      <w:r>
        <w:rPr>
          <w:rFonts w:ascii="Arial" w:eastAsia="Arial" w:hAnsi="Arial" w:cs="Arial"/>
        </w:rPr>
        <w:t xml:space="preserve">) e indiretos (administração local e central, mobilização e desmobilização, </w:t>
      </w:r>
      <w:proofErr w:type="gramStart"/>
      <w:r>
        <w:rPr>
          <w:rFonts w:ascii="Arial" w:eastAsia="Arial" w:hAnsi="Arial" w:cs="Arial"/>
        </w:rPr>
        <w:t>seguros</w:t>
      </w:r>
      <w:proofErr w:type="gramEnd"/>
      <w:r>
        <w:rPr>
          <w:rFonts w:ascii="Arial" w:eastAsia="Arial" w:hAnsi="Arial" w:cs="Arial"/>
        </w:rPr>
        <w:t xml:space="preserve"> e garantias, tributos e riscos); </w:t>
      </w:r>
      <w:r>
        <w:rPr>
          <w:rFonts w:ascii="Arial" w:eastAsia="Arial" w:hAnsi="Arial" w:cs="Arial"/>
          <w:b/>
        </w:rPr>
        <w:t>b)</w:t>
      </w:r>
      <w:r>
        <w:rPr>
          <w:rFonts w:ascii="Arial" w:eastAsia="Arial" w:hAnsi="Arial" w:cs="Arial"/>
        </w:rPr>
        <w:t xml:space="preserve"> demonstração de metodologia executiva capaz de gerar ganhos de </w:t>
      </w:r>
      <w:r>
        <w:rPr>
          <w:rFonts w:ascii="Arial" w:eastAsia="Arial" w:hAnsi="Arial" w:cs="Arial"/>
        </w:rPr>
        <w:lastRenderedPageBreak/>
        <w:t>eficiên</w:t>
      </w:r>
      <w:r>
        <w:rPr>
          <w:rFonts w:ascii="Arial" w:eastAsia="Arial" w:hAnsi="Arial" w:cs="Arial"/>
        </w:rPr>
        <w:t xml:space="preserve">cia que justifiquem o abatimento proposto, com indicação de tecnologias, logística, economia de escala, reaproveitamento lícito de meios ou condições comerciais firmes que sustentem preços inferiores aos de referência; </w:t>
      </w:r>
      <w:r>
        <w:rPr>
          <w:rFonts w:ascii="Arial" w:eastAsia="Arial" w:hAnsi="Arial" w:cs="Arial"/>
          <w:b/>
        </w:rPr>
        <w:t>c)</w:t>
      </w:r>
      <w:r>
        <w:rPr>
          <w:rFonts w:ascii="Arial" w:eastAsia="Arial" w:hAnsi="Arial" w:cs="Arial"/>
        </w:rPr>
        <w:t xml:space="preserve"> correlação entre cada item das cot</w:t>
      </w:r>
      <w:r>
        <w:rPr>
          <w:rFonts w:ascii="Arial" w:eastAsia="Arial" w:hAnsi="Arial" w:cs="Arial"/>
        </w:rPr>
        <w:t xml:space="preserve">ações apresentadas e os itens da planilha orçamentária do edital, com vinculação inequívoca de quantidades, prazos de entrega, incidência de tributos, fretes e condições de pagamento; </w:t>
      </w:r>
      <w:r>
        <w:rPr>
          <w:rFonts w:ascii="Arial" w:eastAsia="Arial" w:hAnsi="Arial" w:cs="Arial"/>
          <w:b/>
        </w:rPr>
        <w:t>d)</w:t>
      </w:r>
      <w:r>
        <w:rPr>
          <w:rFonts w:ascii="Arial" w:eastAsia="Arial" w:hAnsi="Arial" w:cs="Arial"/>
        </w:rPr>
        <w:t xml:space="preserve"> validação de que o BDI considerado é compatível com o risco e o porte</w:t>
      </w:r>
      <w:r>
        <w:rPr>
          <w:rFonts w:ascii="Arial" w:eastAsia="Arial" w:hAnsi="Arial" w:cs="Arial"/>
        </w:rPr>
        <w:t xml:space="preserve"> do empreendimento e que não houve supressão indevida de custos obrigatórios.</w:t>
      </w:r>
    </w:p>
    <w:p w:rsidR="00391799" w:rsidRDefault="00EB0E98">
      <w:pPr>
        <w:pStyle w:val="normal1"/>
        <w:spacing w:before="240" w:after="24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Ressalte-se que a diligência destinada a aferir </w:t>
      </w:r>
      <w:proofErr w:type="spellStart"/>
      <w:r>
        <w:rPr>
          <w:rFonts w:ascii="Arial" w:eastAsia="Arial" w:hAnsi="Arial" w:cs="Arial"/>
        </w:rPr>
        <w:t>exequibilidade</w:t>
      </w:r>
      <w:proofErr w:type="spellEnd"/>
      <w:r>
        <w:rPr>
          <w:rFonts w:ascii="Arial" w:eastAsia="Arial" w:hAnsi="Arial" w:cs="Arial"/>
        </w:rPr>
        <w:t xml:space="preserve"> não se confunde com a possibilidade de a Administração refazer ou completar a proposta do particular, tam</w:t>
      </w:r>
      <w:r>
        <w:rPr>
          <w:rFonts w:ascii="Arial" w:eastAsia="Arial" w:hAnsi="Arial" w:cs="Arial"/>
        </w:rPr>
        <w:t xml:space="preserve">pouco com a realização de estudos por conta do erário para “descobrir” a racionalidade econômica do preço. O ônus probatório é exclusivo da licitante. Ao Estado incumbe verificar, com base no que foi efetivamente demonstrado, se o preço é </w:t>
      </w:r>
      <w:proofErr w:type="spellStart"/>
      <w:r>
        <w:rPr>
          <w:rFonts w:ascii="Arial" w:eastAsia="Arial" w:hAnsi="Arial" w:cs="Arial"/>
        </w:rPr>
        <w:t>exequível</w:t>
      </w:r>
      <w:proofErr w:type="spellEnd"/>
      <w:r>
        <w:rPr>
          <w:rFonts w:ascii="Arial" w:eastAsia="Arial" w:hAnsi="Arial" w:cs="Arial"/>
        </w:rPr>
        <w:t>; não lh</w:t>
      </w:r>
      <w:r>
        <w:rPr>
          <w:rFonts w:ascii="Arial" w:eastAsia="Arial" w:hAnsi="Arial" w:cs="Arial"/>
        </w:rPr>
        <w:t>e cabe construir a fundamentação que o particular deixou de produzir. Nessa linha, a simples juntada de notas fiscais e de propostas de fornecedores, desacompanhada de peça técnica que integre tais documentos a uma memória de cálculo e a um método executiv</w:t>
      </w:r>
      <w:r>
        <w:rPr>
          <w:rFonts w:ascii="Arial" w:eastAsia="Arial" w:hAnsi="Arial" w:cs="Arial"/>
        </w:rPr>
        <w:t xml:space="preserve">o factível, não é suficiente para afastar a presunção de </w:t>
      </w:r>
      <w:proofErr w:type="spellStart"/>
      <w:r>
        <w:rPr>
          <w:rFonts w:ascii="Arial" w:eastAsia="Arial" w:hAnsi="Arial" w:cs="Arial"/>
        </w:rPr>
        <w:t>inexequibilidade</w:t>
      </w:r>
      <w:proofErr w:type="spellEnd"/>
      <w:r>
        <w:rPr>
          <w:rFonts w:ascii="Arial" w:eastAsia="Arial" w:hAnsi="Arial" w:cs="Arial"/>
        </w:rPr>
        <w:t>.</w:t>
      </w:r>
    </w:p>
    <w:p w:rsidR="00391799" w:rsidRDefault="00EB0E98">
      <w:pPr>
        <w:pStyle w:val="normal1"/>
        <w:spacing w:before="240" w:after="24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Diante desse quadro, permanece hígida a </w:t>
      </w:r>
      <w:r>
        <w:rPr>
          <w:rFonts w:ascii="Arial" w:eastAsia="Arial" w:hAnsi="Arial" w:cs="Arial"/>
          <w:b/>
        </w:rPr>
        <w:t xml:space="preserve">conclusão preliminar de </w:t>
      </w:r>
      <w:proofErr w:type="spellStart"/>
      <w:r>
        <w:rPr>
          <w:rFonts w:ascii="Arial" w:eastAsia="Arial" w:hAnsi="Arial" w:cs="Arial"/>
          <w:b/>
        </w:rPr>
        <w:t>inexequibilidade</w:t>
      </w:r>
      <w:proofErr w:type="spellEnd"/>
      <w:r>
        <w:rPr>
          <w:rFonts w:ascii="Arial" w:eastAsia="Arial" w:hAnsi="Arial" w:cs="Arial"/>
        </w:rPr>
        <w:t xml:space="preserve"> da proposta apresentada pela Instaladora Elétrica Líder Ltda., por ausência de comprovaçã</w:t>
      </w:r>
      <w:r>
        <w:rPr>
          <w:rFonts w:ascii="Arial" w:eastAsia="Arial" w:hAnsi="Arial" w:cs="Arial"/>
        </w:rPr>
        <w:t>o técnica robusta, específica e correlacionada ao objeto. Recomenda-se, portanto, a manutenção da desclassificação, com o devido registro de que a oportunidade de saneamento foi concedida e de que a documentação trazida não atendeu ao padrão mínimo necessá</w:t>
      </w:r>
      <w:r>
        <w:rPr>
          <w:rFonts w:ascii="Arial" w:eastAsia="Arial" w:hAnsi="Arial" w:cs="Arial"/>
        </w:rPr>
        <w:t>rio para demonstrar a viabilidade econômico-operacional da oferta, nos termos do art. 59, inciso V, § 4º, da Lei nº 14.133/2021.</w:t>
      </w:r>
    </w:p>
    <w:p w:rsidR="00391799" w:rsidRDefault="00EB0E98">
      <w:pPr>
        <w:pStyle w:val="normal1"/>
        <w:spacing w:before="240" w:after="24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Para fins de padronização de futuras diligências e de transparência procedimental, sugere-se que os expedientes de s</w:t>
      </w:r>
      <w:r>
        <w:rPr>
          <w:rFonts w:ascii="Arial" w:eastAsia="Arial" w:hAnsi="Arial" w:cs="Arial"/>
        </w:rPr>
        <w:t xml:space="preserve">olicitação de comprovação de </w:t>
      </w:r>
      <w:proofErr w:type="spellStart"/>
      <w:r>
        <w:rPr>
          <w:rFonts w:ascii="Arial" w:eastAsia="Arial" w:hAnsi="Arial" w:cs="Arial"/>
        </w:rPr>
        <w:t>exequibilidade</w:t>
      </w:r>
      <w:proofErr w:type="spellEnd"/>
      <w:r>
        <w:rPr>
          <w:rFonts w:ascii="Arial" w:eastAsia="Arial" w:hAnsi="Arial" w:cs="Arial"/>
        </w:rPr>
        <w:t xml:space="preserve"> passem a explicitar, de modo objetivo, o conteúdo técnico esperado, incluindo, exemplificativamente: </w:t>
      </w:r>
      <w:r>
        <w:rPr>
          <w:rFonts w:ascii="Arial" w:eastAsia="Arial" w:hAnsi="Arial" w:cs="Arial"/>
          <w:b/>
        </w:rPr>
        <w:t>(i)</w:t>
      </w:r>
      <w:r>
        <w:rPr>
          <w:rFonts w:ascii="Arial" w:eastAsia="Arial" w:hAnsi="Arial" w:cs="Arial"/>
        </w:rPr>
        <w:t xml:space="preserve"> memória de cálculo completa da planilha (com insumos, composições, produtividades e fontes de referência), </w:t>
      </w:r>
      <w:r>
        <w:rPr>
          <w:rFonts w:ascii="Arial" w:eastAsia="Arial" w:hAnsi="Arial" w:cs="Arial"/>
          <w:b/>
        </w:rPr>
        <w:t>(ii)</w:t>
      </w:r>
      <w:r>
        <w:rPr>
          <w:rFonts w:ascii="Arial" w:eastAsia="Arial" w:hAnsi="Arial" w:cs="Arial"/>
        </w:rPr>
        <w:t xml:space="preserve"> descrição sucinta da metodologia executiva e dos ganhos de eficiência eventualmente alegados, </w:t>
      </w:r>
      <w:r>
        <w:rPr>
          <w:rFonts w:ascii="Arial" w:eastAsia="Arial" w:hAnsi="Arial" w:cs="Arial"/>
          <w:b/>
        </w:rPr>
        <w:t>(iii)</w:t>
      </w:r>
      <w:r>
        <w:rPr>
          <w:rFonts w:ascii="Arial" w:eastAsia="Arial" w:hAnsi="Arial" w:cs="Arial"/>
        </w:rPr>
        <w:t xml:space="preserve"> comprovação de aderência a pisos e encargos, </w:t>
      </w:r>
      <w:r>
        <w:rPr>
          <w:rFonts w:ascii="Arial" w:eastAsia="Arial" w:hAnsi="Arial" w:cs="Arial"/>
          <w:b/>
        </w:rPr>
        <w:t>(iv)</w:t>
      </w:r>
      <w:r>
        <w:rPr>
          <w:rFonts w:ascii="Arial" w:eastAsia="Arial" w:hAnsi="Arial" w:cs="Arial"/>
        </w:rPr>
        <w:t xml:space="preserve"> BDI detalhado, </w:t>
      </w:r>
      <w:r>
        <w:rPr>
          <w:rFonts w:ascii="Arial" w:eastAsia="Arial" w:hAnsi="Arial" w:cs="Arial"/>
          <w:b/>
        </w:rPr>
        <w:t>(v)</w:t>
      </w:r>
      <w:r>
        <w:rPr>
          <w:rFonts w:ascii="Arial" w:eastAsia="Arial" w:hAnsi="Arial" w:cs="Arial"/>
        </w:rPr>
        <w:t xml:space="preserve"> cronograma físico-financeiro compatível e </w:t>
      </w:r>
      <w:r>
        <w:rPr>
          <w:rFonts w:ascii="Arial" w:eastAsia="Arial" w:hAnsi="Arial" w:cs="Arial"/>
          <w:b/>
        </w:rPr>
        <w:t xml:space="preserve">(vi) </w:t>
      </w:r>
      <w:r>
        <w:rPr>
          <w:rFonts w:ascii="Arial" w:eastAsia="Arial" w:hAnsi="Arial" w:cs="Arial"/>
        </w:rPr>
        <w:t>documentos de suporte (cotações, co</w:t>
      </w:r>
      <w:r>
        <w:rPr>
          <w:rFonts w:ascii="Arial" w:eastAsia="Arial" w:hAnsi="Arial" w:cs="Arial"/>
        </w:rPr>
        <w:t>ntratos-quadro, cartas-</w:t>
      </w:r>
      <w:r>
        <w:rPr>
          <w:rFonts w:ascii="Arial" w:eastAsia="Arial" w:hAnsi="Arial" w:cs="Arial"/>
        </w:rPr>
        <w:lastRenderedPageBreak/>
        <w:t xml:space="preserve">proposta com prazos e condições) expressamente vinculados aos itens do orçamento. Esse roteiro não amplia exigências </w:t>
      </w:r>
      <w:proofErr w:type="spellStart"/>
      <w:r>
        <w:rPr>
          <w:rFonts w:ascii="Arial" w:eastAsia="Arial" w:hAnsi="Arial" w:cs="Arial"/>
        </w:rPr>
        <w:t>editalícias</w:t>
      </w:r>
      <w:proofErr w:type="spellEnd"/>
      <w:r>
        <w:rPr>
          <w:rFonts w:ascii="Arial" w:eastAsia="Arial" w:hAnsi="Arial" w:cs="Arial"/>
        </w:rPr>
        <w:t>, apenas explicita o padrão mínimo de demonstração técnica que compete ao licitante apresentar para afast</w:t>
      </w:r>
      <w:r>
        <w:rPr>
          <w:rFonts w:ascii="Arial" w:eastAsia="Arial" w:hAnsi="Arial" w:cs="Arial"/>
        </w:rPr>
        <w:t xml:space="preserve">ar a presunção de </w:t>
      </w:r>
      <w:proofErr w:type="spellStart"/>
      <w:r>
        <w:rPr>
          <w:rFonts w:ascii="Arial" w:eastAsia="Arial" w:hAnsi="Arial" w:cs="Arial"/>
        </w:rPr>
        <w:t>inexequibilidade</w:t>
      </w:r>
      <w:proofErr w:type="spellEnd"/>
      <w:r>
        <w:rPr>
          <w:rFonts w:ascii="Arial" w:eastAsia="Arial" w:hAnsi="Arial" w:cs="Arial"/>
        </w:rPr>
        <w:t>, preservando a isonomia e evitando que a Administração assuma tarefas que são de responsabilidade do particular.</w:t>
      </w:r>
    </w:p>
    <w:p w:rsidR="00391799" w:rsidRDefault="00EB0E98">
      <w:pPr>
        <w:pStyle w:val="normal1"/>
        <w:spacing w:before="240" w:after="240" w:line="360" w:lineRule="auto"/>
        <w:jc w:val="both"/>
      </w:pPr>
      <w:r>
        <w:rPr>
          <w:rFonts w:ascii="Arial" w:eastAsia="Arial" w:hAnsi="Arial" w:cs="Arial"/>
        </w:rPr>
        <w:t xml:space="preserve"> </w:t>
      </w:r>
      <w:r>
        <w:tab/>
      </w:r>
      <w:r>
        <w:tab/>
      </w:r>
    </w:p>
    <w:p w:rsidR="00391799" w:rsidRDefault="00EB0E98">
      <w:pPr>
        <w:pStyle w:val="normal1"/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color w:val="000000"/>
          <w:sz w:val="26"/>
          <w:szCs w:val="26"/>
        </w:rPr>
        <w:t>C</w:t>
      </w:r>
      <w:r>
        <w:rPr>
          <w:b/>
          <w:sz w:val="26"/>
          <w:szCs w:val="26"/>
        </w:rPr>
        <w:t xml:space="preserve">arlos Augusto </w:t>
      </w:r>
      <w:proofErr w:type="spellStart"/>
      <w:r>
        <w:rPr>
          <w:b/>
          <w:sz w:val="26"/>
          <w:szCs w:val="26"/>
        </w:rPr>
        <w:t>Sanchotene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Bressan</w:t>
      </w:r>
      <w:proofErr w:type="spellEnd"/>
    </w:p>
    <w:p w:rsidR="00391799" w:rsidRDefault="00EB0E98">
      <w:pPr>
        <w:pStyle w:val="normal1"/>
        <w:spacing w:after="0" w:line="240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Diretor-Geral </w:t>
      </w:r>
    </w:p>
    <w:p w:rsidR="00391799" w:rsidRDefault="00EB0E98">
      <w:pPr>
        <w:pStyle w:val="normal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b/>
          <w:color w:val="000000"/>
          <w:sz w:val="20"/>
          <w:szCs w:val="20"/>
        </w:rPr>
        <w:t xml:space="preserve"> Secretaria de Obras Públicas</w:t>
      </w:r>
      <w:r>
        <w:rPr>
          <w:color w:val="000000"/>
          <w:sz w:val="20"/>
          <w:szCs w:val="20"/>
        </w:rPr>
        <w:t xml:space="preserve"> </w:t>
      </w:r>
    </w:p>
    <w:sectPr w:rsidR="00391799" w:rsidSect="00391799">
      <w:headerReference w:type="default" r:id="rId7"/>
      <w:footerReference w:type="default" r:id="rId8"/>
      <w:pgSz w:w="11906" w:h="16838"/>
      <w:pgMar w:top="1133" w:right="1417" w:bottom="1417" w:left="1700" w:header="283" w:footer="396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799" w:rsidRDefault="00391799" w:rsidP="00391799">
      <w:pPr>
        <w:spacing w:after="0" w:line="240" w:lineRule="auto"/>
      </w:pPr>
      <w:r>
        <w:separator/>
      </w:r>
    </w:p>
  </w:endnote>
  <w:endnote w:type="continuationSeparator" w:id="1">
    <w:p w:rsidR="00391799" w:rsidRDefault="00391799" w:rsidP="00391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99" w:rsidRDefault="00391799">
    <w:pPr>
      <w:pStyle w:val="normal1"/>
      <w:widowControl w:val="0"/>
      <w:pBdr>
        <w:top w:val="nil"/>
        <w:left w:val="nil"/>
        <w:bottom w:val="nil"/>
        <w:right w:val="nil"/>
        <w:between w:val="nil"/>
      </w:pBdr>
      <w:spacing w:after="0"/>
      <w:rPr>
        <w:color w:val="000000"/>
      </w:rPr>
    </w:pPr>
  </w:p>
  <w:tbl>
    <w:tblPr>
      <w:tblStyle w:val="af9"/>
      <w:tblW w:w="9360" w:type="dxa"/>
      <w:tblInd w:w="-108" w:type="dxa"/>
      <w:tblLayout w:type="fixed"/>
      <w:tblLook w:val="0600"/>
    </w:tblPr>
    <w:tblGrid>
      <w:gridCol w:w="8580"/>
      <w:gridCol w:w="255"/>
      <w:gridCol w:w="525"/>
    </w:tblGrid>
    <w:tr w:rsidR="00391799">
      <w:trPr>
        <w:cantSplit/>
        <w:trHeight w:val="253"/>
        <w:tblHeader/>
      </w:trPr>
      <w:tc>
        <w:tcPr>
          <w:tcW w:w="8580" w:type="dxa"/>
          <w:shd w:val="clear" w:color="auto" w:fill="auto"/>
        </w:tcPr>
        <w:p w:rsidR="00391799" w:rsidRDefault="00EB0E98">
          <w:pPr>
            <w:pStyle w:val="normal1"/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left="-115"/>
            <w:jc w:val="center"/>
            <w:rPr>
              <w:color w:val="666666"/>
            </w:rPr>
          </w:pPr>
          <w:r>
            <w:rPr>
              <w:color w:val="666666"/>
            </w:rPr>
            <w:t>Av. Borges de Medeiros, 1501 / 3º andar - Porto Alegre/RS</w:t>
          </w:r>
        </w:p>
      </w:tc>
      <w:tc>
        <w:tcPr>
          <w:tcW w:w="255" w:type="dxa"/>
          <w:shd w:val="clear" w:color="auto" w:fill="auto"/>
        </w:tcPr>
        <w:p w:rsidR="00391799" w:rsidRDefault="00391799">
          <w:pPr>
            <w:pStyle w:val="normal1"/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666666"/>
            </w:rPr>
          </w:pPr>
        </w:p>
      </w:tc>
      <w:tc>
        <w:tcPr>
          <w:tcW w:w="525" w:type="dxa"/>
          <w:shd w:val="clear" w:color="auto" w:fill="auto"/>
        </w:tcPr>
        <w:p w:rsidR="00391799" w:rsidRDefault="00391799">
          <w:pPr>
            <w:pStyle w:val="normal1"/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right="-115"/>
            <w:jc w:val="center"/>
            <w:rPr>
              <w:color w:val="666666"/>
            </w:rPr>
          </w:pPr>
          <w:r>
            <w:rPr>
              <w:color w:val="666666"/>
            </w:rPr>
            <w:fldChar w:fldCharType="begin"/>
          </w:r>
          <w:r w:rsidR="00EB0E98">
            <w:rPr>
              <w:color w:val="666666"/>
            </w:rPr>
            <w:instrText>PAGE</w:instrText>
          </w:r>
          <w:r w:rsidR="00EB0E98">
            <w:rPr>
              <w:color w:val="666666"/>
            </w:rPr>
            <w:fldChar w:fldCharType="separate"/>
          </w:r>
          <w:r w:rsidR="00EB0E98">
            <w:rPr>
              <w:noProof/>
              <w:color w:val="666666"/>
            </w:rPr>
            <w:t>3</w:t>
          </w:r>
          <w:r>
            <w:rPr>
              <w:color w:val="666666"/>
            </w:rPr>
            <w:fldChar w:fldCharType="end"/>
          </w:r>
        </w:p>
      </w:tc>
    </w:tr>
  </w:tbl>
  <w:p w:rsidR="00391799" w:rsidRDefault="00EB0E98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666666"/>
      </w:rPr>
    </w:pPr>
    <w:proofErr w:type="gramStart"/>
    <w:r>
      <w:rPr>
        <w:color w:val="666666"/>
      </w:rPr>
      <w:t>obras</w:t>
    </w:r>
    <w:proofErr w:type="gramEnd"/>
    <w:r>
      <w:rPr>
        <w:color w:val="666666"/>
      </w:rPr>
      <w:t>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799" w:rsidRDefault="00391799" w:rsidP="00391799">
      <w:pPr>
        <w:spacing w:after="0" w:line="240" w:lineRule="auto"/>
      </w:pPr>
      <w:r>
        <w:separator/>
      </w:r>
    </w:p>
  </w:footnote>
  <w:footnote w:type="continuationSeparator" w:id="1">
    <w:p w:rsidR="00391799" w:rsidRDefault="00391799" w:rsidP="003917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99" w:rsidRDefault="00EB0E98">
    <w:pPr>
      <w:pStyle w:val="normal1"/>
      <w:spacing w:after="0" w:line="240" w:lineRule="auto"/>
      <w:jc w:val="center"/>
    </w:pPr>
    <w:r>
      <w:rPr>
        <w:noProof/>
      </w:rPr>
      <w:drawing>
        <wp:inline distT="0" distB="0" distL="0" distR="0">
          <wp:extent cx="2726690" cy="1158875"/>
          <wp:effectExtent l="0" t="0" r="0" b="0"/>
          <wp:docPr id="2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26690" cy="1158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391799" w:rsidRDefault="00391799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1799"/>
    <w:rsid w:val="00391799"/>
    <w:rsid w:val="00EB0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391799"/>
    <w:pPr>
      <w:ind w:left="142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2">
    <w:name w:val="heading 2"/>
    <w:basedOn w:val="normal0"/>
    <w:next w:val="normal0"/>
    <w:rsid w:val="00391799"/>
    <w:pPr>
      <w:keepNext/>
      <w:spacing w:before="200" w:after="120"/>
      <w:outlineLvl w:val="1"/>
    </w:pPr>
    <w:rPr>
      <w:rFonts w:ascii="Liberation Sans" w:eastAsia="Liberation Sans" w:hAnsi="Liberation Sans" w:cs="Liberation Sans"/>
      <w:b/>
      <w:sz w:val="32"/>
      <w:szCs w:val="32"/>
    </w:rPr>
  </w:style>
  <w:style w:type="paragraph" w:styleId="Ttulo3">
    <w:name w:val="heading 3"/>
    <w:basedOn w:val="normal0"/>
    <w:next w:val="normal0"/>
    <w:rsid w:val="0039179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39179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39179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rsid w:val="0039179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391799"/>
  </w:style>
  <w:style w:type="table" w:customStyle="1" w:styleId="TableNormal">
    <w:name w:val="Table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Corpodetexto"/>
    <w:qFormat/>
    <w:rsid w:val="0039179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normal2">
    <w:name w:val="normal"/>
    <w:rsid w:val="00391799"/>
  </w:style>
  <w:style w:type="table" w:customStyle="1" w:styleId="TableNormal0">
    <w:name w:val="Table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391799"/>
  </w:style>
  <w:style w:type="table" w:customStyle="1" w:styleId="TableNormal1">
    <w:name w:val="Table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"/>
    <w:rsid w:val="00391799"/>
  </w:style>
  <w:style w:type="table" w:customStyle="1" w:styleId="TableNormal2">
    <w:name w:val="Table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"/>
    <w:rsid w:val="00391799"/>
  </w:style>
  <w:style w:type="table" w:customStyle="1" w:styleId="TableNormal3">
    <w:name w:val="Table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"/>
    <w:rsid w:val="00391799"/>
  </w:style>
  <w:style w:type="table" w:customStyle="1" w:styleId="TableNormal4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"/>
    <w:rsid w:val="00391799"/>
  </w:style>
  <w:style w:type="table" w:customStyle="1" w:styleId="TableNormal5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"/>
    <w:rsid w:val="00391799"/>
  </w:style>
  <w:style w:type="table" w:customStyle="1" w:styleId="TableNormal6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9">
    <w:name w:val="normal"/>
    <w:rsid w:val="00391799"/>
  </w:style>
  <w:style w:type="table" w:customStyle="1" w:styleId="TableNormal7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a">
    <w:name w:val="normal"/>
    <w:rsid w:val="00391799"/>
  </w:style>
  <w:style w:type="table" w:customStyle="1" w:styleId="TableNormal8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b">
    <w:name w:val="normal"/>
    <w:rsid w:val="00391799"/>
  </w:style>
  <w:style w:type="table" w:customStyle="1" w:styleId="TableNormal9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c">
    <w:name w:val="normal"/>
    <w:rsid w:val="00391799"/>
  </w:style>
  <w:style w:type="table" w:customStyle="1" w:styleId="TableNormala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d">
    <w:name w:val="normal"/>
    <w:rsid w:val="00391799"/>
  </w:style>
  <w:style w:type="table" w:customStyle="1" w:styleId="TableNormalb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e">
    <w:name w:val="normal"/>
    <w:rsid w:val="00391799"/>
  </w:style>
  <w:style w:type="table" w:customStyle="1" w:styleId="TableNormalc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f">
    <w:name w:val="normal"/>
    <w:rsid w:val="00391799"/>
  </w:style>
  <w:style w:type="table" w:customStyle="1" w:styleId="TableNormald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f0">
    <w:name w:val="normal"/>
    <w:rsid w:val="00391799"/>
  </w:style>
  <w:style w:type="table" w:customStyle="1" w:styleId="TableNormale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f1">
    <w:name w:val="normal"/>
    <w:rsid w:val="00391799"/>
  </w:style>
  <w:style w:type="table" w:customStyle="1" w:styleId="TableNormalf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f2">
    <w:name w:val="normal"/>
    <w:rsid w:val="00391799"/>
  </w:style>
  <w:style w:type="table" w:customStyle="1" w:styleId="TableNormalf0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f3">
    <w:name w:val="normal"/>
    <w:rsid w:val="00391799"/>
  </w:style>
  <w:style w:type="table" w:customStyle="1" w:styleId="TableNormalf1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f4">
    <w:name w:val="normal"/>
    <w:rsid w:val="00391799"/>
  </w:style>
  <w:style w:type="table" w:customStyle="1" w:styleId="TableNormalf2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f5">
    <w:name w:val="normal"/>
    <w:rsid w:val="00391799"/>
  </w:style>
  <w:style w:type="table" w:customStyle="1" w:styleId="TableNormalf3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f6">
    <w:name w:val="normal"/>
    <w:rsid w:val="00391799"/>
  </w:style>
  <w:style w:type="table" w:customStyle="1" w:styleId="TableNormalf4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f7">
    <w:name w:val="normal"/>
    <w:rsid w:val="00391799"/>
  </w:style>
  <w:style w:type="table" w:customStyle="1" w:styleId="TableNormalf5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f8">
    <w:name w:val="normal"/>
    <w:rsid w:val="00391799"/>
  </w:style>
  <w:style w:type="table" w:customStyle="1" w:styleId="TableNormalf6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"/>
    <w:rsid w:val="00391799"/>
  </w:style>
  <w:style w:type="table" w:customStyle="1" w:styleId="TableNormalf7">
    <w:name w:val="Table Normal"/>
    <w:rsid w:val="0039179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Header"/>
    <w:uiPriority w:val="99"/>
    <w:qFormat/>
    <w:rsid w:val="00E33918"/>
  </w:style>
  <w:style w:type="character" w:customStyle="1" w:styleId="RodapChar">
    <w:name w:val="Rodapé Char"/>
    <w:basedOn w:val="Fontepargpadro"/>
    <w:link w:val="Footer"/>
    <w:uiPriority w:val="99"/>
    <w:qFormat/>
    <w:rsid w:val="00E33918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3391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877FE"/>
    <w:rPr>
      <w:color w:val="0000FF" w:themeColor="hyperlink"/>
      <w:u w:val="single"/>
    </w:rPr>
  </w:style>
  <w:style w:type="paragraph" w:styleId="Corpodetexto">
    <w:name w:val="Body Text"/>
    <w:basedOn w:val="normal1"/>
    <w:rsid w:val="00391799"/>
    <w:pPr>
      <w:spacing w:after="140"/>
    </w:pPr>
  </w:style>
  <w:style w:type="paragraph" w:styleId="Lista">
    <w:name w:val="List"/>
    <w:basedOn w:val="Corpodetexto"/>
    <w:rsid w:val="00391799"/>
    <w:rPr>
      <w:rFonts w:cs="Arial Unicode MS"/>
    </w:rPr>
  </w:style>
  <w:style w:type="paragraph" w:customStyle="1" w:styleId="Caption">
    <w:name w:val="Caption"/>
    <w:basedOn w:val="normal1"/>
    <w:qFormat/>
    <w:rsid w:val="00391799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1"/>
    <w:qFormat/>
    <w:rsid w:val="00391799"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1"/>
    <w:qFormat/>
    <w:rsid w:val="00391799"/>
  </w:style>
  <w:style w:type="paragraph" w:customStyle="1" w:styleId="Header">
    <w:name w:val="Header"/>
    <w:basedOn w:val="normal1"/>
    <w:link w:val="CabealhoChar"/>
    <w:uiPriority w:val="99"/>
    <w:unhideWhenUsed/>
    <w:rsid w:val="00E3391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1"/>
    <w:link w:val="RodapChar"/>
    <w:uiPriority w:val="99"/>
    <w:unhideWhenUsed/>
    <w:rsid w:val="00E33918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1"/>
    <w:link w:val="TextodebaloChar"/>
    <w:uiPriority w:val="99"/>
    <w:semiHidden/>
    <w:unhideWhenUsed/>
    <w:qFormat/>
    <w:rsid w:val="00E3391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1"/>
    <w:uiPriority w:val="34"/>
    <w:qFormat/>
    <w:rsid w:val="00C877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leNormalf7"/>
    <w:rsid w:val="0039179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f7"/>
    <w:rsid w:val="0039179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1"/>
    <w:next w:val="normal1"/>
    <w:rsid w:val="0039179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9">
    <w:basedOn w:val="TableNormalf7"/>
    <w:rsid w:val="003917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TU4oxLFJx/Usy8s5At4kD1QbMA==">CgMxLjA4AHIhMW1aVVV5RkFFMVJkNHZqVXRHNWNKd0M0RzFHdjJRNWxq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823</Words>
  <Characters>4448</Characters>
  <Application>Microsoft Office Word</Application>
  <DocSecurity>0</DocSecurity>
  <Lines>37</Lines>
  <Paragraphs>10</Paragraphs>
  <ScaleCrop>false</ScaleCrop>
  <Company/>
  <LinksUpToDate>false</LinksUpToDate>
  <CharactersWithSpaces>5261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Gabinete/SPGG</dc:creator>
  <cp:lastModifiedBy>debora-silveira</cp:lastModifiedBy>
  <cp:revision>2</cp:revision>
  <dcterms:created xsi:type="dcterms:W3CDTF">2025-09-01T11:00:00Z</dcterms:created>
  <dcterms:modified xsi:type="dcterms:W3CDTF">2025-09-01T11:00:00Z</dcterms:modified>
</cp:coreProperties>
</file>