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 xml:space="preserve">DISPENSA ELETRÔNICA N° 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024</w:t>
      </w:r>
      <w:r>
        <w:rPr>
          <w:rStyle w:val="Fontepargpadro"/>
          <w:rFonts w:ascii="Calibri" w:hAnsi="Calibri"/>
          <w:b/>
          <w:bCs/>
          <w:color w:val="2A6099"/>
          <w:sz w:val="28"/>
          <w:szCs w:val="28"/>
        </w:rPr>
        <w:t>/2026</w:t>
      </w:r>
    </w:p>
    <w:p>
      <w:pPr>
        <w:pStyle w:val="Normal"/>
        <w:spacing w:lineRule="auto" w:line="276"/>
        <w:jc w:val="center"/>
        <w:rPr>
          <w:rFonts w:ascii="Calibri" w:hAnsi="Calibri"/>
          <w:b/>
          <w:bCs/>
          <w:color w:val="000000"/>
          <w:sz w:val="12"/>
          <w:szCs w:val="12"/>
        </w:rPr>
      </w:pPr>
      <w:r>
        <w:rPr>
          <w:rFonts w:ascii="Calibri" w:hAnsi="Calibri"/>
          <w:b/>
          <w:bCs/>
          <w:color w:val="000000"/>
          <w:sz w:val="12"/>
          <w:szCs w:val="12"/>
        </w:rPr>
      </w:r>
    </w:p>
    <w:p>
      <w:pPr>
        <w:pStyle w:val="Normal"/>
        <w:spacing w:lineRule="auto" w:line="276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ANEXO III</w:t>
      </w:r>
    </w:p>
    <w:p>
      <w:pPr>
        <w:pStyle w:val="Normal"/>
        <w:spacing w:lineRule="auto" w:line="276"/>
        <w:jc w:val="center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  <w:bCs/>
          <w:color w:val="000000"/>
        </w:rPr>
        <w:t>MODELO DE PROPOSTA</w:t>
      </w:r>
    </w:p>
    <w:p>
      <w:pPr>
        <w:pStyle w:val="Normal"/>
        <w:spacing w:lineRule="auto" w:line="276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Normal"/>
        <w:spacing w:lineRule="auto" w:line="36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À Prefeitura Municipal de Cachoeirinha-RS</w:t>
      </w:r>
    </w:p>
    <w:p>
      <w:pPr>
        <w:pStyle w:val="Normal"/>
        <w:spacing w:lineRule="auto" w:line="360"/>
        <w:jc w:val="both"/>
        <w:rPr/>
      </w:pP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 xml:space="preserve">DISPENSA ELETRÔNICA Nº </w:t>
      </w: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>024</w:t>
      </w:r>
      <w:r>
        <w:rPr>
          <w:rStyle w:val="Fontepargpadro"/>
          <w:rFonts w:ascii="Calibri" w:hAnsi="Calibri"/>
          <w:b/>
          <w:bCs/>
          <w:color w:val="000000"/>
          <w:shd w:fill="auto" w:val="clear"/>
        </w:rPr>
        <w:t>/2026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RAZÃO SOCIAL: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CNPJ: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ENDEREÇO COMPLETO: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PRAZO DE VALIDADE DA PROPOSTA: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ASSINATURA DO RESPONSÁVEL DA EMPRESA: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DATA DA ASSINATURA: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FONE:</w:t>
      </w:r>
    </w:p>
    <w:p>
      <w:pPr>
        <w:pStyle w:val="NormalWeb"/>
        <w:numPr>
          <w:ilvl w:val="0"/>
          <w:numId w:val="1"/>
        </w:numPr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E-MAIL:</w:t>
      </w:r>
    </w:p>
    <w:tbl>
      <w:tblPr>
        <w:tblW w:w="10031" w:type="dxa"/>
        <w:jc w:val="start"/>
        <w:tblInd w:w="-189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545"/>
        <w:gridCol w:w="5403"/>
        <w:gridCol w:w="801"/>
        <w:gridCol w:w="825"/>
        <w:gridCol w:w="1146"/>
        <w:gridCol w:w="1311"/>
      </w:tblGrid>
      <w:tr>
        <w:trPr/>
        <w:tc>
          <w:tcPr>
            <w:tcW w:w="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Calibri" w:cs="Calibri" w:ascii="Calibri" w:hAnsi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54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2"/>
                <w:szCs w:val="22"/>
              </w:rPr>
              <w:t>PRODUTO – DESCRIÇÃO</w:t>
            </w:r>
          </w:p>
        </w:tc>
        <w:tc>
          <w:tcPr>
            <w:tcW w:w="8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8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2"/>
                <w:szCs w:val="22"/>
              </w:rPr>
              <w:t>QTDE</w:t>
            </w:r>
          </w:p>
        </w:tc>
        <w:tc>
          <w:tcPr>
            <w:tcW w:w="11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13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8E8E8" w:val="clear"/>
            <w:vAlign w:val="center"/>
          </w:tcPr>
          <w:p>
            <w:pPr>
              <w:pStyle w:val="Normal"/>
              <w:spacing w:lineRule="auto" w:line="276"/>
              <w:jc w:val="center"/>
              <w:rPr>
                <w:rFonts w:ascii="Calibri" w:hAnsi="Calibri" w:eastAsia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>
        <w:trPr>
          <w:trHeight w:val="1606" w:hRule="atLeast"/>
        </w:trPr>
        <w:tc>
          <w:tcPr>
            <w:tcW w:w="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1</w:t>
            </w:r>
          </w:p>
        </w:tc>
        <w:tc>
          <w:tcPr>
            <w:tcW w:w="54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 xml:space="preserve">COPO PLÁSTICO DESCARTÁVEL 200 ML (PACOTE COM 100 UNIDADES) - </w:t>
            </w:r>
            <w:r>
              <w:rPr>
                <w:rFonts w:ascii="Calibri" w:hAnsi="Calibri"/>
                <w:sz w:val="22"/>
                <w:szCs w:val="22"/>
              </w:rPr>
              <w:t xml:space="preserve">Copo plástico descartável, capacidade de 200 mL, confeccionado em poliestireno (PS) ou polipropileno (PP), na cor branca ou transparente, atóxico, resistente à deformação durante o uso normal, produzido em conformidade com a </w:t>
            </w:r>
            <w:r>
              <w:rPr>
                <w:rFonts w:ascii="Calibri" w:hAnsi="Calibri"/>
                <w:b/>
                <w:bCs/>
                <w:sz w:val="22"/>
                <w:szCs w:val="22"/>
              </w:rPr>
              <w:t>ABNT NBR 14865</w:t>
            </w:r>
            <w:r>
              <w:rPr>
                <w:rFonts w:ascii="Calibri" w:hAnsi="Calibri"/>
                <w:sz w:val="22"/>
                <w:szCs w:val="22"/>
              </w:rPr>
              <w:t xml:space="preserve"> e com a legislação sanitária vigente. Embalagem com 100 unidades.</w:t>
            </w:r>
          </w:p>
        </w:tc>
        <w:tc>
          <w:tcPr>
            <w:tcW w:w="8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PCT</w:t>
            </w:r>
          </w:p>
        </w:tc>
        <w:tc>
          <w:tcPr>
            <w:tcW w:w="8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4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 xml:space="preserve">R$ </w:t>
            </w:r>
          </w:p>
        </w:tc>
        <w:tc>
          <w:tcPr>
            <w:tcW w:w="13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</w:tr>
      <w:tr>
        <w:trPr>
          <w:trHeight w:val="1606" w:hRule="atLeast"/>
        </w:trPr>
        <w:tc>
          <w:tcPr>
            <w:tcW w:w="54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2</w:t>
            </w:r>
          </w:p>
        </w:tc>
        <w:tc>
          <w:tcPr>
            <w:tcW w:w="540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olor w:val="000000"/>
                <w:sz w:val="22"/>
                <w:szCs w:val="22"/>
              </w:rPr>
              <w:t xml:space="preserve">DESINFETANTE DE USO GERAL (EMBALAGEM DE 5 LITROS) - </w:t>
            </w: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 xml:space="preserve">Desinfetante de uso geral, com ação bactericida, fragrância floral ou lavanda, acondicionado em embalagem de 5 litros, destinado à limpeza e desinfecção de superfícies laváveis, devidamente registrado junto à </w:t>
            </w: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olor w:val="000000"/>
                <w:sz w:val="22"/>
                <w:szCs w:val="22"/>
              </w:rPr>
              <w:t>ANVISA/MS</w:t>
            </w: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, em conformidade com a legislação vigente aplicável à regularização e classificação de produtos saneantes.</w:t>
            </w:r>
          </w:p>
        </w:tc>
        <w:tc>
          <w:tcPr>
            <w:tcW w:w="80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GALÃO</w:t>
            </w:r>
          </w:p>
        </w:tc>
        <w:tc>
          <w:tcPr>
            <w:tcW w:w="8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1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  <w:tc>
          <w:tcPr>
            <w:tcW w:w="13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</w:tr>
      <w:tr>
        <w:trPr>
          <w:trHeight w:val="1606" w:hRule="atLeast"/>
        </w:trPr>
        <w:tc>
          <w:tcPr>
            <w:tcW w:w="54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3</w:t>
            </w:r>
          </w:p>
        </w:tc>
        <w:tc>
          <w:tcPr>
            <w:tcW w:w="540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szCs w:val="22"/>
                <w:u w:val="none"/>
                <w:effect w:val="none"/>
                <w:shd w:fill="auto" w:val="clear"/>
              </w:rPr>
              <w:t xml:space="preserve">SACO PLÁSTICO PARA LIXO 100 L (PACOTE COM 100 UNIDADES) - </w:t>
            </w:r>
            <w:r>
              <w:rPr>
                <w:rFonts w:eastAsia="Calibri" w:cs="Calibri" w:ascii="Calibri" w:hAnsi="Calibri"/>
                <w:b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szCs w:val="22"/>
                <w:u w:val="none"/>
                <w:effect w:val="none"/>
                <w:shd w:fill="auto" w:val="clear"/>
              </w:rPr>
              <w:t xml:space="preserve">Saco plástico para acondicionamento de resíduos sólidos comuns, Classe I, capacidade nominal de 100 litros e carga nominal de 20 kg (Tipo E), confeccionado em resina termoplástica, na cor preta ou azul, medindo aproximadamente 75 cm × 105 cm, resistente à ruptura, perfuração e vazamento, em conformidade com a </w:t>
            </w: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szCs w:val="22"/>
                <w:u w:val="none"/>
                <w:effect w:val="none"/>
                <w:shd w:fill="auto" w:val="clear"/>
              </w:rPr>
              <w:t>ABNT NBR 9191</w:t>
            </w:r>
            <w:r>
              <w:rPr>
                <w:rFonts w:eastAsia="Calibri" w:cs="Calibri" w:ascii="Calibri" w:hAnsi="Calibri"/>
                <w:b w:val="false"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szCs w:val="22"/>
                <w:u w:val="none"/>
                <w:effect w:val="none"/>
                <w:shd w:fill="auto" w:val="clear"/>
              </w:rPr>
              <w:t>. Embalagem com 100 unidades, com identificação do fabricante, lote, dimensões, capacidade nominal e referência à norma técnica.</w:t>
            </w:r>
          </w:p>
        </w:tc>
        <w:tc>
          <w:tcPr>
            <w:tcW w:w="80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PCT</w:t>
            </w:r>
          </w:p>
        </w:tc>
        <w:tc>
          <w:tcPr>
            <w:tcW w:w="8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1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  <w:tc>
          <w:tcPr>
            <w:tcW w:w="13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</w:tr>
      <w:tr>
        <w:trPr>
          <w:trHeight w:val="1606" w:hRule="atLeast"/>
        </w:trPr>
        <w:tc>
          <w:tcPr>
            <w:tcW w:w="54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4</w:t>
            </w:r>
          </w:p>
        </w:tc>
        <w:tc>
          <w:tcPr>
            <w:tcW w:w="540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szCs w:val="22"/>
                <w:u w:val="none"/>
                <w:effect w:val="none"/>
                <w:shd w:fill="auto" w:val="clear"/>
              </w:rPr>
              <w:t xml:space="preserve">SACO PLÁSTICO PARA LIXO 50 L (PACOTE COM 100 UNIDADES) - </w:t>
            </w: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 xml:space="preserve">Saco plástico para acondicionamento de resíduos sólidos comuns, Classe I, capacidade nominal de 50 litros e carga nominal de 10 kg (Tipo C), confeccionado em resina termoplástica, na cor preta ou azul, medindo aproximadamente 63 cm × 80 cm, resistente à ruptura, perfuração e vazamento, em conformidade com a </w:t>
            </w: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olor w:val="000000"/>
                <w:sz w:val="22"/>
                <w:szCs w:val="22"/>
              </w:rPr>
              <w:t>ABNT NBR 9191</w:t>
            </w: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. Embalagem com 100 unidades, com identificação do fabricante, lote, dimensões, capacidade nominal e referência à norma técnica.</w:t>
            </w:r>
          </w:p>
        </w:tc>
        <w:tc>
          <w:tcPr>
            <w:tcW w:w="80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PCT</w:t>
            </w:r>
          </w:p>
        </w:tc>
        <w:tc>
          <w:tcPr>
            <w:tcW w:w="8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1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  <w:tc>
          <w:tcPr>
            <w:tcW w:w="13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</w:tr>
      <w:tr>
        <w:trPr>
          <w:trHeight w:val="1606" w:hRule="atLeast"/>
        </w:trPr>
        <w:tc>
          <w:tcPr>
            <w:tcW w:w="54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5</w:t>
            </w:r>
          </w:p>
        </w:tc>
        <w:tc>
          <w:tcPr>
            <w:tcW w:w="540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color w:val="000000"/>
                <w:sz w:val="22"/>
                <w:szCs w:val="22"/>
                <w:u w:val="none"/>
                <w:effect w:val="none"/>
                <w:shd w:fill="auto" w:val="clear"/>
              </w:rPr>
              <w:t xml:space="preserve">SACO PLÁSTICO PARA LIXO 30 L (PACOTE COM 100 UNIDADES) - </w:t>
            </w: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 xml:space="preserve">Saco plástico para acondicionamento de resíduos sólidos comuns, Classe I, capacidade nominal de 30 litros e carga nominal de 6 kg (Tipo B), confeccionado em resina termoplástica, na cor preta ou azul, medindo aproximadamente 59 cm × 62 cm, resistente à ruptura, perfuração e vazamento, em conformidade com a </w:t>
            </w:r>
            <w:r>
              <w:rPr>
                <w:rFonts w:eastAsia="Calibri" w:cs="Calibri" w:ascii="Calibri" w:hAnsi="Calibri"/>
                <w:b/>
                <w:bCs/>
                <w:i w:val="false"/>
                <w:iCs w:val="false"/>
                <w:color w:val="000000"/>
                <w:sz w:val="22"/>
                <w:szCs w:val="22"/>
              </w:rPr>
              <w:t>ABNT NBR 9191</w:t>
            </w: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. Embalagem com 100 unidades, com identificação do fabricante, lote, dimensões, capacidade nominal e referência à norma técnica.</w:t>
            </w:r>
          </w:p>
        </w:tc>
        <w:tc>
          <w:tcPr>
            <w:tcW w:w="80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PCT</w:t>
            </w:r>
          </w:p>
        </w:tc>
        <w:tc>
          <w:tcPr>
            <w:tcW w:w="8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eastAsia="Calibri" w:cs="Calibri" w:ascii="Calibri" w:hAnsi="Calibri"/>
                <w:i w:val="false"/>
                <w:iCs w:val="false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146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  <w:tc>
          <w:tcPr>
            <w:tcW w:w="13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76" w:before="0" w:after="0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R$ </w:t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</w:r>
    </w:p>
    <w:p>
      <w:pPr>
        <w:pStyle w:val="NormalWeb"/>
        <w:spacing w:lineRule="auto" w:line="360" w:before="0" w:after="0"/>
        <w:ind w:hanging="0" w:end="49"/>
        <w:rPr/>
      </w:pPr>
      <w:r>
        <w:rPr>
          <w:rStyle w:val="Fontepargpadro"/>
          <w:rFonts w:ascii="Calibri" w:hAnsi="Calibri"/>
          <w:b/>
          <w:bCs/>
          <w:color w:val="000000"/>
          <w:u w:val="single"/>
          <w:shd w:fill="FFFF00" w:val="clear"/>
        </w:rPr>
        <w:t>OBSERVAÇÕES:</w:t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both"/>
        <w:rPr/>
      </w:pPr>
      <w:r>
        <w:rPr>
          <w:rStyle w:val="Fontepargpadro"/>
          <w:rFonts w:ascii="Calibri" w:hAnsi="Calibri"/>
          <w:b/>
          <w:bCs/>
          <w:color w:val="000000"/>
          <w:shd w:fill="FFFF00" w:val="clear"/>
        </w:rPr>
        <w:t xml:space="preserve">TODOS OS CAMPOS </w:t>
      </w:r>
      <w:r>
        <w:rPr>
          <w:rStyle w:val="Fontepargpadro"/>
          <w:rFonts w:ascii="Calibri" w:hAnsi="Calibri"/>
          <w:b/>
          <w:bCs/>
          <w:color w:val="000000"/>
        </w:rPr>
        <w:t>DA PROPOSTA ACIMA SÃO DE PREENCHIMENTO OBRIGATÓRIO PARA A CORRETA IDENTIFICAÇÃO E CONTATO COM O LICITANTE;</w:t>
      </w:r>
    </w:p>
    <w:p>
      <w:pPr>
        <w:pStyle w:val="NormalWeb"/>
        <w:spacing w:lineRule="auto" w:line="360" w:before="0" w:after="0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20" w:top="777" w:footer="72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Ecofont_Spranq_eco_Sans">
    <w:altName w:val="Calibr"/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Calibri" w:hAnsi="Calibri" w:cs="Calibri"/>
        <w:iCs/>
        <w:sz w:val="16"/>
        <w:szCs w:val="16"/>
      </w:rPr>
    </w:pPr>
    <w:r>
      <w:rPr>
        <w:rFonts w:cs="Calibri" w:ascii="Calibri" w:hAnsi="Calibri"/>
        <w:iCs/>
        <w:sz w:val="16"/>
        <w:szCs w:val="16"/>
      </w:rPr>
      <w:t>Av. Flores da Cunha, 2209 – Cachoeirinha –RS CEP 94.910-003</w:t>
    </w:r>
  </w:p>
  <w:p>
    <w:pPr>
      <w:pStyle w:val="Standard"/>
      <w:ind w:hanging="0" w:end="360"/>
      <w:jc w:val="center"/>
      <w:rPr/>
    </w:pPr>
    <w:r>
      <w:rPr>
        <w:rStyle w:val="Fontepargpadro"/>
        <w:rFonts w:cs="Calibri" w:ascii="Calibri" w:hAnsi="Calibri"/>
        <w:iCs/>
        <w:sz w:val="16"/>
        <w:szCs w:val="16"/>
      </w:rPr>
      <w:t xml:space="preserve">E-mail: </w:t>
    </w:r>
    <w:hyperlink r:id="rId1" w:tgtFrame="_top">
      <w:r>
        <w:rPr>
          <w:rStyle w:val="Style9"/>
          <w:rFonts w:cs="Calibri" w:ascii="Calibri" w:hAnsi="Calibri"/>
          <w:iCs/>
          <w:color w:val="000080"/>
          <w:sz w:val="16"/>
          <w:szCs w:val="16"/>
          <w:u w:val="single"/>
        </w:rPr>
        <w:t>compras.administracao@cachoeirinha.rs.gov.br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Site: </w:t>
    </w:r>
    <w:hyperlink r:id="rId2" w:tgtFrame="_top">
      <w:r>
        <w:rPr>
          <w:rStyle w:val="Style9"/>
          <w:rFonts w:cs="Calibri" w:ascii="Calibri" w:hAnsi="Calibri"/>
          <w:iCs/>
          <w:color w:val="000080"/>
          <w:sz w:val="16"/>
          <w:szCs w:val="16"/>
          <w:u w:val="single"/>
        </w:rPr>
        <w:t>cachoeirinha.atende.net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Fone: (51)3041-7126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Calibri" w:hAnsi="Calibri" w:cs="Calibri"/>
        <w:iCs/>
        <w:sz w:val="16"/>
        <w:szCs w:val="16"/>
      </w:rPr>
    </w:pPr>
    <w:r>
      <w:rPr>
        <w:rFonts w:cs="Calibri" w:ascii="Calibri" w:hAnsi="Calibri"/>
        <w:iCs/>
        <w:sz w:val="16"/>
        <w:szCs w:val="16"/>
      </w:rPr>
      <w:t>Av. Flores da Cunha, 2209 – Cachoeirinha –RS CEP 94.910-003</w:t>
    </w:r>
  </w:p>
  <w:p>
    <w:pPr>
      <w:pStyle w:val="Standard"/>
      <w:ind w:hanging="0" w:end="360"/>
      <w:jc w:val="center"/>
      <w:rPr/>
    </w:pPr>
    <w:r>
      <w:rPr>
        <w:rStyle w:val="Fontepargpadro"/>
        <w:rFonts w:cs="Calibri" w:ascii="Calibri" w:hAnsi="Calibri"/>
        <w:iCs/>
        <w:sz w:val="16"/>
        <w:szCs w:val="16"/>
      </w:rPr>
      <w:t xml:space="preserve">E-mail: </w:t>
    </w:r>
    <w:hyperlink r:id="rId1" w:tgtFrame="_top">
      <w:r>
        <w:rPr>
          <w:rStyle w:val="Style9"/>
          <w:rFonts w:cs="Calibri" w:ascii="Calibri" w:hAnsi="Calibri"/>
          <w:iCs/>
          <w:color w:val="000080"/>
          <w:sz w:val="16"/>
          <w:szCs w:val="16"/>
          <w:u w:val="single"/>
        </w:rPr>
        <w:t>compras.administracao@cachoeirinha.rs.gov.br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Site: </w:t>
    </w:r>
    <w:hyperlink r:id="rId2" w:tgtFrame="_top">
      <w:r>
        <w:rPr>
          <w:rStyle w:val="Style9"/>
          <w:rFonts w:cs="Calibri" w:ascii="Calibri" w:hAnsi="Calibri"/>
          <w:iCs/>
          <w:color w:val="000080"/>
          <w:sz w:val="16"/>
          <w:szCs w:val="16"/>
          <w:u w:val="single"/>
        </w:rPr>
        <w:t>cachoeirinha.atende.net</w:t>
      </w:r>
    </w:hyperlink>
    <w:r>
      <w:rPr>
        <w:rStyle w:val="Fontepargpadro"/>
        <w:rFonts w:cs="Calibri" w:ascii="Calibri" w:hAnsi="Calibri"/>
        <w:iCs/>
        <w:sz w:val="16"/>
        <w:szCs w:val="16"/>
      </w:rPr>
      <w:t xml:space="preserve"> Fone: (51)3041-7126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center" w:pos="4950" w:leader="none"/>
        <w:tab w:val="center" w:pos="4986" w:leader="none"/>
        <w:tab w:val="right" w:pos="9900" w:leader="none"/>
        <w:tab w:val="right" w:pos="9972" w:leader="none"/>
      </w:tabs>
      <w:jc w:val="center"/>
      <w:rPr/>
    </w:pPr>
    <w:r>
      <w:rPr/>
      <w:drawing>
        <wp:inline distT="0" distB="0" distL="0" distR="0">
          <wp:extent cx="525780" cy="479425"/>
          <wp:effectExtent l="0" t="0" r="0" b="0"/>
          <wp:docPr id="1" name="Imagem 1" descr="wordml://7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wordml://75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479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/>
    </w:pPr>
    <w:r>
      <w:rPr>
        <w:rStyle w:val="Fontepargpadro"/>
        <w:rFonts w:cs="Calibri" w:ascii="Calibri" w:hAnsi="Calibri"/>
        <w:b/>
        <w:iCs/>
        <w:sz w:val="16"/>
        <w:szCs w:val="16"/>
      </w:rPr>
      <w:t>ESTADO DO RIO GRANDE DO SUL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iCs/>
        <w:sz w:val="16"/>
        <w:szCs w:val="16"/>
      </w:rPr>
    </w:pPr>
    <w:r>
      <w:rPr>
        <w:rFonts w:cs="Calibri" w:ascii="Calibri" w:hAnsi="Calibri"/>
        <w:b/>
        <w:iCs/>
        <w:sz w:val="16"/>
        <w:szCs w:val="16"/>
      </w:rPr>
      <w:t>PREFEITURA MUNICIPAL DE CACHOEIRINHA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SECRETARIA MUNICIPAL DE ADMINISTRAÇÃO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SUPERINTENDÊNCIA DE COMPRAS E LICITAÇÕES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sz w:val="10"/>
        <w:szCs w:val="10"/>
      </w:rPr>
    </w:pPr>
    <w:r>
      <w:rPr>
        <w:rFonts w:cs="Calibri" w:ascii="Calibri" w:hAnsi="Calibri"/>
        <w:b/>
        <w:sz w:val="10"/>
        <w:szCs w:val="1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9"/>
        <w:tab w:val="center" w:pos="4950" w:leader="none"/>
        <w:tab w:val="center" w:pos="4986" w:leader="none"/>
        <w:tab w:val="right" w:pos="9900" w:leader="none"/>
        <w:tab w:val="right" w:pos="9972" w:leader="none"/>
      </w:tabs>
      <w:jc w:val="center"/>
      <w:rPr/>
    </w:pPr>
    <w:r>
      <w:rPr/>
      <w:drawing>
        <wp:inline distT="0" distB="0" distL="0" distR="0">
          <wp:extent cx="525780" cy="479425"/>
          <wp:effectExtent l="0" t="0" r="0" b="0"/>
          <wp:docPr id="2" name="Imagem 1" descr="wordml://7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wordml://75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479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/>
    </w:pPr>
    <w:r>
      <w:rPr>
        <w:rStyle w:val="Fontepargpadro"/>
        <w:rFonts w:cs="Calibri" w:ascii="Calibri" w:hAnsi="Calibri"/>
        <w:b/>
        <w:iCs/>
        <w:sz w:val="16"/>
        <w:szCs w:val="16"/>
      </w:rPr>
      <w:t>ESTADO DO RIO GRANDE DO SUL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iCs/>
        <w:sz w:val="16"/>
        <w:szCs w:val="16"/>
      </w:rPr>
    </w:pPr>
    <w:r>
      <w:rPr>
        <w:rFonts w:cs="Calibri" w:ascii="Calibri" w:hAnsi="Calibri"/>
        <w:b/>
        <w:iCs/>
        <w:sz w:val="16"/>
        <w:szCs w:val="16"/>
      </w:rPr>
      <w:t>PREFEITURA MUNICIPAL DE CACHOEIRINHA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SECRETARIA MUNICIPAL DE ADMINISTRAÇÃO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sz w:val="16"/>
        <w:szCs w:val="16"/>
      </w:rPr>
    </w:pPr>
    <w:r>
      <w:rPr>
        <w:rFonts w:cs="Calibri" w:ascii="Calibri" w:hAnsi="Calibri"/>
        <w:b/>
        <w:sz w:val="16"/>
        <w:szCs w:val="16"/>
      </w:rPr>
      <w:t>SUPERINTENDÊNCIA DE COMPRAS E LICITAÇÕES</w:t>
    </w:r>
  </w:p>
  <w:p>
    <w:pPr>
      <w:pStyle w:val="Normal"/>
      <w:tabs>
        <w:tab w:val="clear" w:pos="709"/>
        <w:tab w:val="center" w:pos="4986" w:leader="none"/>
        <w:tab w:val="right" w:pos="9972" w:leader="none"/>
      </w:tabs>
      <w:jc w:val="center"/>
      <w:rPr>
        <w:rFonts w:ascii="Calibri" w:hAnsi="Calibri" w:cs="Calibri"/>
        <w:b/>
        <w:sz w:val="10"/>
        <w:szCs w:val="10"/>
      </w:rPr>
    </w:pPr>
    <w:r>
      <w:rPr>
        <w:rFonts w:cs="Calibri" w:ascii="Calibri" w:hAnsi="Calibri"/>
        <w:b/>
        <w:sz w:val="10"/>
        <w:szCs w:val="1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6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character" w:styleId="Fontepargpadro">
    <w:name w:val="Fonte parág. padrão"/>
    <w:qFormat/>
    <w:rPr/>
  </w:style>
  <w:style w:type="character" w:styleId="Hyperlink">
    <w:name w:val="Hyperlink"/>
    <w:qFormat/>
    <w:rPr>
      <w:color w:val="000080"/>
      <w:u w:val="single"/>
    </w:rPr>
  </w:style>
  <w:style w:type="character" w:styleId="Smbolosdenumeraouser">
    <w:name w:val="Símbolos de numeração (user)"/>
    <w:qFormat/>
    <w:rPr/>
  </w:style>
  <w:style w:type="character" w:styleId="Character20style">
    <w:name w:val="Character_20_style"/>
    <w:qFormat/>
    <w:rPr/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character" w:styleId="Fontepargpadro1">
    <w:name w:val="Fonte parág. padrão1"/>
    <w:qFormat/>
    <w:rPr/>
  </w:style>
  <w:style w:type="character" w:styleId="WWCharLFO5LVL1">
    <w:name w:val="WW_CharLFO5LVL1"/>
    <w:qFormat/>
    <w:rPr>
      <w:rFonts w:ascii="Times New Roman" w:hAnsi="Times New Roman" w:cs="Symbol"/>
    </w:rPr>
  </w:style>
  <w:style w:type="character" w:styleId="WWCharLFO5LVL2">
    <w:name w:val="WW_CharLFO5LVL2"/>
    <w:qFormat/>
    <w:rPr>
      <w:rFonts w:ascii="Times New Roman" w:hAnsi="Times New Roman" w:cs="OpenSymbol"/>
    </w:rPr>
  </w:style>
  <w:style w:type="character" w:styleId="WWCharLFO5LVL3">
    <w:name w:val="WW_CharLFO5LVL3"/>
    <w:qFormat/>
    <w:rPr>
      <w:rFonts w:ascii="Times New Roman" w:hAnsi="Times New Roman" w:cs="OpenSymbol"/>
    </w:rPr>
  </w:style>
  <w:style w:type="character" w:styleId="WWCharLFO5LVL4">
    <w:name w:val="WW_CharLFO5LVL4"/>
    <w:qFormat/>
    <w:rPr>
      <w:rFonts w:ascii="Times New Roman" w:hAnsi="Times New Roman" w:cs="Symbol"/>
    </w:rPr>
  </w:style>
  <w:style w:type="character" w:styleId="WWCharLFO5LVL5">
    <w:name w:val="WW_CharLFO5LVL5"/>
    <w:qFormat/>
    <w:rPr>
      <w:rFonts w:ascii="Times New Roman" w:hAnsi="Times New Roman" w:cs="OpenSymbol"/>
    </w:rPr>
  </w:style>
  <w:style w:type="character" w:styleId="WWCharLFO5LVL6">
    <w:name w:val="WW_CharLFO5LVL6"/>
    <w:qFormat/>
    <w:rPr>
      <w:rFonts w:ascii="Times New Roman" w:hAnsi="Times New Roman" w:cs="OpenSymbol"/>
    </w:rPr>
  </w:style>
  <w:style w:type="character" w:styleId="WWCharLFO5LVL7">
    <w:name w:val="WW_CharLFO5LVL7"/>
    <w:qFormat/>
    <w:rPr>
      <w:rFonts w:ascii="Times New Roman" w:hAnsi="Times New Roman" w:cs="Symbol"/>
    </w:rPr>
  </w:style>
  <w:style w:type="character" w:styleId="WWCharLFO5LVL8">
    <w:name w:val="WW_CharLFO5LVL8"/>
    <w:qFormat/>
    <w:rPr>
      <w:rFonts w:ascii="Times New Roman" w:hAnsi="Times New Roman" w:cs="OpenSymbol"/>
    </w:rPr>
  </w:style>
  <w:style w:type="character" w:styleId="WWCharLFO5LVL9">
    <w:name w:val="WW_CharLFO5LVL9"/>
    <w:qFormat/>
    <w:rPr>
      <w:rFonts w:ascii="Times New Roman" w:hAnsi="Times New Roman" w:cs="OpenSymbol"/>
    </w:rPr>
  </w:style>
  <w:style w:type="character" w:styleId="WWCharLFO6LVL1">
    <w:name w:val="WW_CharLFO6LVL1"/>
    <w:qFormat/>
    <w:rPr>
      <w:rFonts w:ascii="OpenSymbol" w:hAnsi="OpenSymbol" w:eastAsia="OpenSymbol" w:cs="OpenSymbol"/>
    </w:rPr>
  </w:style>
  <w:style w:type="character" w:styleId="WWCharLFO6LVL2">
    <w:name w:val="WW_CharLFO6LVL2"/>
    <w:qFormat/>
    <w:rPr>
      <w:rFonts w:ascii="OpenSymbol" w:hAnsi="OpenSymbol" w:eastAsia="OpenSymbol" w:cs="OpenSymbol"/>
    </w:rPr>
  </w:style>
  <w:style w:type="character" w:styleId="WWCharLFO6LVL3">
    <w:name w:val="WW_CharLFO6LVL3"/>
    <w:qFormat/>
    <w:rPr>
      <w:rFonts w:ascii="OpenSymbol" w:hAnsi="OpenSymbol" w:eastAsia="OpenSymbol" w:cs="OpenSymbol"/>
    </w:rPr>
  </w:style>
  <w:style w:type="character" w:styleId="WWCharLFO6LVL4">
    <w:name w:val="WW_CharLFO6LVL4"/>
    <w:qFormat/>
    <w:rPr>
      <w:rFonts w:ascii="OpenSymbol" w:hAnsi="OpenSymbol" w:eastAsia="OpenSymbol" w:cs="OpenSymbol"/>
    </w:rPr>
  </w:style>
  <w:style w:type="character" w:styleId="WWCharLFO6LVL5">
    <w:name w:val="WW_CharLFO6LVL5"/>
    <w:qFormat/>
    <w:rPr>
      <w:rFonts w:ascii="OpenSymbol" w:hAnsi="OpenSymbol" w:eastAsia="OpenSymbol" w:cs="OpenSymbol"/>
    </w:rPr>
  </w:style>
  <w:style w:type="character" w:styleId="WWCharLFO6LVL6">
    <w:name w:val="WW_CharLFO6LVL6"/>
    <w:qFormat/>
    <w:rPr>
      <w:rFonts w:ascii="OpenSymbol" w:hAnsi="OpenSymbol" w:eastAsia="OpenSymbol" w:cs="OpenSymbol"/>
    </w:rPr>
  </w:style>
  <w:style w:type="character" w:styleId="WWCharLFO6LVL7">
    <w:name w:val="WW_CharLFO6LVL7"/>
    <w:qFormat/>
    <w:rPr>
      <w:rFonts w:ascii="OpenSymbol" w:hAnsi="OpenSymbol" w:eastAsia="OpenSymbol" w:cs="OpenSymbol"/>
    </w:rPr>
  </w:style>
  <w:style w:type="character" w:styleId="WWCharLFO6LVL8">
    <w:name w:val="WW_CharLFO6LVL8"/>
    <w:qFormat/>
    <w:rPr>
      <w:rFonts w:ascii="OpenSymbol" w:hAnsi="OpenSymbol" w:eastAsia="OpenSymbol" w:cs="OpenSymbol"/>
    </w:rPr>
  </w:style>
  <w:style w:type="character" w:styleId="WWCharLFO6LVL9">
    <w:name w:val="WW_CharLFO6LVL9"/>
    <w:qFormat/>
    <w:rPr>
      <w:rFonts w:ascii="OpenSymbol" w:hAnsi="OpenSymbol" w:eastAsia="OpenSymbol" w:cs="OpenSymbol"/>
    </w:rPr>
  </w:style>
  <w:style w:type="character" w:styleId="WWCharLFO7LVL1">
    <w:name w:val="WW_CharLFO7LVL1"/>
    <w:qFormat/>
    <w:rPr>
      <w:rFonts w:ascii="OpenSymbol" w:hAnsi="OpenSymbol" w:eastAsia="OpenSymbol" w:cs="OpenSymbol"/>
    </w:rPr>
  </w:style>
  <w:style w:type="character" w:styleId="WWCharLFO7LVL2">
    <w:name w:val="WW_CharLFO7LVL2"/>
    <w:qFormat/>
    <w:rPr>
      <w:rFonts w:ascii="OpenSymbol" w:hAnsi="OpenSymbol" w:eastAsia="OpenSymbol" w:cs="OpenSymbol"/>
    </w:rPr>
  </w:style>
  <w:style w:type="character" w:styleId="WWCharLFO7LVL3">
    <w:name w:val="WW_CharLFO7LVL3"/>
    <w:qFormat/>
    <w:rPr>
      <w:rFonts w:ascii="OpenSymbol" w:hAnsi="OpenSymbol" w:eastAsia="OpenSymbol" w:cs="OpenSymbol"/>
    </w:rPr>
  </w:style>
  <w:style w:type="character" w:styleId="WWCharLFO7LVL4">
    <w:name w:val="WW_CharLFO7LVL4"/>
    <w:qFormat/>
    <w:rPr>
      <w:rFonts w:ascii="OpenSymbol" w:hAnsi="OpenSymbol" w:eastAsia="OpenSymbol" w:cs="OpenSymbol"/>
    </w:rPr>
  </w:style>
  <w:style w:type="character" w:styleId="WWCharLFO7LVL5">
    <w:name w:val="WW_CharLFO7LVL5"/>
    <w:qFormat/>
    <w:rPr>
      <w:rFonts w:ascii="OpenSymbol" w:hAnsi="OpenSymbol" w:eastAsia="OpenSymbol" w:cs="OpenSymbol"/>
    </w:rPr>
  </w:style>
  <w:style w:type="character" w:styleId="WWCharLFO7LVL6">
    <w:name w:val="WW_CharLFO7LVL6"/>
    <w:qFormat/>
    <w:rPr>
      <w:rFonts w:ascii="OpenSymbol" w:hAnsi="OpenSymbol" w:eastAsia="OpenSymbol" w:cs="OpenSymbol"/>
    </w:rPr>
  </w:style>
  <w:style w:type="character" w:styleId="WWCharLFO7LVL7">
    <w:name w:val="WW_CharLFO7LVL7"/>
    <w:qFormat/>
    <w:rPr>
      <w:rFonts w:ascii="OpenSymbol" w:hAnsi="OpenSymbol" w:eastAsia="OpenSymbol" w:cs="OpenSymbol"/>
    </w:rPr>
  </w:style>
  <w:style w:type="character" w:styleId="WWCharLFO7LVL8">
    <w:name w:val="WW_CharLFO7LVL8"/>
    <w:qFormat/>
    <w:rPr>
      <w:rFonts w:ascii="OpenSymbol" w:hAnsi="OpenSymbol" w:eastAsia="OpenSymbol" w:cs="OpenSymbol"/>
    </w:rPr>
  </w:style>
  <w:style w:type="character" w:styleId="WWCharLFO7LVL9">
    <w:name w:val="WW_CharLFO7LVL9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uppressAutoHyphens w:val="true"/>
      <w:spacing w:lineRule="auto" w:line="276" w:before="0" w:after="140"/>
    </w:pPr>
    <w:rPr/>
  </w:style>
  <w:style w:type="paragraph" w:styleId="List">
    <w:name w:val="List"/>
    <w:basedOn w:val="BodyText"/>
    <w:pPr>
      <w:suppressAutoHyphens w:val="true"/>
    </w:pPr>
    <w:rPr/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ndiceuser">
    <w:name w:val="Índice (user)"/>
    <w:basedOn w:val="Normal"/>
    <w:qFormat/>
    <w:pPr>
      <w:suppressLineNumbers/>
      <w:suppressAutoHyphens w:val="true"/>
    </w:pPr>
    <w:rPr/>
  </w:style>
  <w:style w:type="paragraph" w:styleId="LO-Normal">
    <w:name w:val="LO-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  <w:suppressAutoHyphens w:val="true"/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CabealhoeRodap"/>
    <w:pPr>
      <w:suppressAutoHyphens w:val="true"/>
    </w:pPr>
    <w:rPr/>
  </w:style>
  <w:style w:type="paragraph" w:styleId="Contedodatabelauser">
    <w:name w:val="Conteúdo da tabela (user)"/>
    <w:basedOn w:val="Normal"/>
    <w:qFormat/>
    <w:pPr>
      <w:widowControl w:val="false"/>
      <w:suppressLineNumbers/>
      <w:suppressAutoHyphens w:val="true"/>
    </w:pPr>
    <w:rPr/>
  </w:style>
  <w:style w:type="paragraph" w:styleId="PargrafodaLista">
    <w:name w:val="Parágrafo da Lista"/>
    <w:basedOn w:val="Normal"/>
    <w:qFormat/>
    <w:pPr>
      <w:tabs>
        <w:tab w:val="clear" w:pos="709"/>
      </w:tabs>
      <w:suppressAutoHyphens w:val="false"/>
      <w:ind w:hanging="0" w:start="720"/>
    </w:pPr>
    <w:rPr>
      <w:rFonts w:ascii="Ecofont_Spranq_eco_Sans;Calibr" w:hAnsi="Ecofont_Spranq_eco_Sans;Calibr" w:eastAsia="MS Mincho" w:cs="Tahoma"/>
      <w:kern w:val="0"/>
    </w:rPr>
  </w:style>
  <w:style w:type="paragraph" w:styleId="ou">
    <w:name w:val="ou"/>
    <w:basedOn w:val="PargrafodaLista"/>
    <w:qFormat/>
    <w:pPr>
      <w:suppressAutoHyphens w:val="false"/>
      <w:spacing w:before="60" w:after="60"/>
      <w:ind w:hanging="0" w:start="0"/>
      <w:jc w:val="center"/>
    </w:pPr>
    <w:rPr>
      <w:rFonts w:ascii="Arial" w:hAnsi="Arial" w:eastAsia="Arial" w:cs="Arial"/>
      <w:b/>
      <w:bCs/>
      <w:i/>
      <w:iCs/>
      <w:color w:val="FF0000"/>
      <w:u w:val="single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star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Cs w:val="24"/>
      <w:u w:val="none"/>
      <w:shd w:fill="auto" w:val="clear"/>
      <w:vertAlign w:val="baseline"/>
      <w:em w:val="none"/>
      <w:lang w:val="pt-BR" w:eastAsia="zh-CN" w:bidi="hi-IN"/>
    </w:rPr>
  </w:style>
  <w:style w:type="paragraph" w:styleId="NormalWeb">
    <w:name w:val="Normal (Web)"/>
    <w:basedOn w:val="Standard"/>
    <w:qFormat/>
    <w:pPr>
      <w:suppressAutoHyphens w:val="true"/>
      <w:spacing w:before="280" w:after="119"/>
    </w:pPr>
    <w:rPr/>
  </w:style>
  <w:style w:type="paragraph" w:styleId="Textopadro">
    <w:name w:val="Texto padrão"/>
    <w:basedOn w:val="Standard"/>
    <w:qFormat/>
    <w:pPr>
      <w:widowControl w:val="false"/>
      <w:suppressAutoHyphens w:val="false"/>
    </w:pPr>
    <w:rPr>
      <w:rFonts w:ascii="Arial" w:hAnsi="Arial" w:eastAsia="Arial" w:cs="Arial"/>
      <w:bCs/>
      <w:szCs w:val="20"/>
      <w:lang w:val="en-US"/>
    </w:rPr>
  </w:style>
  <w:style w:type="paragraph" w:styleId="Footer">
    <w:name w:val="footer"/>
    <w:basedOn w:val="CabealhoeRodap"/>
    <w:pPr>
      <w:suppressAutoHyphens w:val="true"/>
    </w:pPr>
    <w:rPr/>
  </w:style>
  <w:style w:type="numbering" w:styleId="WW8Num2">
    <w:name w:val="WW8Num2"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6">
    <w:name w:val="WW8Num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compras.administracao@cachoeirinha.rs.gov.br" TargetMode="External"/><Relationship Id="rId2" Type="http://schemas.openxmlformats.org/officeDocument/2006/relationships/hyperlink" Target="http://www.cachoeirinha.rs.gov.br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compras.administracao@cachoeirinha.rs.gov.br" TargetMode="External"/><Relationship Id="rId2" Type="http://schemas.openxmlformats.org/officeDocument/2006/relationships/hyperlink" Target="http://www.cachoeirinha.rs.gov.br/" TargetMode="Externa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</TotalTime>
  <Application>LibreOffice/25.8.4.2$Windows_X86_64 LibreOffice_project/290daaa01b999472f0c7a3890eb6a550fd74c6df</Application>
  <AppVersion>15.0000</AppVersion>
  <Pages>2</Pages>
  <Words>517</Words>
  <Characters>2943</Characters>
  <CharactersWithSpaces>3402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2024-03-06T19:33:00Z</dcterms:created>
  <dc:creator>usuario</dc:creator>
  <dc:description/>
  <dc:language>pt-BR</dc:language>
  <cp:lastModifiedBy/>
  <dcterms:modified xsi:type="dcterms:W3CDTF">2026-07-16T13:29:58Z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