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Standard"/>
        <w:spacing w:lineRule="auto" w:line="276"/>
        <w:jc w:val="both"/>
        <w:rPr>
          <w:rFonts w:ascii="Arial" w:hAnsi="Arial"/>
        </w:rPr>
      </w:pPr>
      <w:r>
        <w:rPr>
          <w:rFonts w:cs="Arial" w:ascii="Arial" w:hAnsi="Arial"/>
          <w:b/>
          <w:bCs/>
          <w:sz w:val="28"/>
          <w:szCs w:val="28"/>
          <w:lang w:eastAsia="ar-SA"/>
        </w:rPr>
        <w:t xml:space="preserve">A PREFEITURA MUNICIPAL DE BAGÉ, </w:t>
      </w:r>
      <w:r>
        <w:rPr>
          <w:rFonts w:cs="Arial" w:ascii="Arial" w:hAnsi="Arial"/>
          <w:sz w:val="28"/>
          <w:szCs w:val="28"/>
          <w:lang w:eastAsia="ar-SA"/>
        </w:rPr>
        <w:t>através da Comissão Permanente de Licitações, torna público para ciência dos interessados, o resultado do seguinte processo:</w:t>
      </w:r>
    </w:p>
    <w:p>
      <w:pPr>
        <w:pStyle w:val="Standard"/>
        <w:jc w:val="center"/>
        <w:rPr>
          <w:rFonts w:ascii="Arial" w:hAnsi="Arial" w:cs="Arial"/>
          <w:sz w:val="28"/>
          <w:szCs w:val="28"/>
          <w:lang w:eastAsia="ar-SA"/>
        </w:rPr>
      </w:pPr>
      <w:r>
        <w:rPr>
          <w:rFonts w:cs="Arial" w:ascii="Arial" w:hAnsi="Arial"/>
          <w:sz w:val="28"/>
          <w:szCs w:val="28"/>
          <w:lang w:eastAsia="ar-SA"/>
        </w:rPr>
      </w:r>
    </w:p>
    <w:p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jc w:val="center"/>
        <w:rPr>
          <w:rFonts w:ascii="Arial" w:hAnsi="Arial"/>
        </w:rPr>
      </w:pPr>
      <w:r>
        <w:rPr>
          <w:rFonts w:cs="Arial" w:ascii="Arial" w:hAnsi="Arial"/>
          <w:b/>
          <w:sz w:val="28"/>
          <w:szCs w:val="28"/>
          <w:u w:val="single"/>
          <w:lang w:eastAsia="ar-SA"/>
        </w:rPr>
        <w:t>EXTRATO DISPENSA DE LICITAÇÃO 0129/2024</w:t>
      </w:r>
    </w:p>
    <w:p>
      <w:pPr>
        <w:pStyle w:val="Standard"/>
        <w:spacing w:before="240" w:after="200"/>
        <w:ind w:right="18"/>
        <w:jc w:val="both"/>
        <w:rPr>
          <w:rFonts w:ascii="Arial" w:hAnsi="Arial"/>
        </w:rPr>
      </w:pPr>
      <w:r>
        <w:rPr>
          <w:rFonts w:cs="Arial" w:ascii="Arial" w:hAnsi="Arial"/>
          <w:b/>
          <w:sz w:val="28"/>
          <w:szCs w:val="28"/>
          <w:lang w:eastAsia="ar-SA"/>
        </w:rPr>
        <w:t>Objeto</w:t>
      </w:r>
      <w:r>
        <w:rPr>
          <w:rFonts w:cs="Arial" w:ascii="Arial" w:hAnsi="Arial"/>
          <w:sz w:val="28"/>
          <w:szCs w:val="28"/>
          <w:lang w:eastAsia="ar-SA"/>
        </w:rPr>
        <w:t xml:space="preserve">: </w:t>
      </w:r>
      <w:r>
        <w:rPr>
          <w:rFonts w:cs="Arial" w:ascii="Arial" w:hAnsi="Arial"/>
          <w:b w:val="false"/>
          <w:bCs w:val="false"/>
          <w:sz w:val="28"/>
          <w:szCs w:val="28"/>
          <w:lang w:eastAsia="ar-SA"/>
        </w:rPr>
        <w:t xml:space="preserve">Contratação de empresa especializada  para manutenção com fornecimento de peças do veículo LD Triton </w:t>
      </w:r>
      <w:r>
        <w:rPr>
          <w:rFonts w:cs="Arial" w:ascii="Calibri" w:hAnsi="Calibri"/>
          <w:b w:val="false"/>
          <w:bCs w:val="false"/>
          <w:sz w:val="28"/>
          <w:szCs w:val="28"/>
          <w:lang w:eastAsia="ar-SA"/>
        </w:rPr>
        <w:t>placa ITZ 9E30, pertencente à Secretaria de Segurança e Mobilidade Urbana- SSM.</w:t>
      </w:r>
    </w:p>
    <w:p>
      <w:pPr>
        <w:pStyle w:val="Normal"/>
        <w:spacing w:before="240" w:after="200"/>
        <w:ind w:right="18"/>
        <w:jc w:val="both"/>
        <w:rPr>
          <w:rFonts w:ascii="Arial" w:hAnsi="Arial"/>
        </w:rPr>
      </w:pPr>
      <w:r>
        <w:rPr>
          <w:rFonts w:cs="Arial" w:ascii="Arial" w:hAnsi="Arial"/>
          <w:b/>
          <w:bCs/>
          <w:sz w:val="28"/>
          <w:szCs w:val="28"/>
          <w:lang w:eastAsia="ar-SA"/>
        </w:rPr>
        <w:t>CONTRATADO: O. R. PERES E CIA LTDA</w:t>
      </w:r>
    </w:p>
    <w:p>
      <w:pPr>
        <w:pStyle w:val="Normal"/>
        <w:spacing w:before="240" w:after="200"/>
        <w:ind w:right="18"/>
        <w:jc w:val="both"/>
        <w:rPr>
          <w:rFonts w:ascii="Arial" w:hAnsi="Arial"/>
        </w:rPr>
      </w:pPr>
      <w:r>
        <w:rPr>
          <w:rFonts w:cs="Arial" w:ascii="Arial" w:hAnsi="Arial"/>
          <w:b/>
          <w:bCs/>
          <w:sz w:val="28"/>
          <w:szCs w:val="28"/>
          <w:lang w:eastAsia="ar-SA"/>
        </w:rPr>
        <w:t>CNPJ: 51.730.394/0001-74</w:t>
      </w:r>
    </w:p>
    <w:p>
      <w:pPr>
        <w:pStyle w:val="Normal"/>
        <w:spacing w:before="240" w:after="200"/>
        <w:ind w:right="18"/>
        <w:jc w:val="both"/>
        <w:rPr>
          <w:rFonts w:ascii="Arial" w:hAnsi="Arial"/>
        </w:rPr>
      </w:pPr>
      <w:r>
        <w:rPr>
          <w:rFonts w:cs="Arial" w:ascii="Arial" w:hAnsi="Arial"/>
          <w:b/>
          <w:bCs/>
          <w:sz w:val="28"/>
          <w:szCs w:val="28"/>
          <w:lang w:eastAsia="ar-SA"/>
        </w:rPr>
        <w:t xml:space="preserve">VALOR TOTAL: R$ 2726,83 </w:t>
      </w:r>
      <w:r>
        <w:rPr>
          <w:rFonts w:cs="Arial" w:ascii="Arial" w:hAnsi="Arial"/>
          <w:b w:val="false"/>
          <w:bCs w:val="false"/>
          <w:sz w:val="28"/>
          <w:szCs w:val="28"/>
          <w:lang w:eastAsia="ar-SA"/>
        </w:rPr>
        <w:t xml:space="preserve">(Dois mil e setecentos  e vinte e seis reais e oitenta e três centavos) </w:t>
      </w:r>
    </w:p>
    <w:p>
      <w:pPr>
        <w:pStyle w:val="Normal"/>
        <w:spacing w:before="240" w:after="200"/>
        <w:ind w:right="18"/>
        <w:jc w:val="both"/>
        <w:rPr>
          <w:rFonts w:ascii="Arial" w:hAnsi="Arial"/>
          <w:b w:val="false"/>
          <w:bCs w:val="false"/>
          <w:sz w:val="28"/>
          <w:szCs w:val="28"/>
        </w:rPr>
      </w:pPr>
      <w:r>
        <w:rPr>
          <w:rFonts w:ascii="Arial" w:hAnsi="Arial"/>
          <w:b w:val="false"/>
          <w:bCs w:val="false"/>
          <w:sz w:val="28"/>
          <w:szCs w:val="28"/>
        </w:rPr>
      </w:r>
    </w:p>
    <w:p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before="240" w:after="200"/>
        <w:rPr>
          <w:rFonts w:ascii="Arial" w:hAnsi="Arial"/>
        </w:rPr>
      </w:pPr>
      <w:r>
        <w:rPr>
          <w:rFonts w:cs="Arial" w:ascii="Arial" w:hAnsi="Arial"/>
          <w:b/>
          <w:sz w:val="28"/>
          <w:szCs w:val="28"/>
          <w:lang w:eastAsia="ar-SA"/>
        </w:rPr>
        <w:t>Fundamento Legal:</w:t>
      </w:r>
      <w:r>
        <w:rPr>
          <w:rFonts w:cs="Arial" w:ascii="Arial" w:hAnsi="Arial"/>
          <w:sz w:val="28"/>
          <w:szCs w:val="28"/>
          <w:lang w:eastAsia="ar-SA"/>
        </w:rPr>
        <w:t xml:space="preserve"> Dispensa de Licitação com base no art. 75, §7º da Lei Federal nº 14.133/2021 e suas alterações.</w:t>
      </w:r>
    </w:p>
    <w:p>
      <w:pPr>
        <w:pStyle w:val="Normal"/>
        <w:spacing w:before="240" w:after="200"/>
        <w:rPr>
          <w:rFonts w:ascii="Arial" w:hAnsi="Arial" w:cs="Arial"/>
          <w:sz w:val="28"/>
          <w:szCs w:val="28"/>
          <w:lang w:eastAsia="pt-BR"/>
        </w:rPr>
      </w:pPr>
      <w:r>
        <w:rPr>
          <w:rFonts w:cs="Arial" w:ascii="Arial" w:hAnsi="Arial"/>
          <w:sz w:val="28"/>
          <w:szCs w:val="28"/>
          <w:lang w:eastAsia="pt-BR"/>
        </w:rPr>
      </w:r>
    </w:p>
    <w:p>
      <w:pPr>
        <w:pStyle w:val="Contedodoquadr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tabs>
          <w:tab w:val="clear" w:pos="708"/>
          <w:tab w:val="left" w:pos="1265" w:leader="none"/>
          <w:tab w:val="left" w:pos="2514" w:leader="none"/>
          <w:tab w:val="left" w:pos="3763" w:leader="none"/>
          <w:tab w:val="left" w:pos="5012" w:leader="none"/>
          <w:tab w:val="left" w:pos="6262" w:leader="none"/>
          <w:tab w:val="left" w:pos="7511" w:leader="none"/>
        </w:tabs>
        <w:spacing w:before="240" w:after="200"/>
        <w:jc w:val="both"/>
        <w:rPr>
          <w:rFonts w:ascii="Arial" w:hAnsi="Arial"/>
        </w:rPr>
      </w:pPr>
      <w:r>
        <w:rPr>
          <w:rFonts w:eastAsia="Times New Roman" w:cs="Arial" w:ascii="Arial" w:hAnsi="Arial"/>
          <w:b/>
          <w:i/>
          <w:color w:val="000000"/>
          <w:kern w:val="2"/>
          <w:sz w:val="28"/>
          <w:szCs w:val="28"/>
          <w:lang w:eastAsia="ar-SA"/>
        </w:rPr>
        <w:t>Documento publicado no Átrio Municipal em consonância com a Lei Federal 14.133/2021.</w:t>
      </w:r>
    </w:p>
    <w:p>
      <w:pPr>
        <w:pStyle w:val="Normal"/>
        <w:spacing w:before="240" w:after="200"/>
        <w:rPr>
          <w:rFonts w:ascii="Arial" w:hAnsi="Arial" w:cs="Arial"/>
          <w:sz w:val="28"/>
          <w:szCs w:val="28"/>
          <w:lang w:eastAsia="pt-BR"/>
        </w:rPr>
      </w:pPr>
      <w:r>
        <w:rPr>
          <w:rFonts w:cs="Arial" w:ascii="Arial" w:hAnsi="Arial"/>
          <w:sz w:val="28"/>
          <w:szCs w:val="28"/>
          <w:lang w:eastAsia="pt-BR"/>
        </w:rPr>
      </w:r>
    </w:p>
    <w:p>
      <w:pPr>
        <w:pStyle w:val="Standard"/>
        <w:jc w:val="right"/>
        <w:rPr>
          <w:rFonts w:ascii="Arial" w:hAnsi="Arial" w:cs="Arial"/>
          <w:sz w:val="28"/>
          <w:szCs w:val="28"/>
          <w:lang w:eastAsia="ar-SA"/>
        </w:rPr>
      </w:pPr>
      <w:r>
        <w:rPr>
          <w:rFonts w:cs="Arial" w:ascii="Arial" w:hAnsi="Arial"/>
          <w:sz w:val="28"/>
          <w:szCs w:val="28"/>
          <w:lang w:eastAsia="ar-SA"/>
        </w:rPr>
      </w:r>
    </w:p>
    <w:p>
      <w:pPr>
        <w:pStyle w:val="Standard"/>
        <w:jc w:val="right"/>
        <w:rPr>
          <w:rFonts w:ascii="Arial" w:hAnsi="Arial" w:cs="Arial"/>
          <w:sz w:val="28"/>
          <w:szCs w:val="28"/>
          <w:lang w:eastAsia="ar-SA"/>
        </w:rPr>
      </w:pPr>
      <w:r>
        <w:rPr>
          <w:rFonts w:cs="Arial" w:ascii="Arial" w:hAnsi="Arial"/>
          <w:sz w:val="28"/>
          <w:szCs w:val="28"/>
          <w:lang w:eastAsia="ar-SA"/>
        </w:rPr>
      </w:r>
    </w:p>
    <w:p>
      <w:pPr>
        <w:pStyle w:val="Standard"/>
        <w:jc w:val="right"/>
        <w:rPr>
          <w:rFonts w:ascii="Arial" w:hAnsi="Arial" w:cs="Arial"/>
          <w:sz w:val="28"/>
          <w:szCs w:val="28"/>
          <w:lang w:eastAsia="ar-SA"/>
        </w:rPr>
      </w:pPr>
      <w:r>
        <w:rPr>
          <w:rFonts w:cs="Arial" w:ascii="Arial" w:hAnsi="Arial"/>
          <w:sz w:val="28"/>
          <w:szCs w:val="28"/>
          <w:lang w:eastAsia="ar-SA"/>
        </w:rPr>
        <w:t>Publicado em 1</w:t>
      </w:r>
      <w:r>
        <w:rPr>
          <w:rFonts w:cs="Arial" w:ascii="Arial" w:hAnsi="Arial"/>
          <w:sz w:val="28"/>
          <w:szCs w:val="28"/>
          <w:lang w:eastAsia="ar-SA"/>
        </w:rPr>
        <w:t>8</w:t>
      </w:r>
      <w:r>
        <w:rPr>
          <w:rFonts w:cs="Arial" w:ascii="Arial" w:hAnsi="Arial"/>
          <w:sz w:val="28"/>
          <w:szCs w:val="28"/>
          <w:lang w:eastAsia="ar-SA"/>
        </w:rPr>
        <w:t xml:space="preserve"> de outubro de 2024.</w:t>
      </w:r>
    </w:p>
    <w:p>
      <w:pPr>
        <w:pStyle w:val="Standard"/>
        <w:jc w:val="right"/>
        <w:rPr>
          <w:rFonts w:ascii="Arial" w:hAnsi="Arial" w:cs="Arial"/>
          <w:sz w:val="28"/>
          <w:szCs w:val="28"/>
          <w:lang w:eastAsia="ar-SA"/>
        </w:rPr>
      </w:pPr>
      <w:r>
        <w:rPr>
          <w:rFonts w:cs="Arial" w:ascii="Arial" w:hAnsi="Arial"/>
          <w:sz w:val="28"/>
          <w:szCs w:val="28"/>
          <w:lang w:eastAsia="ar-SA"/>
        </w:rPr>
      </w:r>
    </w:p>
    <w:p>
      <w:pPr>
        <w:pStyle w:val="Standard"/>
        <w:jc w:val="right"/>
        <w:rPr/>
      </w:pPr>
      <w:r>
        <w:rPr/>
      </w:r>
    </w:p>
    <w:p>
      <w:pPr>
        <w:pStyle w:val="Standard"/>
        <w:jc w:val="center"/>
        <w:rPr>
          <w:rFonts w:ascii="Arial" w:hAnsi="Arial" w:cs="Arial"/>
          <w:sz w:val="28"/>
          <w:szCs w:val="28"/>
          <w:lang w:eastAsia="ar-SA"/>
        </w:rPr>
      </w:pPr>
      <w:r>
        <w:rPr>
          <w:rFonts w:cs="Arial" w:ascii="Arial" w:hAnsi="Arial"/>
          <w:sz w:val="28"/>
          <w:szCs w:val="28"/>
          <w:lang w:eastAsia="ar-SA"/>
        </w:rPr>
      </w:r>
    </w:p>
    <w:p>
      <w:pPr>
        <w:pStyle w:val="Standard"/>
        <w:jc w:val="center"/>
        <w:rPr>
          <w:rFonts w:ascii="Arial" w:hAnsi="Arial" w:cs="Arial"/>
          <w:sz w:val="28"/>
          <w:szCs w:val="28"/>
          <w:lang w:eastAsia="ar-SA"/>
        </w:rPr>
      </w:pPr>
      <w:r>
        <w:rPr>
          <w:rFonts w:cs="Arial" w:ascii="Arial" w:hAnsi="Arial"/>
          <w:sz w:val="28"/>
          <w:szCs w:val="28"/>
          <w:lang w:eastAsia="ar-SA"/>
        </w:rPr>
        <w:t>COORDENADORIA DE COMPRAS, LICITAÇÕES E CONTRATOS</w:t>
      </w:r>
    </w:p>
    <w:p>
      <w:pPr>
        <w:pStyle w:val="Normal"/>
        <w:tabs>
          <w:tab w:val="clear" w:pos="708"/>
          <w:tab w:val="left" w:pos="8145" w:leader="none"/>
        </w:tabs>
        <w:spacing w:before="0" w:after="200"/>
        <w:rPr>
          <w:rFonts w:ascii="Arial" w:hAnsi="Arial" w:eastAsia="Times New Roman" w:cs="Arial"/>
          <w:kern w:val="2"/>
          <w:sz w:val="28"/>
          <w:szCs w:val="28"/>
          <w:lang w:eastAsia="ar-SA"/>
        </w:rPr>
      </w:pPr>
      <w:r>
        <w:rPr>
          <w:rFonts w:eastAsia="Times New Roman" w:cs="Arial" w:ascii="Arial" w:hAnsi="Arial"/>
          <w:kern w:val="2"/>
          <w:sz w:val="28"/>
          <w:szCs w:val="28"/>
          <w:lang w:eastAsia="ar-SA"/>
        </w:rPr>
        <w:tab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284" w:top="2552" w:footer="185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rFonts w:ascii="Arial" w:hAnsi="Arial" w:cs="Arial"/>
        <w:smallCaps/>
        <w:color w:val="000000"/>
        <w:sz w:val="16"/>
        <w:szCs w:val="16"/>
      </w:rPr>
    </w:pPr>
    <w:r>
      <w:rPr>
        <w:rFonts w:cs="Arial" w:ascii="Arial" w:hAnsi="Arial"/>
        <w:smallCaps/>
        <w:color w:val="000000"/>
        <w:sz w:val="16"/>
        <w:szCs w:val="16"/>
      </w:rPr>
      <w:t>Prefeitura Municipal de Bagé – SEFIR - SCL</w:t>
    </w:r>
  </w:p>
  <w:p>
    <w:pPr>
      <w:pStyle w:val="Footer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w:drawing>
        <wp:inline distT="0" distB="0" distL="0" distR="0">
          <wp:extent cx="5742940" cy="115252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2940" cy="1152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2f6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sid w:val="00782f60"/>
    <w:rPr/>
  </w:style>
  <w:style w:type="character" w:styleId="CabealhoChar" w:customStyle="1">
    <w:name w:val="Cabeçalho Char"/>
    <w:qFormat/>
    <w:rsid w:val="00782f60"/>
    <w:rPr>
      <w:sz w:val="22"/>
      <w:szCs w:val="22"/>
    </w:rPr>
  </w:style>
  <w:style w:type="character" w:styleId="RodapChar" w:customStyle="1">
    <w:name w:val="Rodapé Char"/>
    <w:qFormat/>
    <w:rsid w:val="00782f60"/>
    <w:rPr>
      <w:sz w:val="22"/>
      <w:szCs w:val="22"/>
    </w:rPr>
  </w:style>
  <w:style w:type="character" w:styleId="TextodebaloChar" w:customStyle="1">
    <w:name w:val="Texto de balão Char"/>
    <w:qFormat/>
    <w:rsid w:val="00782f60"/>
    <w:rPr>
      <w:rFonts w:ascii="Tahoma" w:hAnsi="Tahoma" w:cs="Tahoma"/>
      <w:sz w:val="16"/>
      <w:szCs w:val="16"/>
    </w:rPr>
  </w:style>
  <w:style w:type="character" w:styleId="Fontepargpadro5">
    <w:name w:val="Fonte parág. padrão5"/>
    <w:qFormat/>
    <w:rPr/>
  </w:style>
  <w:style w:type="character" w:styleId="Fontepargpadro20">
    <w:name w:val="Fonte parág. padrão2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782f60"/>
    <w:pPr>
      <w:spacing w:lineRule="auto" w:line="288" w:before="0" w:after="140"/>
    </w:pPr>
    <w:rPr/>
  </w:style>
  <w:style w:type="paragraph" w:styleId="List">
    <w:name w:val="List"/>
    <w:basedOn w:val="BodyText"/>
    <w:rsid w:val="00782f60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782f60"/>
    <w:pPr>
      <w:suppressLineNumbers/>
    </w:pPr>
    <w:rPr>
      <w:rFonts w:cs="Free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rsid w:val="00782f60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Ttulo1" w:customStyle="1">
    <w:name w:val="Título1"/>
    <w:basedOn w:val="Normal"/>
    <w:next w:val="BodyText"/>
    <w:qFormat/>
    <w:rsid w:val="00782f60"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andard" w:customStyle="1">
    <w:name w:val="Standard"/>
    <w:qFormat/>
    <w:rsid w:val="00782f60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rsid w:val="00782f6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782f60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qFormat/>
    <w:rsid w:val="00782f6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oquadro" w:customStyle="1">
    <w:name w:val="Conteúdo do quadro"/>
    <w:basedOn w:val="Normal"/>
    <w:qFormat/>
    <w:rsid w:val="00782f60"/>
    <w:pPr/>
    <w:rPr/>
  </w:style>
  <w:style w:type="paragraph" w:styleId="NormalWeb">
    <w:name w:val="Normal (Web)"/>
    <w:basedOn w:val="Normal"/>
    <w:qFormat/>
    <w:pPr>
      <w:spacing w:lineRule="auto" w:line="276" w:before="280" w:after="142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Western">
    <w:name w:val="western"/>
    <w:basedOn w:val="Normal"/>
    <w:qFormat/>
    <w:pPr>
      <w:suppressAutoHyphens w:val="true"/>
      <w:spacing w:before="280" w:after="11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LibreOffice/7.6.4.1$Windows_X86_64 LibreOffice_project/e19e193f88cd6c0525a17fb7a176ed8e6a3e2aa1</Application>
  <AppVersion>15.0000</AppVersion>
  <Pages>1</Pages>
  <Words>132</Words>
  <Characters>734</Characters>
  <CharactersWithSpaces>860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2024-03-22T20:56:00Z</dcterms:created>
  <dc:creator>sefaz</dc:creator>
  <dc:description/>
  <dc:language>pt-BR</dc:language>
  <cp:lastModifiedBy/>
  <cp:lastPrinted>2024-10-04T08:12:48Z</cp:lastPrinted>
  <dcterms:modified xsi:type="dcterms:W3CDTF">2024-10-17T13:15:12Z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