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2BD" w:rsidRPr="00946006" w:rsidRDefault="002472BD" w:rsidP="00FC1A5F">
      <w:pPr>
        <w:jc w:val="center"/>
        <w:rPr>
          <w:rFonts w:ascii="Arial" w:hAnsi="Arial" w:cs="Arial"/>
          <w:b/>
          <w:color w:val="000000" w:themeColor="text1"/>
        </w:rPr>
      </w:pPr>
    </w:p>
    <w:p w:rsidR="00FC1A5F" w:rsidRPr="00946006" w:rsidRDefault="00FC1A5F" w:rsidP="00FC1A5F">
      <w:pPr>
        <w:jc w:val="center"/>
        <w:rPr>
          <w:rFonts w:ascii="Arial" w:hAnsi="Arial" w:cs="Arial"/>
          <w:b/>
          <w:color w:val="000000" w:themeColor="text1"/>
        </w:rPr>
      </w:pPr>
      <w:r w:rsidRPr="00946006">
        <w:rPr>
          <w:rFonts w:ascii="Arial" w:hAnsi="Arial" w:cs="Arial"/>
          <w:b/>
          <w:color w:val="000000" w:themeColor="text1"/>
        </w:rPr>
        <w:t>ANEXO 1- ESTUDO TÉCNICO PRELIMINAR</w:t>
      </w:r>
    </w:p>
    <w:p w:rsidR="00FC1A5F" w:rsidRPr="00946006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46006">
        <w:rPr>
          <w:rFonts w:ascii="Arial" w:hAnsi="Arial" w:cs="Arial"/>
          <w:b/>
          <w:color w:val="000000" w:themeColor="text1"/>
        </w:rPr>
        <w:t>OBJETO</w:t>
      </w:r>
      <w:r w:rsidRPr="00946006">
        <w:rPr>
          <w:rFonts w:ascii="Arial" w:hAnsi="Arial" w:cs="Arial"/>
          <w:color w:val="000000" w:themeColor="text1"/>
        </w:rPr>
        <w:t>: Constitui objeto deste Estudo Técnico Preliminar o registro de pr</w:t>
      </w:r>
      <w:r w:rsidR="002472BD" w:rsidRPr="00946006">
        <w:rPr>
          <w:rFonts w:ascii="Arial" w:hAnsi="Arial" w:cs="Arial"/>
          <w:color w:val="000000" w:themeColor="text1"/>
        </w:rPr>
        <w:t>eços para contratação de empres</w:t>
      </w:r>
      <w:r w:rsidR="009A07AC">
        <w:rPr>
          <w:rFonts w:ascii="Arial" w:hAnsi="Arial" w:cs="Arial"/>
          <w:color w:val="000000" w:themeColor="text1"/>
        </w:rPr>
        <w:t>a especializada no fornecimento</w:t>
      </w:r>
      <w:r w:rsidR="002472BD" w:rsidRPr="00946006">
        <w:rPr>
          <w:rFonts w:ascii="Arial" w:hAnsi="Arial" w:cs="Arial"/>
          <w:color w:val="000000" w:themeColor="text1"/>
        </w:rPr>
        <w:t xml:space="preserve"> de brinquedos infláveis.</w:t>
      </w:r>
    </w:p>
    <w:p w:rsidR="00FC1A5F" w:rsidRPr="00946006" w:rsidRDefault="00FC1A5F" w:rsidP="00FC1A5F">
      <w:pPr>
        <w:pStyle w:val="PargrafodaLista"/>
        <w:rPr>
          <w:rFonts w:ascii="Arial" w:hAnsi="Arial" w:cs="Arial"/>
          <w:color w:val="000000" w:themeColor="text1"/>
        </w:rPr>
      </w:pPr>
    </w:p>
    <w:p w:rsidR="00FC1A5F" w:rsidRPr="00946006" w:rsidRDefault="00FC1A5F" w:rsidP="00FC1A5F">
      <w:pPr>
        <w:pStyle w:val="PargrafodaLista"/>
        <w:ind w:left="360"/>
        <w:jc w:val="both"/>
        <w:rPr>
          <w:rFonts w:ascii="Arial" w:hAnsi="Arial" w:cs="Arial"/>
          <w:color w:val="000000" w:themeColor="text1"/>
        </w:rPr>
      </w:pPr>
    </w:p>
    <w:p w:rsidR="00FC1A5F" w:rsidRPr="00946006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46006">
        <w:rPr>
          <w:rFonts w:ascii="Arial" w:hAnsi="Arial" w:cs="Arial"/>
          <w:b/>
          <w:color w:val="000000" w:themeColor="text1"/>
        </w:rPr>
        <w:t xml:space="preserve"> ÓRGÃOS GERENCIADOR E PARTICIPANTES</w:t>
      </w:r>
      <w:r w:rsidRPr="00946006">
        <w:rPr>
          <w:rFonts w:ascii="Arial" w:hAnsi="Arial" w:cs="Arial"/>
          <w:color w:val="000000" w:themeColor="text1"/>
        </w:rPr>
        <w:t>:</w:t>
      </w:r>
    </w:p>
    <w:p w:rsidR="00FC1A5F" w:rsidRPr="00946006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46006">
        <w:rPr>
          <w:rFonts w:ascii="Arial" w:hAnsi="Arial" w:cs="Arial"/>
          <w:color w:val="000000" w:themeColor="text1"/>
        </w:rPr>
        <w:t>Órgão Gerenciador:</w:t>
      </w:r>
      <w:r w:rsidR="002472BD" w:rsidRPr="00946006">
        <w:rPr>
          <w:rFonts w:ascii="Arial" w:hAnsi="Arial" w:cs="Arial"/>
          <w:color w:val="000000" w:themeColor="text1"/>
        </w:rPr>
        <w:t xml:space="preserve"> Sec. Assistência Social</w:t>
      </w:r>
    </w:p>
    <w:p w:rsidR="00FC1A5F" w:rsidRPr="00946006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46006">
        <w:rPr>
          <w:rFonts w:ascii="Arial" w:hAnsi="Arial" w:cs="Arial"/>
          <w:color w:val="000000" w:themeColor="text1"/>
        </w:rPr>
        <w:t>Órgão(s) Participante(s):</w:t>
      </w:r>
      <w:r w:rsidR="002472BD" w:rsidRPr="00946006">
        <w:rPr>
          <w:rFonts w:ascii="Arial" w:hAnsi="Arial" w:cs="Arial"/>
          <w:color w:val="000000" w:themeColor="text1"/>
        </w:rPr>
        <w:t xml:space="preserve"> Sec. Educação</w:t>
      </w:r>
    </w:p>
    <w:p w:rsidR="00FC1A5F" w:rsidRPr="00946006" w:rsidRDefault="00FC1A5F" w:rsidP="00FC1A5F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FC1A5F" w:rsidRPr="00946006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46006">
        <w:rPr>
          <w:rFonts w:ascii="Arial" w:hAnsi="Arial" w:cs="Arial"/>
          <w:b/>
          <w:color w:val="000000" w:themeColor="text1"/>
        </w:rPr>
        <w:t>DESCRIÇÃO DA NECESSIDADE E OBJETIVO DA CONTRATAÇÃO</w:t>
      </w:r>
      <w:r w:rsidRPr="00946006">
        <w:rPr>
          <w:rFonts w:ascii="Arial" w:hAnsi="Arial" w:cs="Arial"/>
          <w:color w:val="000000" w:themeColor="text1"/>
        </w:rPr>
        <w:t>:</w:t>
      </w:r>
    </w:p>
    <w:p w:rsidR="00FC1A5F" w:rsidRPr="00946006" w:rsidRDefault="00FC1A5F" w:rsidP="00FC1A5F">
      <w:pPr>
        <w:pStyle w:val="PargrafodaLista"/>
        <w:rPr>
          <w:rFonts w:ascii="Arial" w:hAnsi="Arial" w:cs="Arial"/>
          <w:color w:val="000000" w:themeColor="text1"/>
        </w:rPr>
      </w:pPr>
    </w:p>
    <w:p w:rsidR="00FC1A5F" w:rsidRPr="00946006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946006">
        <w:rPr>
          <w:rFonts w:ascii="Arial" w:hAnsi="Arial" w:cs="Arial"/>
          <w:color w:val="000000" w:themeColor="text1"/>
        </w:rPr>
        <w:t xml:space="preserve">O objeto deste Estudo Técnico Preliminar deve ser licitado através da modalidade PREGÃO, em sua forma ELETRÔNICA, forma de julgamento MENOR PREÇO, por ser enquadrado como </w:t>
      </w:r>
      <w:r w:rsidR="002472BD" w:rsidRPr="00946006">
        <w:rPr>
          <w:rFonts w:ascii="Arial" w:hAnsi="Arial" w:cs="Arial"/>
          <w:color w:val="000000" w:themeColor="text1"/>
        </w:rPr>
        <w:t>serviço comum.</w:t>
      </w:r>
      <w:r w:rsidRPr="00946006">
        <w:rPr>
          <w:rFonts w:ascii="Arial" w:hAnsi="Arial" w:cs="Arial"/>
          <w:color w:val="000000" w:themeColor="text1"/>
        </w:rPr>
        <w:t xml:space="preserve"> </w:t>
      </w:r>
    </w:p>
    <w:p w:rsidR="00FC1A5F" w:rsidRPr="00946006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commentRangeStart w:id="0"/>
      <w:r w:rsidRPr="00946006">
        <w:rPr>
          <w:rFonts w:ascii="Arial" w:hAnsi="Arial" w:cs="Arial"/>
          <w:color w:val="000000" w:themeColor="text1"/>
        </w:rPr>
        <w:t xml:space="preserve">JUSTIFICATIVA </w:t>
      </w:r>
      <w:commentRangeEnd w:id="0"/>
      <w:r w:rsidRPr="00946006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0"/>
      </w:r>
    </w:p>
    <w:p w:rsidR="002472BD" w:rsidRPr="00946006" w:rsidRDefault="002472BD" w:rsidP="00946006">
      <w:pPr>
        <w:pStyle w:val="PargrafodaLista"/>
        <w:numPr>
          <w:ilvl w:val="2"/>
          <w:numId w:val="1"/>
        </w:numPr>
        <w:spacing w:after="200" w:line="276" w:lineRule="auto"/>
        <w:ind w:left="567" w:hanging="28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46006">
        <w:rPr>
          <w:rFonts w:ascii="Arial" w:hAnsi="Arial" w:cs="Arial"/>
          <w:color w:val="000000" w:themeColor="text1"/>
          <w:sz w:val="22"/>
          <w:szCs w:val="22"/>
        </w:rPr>
        <w:t>A presente justificativa tem por finalidade fundamentar a necessidade de contratação de empresa especializada na locação de brinquedos infláveis destinada ao atendimento das ações e eventos promovidos pela Secretaria Municipal de Assistência Social A contratação se faz necessária para viabilizar atividades recreativas culturais e de integração social voltadas principalmente às crianças e adolescentes atendidos pelos programas sociais do município bem como para utilização em datas comemorativas campanhas institucionais eventos comunitários e ações de convivência e fortalecimento de vínculos Os brinquedos infláveis constituem importante instrumento de inclusão social proporcionando momentos de lazer socialização e desenvolvimento psicossocial contribuindo para o bem-estar das famílias em situação de vulnerabilidade social público prioritário das políticas públicas executadas por esta Secretaria Ressalta-se que a Administração Pública não dispõe de estrutura própria equipamentos adequados nem profissionais especializados para a montagem operação manutenção e desmontagem dos brinquedos tornando indispensável a contratação de empresa especializada que assegure condições adequadas de segurança higiene responsabilidade técnica e atendimento às normas vigentes Dessa forma a locação dos brinquedos infláveis mostra-se a alternativa mais viável e econômica evitando custos elevados com aquisição armazenamento manutenção e substituição dos equipamentos garantindo eficiência economicidade e atendimento ao interesse público Diante do exposto justifica-se a contratação de empresa especializada para a locação de brinquedos infláveis a fim de atender às demandas da Secretaria Municipal de Assistência Social assegurando a execução das ações socioassistenciais com qualidade segurança e efetividade</w:t>
      </w:r>
    </w:p>
    <w:p w:rsidR="00FC1A5F" w:rsidRPr="00946006" w:rsidRDefault="00FC1A5F" w:rsidP="00FC1A5F">
      <w:pPr>
        <w:pStyle w:val="PargrafodaLista"/>
        <w:ind w:left="792"/>
        <w:jc w:val="both"/>
        <w:rPr>
          <w:rFonts w:ascii="Arial" w:hAnsi="Arial" w:cs="Arial"/>
          <w:color w:val="000000" w:themeColor="text1"/>
        </w:rPr>
      </w:pPr>
    </w:p>
    <w:p w:rsidR="00FC1A5F" w:rsidRPr="00946006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946006">
        <w:rPr>
          <w:rFonts w:ascii="Arial" w:hAnsi="Arial" w:cs="Arial"/>
          <w:b/>
          <w:color w:val="000000" w:themeColor="text1"/>
        </w:rPr>
        <w:t>PREVISÃO NO PLANO DE CONTRATAÇÕES ANUAL:</w:t>
      </w:r>
    </w:p>
    <w:p w:rsidR="00FC1A5F" w:rsidRPr="00946006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946006">
        <w:rPr>
          <w:rFonts w:ascii="Arial" w:hAnsi="Arial" w:cs="Arial"/>
          <w:color w:val="000000" w:themeColor="text1"/>
        </w:rPr>
        <w:t xml:space="preserve">A presente licitação foi prevista no </w:t>
      </w:r>
      <w:r w:rsidR="00E45D8B" w:rsidRPr="00946006">
        <w:rPr>
          <w:rFonts w:ascii="Arial" w:hAnsi="Arial" w:cs="Arial"/>
          <w:color w:val="000000" w:themeColor="text1"/>
        </w:rPr>
        <w:t>Plano de Contratações Anual 2026</w:t>
      </w:r>
      <w:r w:rsidRPr="00946006">
        <w:rPr>
          <w:rFonts w:ascii="Arial" w:hAnsi="Arial" w:cs="Arial"/>
          <w:color w:val="000000" w:themeColor="text1"/>
        </w:rPr>
        <w:t>.</w:t>
      </w:r>
    </w:p>
    <w:p w:rsidR="00FC1A5F" w:rsidRPr="00946006" w:rsidRDefault="00FC1A5F" w:rsidP="00FC1A5F">
      <w:pPr>
        <w:pStyle w:val="PargrafodaLista"/>
        <w:ind w:left="792"/>
        <w:jc w:val="both"/>
        <w:rPr>
          <w:rFonts w:ascii="Arial" w:hAnsi="Arial" w:cs="Arial"/>
          <w:b/>
          <w:color w:val="000000" w:themeColor="text1"/>
        </w:rPr>
      </w:pPr>
    </w:p>
    <w:p w:rsidR="00FC1A5F" w:rsidRPr="00946006" w:rsidRDefault="00FC1A5F" w:rsidP="00FC1A5F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commentRangeStart w:id="1"/>
      <w:r w:rsidRPr="00946006">
        <w:rPr>
          <w:rFonts w:ascii="Arial" w:hAnsi="Arial" w:cs="Arial"/>
          <w:b/>
          <w:bCs/>
          <w:color w:val="000000" w:themeColor="text1"/>
        </w:rPr>
        <w:t>REQUISITOS DA CONTRATAÇÃO</w:t>
      </w:r>
      <w:commentRangeEnd w:id="1"/>
      <w:r w:rsidRPr="00946006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1"/>
      </w: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 xml:space="preserve">Prazo de entrega/execução: </w:t>
      </w:r>
      <w:r w:rsidR="00E45D8B" w:rsidRPr="00946006">
        <w:rPr>
          <w:rFonts w:ascii="Arial" w:hAnsi="Arial" w:cs="Arial"/>
          <w:bCs/>
          <w:color w:val="000000" w:themeColor="text1"/>
        </w:rPr>
        <w:t xml:space="preserve"> 15 dias após a ordem de serviço</w:t>
      </w: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 xml:space="preserve">Local(is) e horário(s): </w:t>
      </w:r>
      <w:r w:rsidR="00E45D8B" w:rsidRPr="00946006">
        <w:rPr>
          <w:rFonts w:ascii="Arial" w:hAnsi="Arial" w:cs="Arial"/>
          <w:bCs/>
          <w:color w:val="000000" w:themeColor="text1"/>
        </w:rPr>
        <w:t>:  a combinar com a Secretaria</w:t>
      </w: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>Endereço para entrega/execução:</w:t>
      </w:r>
      <w:r w:rsidR="00E45D8B" w:rsidRPr="00946006">
        <w:rPr>
          <w:rFonts w:ascii="Arial" w:hAnsi="Arial" w:cs="Arial"/>
          <w:bCs/>
          <w:color w:val="000000" w:themeColor="text1"/>
        </w:rPr>
        <w:t xml:space="preserve"> a combinar com a Secretaria</w:t>
      </w: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>Forma do recebimento: parceladame</w:t>
      </w:r>
      <w:r w:rsidR="00E45D8B" w:rsidRPr="00946006">
        <w:rPr>
          <w:rFonts w:ascii="Arial" w:hAnsi="Arial" w:cs="Arial"/>
          <w:bCs/>
          <w:color w:val="000000" w:themeColor="text1"/>
        </w:rPr>
        <w:t>nte</w:t>
      </w: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 xml:space="preserve">Prazo de garantia dos produtos:  </w:t>
      </w:r>
      <w:commentRangeStart w:id="2"/>
      <w:r w:rsidRPr="00946006">
        <w:rPr>
          <w:rFonts w:ascii="Arial" w:hAnsi="Arial" w:cs="Arial"/>
          <w:bCs/>
          <w:color w:val="000000" w:themeColor="text1"/>
        </w:rPr>
        <w:t>será exigida garantia para os itens licitados disposta no Código de Defesa do Consumidor (CDC);</w:t>
      </w:r>
      <w:commentRangeEnd w:id="2"/>
      <w:r w:rsidRPr="00946006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2"/>
      </w: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commentRangeStart w:id="3"/>
      <w:r w:rsidRPr="00946006">
        <w:rPr>
          <w:rFonts w:ascii="Arial" w:hAnsi="Arial" w:cs="Arial"/>
          <w:bCs/>
          <w:color w:val="000000" w:themeColor="text1"/>
        </w:rPr>
        <w:t>Prazo de vigência do instrumento contratual ou substitutivo:</w:t>
      </w:r>
      <w:commentRangeEnd w:id="3"/>
      <w:r w:rsidRPr="00946006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3"/>
      </w:r>
    </w:p>
    <w:p w:rsidR="00FC1A5F" w:rsidRPr="00946006" w:rsidRDefault="00FC1A5F" w:rsidP="00FC1A5F">
      <w:pPr>
        <w:pStyle w:val="PargrafodaLista"/>
        <w:widowControl w:val="0"/>
        <w:numPr>
          <w:ilvl w:val="2"/>
          <w:numId w:val="1"/>
        </w:numPr>
        <w:autoSpaceDE w:val="0"/>
        <w:autoSpaceDN w:val="0"/>
        <w:spacing w:before="54"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 xml:space="preserve">Por se tratar de um </w:t>
      </w:r>
      <w:r w:rsidRPr="00946006">
        <w:rPr>
          <w:rFonts w:ascii="Arial" w:hAnsi="Arial" w:cs="Arial"/>
          <w:bCs/>
          <w:color w:val="000000" w:themeColor="text1"/>
          <w:u w:val="single"/>
        </w:rPr>
        <w:t>registro de preços</w:t>
      </w:r>
      <w:r w:rsidRPr="00946006">
        <w:rPr>
          <w:rFonts w:ascii="Arial" w:hAnsi="Arial" w:cs="Arial"/>
          <w:bCs/>
          <w:color w:val="000000" w:themeColor="text1"/>
        </w:rPr>
        <w:t>, o prazo de vigência do instrumento contratual será de 1 ano, podendo ser prorrogado por mais 1 ano , desde que comprovado o preço vantajoso, nos termos do art. 84 da Lei. 14.133/21.</w:t>
      </w:r>
    </w:p>
    <w:p w:rsidR="00FC1A5F" w:rsidRPr="00946006" w:rsidRDefault="00FC1A5F" w:rsidP="00FC1A5F">
      <w:pPr>
        <w:pStyle w:val="PargrafodaLista"/>
        <w:widowControl w:val="0"/>
        <w:autoSpaceDE w:val="0"/>
        <w:autoSpaceDN w:val="0"/>
        <w:spacing w:before="54" w:after="0" w:line="240" w:lineRule="auto"/>
        <w:ind w:left="360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>Índice de reajuste incidente na contratação: IPCA-E</w:t>
      </w:r>
    </w:p>
    <w:p w:rsidR="00FC1A5F" w:rsidRPr="00946006" w:rsidRDefault="00FC1A5F" w:rsidP="00FC1A5F">
      <w:pPr>
        <w:pStyle w:val="PargrafodaLista"/>
        <w:rPr>
          <w:rFonts w:ascii="Arial" w:hAnsi="Arial" w:cs="Arial"/>
          <w:bCs/>
          <w:color w:val="000000" w:themeColor="text1"/>
        </w:rPr>
      </w:pPr>
    </w:p>
    <w:p w:rsidR="00FC1A5F" w:rsidRPr="00946006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r w:rsidRPr="00946006">
        <w:rPr>
          <w:rFonts w:ascii="Arial" w:hAnsi="Arial" w:cs="Arial"/>
          <w:b/>
          <w:bCs/>
          <w:color w:val="000000" w:themeColor="text1"/>
        </w:rPr>
        <w:t>ESTIMATIVA DAS QUANTIDADES E VALORES PARA A CONTRATAÇÃO</w:t>
      </w: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tbl>
      <w:tblPr>
        <w:tblStyle w:val="Tabelacomgrade"/>
        <w:tblpPr w:leftFromText="141" w:rightFromText="141" w:vertAnchor="text" w:horzAnchor="margin" w:tblpXSpec="center" w:tblpY="109"/>
        <w:tblW w:w="0" w:type="auto"/>
        <w:tblLook w:val="04A0"/>
      </w:tblPr>
      <w:tblGrid>
        <w:gridCol w:w="742"/>
        <w:gridCol w:w="4118"/>
        <w:gridCol w:w="1659"/>
        <w:gridCol w:w="2201"/>
      </w:tblGrid>
      <w:tr w:rsidR="00FC1A5F" w:rsidRPr="00946006" w:rsidTr="0088043D">
        <w:tc>
          <w:tcPr>
            <w:tcW w:w="742" w:type="dxa"/>
          </w:tcPr>
          <w:p w:rsidR="00FC1A5F" w:rsidRPr="00946006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ITEM</w:t>
            </w:r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FC1A5F" w:rsidRPr="00946006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DESCRIÇÃO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946006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QUANTIDADE</w:t>
            </w:r>
          </w:p>
        </w:tc>
        <w:tc>
          <w:tcPr>
            <w:tcW w:w="2201" w:type="dxa"/>
          </w:tcPr>
          <w:p w:rsidR="00FC1A5F" w:rsidRPr="00946006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VALOR MÁXIMO (R$)</w:t>
            </w:r>
          </w:p>
        </w:tc>
      </w:tr>
      <w:tr w:rsidR="00FC1A5F" w:rsidRPr="00946006" w:rsidTr="0088043D">
        <w:tc>
          <w:tcPr>
            <w:tcW w:w="742" w:type="dxa"/>
          </w:tcPr>
          <w:p w:rsidR="00FC1A5F" w:rsidRPr="00946006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FC1A5F" w:rsidRPr="00946006" w:rsidRDefault="00E45D8B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CAMA ELÁSTICA (MODELO 3,66M, DIAMETRO DE 3,66M COM ALTURA APROXIMADA DE 22 CM DA LONA PARA O CHÃO SUPORTA ATÉ 150 KG COM TELA DE PROTEÇÃO)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946006" w:rsidRDefault="00E45D8B" w:rsidP="00E45D8B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5</w:t>
            </w:r>
          </w:p>
        </w:tc>
        <w:tc>
          <w:tcPr>
            <w:tcW w:w="2201" w:type="dxa"/>
          </w:tcPr>
          <w:p w:rsidR="00FC1A5F" w:rsidRPr="00946006" w:rsidRDefault="00E45D8B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313,33</w:t>
            </w:r>
          </w:p>
        </w:tc>
      </w:tr>
      <w:tr w:rsidR="00FC1A5F" w:rsidRPr="00946006" w:rsidTr="0088043D">
        <w:tc>
          <w:tcPr>
            <w:tcW w:w="742" w:type="dxa"/>
          </w:tcPr>
          <w:p w:rsidR="00FC1A5F" w:rsidRPr="00946006" w:rsidRDefault="00FC1A5F" w:rsidP="00946006">
            <w:pPr>
              <w:widowControl w:val="0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2</w:t>
            </w:r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FC1A5F" w:rsidRPr="00946006" w:rsidRDefault="00946006" w:rsidP="00946006">
            <w:pPr>
              <w:widowControl w:val="0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PISCINA DE BOLINHAS (MODELO DE 2,0X2,0M COM 2.000 BOLINHAS COM REDE DE PRETEÇÃO MULTICOLORIDAS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946006" w:rsidRDefault="00946006" w:rsidP="00946006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5</w:t>
            </w:r>
          </w:p>
        </w:tc>
        <w:tc>
          <w:tcPr>
            <w:tcW w:w="2201" w:type="dxa"/>
          </w:tcPr>
          <w:p w:rsidR="00FC1A5F" w:rsidRPr="00946006" w:rsidRDefault="0094600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123,33</w:t>
            </w:r>
          </w:p>
        </w:tc>
      </w:tr>
      <w:tr w:rsidR="00FC1A5F" w:rsidRPr="00946006" w:rsidTr="0088043D">
        <w:tc>
          <w:tcPr>
            <w:tcW w:w="742" w:type="dxa"/>
          </w:tcPr>
          <w:p w:rsidR="00FC1A5F" w:rsidRPr="00946006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3</w:t>
            </w:r>
          </w:p>
        </w:tc>
        <w:tc>
          <w:tcPr>
            <w:tcW w:w="4118" w:type="dxa"/>
            <w:tcBorders>
              <w:right w:val="single" w:sz="4" w:space="0" w:color="auto"/>
            </w:tcBorders>
          </w:tcPr>
          <w:p w:rsidR="00FC1A5F" w:rsidRPr="00946006" w:rsidRDefault="0094600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TOBOGÂ( MODELO TAMANHO ENTRE 4M E 4,15 M DE LARGURA, 5,60M. IDADE RECOMENDADA 3 A 15 ANOS. PESO MÁXIMO SUPORTADO</w:t>
            </w:r>
            <w:r w:rsidR="009A07AC">
              <w:rPr>
                <w:rFonts w:ascii="Arial" w:hAnsi="Arial" w:cs="Arial"/>
                <w:bCs/>
                <w:color w:val="000000" w:themeColor="text1"/>
              </w:rPr>
              <w:t xml:space="preserve"> 400KG.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:rsidR="00FC1A5F" w:rsidRPr="00946006" w:rsidRDefault="00946006" w:rsidP="00946006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5</w:t>
            </w:r>
          </w:p>
        </w:tc>
        <w:tc>
          <w:tcPr>
            <w:tcW w:w="2201" w:type="dxa"/>
          </w:tcPr>
          <w:p w:rsidR="00FC1A5F" w:rsidRPr="00946006" w:rsidRDefault="00946006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946006">
              <w:rPr>
                <w:rFonts w:ascii="Arial" w:hAnsi="Arial" w:cs="Arial"/>
                <w:bCs/>
                <w:color w:val="000000" w:themeColor="text1"/>
              </w:rPr>
              <w:t>700,00</w:t>
            </w:r>
          </w:p>
        </w:tc>
      </w:tr>
    </w:tbl>
    <w:p w:rsidR="00FC1A5F" w:rsidRPr="00946006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 xml:space="preserve">Pesquisa de preços: </w:t>
      </w:r>
    </w:p>
    <w:p w:rsidR="00FC1A5F" w:rsidRPr="00946006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 xml:space="preserve">Para esta pesquisa de preços foi utilizada </w:t>
      </w:r>
      <w:r w:rsidRPr="00946006">
        <w:rPr>
          <w:rFonts w:ascii="Arial" w:hAnsi="Arial" w:cs="Arial"/>
          <w:b/>
          <w:bCs/>
          <w:color w:val="000000" w:themeColor="text1"/>
        </w:rPr>
        <w:t>media</w:t>
      </w:r>
      <w:r w:rsidRPr="00946006">
        <w:rPr>
          <w:rFonts w:ascii="Arial" w:hAnsi="Arial" w:cs="Arial"/>
          <w:bCs/>
          <w:color w:val="000000" w:themeColor="text1"/>
        </w:rPr>
        <w:t xml:space="preserve"> considerando a/as seguinte(s) fonte(s) de pesquisa:</w:t>
      </w:r>
    </w:p>
    <w:p w:rsidR="00FC1A5F" w:rsidRPr="00946006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46006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>Pesquisa de preços em banco de preços públicos considerando contratações de outros entes públicos.</w:t>
      </w:r>
    </w:p>
    <w:p w:rsidR="00FC1A5F" w:rsidRPr="00946006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46006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46006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r w:rsidRPr="00946006">
        <w:rPr>
          <w:rFonts w:ascii="Arial" w:hAnsi="Arial" w:cs="Arial"/>
          <w:b/>
          <w:bCs/>
          <w:color w:val="000000" w:themeColor="text1"/>
        </w:rPr>
        <w:t>JUSTIFICATIVA PARA O PARCELAMENTO OU NÃO DA CONTRATAÇÃO</w:t>
      </w: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lastRenderedPageBreak/>
        <w:t>Por ser objeto que permite o parcelamento por itens, a licitação deverá ser realizada com a divisão do objeto em itens distintos, a fim de proporcionar a ampliação da concorrência entre fornecedores.</w:t>
      </w:r>
    </w:p>
    <w:p w:rsidR="00FC1A5F" w:rsidRPr="00946006" w:rsidRDefault="00FC1A5F" w:rsidP="00946006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>.</w:t>
      </w:r>
    </w:p>
    <w:p w:rsidR="00FC1A5F" w:rsidRPr="00946006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:rsidR="00FC1A5F" w:rsidRPr="00946006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/>
          <w:bCs/>
          <w:color w:val="000000" w:themeColor="text1"/>
        </w:rPr>
        <w:t>POSICIONAMENTO CONCLUSIVO SOBRE A ADEQUAÇÃO DA CONTRATAÇÃO PARA O ATENDIMENTO DA NECESSIDADE A QUE SE DESTINA</w:t>
      </w:r>
      <w:r w:rsidRPr="00946006">
        <w:rPr>
          <w:rFonts w:ascii="Arial" w:hAnsi="Arial" w:cs="Arial"/>
          <w:bCs/>
          <w:color w:val="000000" w:themeColor="text1"/>
        </w:rPr>
        <w:t>:</w:t>
      </w:r>
    </w:p>
    <w:p w:rsidR="00FC1A5F" w:rsidRPr="00946006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946006">
        <w:rPr>
          <w:rFonts w:ascii="Arial" w:hAnsi="Arial" w:cs="Arial"/>
          <w:bCs/>
          <w:color w:val="000000" w:themeColor="text1"/>
        </w:rPr>
        <w:t>Diante das informações expostas nos tópicos acima, a partir de estudos técnicos setoriais, a melhor solução para a necessidade da contratação é a realização de LICITAÇÃO, na modalidade PREGÃO, em sua forma ELETRÔNICA, utilizando-se do sistema de REGISTRO DE PREÇO</w:t>
      </w:r>
      <w:r w:rsidR="00946006" w:rsidRPr="00946006">
        <w:rPr>
          <w:rFonts w:ascii="Arial" w:hAnsi="Arial" w:cs="Arial"/>
          <w:bCs/>
          <w:color w:val="000000" w:themeColor="text1"/>
        </w:rPr>
        <w:t>S.</w:t>
      </w:r>
    </w:p>
    <w:p w:rsidR="00946006" w:rsidRPr="00946006" w:rsidRDefault="00946006" w:rsidP="00946006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</w:rPr>
      </w:pPr>
    </w:p>
    <w:p w:rsidR="00FC1A5F" w:rsidRPr="00102832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</w:rPr>
      </w:pPr>
      <w:r w:rsidRPr="00102832">
        <w:rPr>
          <w:rFonts w:ascii="Arial" w:hAnsi="Arial" w:cs="Arial"/>
          <w:b/>
          <w:bCs/>
        </w:rPr>
        <w:t>JUSTIFICATIVA DO § 2º DO ART. 18 DA LEI 14.133/21:</w:t>
      </w:r>
    </w:p>
    <w:p w:rsidR="00FC1A5F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Pelas características do objeto, não se aplicam os demais requisitos do §1º e incisos da Lei 14.133/21.</w:t>
      </w:r>
    </w:p>
    <w:p w:rsidR="00FC1A5F" w:rsidRPr="00B70F42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</w:rPr>
      </w:pPr>
    </w:p>
    <w:p w:rsidR="00FC1A5F" w:rsidRPr="00623586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</w:rPr>
      </w:pPr>
    </w:p>
    <w:p w:rsidR="00FC1A5F" w:rsidRPr="003D1525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</w:rPr>
      </w:pPr>
    </w:p>
    <w:p w:rsidR="00FC1A5F" w:rsidRPr="0018160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:rsidR="00FC1A5F" w:rsidRPr="00181601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FF0000"/>
        </w:rPr>
      </w:pPr>
    </w:p>
    <w:p w:rsidR="00FC1A5F" w:rsidRDefault="00946006" w:rsidP="00946006">
      <w:pPr>
        <w:pStyle w:val="PargrafodaLista"/>
        <w:jc w:val="right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Rosário do Sul, 21 de Janeiro de 2026.</w:t>
      </w:r>
    </w:p>
    <w:p w:rsidR="00946006" w:rsidRPr="00181601" w:rsidRDefault="00946006" w:rsidP="00946006">
      <w:pPr>
        <w:pStyle w:val="PargrafodaLista"/>
        <w:jc w:val="right"/>
        <w:rPr>
          <w:rFonts w:ascii="Arial" w:hAnsi="Arial" w:cs="Arial"/>
          <w:bCs/>
          <w:color w:val="0D0D0D" w:themeColor="text1" w:themeTint="F2"/>
        </w:rPr>
      </w:pPr>
    </w:p>
    <w:p w:rsidR="00FC1A5F" w:rsidRPr="00181601" w:rsidRDefault="00FC1A5F" w:rsidP="00FC1A5F">
      <w:pPr>
        <w:pStyle w:val="PargrafodaLista"/>
        <w:rPr>
          <w:rFonts w:ascii="Arial" w:hAnsi="Arial" w:cs="Arial"/>
          <w:bCs/>
          <w:color w:val="0D0D0D" w:themeColor="text1" w:themeTint="F2"/>
        </w:rPr>
      </w:pPr>
    </w:p>
    <w:p w:rsidR="00FC1A5F" w:rsidRPr="00181601" w:rsidRDefault="00FC1A5F" w:rsidP="00FC1A5F">
      <w:pPr>
        <w:widowControl w:val="0"/>
        <w:autoSpaceDE w:val="0"/>
        <w:autoSpaceDN w:val="0"/>
        <w:spacing w:before="54" w:after="0" w:line="360" w:lineRule="auto"/>
        <w:jc w:val="both"/>
        <w:rPr>
          <w:rFonts w:ascii="Arial" w:hAnsi="Arial" w:cs="Arial"/>
          <w:bCs/>
          <w:color w:val="0D0D0D" w:themeColor="text1" w:themeTint="F2"/>
        </w:rPr>
      </w:pPr>
    </w:p>
    <w:p w:rsidR="00AA0672" w:rsidRDefault="00AA0672" w:rsidP="00946006">
      <w:pPr>
        <w:jc w:val="center"/>
      </w:pPr>
    </w:p>
    <w:p w:rsidR="00946006" w:rsidRDefault="00946006" w:rsidP="00946006">
      <w:pPr>
        <w:jc w:val="center"/>
      </w:pPr>
    </w:p>
    <w:p w:rsidR="00946006" w:rsidRDefault="00946006" w:rsidP="00946006">
      <w:pPr>
        <w:jc w:val="center"/>
      </w:pPr>
    </w:p>
    <w:p w:rsidR="00946006" w:rsidRDefault="00946006" w:rsidP="00946006">
      <w:pPr>
        <w:jc w:val="center"/>
      </w:pPr>
      <w:r>
        <w:t>VILNER SOUZA</w:t>
      </w:r>
    </w:p>
    <w:p w:rsidR="00946006" w:rsidRDefault="00946006" w:rsidP="00946006">
      <w:pPr>
        <w:jc w:val="center"/>
      </w:pPr>
      <w:r>
        <w:t>DEPARTAMENTO DE COMPRAS E PATRIMONIO</w:t>
      </w:r>
    </w:p>
    <w:sectPr w:rsidR="00946006" w:rsidSect="0002546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A lei fala o seguinte: art. 6º , inciso I: “Descrição da necessidade a contratação, considerado o problema a ser resolvido sob a perspectiva do interesse público”. LOGO, devemos justificar a aquisição ou contratação do objeto da licitação considerando o interesse público. Ex: “Justifica-se a presente contratação/aquisição/registro de preços pois o serviço objeto deste ETP é necessário para o desempenho pleno das funções/serviços de... JUSTIFICAR</w:t>
      </w:r>
    </w:p>
  </w:comment>
  <w:comment w:id="1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TODOS OS REQUISITOS DA CONTRATAÇÃO DEVEM SER IGUALMENTE INFORMADOS NO TERMO DE REFERÊNCIA,</w:t>
      </w:r>
      <w:r w:rsidRPr="00371A6D">
        <w:rPr>
          <w:b/>
          <w:u w:val="single"/>
        </w:rPr>
        <w:t xml:space="preserve"> NÃO PODENDO HAVER DIVERGÊNCIAS.</w:t>
      </w:r>
    </w:p>
  </w:comment>
  <w:comment w:id="2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necessário garantia com tempo determinado pela Administração, modificar a redação.</w:t>
      </w:r>
    </w:p>
  </w:comment>
  <w:comment w:id="3" w:author="Cliente" w:date="2025-10-15T07:43:00Z" w:initials="C">
    <w:p w:rsidR="00FC1A5F" w:rsidRDefault="00FC1A5F" w:rsidP="00FC1A5F">
      <w:pPr>
        <w:pStyle w:val="Textodecomentrio"/>
      </w:pPr>
      <w:r>
        <w:rPr>
          <w:rStyle w:val="Refdecomentrio"/>
        </w:rPr>
        <w:annotationRef/>
      </w:r>
    </w:p>
    <w:p w:rsidR="00FC1A5F" w:rsidRDefault="00FC1A5F" w:rsidP="00FC1A5F">
      <w:pPr>
        <w:pStyle w:val="Textodecomentrio"/>
      </w:pPr>
      <w:r>
        <w:t xml:space="preserve">1)REGISTRO DE PREÇOS para aquisição/serviços: </w:t>
      </w:r>
      <w:r w:rsidRPr="008F74AA">
        <w:rPr>
          <w:color w:val="FF0000"/>
        </w:rPr>
        <w:t>MÁXIMO 1 ANO</w:t>
      </w:r>
      <w:r>
        <w:t xml:space="preserve">, </w:t>
      </w:r>
      <w:r w:rsidRPr="008F74AA">
        <w:rPr>
          <w:highlight w:val="yellow"/>
        </w:rPr>
        <w:t>PODENDO SER PRORROGADO POR IGUAL PERÍODO (uma única vez)</w:t>
      </w:r>
      <w:r>
        <w:t>, (neste caso deve justificar ao final da vigência do primeiros 12 meses que os valores e condições continuam vantajosos para a administração;</w:t>
      </w:r>
    </w:p>
    <w:p w:rsidR="00FC1A5F" w:rsidRDefault="00FC1A5F" w:rsidP="00FC1A5F">
      <w:pPr>
        <w:pStyle w:val="Textodecomentrio"/>
      </w:pPr>
      <w:r>
        <w:t>2) SERVIÇOS DE NATUREZA CONTINUADA: até 5 anos, podendo ser prorrogados até 10 anos, conforme art. 106.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0B9" w:rsidRDefault="00B470B9" w:rsidP="00AA0672">
      <w:pPr>
        <w:spacing w:after="0" w:line="240" w:lineRule="auto"/>
      </w:pPr>
      <w:r>
        <w:separator/>
      </w:r>
    </w:p>
  </w:endnote>
  <w:endnote w:type="continuationSeparator" w:id="1">
    <w:p w:rsidR="00B470B9" w:rsidRDefault="00B470B9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6B8" w:rsidRDefault="00B52540">
    <w:pPr>
      <w:pStyle w:val="Rodap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70.95pt;margin-top:-12.15pt;width:257.25pt;height:60.65pt;z-index:251674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<v:textbox>
            <w:txbxContent>
              <w:p w:rsidR="003506B8" w:rsidRDefault="003506B8" w:rsidP="003506B8">
                <w:r w:rsidRPr="003506B8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 xml:space="preserve">Rua Amaro Souto, 2203 – Centro – Rosário do Sul 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>E-mail: imprensa@rosariodosul.rs.gov.br</w:t>
                </w:r>
              </w:p>
            </w:txbxContent>
          </v:textbox>
          <w10:wrap type="square"/>
        </v:shape>
      </w:pict>
    </w:r>
    <w:r>
      <w:rPr>
        <w:noProof/>
      </w:rPr>
      <w:pict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_x0000_s1030" type="#_x0000_t7" style="position:absolute;margin-left:275.6pt;margin-top:20.15pt;width:249pt;height:42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G+up9fhAAAACwEAAA8AAABkcnMvZG93bnJldi54&#10;bWxMj8tOwzAQRfdI/IM1SOyo3bRBIcSpKqRKqLAhAUXs3HhIQuOHbLcJf4+7gt08ju6cKTazGskZ&#10;nR+M5rBcMCCoWyMH3XF4r3d3GRAfhJZiNBo5/KCHTXl9VYhcmkm/4bkKHYkh2ueCQx+CzSn1bY9K&#10;+IWxqOPuyzglQmxdR6UTUwxXI00Yu6dKDDpe6IXFpx7bY3VSHPav06e1zfNL4z5EXWVNvd+tvjm/&#10;vZm3j0ACzuEPhot+VIcyOh3MSUtPRg5pukwiymHNVkAuAFs/xMkhVkmaAS0L+v+H8hcAAP//AwBQ&#10;SwECLQAUAAYACAAAACEAtoM4kv4AAADhAQAAEwAAAAAAAAAAAAAAAAAAAAAAW0NvbnRlbnRfVHlw&#10;ZXNdLnhtbFBLAQItABQABgAIAAAAIQA4/SH/1gAAAJQBAAALAAAAAAAAAAAAAAAAAC8BAABfcmVs&#10;cy8ucmVsc1BLAQItABQABgAIAAAAIQAOf7omYQIAACkFAAAOAAAAAAAAAAAAAAAAAC4CAABkcnMv&#10;ZTJvRG9jLnhtbFBLAQItABQABgAIAAAAIQBvrqfX4QAAAAsBAAAPAAAAAAAAAAAAAAAAALsEAABk&#10;cnMvZG93bnJldi54bWxQSwUGAAAAAAQABADzAAAAyQUAAAAA&#10;" adj="927" fillcolor="#fbf61e" strokecolor="white [3201]" strokeweight="1.5pt"/>
      </w:pict>
    </w:r>
    <w:r>
      <w:rPr>
        <w:noProof/>
      </w:rPr>
      <w:pict>
        <v:rect id="_x0000_s1029" style="position:absolute;margin-left:0;margin-top:35.4pt;width:602.25pt;height:28.5pt;z-index:251672576;visibility:visible;mso-position-horizontal:center;mso-position-horizontal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/shwIAAIcFAAAOAAAAZHJzL2Uyb0RvYy54bWysVE1v2zAMvQ/YfxB0X21nSdsEdYqgRYcB&#10;RVesHXpWZCkWIEsapcTJfv0o+SNZW+ww7CKLJvlIPpG8ut43muwEeGVNSYuznBJhuK2U2ZT0x/Pd&#10;p0tKfGCmYtoaUdKD8PR6+fHDVesWYmJrqysBBEGMX7SupHUIbpFlnteiYf7MOmFQKS00LKAIm6wC&#10;1iJ6o7NJnp9nrYXKgeXCe/x72ynpMuFLKXj4JqUXgeiSYm4hnZDOdTyz5RVbbIC5WvE+DfYPWTRM&#10;GQw6Qt2ywMgW1BuoRnGw3spwxm2TWSkVF6kGrKbIX1XzVDMnUi1IjncjTf7/wfKH3ZN7BKShdX7h&#10;8Rqr2Eto4hfzI/tE1mEkS+wD4fjz4nx6ObuYUcJR9/m8mM8Sm9nR24EPX4RtSLyUFPAxEkdsd+8D&#10;RkTTwSQG81ar6k5pnQTYrG80kB2LD5fP5/mA/oeZNm89Y+uI0Xe9KeIjY6wTR5SiZ3asOd3CQYuI&#10;p813IYmqsMpJyji14xGTcS5MKDpVzSrRpVnM8mOWQxYpdAKMyBLLG7F7gMGyAxmwu5x7++gqUjeP&#10;zvnfEuucR48U2ZowOjfKWHgPQGNVfeTOfiCpoyaytLbV4REI2G6WvON3Ct/3nvnwyACHB8cMF0L4&#10;hofUti2p7W+U1BZ+vfc/2mNPo5aSFoexpP7nloGgRH812O3zYjqN05uE6exiggKcatanGrNtbiy2&#10;TYGrx/F0jfZBD1cJtnnBvbGKUVHFDMfYJeUBBuEmdEsCNw8Xq1Uyw4l1LNybJ8cjeGQ19u/z/oWB&#10;65s84Hg82GFw2eJVr3e20dPY1TZYqdIgHHnt+cZpT43Tb6a4Tk7lZHXcn8vfAAAA//8DAFBLAwQU&#10;AAYACAAAACEAfW84Ld4AAAAIAQAADwAAAGRycy9kb3ducmV2LnhtbEyPwU7DMBBE75X6D9Yicamo&#10;TShtFeJUgAQHbhRacXTiJbYar9PYbcPf45zgNqtZzbwpNoNr2Rn7YD1JuJ0LYEi115YaCZ8fLzdr&#10;YCEq0qr1hBJ+MMCmnE4KlWt/oXc8b2PDUgiFXEkwMXY556E26FSY+w4ped++dyqms2+47tUlhbuW&#10;Z0IsuVOWUoNRHT4brA/bk5PQcXPnKzubHZude/qyy+xtf3yV8vpqeHwAFnGIf88w4id0KBNT5U+k&#10;A2slpCFRwkok/tHNxOIeWDWq1Rp4WfD/A8pfAAAA//8DAFBLAQItABQABgAIAAAAIQC2gziS/gAA&#10;AOEBAAATAAAAAAAAAAAAAAAAAAAAAABbQ29udGVudF9UeXBlc10ueG1sUEsBAi0AFAAGAAgAAAAh&#10;ADj9If/WAAAAlAEAAAsAAAAAAAAAAAAAAAAALwEAAF9yZWxzLy5yZWxzUEsBAi0AFAAGAAgAAAAh&#10;ADr0b+yHAgAAhwUAAA4AAAAAAAAAAAAAAAAALgIAAGRycy9lMm9Eb2MueG1sUEsBAi0AFAAGAAgA&#10;AAAhAH1vOC3eAAAACAEAAA8AAAAAAAAAAAAAAAAA4QQAAGRycy9kb3ducmV2LnhtbFBLBQYAAAAA&#10;BAAEAPMAAADsBQAAAAA=&#10;" fillcolor="#090" strokecolor="white [3212]" strokeweight="1pt">
          <w10:wrap anchorx="margin"/>
        </v:rect>
      </w:pict>
    </w:r>
    <w:r>
      <w:rPr>
        <w:noProof/>
      </w:rPr>
      <w:pict>
        <v:shape id="_x0000_s1028" type="#_x0000_t7" style="position:absolute;margin-left:315.75pt;margin-top:20.3pt;width:249pt;height:42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7sfIxd8AAAALAQAADwAAAGRycy9kb3ducmV2Lnht&#10;bEyPTU+EMBCG7yb+h2ZMvLmlqM3KUjZG48UTope9ldIFsnRKaBfQX+/sSW/z8eSdZ/L96gY22yn0&#10;HhWITQLMovFNj62Cr8+3uy2wEDU2evBoFXzbAPvi+irXWeMX/LBzFVtGIRgyraCLccw4D6azToeN&#10;Hy3S7ugnpyO1U8ubSS8U7gaeJonkTvdIFzo92pfOmlN1dgrMqVz7V1FXh3LZmoNcZPkzvyt1e7M+&#10;74BFu8Y/GC76pA4FOdX+jE1ggwJ5Lx4JVfCQSGAXQKRPNKmpSqUAXuT8/w/FLwAAAP//AwBQSwEC&#10;LQAUAAYACAAAACEAtoM4kv4AAADhAQAAEwAAAAAAAAAAAAAAAAAAAAAAW0NvbnRlbnRfVHlwZXNd&#10;LnhtbFBLAQItABQABgAIAAAAIQA4/SH/1gAAAJQBAAALAAAAAAAAAAAAAAAAAC8BAABfcmVscy8u&#10;cmVsc1BLAQItABQABgAIAAAAIQDKdjrgYAIAACkFAAAOAAAAAAAAAAAAAAAAAC4CAABkcnMvZTJv&#10;RG9jLnhtbFBLAQItABQABgAIAAAAIQDux8jF3wAAAAsBAAAPAAAAAAAAAAAAAAAAALoEAABkcnMv&#10;ZG93bnJldi54bWxQSwUGAAAAAAQABADzAAAAxgUAAAAA&#10;" adj="927" fillcolor="#3c3" strokecolor="white [3201]" strokeweight="1.5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0B9" w:rsidRDefault="00B470B9" w:rsidP="00AA0672">
      <w:pPr>
        <w:spacing w:after="0" w:line="240" w:lineRule="auto"/>
      </w:pPr>
      <w:r>
        <w:separator/>
      </w:r>
    </w:p>
  </w:footnote>
  <w:footnote w:type="continuationSeparator" w:id="1">
    <w:p w:rsidR="00B470B9" w:rsidRDefault="00B470B9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672" w:rsidRDefault="00B52540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margin-left:236.65pt;margin-top:-16.6pt;width:257.25pt;height:60.6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<v:textbox>
            <w:txbxContent>
              <w:p w:rsidR="00F51B37" w:rsidRDefault="00F51B37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Estado do Rio Grande do Sul 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Pr="00F51B37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="00B648E5">
                  <w:rPr>
                    <w:rFonts w:ascii="Times New Roman" w:hAnsi="Times New Roman" w:cs="Times New Roman"/>
                    <w:sz w:val="20"/>
                    <w:szCs w:val="20"/>
                  </w:rPr>
                  <w:t>Departamento de Compras e Patrimônio/Fazenda</w:t>
                </w:r>
              </w:p>
              <w:p w:rsidR="00B648E5" w:rsidRPr="00F51B37" w:rsidRDefault="00B648E5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</w:p>
              <w:p w:rsidR="00F51B37" w:rsidRDefault="00F51B37" w:rsidP="00F51B37">
                <w:pPr>
                  <w:jc w:val="right"/>
                </w:pPr>
              </w:p>
            </w:txbxContent>
          </v:textbox>
          <w10:wrap type="square"/>
        </v:shape>
      </w:pict>
    </w:r>
    <w:r w:rsidR="003506B8"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075505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Paralelogramo 3" o:spid="_x0000_s1033" type="#_x0000_t7" style="position:absolute;margin-left:-117.05pt;margin-top:-53.65pt;width:249pt;height:42.7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MSzgIbjAAAADQEAAA8AAABkcnMvZG93bnJldi54&#10;bWxMj01Lw0AQhu+C/2EZwVu7+ZAaYzZFhIJULyZK8DbNjkk0+0F228R/7/aktxneh3eeKbaLGtmJ&#10;JjcYLSBeR8BIt0YOuhPwVu9WGTDnUUscjSYBP+RgW15eFJhLM+tXOlW+Y6FEuxwF9N7bnHPX9qTQ&#10;rY0lHbJPMyn0YZ06LiecQ7kaeRJFG65w0OFCj5Yee2q/q6MSsH+ZP6xtnp6b6R3rKmvq/S79EuL6&#10;anm4B+Zp8X8wnPWDOpTB6WCOWjo2Clgl6U0c2DDF0W0KLDDJJr0DdjiHcQa8LPj/L8pfAAAA//8D&#10;AFBLAQItABQABgAIAAAAIQC2gziS/gAAAOEBAAATAAAAAAAAAAAAAAAAAAAAAABbQ29udGVudF9U&#10;eXBlc10ueG1sUEsBAi0AFAAGAAgAAAAhADj9If/WAAAAlAEAAAsAAAAAAAAAAAAAAAAALwEAAF9y&#10;ZWxzLy5yZWxzUEsBAi0AFAAGAAgAAAAhAA5/uiZhAgAAKQUAAA4AAAAAAAAAAAAAAAAALgIAAGRy&#10;cy9lMm9Eb2MueG1sUEsBAi0AFAAGAAgAAAAhAMSzgIbjAAAADQEAAA8AAAAAAAAAAAAAAAAAuwQA&#10;AGRycy9kb3ducmV2LnhtbFBLBQYAAAAABAAEAPMAAADLBQAAAAA=&#10;" adj="927" fillcolor="#fbf61e" strokecolor="white [3201]" strokeweight="1.5pt"/>
      </w:pict>
    </w:r>
    <w:r>
      <w:rPr>
        <w:noProof/>
      </w:rPr>
      <w:pict>
        <v:shape id="_x0000_s1032" type="#_x0000_t7" style="position:absolute;margin-left:-145.15pt;margin-top:-53.45pt;width:249pt;height:42.7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3fNFwOEAAAANAQAADwAAAGRycy9kb3ducmV2Lnht&#10;bEyPsW6DMBCG90p9B+sqdUtsaEUSgomqVl06Udolm8EXQME2wg7QPn0vU7Pd6f/033fZYTE9m3D0&#10;nbMSorUAhrZ2urONhO+v99UWmA/KatU7ixJ+0MMhv7/LVKrdbD9xKkPDqMT6VEloQxhSzn3dolF+&#10;7Qa0lJ3caFSgdWy4HtVM5abnsRAJN6qzdKFVA762WJ/Li5FQn4ule4uq8ljM2/qYzEnxO31I+fiw&#10;vOyBBVzCPwxXfVKHnJwqd7Has17CKt6JJ2JpikSyA0ZMLDYbYNU1jJ6B5xm//SL/AwAA//8DAFBL&#10;AQItABQABgAIAAAAIQC2gziS/gAAAOEBAAATAAAAAAAAAAAAAAAAAAAAAABbQ29udGVudF9UeXBl&#10;c10ueG1sUEsBAi0AFAAGAAgAAAAhADj9If/WAAAAlAEAAAsAAAAAAAAAAAAAAAAALwEAAF9yZWxz&#10;Ly5yZWxzUEsBAi0AFAAGAAgAAAAhAMp2OuBgAgAAKQUAAA4AAAAAAAAAAAAAAAAALgIAAGRycy9l&#10;Mm9Eb2MueG1sUEsBAi0AFAAGAAgAAAAhAN3zRcDhAAAADQEAAA8AAAAAAAAAAAAAAAAAugQAAGRy&#10;cy9kb3ducmV2LnhtbFBLBQYAAAAABAAEAPMAAADIBQAAAAA=&#10;" adj="927" fillcolor="#3c3" strokecolor="white [3201]" strokeweight="1.5pt"/>
      </w:pict>
    </w:r>
    <w:r>
      <w:rPr>
        <w:noProof/>
      </w:rPr>
      <w:pict>
        <v:rect id="Retângulo 4" o:spid="_x0000_s1031" style="position:absolute;margin-left:-8.25pt;margin-top:-35.4pt;width:602.25pt;height:12pt;z-index:251663360;visibility:visible;mso-position-horizontal-relative:page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WhhQIAAIcFAAAOAAAAZHJzL2Uyb0RvYy54bWysVE1v2zAMvQ/YfxB0X20HSdsEdYqgRYcB&#10;RVusHXpWZCkWIEsapcTJfv0o+SNZW+ww7CKLJvlIPpG8ut43muwEeGVNSYuznBJhuK2U2ZT0x8vd&#10;l0tKfGCmYtoaUdKD8PR6+fnTVesWYmJrqysBBEGMX7SupHUIbpFlnteiYf7MOmFQKS00LKAIm6wC&#10;1iJ6o7NJnp9nrYXKgeXCe/x72ynpMuFLKXh4lNKLQHRJMbeQTkjnOp7Z8ootNsBcrXifBvuHLBqm&#10;DAYdoW5ZYGQL6h1UozhYb2U447bJrJSKi1QDVlPkb6p5rpkTqRYkx7uRJv//YPnD7tk9AdLQOr/w&#10;eI1V7CU08Yv5kX0i6zCSJfaBcPx5cT69nF3MKOGoK2aTaZ7YzI7eDnz4KmxD4qWkgI+ROGK7ex8w&#10;IpoOJjGYt1pVd0rrJMBmfaOB7Fh8uHw+H9H/MNPmvWdsHTH6rjdFfGSMdeKIUvTMjjWnWzhoEfG0&#10;+S4kURVWOUkZp3Y8YjLOhQlFp6pZJbo0i1l+zHLIIoVOgBFZYnkjdg8wWHYgA3aXc28fXUXq5tE5&#10;/1tinfPokSJbE0bnRhkLHwForKqP3NkPJHXURJbWtjo8AQHbzZJ3/E7h+94zH54Y4PDgmOFCCI94&#10;SG3bktr+Rklt4ddH/6M99jRqKWlxGEvqf24ZCEr0N4PdPi+m0zi9SZjOLiYowKlmfaox2+bGYtsU&#10;uHocT9doH/RwlWCbV9wbqxgVVcxwjF1SHmAQbkK3JHDzcLFaJTOcWMfCvXl2PIJHVmP/vuxfGbi+&#10;yQOOx4MdBpct3vR6Zxs9jV1tg5UqDcKR155vnPbUOP1miuvkVE5Wx/25/A0AAP//AwBQSwMEFAAG&#10;AAgAAAAhAA+9fXnhAAAADAEAAA8AAABkcnMvZG93bnJldi54bWxMj0FPwzAMhe9I/IfISFymLe2A&#10;UpWmEyDBgdsGmzimjWkjGqdrsq38e7wT3Gy/p+fvlavJ9eKIY7CeFKSLBARS442lVsHH+8s8BxGi&#10;JqN7T6jgBwOsqsuLUhfGn2iNx01sBYdQKLSCLsahkDI0HTodFn5AYu3Lj05HXsdWmlGfONz1cpkk&#10;mXTaEn/o9IDPHTbfm4NTMMjuxtd2Ntu3W/f0abPl227/qtT11fT4ACLiFP/McMZndKiYqfYHMkH0&#10;CuZpdsdWHu4T7nB2pHnO9Wo+3WY5yKqU/0tUvwAAAP//AwBQSwECLQAUAAYACAAAACEAtoM4kv4A&#10;AADhAQAAEwAAAAAAAAAAAAAAAAAAAAAAW0NvbnRlbnRfVHlwZXNdLnhtbFBLAQItABQABgAIAAAA&#10;IQA4/SH/1gAAAJQBAAALAAAAAAAAAAAAAAAAAC8BAABfcmVscy8ucmVsc1BLAQItABQABgAIAAAA&#10;IQB9lrWhhQIAAIcFAAAOAAAAAAAAAAAAAAAAAC4CAABkcnMvZTJvRG9jLnhtbFBLAQItABQABgAI&#10;AAAAIQAPvX154QAAAAwBAAAPAAAAAAAAAAAAAAAAAN8EAABkcnMvZG93bnJldi54bWxQSwUGAAAA&#10;AAQABADzAAAA7QUAAAAA&#10;" fillcolor="#090" strokecolor="white [3212]" strokeweight="1pt">
          <w10:wrap anchorx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6135C"/>
    <w:multiLevelType w:val="multilevel"/>
    <w:tmpl w:val="197C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A0672"/>
    <w:rsid w:val="0002546F"/>
    <w:rsid w:val="002432DB"/>
    <w:rsid w:val="002472BD"/>
    <w:rsid w:val="003506B8"/>
    <w:rsid w:val="00375B95"/>
    <w:rsid w:val="003C1F72"/>
    <w:rsid w:val="003D4967"/>
    <w:rsid w:val="004C54A7"/>
    <w:rsid w:val="005E010E"/>
    <w:rsid w:val="00921381"/>
    <w:rsid w:val="00946006"/>
    <w:rsid w:val="009A07AC"/>
    <w:rsid w:val="00AA0672"/>
    <w:rsid w:val="00B470B9"/>
    <w:rsid w:val="00B52540"/>
    <w:rsid w:val="00B648E5"/>
    <w:rsid w:val="00BF124E"/>
    <w:rsid w:val="00D12705"/>
    <w:rsid w:val="00D15BC2"/>
    <w:rsid w:val="00E45D8B"/>
    <w:rsid w:val="00F51B37"/>
    <w:rsid w:val="00FC1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46F"/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character" w:styleId="Refdecomentrio">
    <w:name w:val="annotation reference"/>
    <w:basedOn w:val="Fontepargpadro"/>
    <w:uiPriority w:val="99"/>
    <w:semiHidden/>
    <w:unhideWhenUsed/>
    <w:rsid w:val="00FC1A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C1A5F"/>
    <w:pPr>
      <w:spacing w:after="200" w:line="240" w:lineRule="auto"/>
    </w:pPr>
    <w:rPr>
      <w:kern w:val="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C1A5F"/>
    <w:rPr>
      <w:kern w:val="0"/>
      <w:sz w:val="20"/>
      <w:szCs w:val="20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FC1A5F"/>
  </w:style>
  <w:style w:type="table" w:styleId="Tabelacomgrade">
    <w:name w:val="Table Grid"/>
    <w:basedOn w:val="Tabelanormal"/>
    <w:uiPriority w:val="59"/>
    <w:rsid w:val="00FC1A5F"/>
    <w:pPr>
      <w:spacing w:after="0" w:line="240" w:lineRule="auto"/>
    </w:pPr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A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C713D-67AC-4B31-B9BD-7009EE0F2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ADMINISTRACAO2</dc:creator>
  <cp:lastModifiedBy>COMPRAS3</cp:lastModifiedBy>
  <cp:revision>2</cp:revision>
  <dcterms:created xsi:type="dcterms:W3CDTF">2026-01-21T14:29:00Z</dcterms:created>
  <dcterms:modified xsi:type="dcterms:W3CDTF">2026-01-21T14:29:00Z</dcterms:modified>
</cp:coreProperties>
</file>