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B56" w:rsidRDefault="00F37B56" w:rsidP="00F37B56">
      <w:pPr>
        <w:spacing w:before="100" w:beforeAutospacing="1" w:after="100" w:afterAutospacing="1" w:line="36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8"/>
          <w:szCs w:val="24"/>
        </w:rPr>
      </w:pPr>
      <w:r w:rsidRPr="001B6937">
        <w:rPr>
          <w:rFonts w:ascii="Arial" w:eastAsia="Times New Roman" w:hAnsi="Arial" w:cs="Arial"/>
          <w:b/>
          <w:bCs/>
          <w:kern w:val="36"/>
          <w:sz w:val="28"/>
          <w:szCs w:val="24"/>
        </w:rPr>
        <w:t>Análise Técnica da Documentação dos Participantes do Pregão 56/2025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Cs/>
          <w:kern w:val="36"/>
          <w:sz w:val="24"/>
          <w:szCs w:val="24"/>
        </w:rPr>
      </w:pPr>
      <w:r w:rsidRPr="00F37B56">
        <w:rPr>
          <w:rFonts w:ascii="Arial" w:eastAsia="Times New Roman" w:hAnsi="Arial" w:cs="Arial"/>
          <w:bCs/>
          <w:kern w:val="36"/>
          <w:sz w:val="24"/>
          <w:szCs w:val="24"/>
        </w:rPr>
        <w:t xml:space="preserve">Prezada </w:t>
      </w:r>
      <w:proofErr w:type="spellStart"/>
      <w:r w:rsidRPr="00F37B56">
        <w:rPr>
          <w:rFonts w:ascii="Arial" w:eastAsia="Times New Roman" w:hAnsi="Arial" w:cs="Arial"/>
          <w:bCs/>
          <w:kern w:val="36"/>
          <w:sz w:val="24"/>
          <w:szCs w:val="24"/>
        </w:rPr>
        <w:t>Pregoeira</w:t>
      </w:r>
      <w:proofErr w:type="spellEnd"/>
      <w:r w:rsidRPr="00F37B56">
        <w:rPr>
          <w:rFonts w:ascii="Arial" w:eastAsia="Times New Roman" w:hAnsi="Arial" w:cs="Arial"/>
          <w:bCs/>
          <w:kern w:val="36"/>
          <w:sz w:val="24"/>
          <w:szCs w:val="24"/>
        </w:rPr>
        <w:t>,</w:t>
      </w:r>
    </w:p>
    <w:p w:rsidR="00F37B56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Ao cumprimentá-la cordialmente, vimos apresentar a avaliação de análise técnica das documentações das empresas </w:t>
      </w:r>
      <w:r w:rsidRPr="001B6937">
        <w:rPr>
          <w:rFonts w:ascii="Arial" w:eastAsia="Times New Roman" w:hAnsi="Arial" w:cs="Arial"/>
          <w:b/>
          <w:bCs/>
          <w:sz w:val="24"/>
          <w:szCs w:val="24"/>
        </w:rPr>
        <w:t xml:space="preserve">F. Borges Equipamentos </w:t>
      </w:r>
      <w:proofErr w:type="spellStart"/>
      <w:r w:rsidRPr="001B6937">
        <w:rPr>
          <w:rFonts w:ascii="Arial" w:eastAsia="Times New Roman" w:hAnsi="Arial" w:cs="Arial"/>
          <w:b/>
          <w:bCs/>
          <w:sz w:val="24"/>
          <w:szCs w:val="24"/>
        </w:rPr>
        <w:t>Eirelli</w:t>
      </w:r>
      <w:proofErr w:type="spellEnd"/>
      <w:r w:rsidRPr="001B6937">
        <w:rPr>
          <w:rFonts w:ascii="Arial" w:eastAsia="Times New Roman" w:hAnsi="Arial" w:cs="Arial"/>
          <w:sz w:val="24"/>
          <w:szCs w:val="24"/>
        </w:rPr>
        <w:t xml:space="preserve"> (CNPJ 39.935.346/0001-17)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Pr="001B6937">
        <w:rPr>
          <w:rFonts w:ascii="Arial" w:eastAsia="Times New Roman" w:hAnsi="Arial" w:cs="Arial"/>
          <w:b/>
          <w:bCs/>
          <w:sz w:val="24"/>
          <w:szCs w:val="24"/>
        </w:rPr>
        <w:t>K2M Máquinas</w:t>
      </w:r>
      <w:r w:rsidRPr="001B6937">
        <w:rPr>
          <w:rFonts w:ascii="Arial" w:eastAsia="Times New Roman" w:hAnsi="Arial" w:cs="Arial"/>
          <w:sz w:val="24"/>
          <w:szCs w:val="24"/>
        </w:rPr>
        <w:t xml:space="preserve"> (CNPJ 50.445.599/0001-45)</w:t>
      </w:r>
      <w:r>
        <w:rPr>
          <w:rFonts w:ascii="Arial" w:eastAsia="Times New Roman" w:hAnsi="Arial" w:cs="Arial"/>
          <w:sz w:val="24"/>
          <w:szCs w:val="24"/>
        </w:rPr>
        <w:t xml:space="preserve"> e </w:t>
      </w:r>
      <w:proofErr w:type="spellStart"/>
      <w:r w:rsidRPr="001B6937">
        <w:rPr>
          <w:rFonts w:ascii="Arial" w:eastAsia="Times New Roman" w:hAnsi="Arial" w:cs="Arial"/>
          <w:b/>
          <w:bCs/>
          <w:sz w:val="24"/>
          <w:szCs w:val="24"/>
        </w:rPr>
        <w:t>Kenia</w:t>
      </w:r>
      <w:proofErr w:type="spellEnd"/>
      <w:r w:rsidRPr="001B6937">
        <w:rPr>
          <w:rFonts w:ascii="Arial" w:eastAsia="Times New Roman" w:hAnsi="Arial" w:cs="Arial"/>
          <w:b/>
          <w:bCs/>
          <w:sz w:val="24"/>
          <w:szCs w:val="24"/>
        </w:rPr>
        <w:t xml:space="preserve"> Oliveira Fernandes Lima Soares</w:t>
      </w:r>
      <w:r w:rsidRPr="001B6937">
        <w:rPr>
          <w:rFonts w:ascii="Arial" w:eastAsia="Times New Roman" w:hAnsi="Arial" w:cs="Arial"/>
          <w:sz w:val="24"/>
          <w:szCs w:val="24"/>
        </w:rPr>
        <w:t xml:space="preserve"> (CNPJ 27.171.625/0001-72)</w:t>
      </w:r>
      <w:r>
        <w:rPr>
          <w:rFonts w:ascii="Arial" w:eastAsia="Times New Roman" w:hAnsi="Arial" w:cs="Arial"/>
          <w:sz w:val="24"/>
          <w:szCs w:val="24"/>
        </w:rPr>
        <w:t>.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1B6937">
        <w:rPr>
          <w:rFonts w:ascii="Arial" w:eastAsia="Times New Roman" w:hAnsi="Arial" w:cs="Arial"/>
          <w:sz w:val="24"/>
          <w:szCs w:val="24"/>
        </w:rPr>
        <w:t xml:space="preserve">A presente análise técnica tem como objetivo avaliar a documentação dos participantes do Pregão 56/2025, conforme estabelecido no item </w:t>
      </w:r>
      <w:proofErr w:type="gramStart"/>
      <w:r w:rsidRPr="001B6937">
        <w:rPr>
          <w:rFonts w:ascii="Arial" w:eastAsia="Times New Roman" w:hAnsi="Arial" w:cs="Arial"/>
          <w:sz w:val="24"/>
          <w:szCs w:val="24"/>
        </w:rPr>
        <w:t>7</w:t>
      </w:r>
      <w:proofErr w:type="gramEnd"/>
      <w:r w:rsidRPr="001B6937">
        <w:rPr>
          <w:rFonts w:ascii="Arial" w:eastAsia="Times New Roman" w:hAnsi="Arial" w:cs="Arial"/>
          <w:sz w:val="24"/>
          <w:szCs w:val="24"/>
        </w:rPr>
        <w:t xml:space="preserve"> do edital. A </w:t>
      </w:r>
      <w:proofErr w:type="gramStart"/>
      <w:r w:rsidRPr="001B6937">
        <w:rPr>
          <w:rFonts w:ascii="Arial" w:eastAsia="Times New Roman" w:hAnsi="Arial" w:cs="Arial"/>
          <w:sz w:val="24"/>
          <w:szCs w:val="24"/>
        </w:rPr>
        <w:t>licitação</w:t>
      </w:r>
      <w:proofErr w:type="gramEnd"/>
      <w:r w:rsidRPr="001B6937">
        <w:rPr>
          <w:rFonts w:ascii="Arial" w:eastAsia="Times New Roman" w:hAnsi="Arial" w:cs="Arial"/>
          <w:sz w:val="24"/>
          <w:szCs w:val="24"/>
        </w:rPr>
        <w:t xml:space="preserve"> em questão exige uma apresentação rigorosa de documentos, e a minuciosa verificação de cada aspecto mencionado é fundamental para garantir a regularidade e a capacidade das empresas licitantes. As empresas analisadas são:</w:t>
      </w:r>
    </w:p>
    <w:p w:rsidR="00F37B56" w:rsidRPr="001B6937" w:rsidRDefault="00F37B56" w:rsidP="00F37B56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 xml:space="preserve">F. Borges Equipamentos </w:t>
      </w:r>
      <w:proofErr w:type="spellStart"/>
      <w:r w:rsidRPr="001B6937">
        <w:rPr>
          <w:rFonts w:ascii="Arial" w:eastAsia="Times New Roman" w:hAnsi="Arial" w:cs="Arial"/>
          <w:b/>
          <w:bCs/>
          <w:sz w:val="24"/>
          <w:szCs w:val="24"/>
        </w:rPr>
        <w:t>Eirelli</w:t>
      </w:r>
      <w:proofErr w:type="spellEnd"/>
      <w:r w:rsidRPr="001B6937">
        <w:rPr>
          <w:rFonts w:ascii="Arial" w:eastAsia="Times New Roman" w:hAnsi="Arial" w:cs="Arial"/>
          <w:sz w:val="24"/>
          <w:szCs w:val="24"/>
        </w:rPr>
        <w:t xml:space="preserve"> (CNPJ 39.935.346/0001-17)</w:t>
      </w:r>
      <w:r>
        <w:rPr>
          <w:rFonts w:ascii="Arial" w:eastAsia="Times New Roman" w:hAnsi="Arial" w:cs="Arial"/>
          <w:sz w:val="24"/>
          <w:szCs w:val="24"/>
        </w:rPr>
        <w:t xml:space="preserve"> - </w:t>
      </w:r>
      <w:r w:rsidRPr="001B6937">
        <w:rPr>
          <w:rFonts w:ascii="Arial" w:eastAsia="Times New Roman" w:hAnsi="Arial" w:cs="Arial"/>
          <w:b/>
          <w:sz w:val="24"/>
          <w:szCs w:val="24"/>
        </w:rPr>
        <w:t>APTA</w:t>
      </w:r>
    </w:p>
    <w:p w:rsidR="00F37B56" w:rsidRPr="001B6937" w:rsidRDefault="00F37B56" w:rsidP="00F37B56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K2M Máquinas</w:t>
      </w:r>
      <w:r w:rsidRPr="001B6937">
        <w:rPr>
          <w:rFonts w:ascii="Arial" w:eastAsia="Times New Roman" w:hAnsi="Arial" w:cs="Arial"/>
          <w:sz w:val="24"/>
          <w:szCs w:val="24"/>
        </w:rPr>
        <w:t xml:space="preserve"> (CNPJ 50.445.599/0001-45)</w:t>
      </w:r>
      <w:r>
        <w:rPr>
          <w:rFonts w:ascii="Arial" w:eastAsia="Times New Roman" w:hAnsi="Arial" w:cs="Arial"/>
          <w:sz w:val="24"/>
          <w:szCs w:val="24"/>
        </w:rPr>
        <w:t xml:space="preserve"> - </w:t>
      </w:r>
      <w:r w:rsidRPr="001B6937">
        <w:rPr>
          <w:rFonts w:ascii="Arial" w:eastAsia="Times New Roman" w:hAnsi="Arial" w:cs="Arial"/>
          <w:b/>
          <w:sz w:val="24"/>
          <w:szCs w:val="24"/>
        </w:rPr>
        <w:t>APTA</w:t>
      </w:r>
    </w:p>
    <w:p w:rsidR="00F37B56" w:rsidRPr="001B6937" w:rsidRDefault="00F37B56" w:rsidP="00F37B56">
      <w:pPr>
        <w:widowControl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1B6937">
        <w:rPr>
          <w:rFonts w:ascii="Arial" w:eastAsia="Times New Roman" w:hAnsi="Arial" w:cs="Arial"/>
          <w:b/>
          <w:bCs/>
          <w:sz w:val="24"/>
          <w:szCs w:val="24"/>
        </w:rPr>
        <w:t>Kenia</w:t>
      </w:r>
      <w:proofErr w:type="spellEnd"/>
      <w:r w:rsidRPr="001B6937">
        <w:rPr>
          <w:rFonts w:ascii="Arial" w:eastAsia="Times New Roman" w:hAnsi="Arial" w:cs="Arial"/>
          <w:b/>
          <w:bCs/>
          <w:sz w:val="24"/>
          <w:szCs w:val="24"/>
        </w:rPr>
        <w:t xml:space="preserve"> Oliveira Fernandes Lima Soares</w:t>
      </w:r>
      <w:r w:rsidRPr="001B6937">
        <w:rPr>
          <w:rFonts w:ascii="Arial" w:eastAsia="Times New Roman" w:hAnsi="Arial" w:cs="Arial"/>
          <w:sz w:val="24"/>
          <w:szCs w:val="24"/>
        </w:rPr>
        <w:t xml:space="preserve"> (CNPJ 27.171.625/0001-72)</w:t>
      </w:r>
      <w:r>
        <w:rPr>
          <w:rFonts w:ascii="Arial" w:eastAsia="Times New Roman" w:hAnsi="Arial" w:cs="Arial"/>
          <w:sz w:val="24"/>
          <w:szCs w:val="24"/>
        </w:rPr>
        <w:t xml:space="preserve"> - </w:t>
      </w:r>
      <w:r w:rsidRPr="001B6937">
        <w:rPr>
          <w:rFonts w:ascii="Arial" w:eastAsia="Times New Roman" w:hAnsi="Arial" w:cs="Arial"/>
          <w:b/>
          <w:sz w:val="24"/>
          <w:szCs w:val="24"/>
        </w:rPr>
        <w:t>APTA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proofErr w:type="gramStart"/>
      <w:r w:rsidRPr="001B6937">
        <w:rPr>
          <w:rFonts w:ascii="Arial" w:eastAsia="Times New Roman" w:hAnsi="Arial" w:cs="Arial"/>
          <w:b/>
          <w:bCs/>
          <w:sz w:val="24"/>
          <w:szCs w:val="24"/>
        </w:rPr>
        <w:t>Qualificações Jurídica</w:t>
      </w:r>
      <w:proofErr w:type="gramEnd"/>
      <w:r w:rsidRPr="001B6937">
        <w:rPr>
          <w:rFonts w:ascii="Arial" w:eastAsia="Times New Roman" w:hAnsi="Arial" w:cs="Arial"/>
          <w:b/>
          <w:bCs/>
          <w:sz w:val="24"/>
          <w:szCs w:val="24"/>
        </w:rPr>
        <w:t xml:space="preserve"> e Técnica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Qualificações Jurídicas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análise das qualificações jurídicas das empresas revelou que todas estão devidamente registradas e regularizadas junto aos órgãos competentes. As documentações apresentadas incluem:</w:t>
      </w:r>
    </w:p>
    <w:p w:rsidR="00F37B56" w:rsidRPr="001B6937" w:rsidRDefault="00F37B56" w:rsidP="00F37B56">
      <w:pPr>
        <w:widowControl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Certidões de regularidade fiscal e trabalhista</w:t>
      </w:r>
    </w:p>
    <w:p w:rsidR="00F37B56" w:rsidRPr="001B6937" w:rsidRDefault="00F37B56" w:rsidP="00F37B56">
      <w:pPr>
        <w:widowControl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Comprovantes de inscrição no Cadastro Nacional de Pessoa Jurídica (CNPJ)</w:t>
      </w:r>
    </w:p>
    <w:p w:rsidR="00F37B56" w:rsidRPr="001B6937" w:rsidRDefault="00F37B56" w:rsidP="00F37B56">
      <w:pPr>
        <w:widowControl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Inscrição estadual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lastRenderedPageBreak/>
        <w:t>Esses documentos são essenciais para assegurar que as licitantes estão em conformidade com a legislação e aptas a participar do certame.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Qualificações Técnicas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No que tange às qualificações técnicas, as licitantes demonstraram a capacidade necessária para a execução do objeto do pregão. Apresentaram atestados de capacidade técnica que são compatíveis com os serviços a serem prestados, o que indica que possuem experiência e know-how adequados.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Qualificações Fiscal, Social e Trabalhista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Qualificações Fiscais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análise das qualificações fiscais foi realizada com base nas certidões apresentadas, que comprovam a regularidade das empresas em relação ao pagamento de tributos e contribuições sociais. Todas as licitantes apresentaram certidões negativas de débitos e regularidade fiscal, conforme exigido pelo edital.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Qualificações Sociais e Trabalhistas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 xml:space="preserve">No que se </w:t>
      </w:r>
      <w:proofErr w:type="gramStart"/>
      <w:r w:rsidRPr="001B6937">
        <w:rPr>
          <w:rFonts w:ascii="Arial" w:eastAsia="Times New Roman" w:hAnsi="Arial" w:cs="Arial"/>
          <w:sz w:val="24"/>
          <w:szCs w:val="24"/>
        </w:rPr>
        <w:t>refere</w:t>
      </w:r>
      <w:proofErr w:type="gramEnd"/>
      <w:r w:rsidRPr="001B6937">
        <w:rPr>
          <w:rFonts w:ascii="Arial" w:eastAsia="Times New Roman" w:hAnsi="Arial" w:cs="Arial"/>
          <w:sz w:val="24"/>
          <w:szCs w:val="24"/>
        </w:rPr>
        <w:t xml:space="preserve"> às qualificações sociais e trabalhistas, todas as empresas demonstraram conformidade com a legislação vigente. Apresentaram comprovantes de regularidade junto ao Fundo de Garantia do Tempo de Serviço (FGTS) e à Previdência Social, o que é crucial para assegurar os direitos dos trabalhadores e a responsabilidade social das empresas.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Avaliação Contábil e Econômica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 xml:space="preserve">A avaliação contábil e econômica das licitantes deve ser realizada pela Secretaria Municipal da Fazenda, em conformidade com as diretrizes estabelecidas pelo edital. Esta análise é essencial para garantir que as propostas apresentadas sejam viáveis e que as empresas possuam condições financeiras adequadas para a execução do </w:t>
      </w:r>
      <w:r w:rsidRPr="001B6937">
        <w:rPr>
          <w:rFonts w:ascii="Arial" w:eastAsia="Times New Roman" w:hAnsi="Arial" w:cs="Arial"/>
          <w:sz w:val="24"/>
          <w:szCs w:val="24"/>
        </w:rPr>
        <w:lastRenderedPageBreak/>
        <w:t>contrato.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avaliação econômica deve considerar:</w:t>
      </w:r>
    </w:p>
    <w:p w:rsidR="00F37B56" w:rsidRPr="001B6937" w:rsidRDefault="00F37B56" w:rsidP="00F37B56">
      <w:pPr>
        <w:widowControl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capacidade financeira das licitantes</w:t>
      </w:r>
    </w:p>
    <w:p w:rsidR="00F37B56" w:rsidRPr="001B6937" w:rsidRDefault="00F37B56" w:rsidP="00F37B56">
      <w:pPr>
        <w:widowControl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compatibilidade de suas propostas em relação aos preços de mercado</w:t>
      </w:r>
    </w:p>
    <w:p w:rsidR="00F37B56" w:rsidRPr="001B6937" w:rsidRDefault="00F37B56" w:rsidP="00F37B56">
      <w:pPr>
        <w:widowControl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viabilidade da execução do objeto licitado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Secretaria Municipal da Fazenda deve, portanto, realizar uma análise criteriosa para assegurar que a escolha da empresa vencedora atenda aos princípios da economicidade e da eficiência.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1B6937">
        <w:rPr>
          <w:rFonts w:ascii="Arial" w:eastAsia="Times New Roman" w:hAnsi="Arial" w:cs="Arial"/>
          <w:b/>
          <w:bCs/>
          <w:sz w:val="24"/>
          <w:szCs w:val="24"/>
        </w:rPr>
        <w:t>Conclusão</w:t>
      </w:r>
    </w:p>
    <w:p w:rsidR="00F37B56" w:rsidRPr="001B6937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>A análise das qualificações das licitantes</w:t>
      </w:r>
      <w:r>
        <w:rPr>
          <w:rFonts w:ascii="Arial" w:eastAsia="Times New Roman" w:hAnsi="Arial" w:cs="Arial"/>
          <w:sz w:val="24"/>
          <w:szCs w:val="24"/>
        </w:rPr>
        <w:t xml:space="preserve"> em tela</w:t>
      </w:r>
      <w:r w:rsidRPr="001B6937">
        <w:rPr>
          <w:rFonts w:ascii="Arial" w:eastAsia="Times New Roman" w:hAnsi="Arial" w:cs="Arial"/>
          <w:sz w:val="24"/>
          <w:szCs w:val="24"/>
        </w:rPr>
        <w:t xml:space="preserve"> participantes do Pregão 56/2025 revela que as empresas apresentaram a documentação exigida e estão aptas a participar do certame. A regularidade jurídica, técnica, fiscal, social e trabalhista das licitantes é essencial para garantir a lisura do processo licitatório e a qualidade dos serviços a serem prestados.</w:t>
      </w:r>
    </w:p>
    <w:p w:rsidR="00F37B56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6937">
        <w:rPr>
          <w:rFonts w:ascii="Arial" w:eastAsia="Times New Roman" w:hAnsi="Arial" w:cs="Arial"/>
          <w:sz w:val="24"/>
          <w:szCs w:val="24"/>
        </w:rPr>
        <w:t xml:space="preserve">Estamos à </w:t>
      </w:r>
      <w:proofErr w:type="gramStart"/>
      <w:r w:rsidRPr="001B6937">
        <w:rPr>
          <w:rFonts w:ascii="Arial" w:eastAsia="Times New Roman" w:hAnsi="Arial" w:cs="Arial"/>
          <w:sz w:val="24"/>
          <w:szCs w:val="24"/>
        </w:rPr>
        <w:t>disposição para colaborar no que for necessário para levar a cabo o certame 056/2025</w:t>
      </w:r>
      <w:proofErr w:type="gramEnd"/>
      <w:r w:rsidRPr="001B6937">
        <w:rPr>
          <w:rFonts w:ascii="Arial" w:eastAsia="Times New Roman" w:hAnsi="Arial" w:cs="Arial"/>
          <w:sz w:val="24"/>
          <w:szCs w:val="24"/>
        </w:rPr>
        <w:t>.</w:t>
      </w:r>
    </w:p>
    <w:p w:rsidR="00F37B56" w:rsidRDefault="00F37B56" w:rsidP="00246E55">
      <w:pPr>
        <w:spacing w:before="100" w:beforeAutospacing="1" w:after="100" w:afterAutospacing="1" w:line="36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Sapucaia do Sul. 07 de Novembro de 2025.</w:t>
      </w:r>
    </w:p>
    <w:p w:rsidR="00F37B56" w:rsidRDefault="00F37B56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46E55" w:rsidRDefault="00246E55" w:rsidP="00F37B56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37B56" w:rsidRDefault="00F37B56" w:rsidP="00246E55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Alfredo </w:t>
      </w:r>
      <w:proofErr w:type="spellStart"/>
      <w:r>
        <w:rPr>
          <w:rFonts w:ascii="Arial" w:eastAsia="Times New Roman" w:hAnsi="Arial" w:cs="Arial"/>
          <w:sz w:val="24"/>
          <w:szCs w:val="24"/>
        </w:rPr>
        <w:t>Brochier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Neto</w:t>
      </w:r>
    </w:p>
    <w:p w:rsidR="001422E7" w:rsidRPr="009236E2" w:rsidRDefault="00F37B56" w:rsidP="00246E55">
      <w:pPr>
        <w:spacing w:before="100" w:beforeAutospacing="1" w:after="100" w:afterAutospacing="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Matrícula 93225</w:t>
      </w:r>
    </w:p>
    <w:sectPr w:rsidR="001422E7" w:rsidRPr="009236E2" w:rsidSect="00F37B56">
      <w:headerReference w:type="default" r:id="rId8"/>
      <w:footerReference w:type="default" r:id="rId9"/>
      <w:pgSz w:w="11910" w:h="16850"/>
      <w:pgMar w:top="0" w:right="1137" w:bottom="0" w:left="170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391" w:rsidRDefault="00471391">
      <w:r>
        <w:separator/>
      </w:r>
    </w:p>
  </w:endnote>
  <w:endnote w:type="continuationSeparator" w:id="1">
    <w:p w:rsidR="00471391" w:rsidRDefault="00471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</w:t>
    </w:r>
    <w:r w:rsidR="006D3E4A">
      <w:rPr>
        <w:color w:val="000000"/>
      </w:rPr>
      <w:t>Dugite</w:t>
    </w:r>
    <w:r>
      <w:rPr>
        <w:color w:val="000000"/>
      </w:rPr>
      <w:t xml:space="preserve"> </w:t>
    </w:r>
    <w:r w:rsidR="006D3E4A">
      <w:rPr>
        <w:color w:val="000000"/>
      </w:rPr>
      <w:t>Aqui</w:t>
    </w:r>
    <w:r>
      <w:rPr>
        <w:color w:val="000000"/>
      </w:rPr>
      <w:t>]</w: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-1079499</wp:posOffset>
          </wp:positionH>
          <wp:positionV relativeFrom="paragraph">
            <wp:posOffset>-433069</wp:posOffset>
          </wp:positionV>
          <wp:extent cx="7562215" cy="1219200"/>
          <wp:effectExtent l="0" t="0" r="0" b="0"/>
          <wp:wrapNone/>
          <wp:docPr id="1689161930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219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ve:AlternateContent>
      <mc:Choic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el="http://schemas.microsoft.com/office/2019/extlst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Requires="wpg">
        <w:drawing>
          <wp:anchor distT="0" distB="0" distL="114300" distR="114300" simplePos="0" relativeHeight="251661312" behindDoc="0" locked="0" layoutInCell="1" hidden="0" allowOverlap="1" wp14:anchorId="2F0B0FDA" wp14:editId="566BE17B">
            <wp:simplePos x="0" y="0"/>
            <wp:positionH relativeFrom="column">
              <wp:posOffset>127000</wp:posOffset>
            </wp:positionH>
            <wp:positionV relativeFrom="paragraph">
              <wp:posOffset>25400</wp:posOffset>
            </wp:positionV>
            <wp:extent cx="5144770" cy="280035"/>
            <wp:effectExtent l="0" t="0" r="0" b="0"/>
            <wp:wrapNone/>
            <wp:docPr id="1689161924" name="Forma Livre: Forma 1689161924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SpPr/>
                  <wps:spPr>
                    <a:xfrm>
                      <a:off x="2778378" y="3644745"/>
                      <a:ext cx="5135245" cy="27051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>
                        <a:path w="5135245" h="270510" extrusionOk="0">
                          <a:moveTo>
                            <a:pt x="5000007" y="270208"/>
                          </a:moveTo>
                          <a:lnTo>
                            <a:pt x="135104" y="270208"/>
                          </a:lnTo>
                          <a:lnTo>
                            <a:pt x="92400" y="263320"/>
                          </a:lnTo>
                          <a:lnTo>
                            <a:pt x="55313" y="244141"/>
                          </a:lnTo>
                          <a:lnTo>
                            <a:pt x="26067" y="214895"/>
                          </a:lnTo>
                          <a:lnTo>
                            <a:pt x="6887" y="177807"/>
                          </a:lnTo>
                          <a:lnTo>
                            <a:pt x="0" y="135104"/>
                          </a:lnTo>
                          <a:lnTo>
                            <a:pt x="6887" y="92400"/>
                          </a:lnTo>
                          <a:lnTo>
                            <a:pt x="26067" y="55313"/>
                          </a:lnTo>
                          <a:lnTo>
                            <a:pt x="55313" y="26067"/>
                          </a:lnTo>
                          <a:lnTo>
                            <a:pt x="92400" y="6887"/>
                          </a:lnTo>
                          <a:lnTo>
                            <a:pt x="135104" y="0"/>
                          </a:lnTo>
                          <a:lnTo>
                            <a:pt x="5000007" y="0"/>
                          </a:lnTo>
                          <a:lnTo>
                            <a:pt x="5042711" y="6887"/>
                          </a:lnTo>
                          <a:lnTo>
                            <a:pt x="5079798" y="26067"/>
                          </a:lnTo>
                          <a:lnTo>
                            <a:pt x="5109044" y="55313"/>
                          </a:lnTo>
                          <a:lnTo>
                            <a:pt x="5128224" y="92400"/>
                          </a:lnTo>
                          <a:lnTo>
                            <a:pt x="5135112" y="135104"/>
                          </a:lnTo>
                          <a:lnTo>
                            <a:pt x="5128224" y="177807"/>
                          </a:lnTo>
                          <a:lnTo>
                            <a:pt x="5109044" y="214895"/>
                          </a:lnTo>
                          <a:lnTo>
                            <a:pt x="5079798" y="244141"/>
                          </a:lnTo>
                          <a:lnTo>
                            <a:pt x="5042711" y="263320"/>
                          </a:lnTo>
                          <a:lnTo>
                            <a:pt x="5000007" y="270208"/>
                          </a:lnTo>
                          <a:close/>
                        </a:path>
                      </a:pathLst>
                    </a:custGeom>
                    <a:solidFill>
                      <a:srgbClr val="FFFFFF"/>
                    </a:solidFill>
                    <a:ln>
                      <a:noFill/>
                    </a:ln>
                  </wps:spPr>
                  <wps:bodyPr spcFirstLastPara="1" wrap="square" lIns="91425" tIns="91425" rIns="91425" bIns="91425" anchor="ctr" anchorCtr="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127000</wp:posOffset>
              </wp:positionH>
              <wp:positionV relativeFrom="paragraph">
                <wp:posOffset>25400</wp:posOffset>
              </wp:positionV>
              <wp:extent cx="5144770" cy="280035"/>
              <wp:effectExtent l="0" t="0" r="0" b="0"/>
              <wp:wrapNone/>
              <wp:docPr id="1689161924" name="image7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7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44770" cy="28003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w:r w:rsidR="0016243B" w:rsidRPr="0016243B">
      <w:rPr>
        <w:noProof/>
      </w:rPr>
      <w:pict>
        <v:rect id="Retângulo 1689161925" o:spid="_x0000_s1027" style="position:absolute;margin-left:31pt;margin-top:.6pt;width:360.75pt;height:29.05pt;z-index:251663360;visibility:visible;mso-wrap-distance-top:3.6pt;mso-wrap-distance-bottom:3.6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" filled="f" stroked="f">
          <v:textbox inset="2.53958mm,1.2694mm,2.53958mm,1.2694mm">
            <w:txbxContent>
              <w:p w:rsidR="00952E3D" w:rsidRPr="009236E2" w:rsidRDefault="00D40FDF">
                <w:pPr>
                  <w:textDirection w:val="btLr"/>
                  <w:rPr>
                    <w:color w:val="FFFFFF" w:themeColor="background1"/>
                    <w:sz w:val="18"/>
                    <w:szCs w:val="18"/>
                  </w:rPr>
                </w:pPr>
                <w:r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>Prefeitura Municipal de Sapucaia do Sul – Av. Leônidas de Souza, 1269 – Bairro Santa Catarina</w:t>
                </w:r>
              </w:p>
              <w:p w:rsidR="00952E3D" w:rsidRPr="009236E2" w:rsidRDefault="009B5EFF">
                <w:pPr>
                  <w:textDirection w:val="btLr"/>
                  <w:rPr>
                    <w:color w:val="FFFFFF" w:themeColor="background1"/>
                    <w:sz w:val="18"/>
                    <w:szCs w:val="18"/>
                  </w:rPr>
                </w:pPr>
                <w:r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>Secret</w:t>
                </w:r>
                <w:r w:rsidR="00C70E91"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>aria</w:t>
                </w:r>
                <w:r w:rsidRPr="009236E2">
                  <w:rPr>
                    <w:rFonts w:ascii="Arial" w:eastAsia="Arial" w:hAnsi="Arial" w:cs="Arial"/>
                    <w:color w:val="FFFFFF" w:themeColor="background1"/>
                    <w:sz w:val="18"/>
                    <w:szCs w:val="18"/>
                  </w:rPr>
                  <w:t xml:space="preserve"> Municipal de Saúde – (51) 3452-8650 – secretaria.saude@sapucaiadosul.rs.gov.br</w:t>
                </w:r>
              </w:p>
            </w:txbxContent>
          </v:textbox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391" w:rsidRDefault="00471391">
      <w:r>
        <w:separator/>
      </w:r>
    </w:p>
  </w:footnote>
  <w:footnote w:type="continuationSeparator" w:id="1">
    <w:p w:rsidR="00471391" w:rsidRDefault="004713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D" w:rsidRDefault="00952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52E3D" w:rsidRDefault="00952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52E3D" w:rsidRDefault="00952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10"/>
        <w:szCs w:val="10"/>
      </w:rPr>
    </w:pPr>
    <w:r>
      <w:rPr>
        <w:rFonts w:ascii="Arial" w:eastAsia="Arial" w:hAnsi="Arial" w:cs="Arial"/>
        <w:b/>
        <w:noProof/>
        <w:color w:val="000000"/>
      </w:rPr>
      <w:drawing>
        <wp:inline distT="0" distB="0" distL="0" distR="0">
          <wp:extent cx="472094" cy="510639"/>
          <wp:effectExtent l="0" t="0" r="0" b="0"/>
          <wp:docPr id="1689161928" name="image1.jpg" descr="Bras%C3%A3o_sapuca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Bras%C3%A3o_sapuca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2094" cy="5106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b/>
        <w:color w:val="000000"/>
      </w:rPr>
      <w:br/>
    </w:r>
  </w:p>
  <w:p w:rsidR="00952E3D" w:rsidRPr="00C56254" w:rsidRDefault="006D3E4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</w:rPr>
    </w:pPr>
    <w:r w:rsidRPr="00C56254">
      <w:rPr>
        <w:rFonts w:ascii="Arial" w:eastAsia="Arial" w:hAnsi="Arial" w:cs="Arial"/>
        <w:b/>
        <w:color w:val="000000"/>
      </w:rPr>
      <w:t>Prefe</w:t>
    </w:r>
    <w:r w:rsidR="00484D7E" w:rsidRPr="00C56254">
      <w:rPr>
        <w:rFonts w:ascii="Arial" w:eastAsia="Arial" w:hAnsi="Arial" w:cs="Arial"/>
        <w:b/>
        <w:color w:val="000000"/>
      </w:rPr>
      <w:t>itura</w:t>
    </w:r>
    <w:r w:rsidRPr="00C56254">
      <w:rPr>
        <w:rFonts w:ascii="Arial" w:eastAsia="Arial" w:hAnsi="Arial" w:cs="Arial"/>
        <w:b/>
        <w:color w:val="000000"/>
      </w:rPr>
      <w:t xml:space="preserve"> Municipal de Sapuca</w:t>
    </w:r>
    <w:r w:rsidR="00484D7E" w:rsidRPr="00C56254">
      <w:rPr>
        <w:rFonts w:ascii="Arial" w:eastAsia="Arial" w:hAnsi="Arial" w:cs="Arial"/>
        <w:b/>
        <w:color w:val="000000"/>
      </w:rPr>
      <w:t>i</w:t>
    </w:r>
    <w:r w:rsidRPr="00C56254">
      <w:rPr>
        <w:rFonts w:ascii="Arial" w:eastAsia="Arial" w:hAnsi="Arial" w:cs="Arial"/>
        <w:b/>
        <w:color w:val="000000"/>
      </w:rPr>
      <w:t>a do Sul</w:t>
    </w: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EE0000"/>
      </w:rPr>
    </w:pPr>
    <w:r w:rsidRPr="009B5EFF">
      <w:rPr>
        <w:rFonts w:ascii="Arial" w:eastAsia="Arial" w:hAnsi="Arial" w:cs="Arial"/>
        <w:b/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1752</wp:posOffset>
          </wp:positionH>
          <wp:positionV relativeFrom="page">
            <wp:posOffset>2700</wp:posOffset>
          </wp:positionV>
          <wp:extent cx="7562849" cy="749854"/>
          <wp:effectExtent l="0" t="0" r="0" b="0"/>
          <wp:wrapNone/>
          <wp:docPr id="168916192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49" cy="7498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B5EFF" w:rsidRPr="009B5EFF">
      <w:rPr>
        <w:rFonts w:ascii="Arial" w:eastAsia="Arial" w:hAnsi="Arial" w:cs="Arial"/>
        <w:b/>
        <w:noProof/>
      </w:rPr>
      <w:t>Secretaria Municipal de Saúde</w:t>
    </w:r>
  </w:p>
  <w:p w:rsidR="00952E3D" w:rsidRDefault="00BC512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795724</wp:posOffset>
          </wp:positionH>
          <wp:positionV relativeFrom="paragraph">
            <wp:posOffset>1953260</wp:posOffset>
          </wp:positionV>
          <wp:extent cx="3812400" cy="4194000"/>
          <wp:effectExtent l="0" t="0" r="0" b="0"/>
          <wp:wrapNone/>
          <wp:docPr id="168916192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12400" cy="419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62E6"/>
    <w:multiLevelType w:val="hybridMultilevel"/>
    <w:tmpl w:val="B890DD3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F27584"/>
    <w:multiLevelType w:val="hybridMultilevel"/>
    <w:tmpl w:val="16D67B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A9428A"/>
    <w:multiLevelType w:val="multilevel"/>
    <w:tmpl w:val="DE6A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5C7586"/>
    <w:multiLevelType w:val="multilevel"/>
    <w:tmpl w:val="AD16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070424"/>
    <w:multiLevelType w:val="multilevel"/>
    <w:tmpl w:val="1B2CA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0A0BBA"/>
    <w:multiLevelType w:val="multilevel"/>
    <w:tmpl w:val="4566E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7C00B3"/>
    <w:multiLevelType w:val="multilevel"/>
    <w:tmpl w:val="0374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F73C75"/>
    <w:multiLevelType w:val="multilevel"/>
    <w:tmpl w:val="2258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D46E83"/>
    <w:multiLevelType w:val="multilevel"/>
    <w:tmpl w:val="EC52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52E3D"/>
    <w:rsid w:val="0001562E"/>
    <w:rsid w:val="00057316"/>
    <w:rsid w:val="00120AB5"/>
    <w:rsid w:val="001422E7"/>
    <w:rsid w:val="0015601D"/>
    <w:rsid w:val="0016243B"/>
    <w:rsid w:val="00183240"/>
    <w:rsid w:val="001D57A0"/>
    <w:rsid w:val="002431E5"/>
    <w:rsid w:val="00246E55"/>
    <w:rsid w:val="002973FF"/>
    <w:rsid w:val="002C140D"/>
    <w:rsid w:val="0034605F"/>
    <w:rsid w:val="00403AB2"/>
    <w:rsid w:val="0040771C"/>
    <w:rsid w:val="00415FCE"/>
    <w:rsid w:val="004210BB"/>
    <w:rsid w:val="004264B2"/>
    <w:rsid w:val="00442D41"/>
    <w:rsid w:val="00471391"/>
    <w:rsid w:val="00484D7E"/>
    <w:rsid w:val="0049152E"/>
    <w:rsid w:val="0049606B"/>
    <w:rsid w:val="004A5C84"/>
    <w:rsid w:val="005E6BED"/>
    <w:rsid w:val="006836C4"/>
    <w:rsid w:val="006D3E4A"/>
    <w:rsid w:val="006E3AD0"/>
    <w:rsid w:val="0072090D"/>
    <w:rsid w:val="00753438"/>
    <w:rsid w:val="00846F90"/>
    <w:rsid w:val="00857605"/>
    <w:rsid w:val="00917CC5"/>
    <w:rsid w:val="009236E2"/>
    <w:rsid w:val="00952E3D"/>
    <w:rsid w:val="009A3E31"/>
    <w:rsid w:val="009B5EFF"/>
    <w:rsid w:val="00A204ED"/>
    <w:rsid w:val="00A22DB4"/>
    <w:rsid w:val="00A23761"/>
    <w:rsid w:val="00A5560F"/>
    <w:rsid w:val="00A71F77"/>
    <w:rsid w:val="00A92E26"/>
    <w:rsid w:val="00AA5F42"/>
    <w:rsid w:val="00AE4AB6"/>
    <w:rsid w:val="00AF6E4F"/>
    <w:rsid w:val="00B64B2E"/>
    <w:rsid w:val="00B81169"/>
    <w:rsid w:val="00B91372"/>
    <w:rsid w:val="00B91E02"/>
    <w:rsid w:val="00BC512C"/>
    <w:rsid w:val="00C4701E"/>
    <w:rsid w:val="00C56254"/>
    <w:rsid w:val="00C70E91"/>
    <w:rsid w:val="00CA7712"/>
    <w:rsid w:val="00D164E7"/>
    <w:rsid w:val="00D40FDF"/>
    <w:rsid w:val="00D45570"/>
    <w:rsid w:val="00D569C6"/>
    <w:rsid w:val="00D631EC"/>
    <w:rsid w:val="00D80C3E"/>
    <w:rsid w:val="00D85100"/>
    <w:rsid w:val="00E3384E"/>
    <w:rsid w:val="00E466D1"/>
    <w:rsid w:val="00E50036"/>
    <w:rsid w:val="00EB4B44"/>
    <w:rsid w:val="00F27901"/>
    <w:rsid w:val="00F37B56"/>
    <w:rsid w:val="00F52B5F"/>
    <w:rsid w:val="00FA5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DB4"/>
  </w:style>
  <w:style w:type="paragraph" w:styleId="Ttulo1">
    <w:name w:val="heading 1"/>
    <w:basedOn w:val="Normal"/>
    <w:next w:val="Normal"/>
    <w:uiPriority w:val="9"/>
    <w:qFormat/>
    <w:rsid w:val="00A22D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A22D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A22D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A22D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A22DB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A22D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A22D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A22DB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22D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22DB4"/>
  </w:style>
  <w:style w:type="paragraph" w:customStyle="1" w:styleId="TableParagraph">
    <w:name w:val="Table Paragraph"/>
    <w:basedOn w:val="Normal"/>
    <w:uiPriority w:val="1"/>
    <w:qFormat/>
    <w:rsid w:val="00A22DB4"/>
  </w:style>
  <w:style w:type="character" w:styleId="Refdecomentrio">
    <w:name w:val="annotation reference"/>
    <w:basedOn w:val="Fontepargpadro"/>
    <w:uiPriority w:val="99"/>
    <w:semiHidden/>
    <w:unhideWhenUsed/>
    <w:rsid w:val="002A17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A17A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A17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17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17A2"/>
    <w:rPr>
      <w:b/>
      <w:bCs/>
      <w:sz w:val="20"/>
      <w:szCs w:val="20"/>
    </w:rPr>
  </w:style>
  <w:style w:type="paragraph" w:styleId="Cabealho">
    <w:name w:val="header"/>
    <w:basedOn w:val="Normal"/>
    <w:link w:val="CabealhoChar"/>
    <w:unhideWhenUsed/>
    <w:rsid w:val="002A17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17A2"/>
  </w:style>
  <w:style w:type="paragraph" w:styleId="Rodap">
    <w:name w:val="footer"/>
    <w:basedOn w:val="Normal"/>
    <w:link w:val="RodapChar"/>
    <w:uiPriority w:val="99"/>
    <w:unhideWhenUsed/>
    <w:rsid w:val="002A17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17A2"/>
  </w:style>
  <w:style w:type="paragraph" w:styleId="Subttulo">
    <w:name w:val="Subtitle"/>
    <w:basedOn w:val="Normal"/>
    <w:next w:val="Normal"/>
    <w:uiPriority w:val="11"/>
    <w:qFormat/>
    <w:rsid w:val="00A22D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422E7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2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JCJkLRqwLsBMP6dIBt6eL3OEBQ==">CgMxLjA4AGomChRzdWdnZXN0LmtuYWR4YWloNGpjbBIOTGVpZGllbCBNb3JhaXNqJgoUc3VnZ2VzdC44MGp4djFqZG0wZHoSDkxlaWRpZWwgTW9yYWlzaiYKFHN1Z2dlc3QuZzBiNWY4cXEwajFyEg5MZWlkaWVsIE1vcmFpc3IhMXdnOG1wT0lJY2Nrby1Xdy1aR0drdl9hUGRUV2xJaFNM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de Sapucaia do Sul</dc:creator>
  <cp:lastModifiedBy>fernanda.magalhaes</cp:lastModifiedBy>
  <cp:revision>2</cp:revision>
  <cp:lastPrinted>2025-08-04T19:44:00Z</cp:lastPrinted>
  <dcterms:created xsi:type="dcterms:W3CDTF">2025-11-12T16:50:00Z</dcterms:created>
  <dcterms:modified xsi:type="dcterms:W3CDTF">2025-11-12T16:50:00Z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Creator">
    <vt:lpwstr>Canva</vt:lpwstr>
  </property>
  <property fmtid="{D5CDD505-2E9C-101B-9397-08002B2CF9AE}" pid="4" name="LastSaved">
    <vt:filetime>2025-05-21T00:00:00Z</vt:filetime>
  </property>
  <property fmtid="{D5CDD505-2E9C-101B-9397-08002B2CF9AE}" pid="5" name="Producer">
    <vt:lpwstr>Canva</vt:lpwstr>
  </property>
</Properties>
</file>