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76" w:rsidRDefault="00921776">
      <w:pPr>
        <w:rPr>
          <w:rFonts w:ascii="Bookman Old Style" w:eastAsia="Bookman Old Style" w:hAnsi="Bookman Old Style" w:cs="Bookman Old Style"/>
          <w:b/>
          <w:bCs/>
          <w:sz w:val="22"/>
          <w:szCs w:val="22"/>
          <w:u w:val="single"/>
        </w:rPr>
      </w:pPr>
    </w:p>
    <w:p w:rsidR="00921776" w:rsidRDefault="00921776">
      <w:pPr>
        <w:jc w:val="center"/>
        <w:rPr>
          <w:rFonts w:ascii="Bookman Old Style" w:eastAsia="Bookman Old Style" w:hAnsi="Bookman Old Style" w:cs="Bookman Old Style"/>
          <w:b/>
          <w:bCs/>
          <w:color w:val="70AD47"/>
          <w:sz w:val="22"/>
          <w:szCs w:val="22"/>
        </w:rPr>
      </w:pPr>
    </w:p>
    <w:p w:rsidR="00921776" w:rsidRDefault="00921776">
      <w:pPr>
        <w:jc w:val="center"/>
        <w:rPr>
          <w:rFonts w:ascii="Bookman Old Style" w:eastAsia="Bookman Old Style" w:hAnsi="Bookman Old Style" w:cs="Bookman Old Style"/>
          <w:b/>
          <w:bCs/>
          <w:color w:val="70AD47"/>
          <w:sz w:val="22"/>
          <w:szCs w:val="22"/>
        </w:rPr>
      </w:pPr>
    </w:p>
    <w:p w:rsidR="00921776" w:rsidRDefault="00921776">
      <w:pPr>
        <w:jc w:val="center"/>
        <w:rPr>
          <w:rFonts w:ascii="Bookman Old Style" w:eastAsia="Bookman Old Style" w:hAnsi="Bookman Old Style" w:cs="Bookman Old Style"/>
          <w:b/>
          <w:bCs/>
          <w:color w:val="70AD47"/>
          <w:sz w:val="22"/>
          <w:szCs w:val="22"/>
        </w:rPr>
      </w:pPr>
    </w:p>
    <w:p w:rsidR="00921776" w:rsidRDefault="00942A45">
      <w:pPr>
        <w:spacing w:line="360" w:lineRule="auto"/>
        <w:jc w:val="center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>ESTUDO TÉCNICO PRELIMINAR (ETP)</w:t>
      </w:r>
    </w:p>
    <w:p w:rsidR="00921776" w:rsidRDefault="00921776">
      <w:pPr>
        <w:spacing w:line="360" w:lineRule="auto"/>
        <w:ind w:firstLine="708"/>
        <w:jc w:val="both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</w:p>
    <w:p w:rsidR="00921776" w:rsidRDefault="00942A45">
      <w:pPr>
        <w:spacing w:line="360" w:lineRule="auto"/>
        <w:ind w:firstLine="708"/>
        <w:jc w:val="both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>INTRODUÇÃO</w:t>
      </w:r>
    </w:p>
    <w:p w:rsidR="00921776" w:rsidRDefault="00942A45">
      <w:pPr>
        <w:spacing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>Conforme a Lei nº 14.133, de 2021, o Estudo Técnico Preliminar (ETP) tem por objetivo identificar e analisar os cenários para o atendimento da demanda que consta no Documento de Formalização de Demanda (DFD), bem como demonstrar viabilidade técnica e econômica das soluções identificadas, fornecendo as informações necessárias para subsidiar o respectivo processo de contratação.</w:t>
      </w:r>
    </w:p>
    <w:p w:rsidR="00921776" w:rsidRDefault="00942A45">
      <w:pPr>
        <w:spacing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Neste sentido, o presente documento contempla estudos para a contratação de solução que atenderá à necessidade especificada no documento de formalização da demanda anexo, e tem por finalidade estudá-la detalhadamente e identificar a melhor solução existente no mercado para supri-la, em conformidade com as normas e princípios que regem a Administração Pública. </w:t>
      </w:r>
    </w:p>
    <w:p w:rsidR="00921776" w:rsidRDefault="00921776">
      <w:pPr>
        <w:spacing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42A45">
      <w:pPr>
        <w:spacing w:line="360" w:lineRule="auto"/>
        <w:ind w:firstLine="708"/>
        <w:jc w:val="both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1 – DESCRIÇÃO DA NECESSIDADE 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    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  <w:t>O Município de Lavras do Sul identificou a necessidade de aquisição de Gás Liquefeito de Petróleo (GLP) com o objetivo de atender às demandas de diversas secretarias do Executivo Municipal, incluindo, mas não se limitando, às áreas de educação, saúde e demais unidades administrativas que utilizam o gás como fonte de energia para preparo de alimentos, aquecimento de água e outras atividades institucionais.</w:t>
      </w:r>
    </w:p>
    <w:p w:rsidR="00921776" w:rsidRDefault="00942A45">
      <w:pPr>
        <w:spacing w:line="360" w:lineRule="auto"/>
        <w:ind w:firstLine="708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>A demanda pelo insumo é contínua, especialmente nas cozinhas escolares, cozinhas comunitárias, unidades de saúde e demais repartições que prestam atendimento direto à população. A ausência do GLP comprometeria a prestação regular dos serviços públicos essenciais, impactando diretamente o bem-estar da comunidade atendida.</w:t>
      </w:r>
    </w:p>
    <w:p w:rsidR="00921776" w:rsidRDefault="00921776">
      <w:pPr>
        <w:spacing w:before="280" w:after="280" w:line="360" w:lineRule="auto"/>
        <w:ind w:firstLine="708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21776">
      <w:pPr>
        <w:spacing w:before="280" w:after="280" w:line="360" w:lineRule="auto"/>
        <w:ind w:firstLine="708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21776">
      <w:pPr>
        <w:spacing w:before="280" w:after="280" w:line="360" w:lineRule="auto"/>
        <w:ind w:firstLine="708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21776">
      <w:pPr>
        <w:spacing w:before="280" w:after="280" w:line="360" w:lineRule="auto"/>
        <w:ind w:firstLine="708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42A45">
      <w:pPr>
        <w:spacing w:before="280" w:after="280" w:line="360" w:lineRule="auto"/>
        <w:ind w:firstLine="708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>Dessa forma, a aquisição planejada visa garantir o fornecimento regular e suficiente de GLP para suprir todas as unidades do Executivo Municipal que dele dependem, assegurando a continuidade e a qualidade dos serviços prestados à população.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 xml:space="preserve">      2 - ALINHAMENTO COM PCA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708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A referida contratação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 xml:space="preserve"> está contemplada no Plano de Contratações Anual (PCA) de 2026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, disponível em: </w:t>
      </w:r>
      <w:hyperlink r:id="rId8">
        <w:r>
          <w:rPr>
            <w:rFonts w:ascii="Bookman Old Style" w:eastAsia="Bookman Old Style" w:hAnsi="Bookman Old Style" w:cs="Bookman Old Style"/>
            <w:color w:val="0563C1"/>
            <w:sz w:val="22"/>
            <w:szCs w:val="22"/>
            <w:u w:val="single"/>
          </w:rPr>
          <w:t>https://www.lavrasdosul.rs.gov.br/pagina/id/1050/?pac.html</w:t>
        </w:r>
      </w:hyperlink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.  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360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3 – REQUISITOS DE CONTRATAÇÃO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O fornecimento deve contemplar botijões de 13 kg e 45 kg, conforme demanda de cada unidade;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Efetuar a entrega do objeto em perfeitas condições, conforme especificações, prazo e local constantes no Termo de Referência e seus anexos, acompanhado da respectiva nota fiscal, na qual constarão as indicações referentes a: marca, fabricante, modelo, procedência e prazo de garantia ou validade;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O produto deve atender às normas da Agência Nacional do Petróleo (ANP) e demais regulamentações técnicas;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O fornecedor deverá garantir transporte adequado, seguro e pontualidade nas entregas; 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Deverá ser fornecido GLP de procedência legal e em botijões certificados;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Deverá ser substituído o produto que, porventura, estiver possuindo algumas avarias ou defeitos ou estiver fora do prazo de validade.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O fornecimento poderá ser operacionalizado mediante sistema de vales, autorizações formais ou mecanismo equivalente, a ser adotado pela Administração como forma de controle da distribuição por </w:t>
      </w: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proofErr w:type="gramStart"/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unidade</w:t>
      </w:r>
      <w:proofErr w:type="gramEnd"/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requisitante. Tal sistemática visa assegurar a rastreabilidade das entregas, o adequado controle dos quantitativos consumidos e a eficiência na gestão contratual, sem prejuízo da obrigatoriedade de emissão de nota fiscal correspondente aos fornecimentos realizados.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firstLine="360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4 – ESTIMATIVA DE QUANTIDADES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br/>
        <w:t xml:space="preserve">      A estimativa de quantidades dos produtos listados foi elaborada de forma criteriosa, levando em consideração no processo detalhado e fundamentado em dados reais, históricos de consumo. Ainda, deverá ser considerado que cada Secretaria foi responsável por montar seu quantitativo. Esse procedimento garante a precisão nas quantidades estimadas, evitando desperdícios e falta de materiais, e assegura a transparência e eficiência na utilização dos recursos públicos. Conforme disposto na tabela:</w:t>
      </w:r>
    </w:p>
    <w:tbl>
      <w:tblPr>
        <w:tblStyle w:val="a"/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2"/>
        <w:gridCol w:w="3118"/>
        <w:gridCol w:w="1559"/>
        <w:gridCol w:w="1843"/>
        <w:gridCol w:w="2410"/>
      </w:tblGrid>
      <w:tr w:rsidR="00921776">
        <w:trPr>
          <w:trHeight w:val="24"/>
        </w:trPr>
        <w:tc>
          <w:tcPr>
            <w:tcW w:w="852" w:type="dxa"/>
            <w:shd w:val="clear" w:color="auto" w:fill="E2EF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1776" w:rsidRDefault="00942A45">
            <w:pPr>
              <w:spacing w:before="60" w:after="60" w:line="288" w:lineRule="auto"/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118" w:type="dxa"/>
            <w:shd w:val="clear" w:color="auto" w:fill="E2EFD9"/>
          </w:tcPr>
          <w:p w:rsidR="00921776" w:rsidRDefault="00942A45">
            <w:pPr>
              <w:spacing w:before="60" w:after="60" w:line="288" w:lineRule="auto"/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OBJETO</w:t>
            </w:r>
          </w:p>
        </w:tc>
        <w:tc>
          <w:tcPr>
            <w:tcW w:w="1559" w:type="dxa"/>
            <w:shd w:val="clear" w:color="auto" w:fill="E2EFD9"/>
          </w:tcPr>
          <w:p w:rsidR="00921776" w:rsidRDefault="00942A45">
            <w:pPr>
              <w:spacing w:before="60" w:after="60" w:line="360" w:lineRule="auto"/>
              <w:ind w:left="-249" w:firstLine="249"/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843" w:type="dxa"/>
            <w:shd w:val="clear" w:color="auto" w:fill="E2EFD9"/>
          </w:tcPr>
          <w:p w:rsidR="00921776" w:rsidRDefault="00942A45">
            <w:pPr>
              <w:spacing w:before="60" w:after="60" w:line="288" w:lineRule="auto"/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shd w:val="clear" w:color="auto" w:fill="E2EFD9"/>
          </w:tcPr>
          <w:p w:rsidR="00921776" w:rsidRDefault="00942A45">
            <w:pPr>
              <w:spacing w:before="60" w:after="60" w:line="288" w:lineRule="auto"/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VALOR TOTAL</w:t>
            </w:r>
          </w:p>
        </w:tc>
      </w:tr>
      <w:tr w:rsidR="00921776">
        <w:trPr>
          <w:trHeight w:val="24"/>
        </w:trPr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1776" w:rsidRDefault="00942A45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118" w:type="dxa"/>
          </w:tcPr>
          <w:p w:rsidR="00921776" w:rsidRDefault="00942A45">
            <w:pP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 xml:space="preserve">BOTIJÃO PARA GÁS (P13)  </w:t>
            </w:r>
          </w:p>
          <w:p w:rsidR="00921776" w:rsidRDefault="00942A45">
            <w:pPr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USO:DOMÉSTICO, CAPACIDADE:CERCA DE 13 KG, ACESSÓRIOS:COM VÁLVULA E MECANISMO DE SEGURANÇA</w:t>
            </w:r>
          </w:p>
        </w:tc>
        <w:tc>
          <w:tcPr>
            <w:tcW w:w="1559" w:type="dxa"/>
            <w:vAlign w:val="bottom"/>
          </w:tcPr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FF0000"/>
                <w:sz w:val="22"/>
                <w:szCs w:val="22"/>
              </w:rPr>
              <w:t>TOTAL 120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SENDO: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SMED: 10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TURISMO: 4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SMOT: 20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SMAD: 74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SMMR: 10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SMS: 2</w:t>
            </w:r>
          </w:p>
        </w:tc>
        <w:tc>
          <w:tcPr>
            <w:tcW w:w="1843" w:type="dxa"/>
            <w:vAlign w:val="bottom"/>
          </w:tcPr>
          <w:p w:rsidR="00921776" w:rsidRDefault="00942A45" w:rsidP="00D019C0">
            <w:pPr>
              <w:jc w:val="right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R$ </w:t>
            </w:r>
            <w:r w:rsidR="00D019C0">
              <w:rPr>
                <w:rFonts w:ascii="Bookman Old Style" w:eastAsia="Bookman Old Style" w:hAnsi="Bookman Old Style" w:cs="Bookman Old Style"/>
                <w:sz w:val="22"/>
                <w:szCs w:val="22"/>
              </w:rPr>
              <w:t>166,72</w:t>
            </w:r>
          </w:p>
        </w:tc>
        <w:tc>
          <w:tcPr>
            <w:tcW w:w="2410" w:type="dxa"/>
          </w:tcPr>
          <w:p w:rsidR="00921776" w:rsidRDefault="00942A45" w:rsidP="00D019C0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 xml:space="preserve">R$ </w:t>
            </w:r>
            <w:r w:rsidR="00D019C0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20.006,40</w:t>
            </w:r>
          </w:p>
        </w:tc>
      </w:tr>
      <w:tr w:rsidR="00921776">
        <w:trPr>
          <w:trHeight w:val="24"/>
        </w:trPr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1776" w:rsidRDefault="00942A45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118" w:type="dxa"/>
          </w:tcPr>
          <w:p w:rsidR="00921776" w:rsidRDefault="00942A45">
            <w:pP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BOTIJÃO PARA GÁS (P45)</w:t>
            </w:r>
          </w:p>
          <w:p w:rsidR="00921776" w:rsidRDefault="00942A45">
            <w:pPr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USO:INDUSTRIAL, CAPACIDADE:CERCA DE 45 KG, ACESSÓRIOS:COM VÁLVULA E MECANISMO DE SEGURANÇA</w:t>
            </w:r>
          </w:p>
        </w:tc>
        <w:tc>
          <w:tcPr>
            <w:tcW w:w="1559" w:type="dxa"/>
            <w:vAlign w:val="bottom"/>
          </w:tcPr>
          <w:p w:rsidR="00921776" w:rsidRDefault="006F0F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FF0000"/>
                <w:sz w:val="22"/>
                <w:szCs w:val="22"/>
              </w:rPr>
              <w:t>TOTAL 11</w:t>
            </w:r>
            <w:r w:rsidR="00942A45">
              <w:rPr>
                <w:rFonts w:ascii="Bookman Old Style" w:eastAsia="Bookman Old Style" w:hAnsi="Bookman Old Style" w:cs="Bookman Old Style"/>
                <w:b/>
                <w:bCs/>
                <w:color w:val="FF0000"/>
                <w:sz w:val="22"/>
                <w:szCs w:val="22"/>
              </w:rPr>
              <w:t>4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SENDO: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SMED: 10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TURISMO: 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SMOT: 20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SMAD: 74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SMMR: 10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SMS: 0</w:t>
            </w:r>
          </w:p>
        </w:tc>
        <w:tc>
          <w:tcPr>
            <w:tcW w:w="1843" w:type="dxa"/>
            <w:vAlign w:val="bottom"/>
          </w:tcPr>
          <w:p w:rsidR="00921776" w:rsidRDefault="00942A45" w:rsidP="00D019C0">
            <w:pPr>
              <w:jc w:val="right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R$ </w:t>
            </w:r>
            <w:r w:rsidR="00D019C0">
              <w:rPr>
                <w:rFonts w:ascii="Bookman Old Style" w:eastAsia="Bookman Old Style" w:hAnsi="Bookman Old Style" w:cs="Bookman Old Style"/>
                <w:sz w:val="22"/>
                <w:szCs w:val="22"/>
              </w:rPr>
              <w:t>767,69</w:t>
            </w:r>
          </w:p>
        </w:tc>
        <w:tc>
          <w:tcPr>
            <w:tcW w:w="2410" w:type="dxa"/>
          </w:tcPr>
          <w:p w:rsidR="00921776" w:rsidRDefault="00942A45" w:rsidP="006F0FEB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 xml:space="preserve">R$ </w:t>
            </w:r>
            <w:r w:rsidR="006F0FEB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87</w:t>
            </w:r>
            <w:r w:rsidR="00D019C0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.</w:t>
            </w:r>
            <w:r w:rsidR="006F0FEB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516</w:t>
            </w:r>
            <w:r w:rsidR="00D019C0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,</w:t>
            </w:r>
            <w:r w:rsidR="006F0FEB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6</w:t>
            </w:r>
            <w:r w:rsidR="00D019C0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6</w:t>
            </w:r>
          </w:p>
        </w:tc>
      </w:tr>
    </w:tbl>
    <w:p w:rsidR="00921776" w:rsidRDefault="00942A45">
      <w:r>
        <w:br w:type="page"/>
      </w:r>
    </w:p>
    <w:p w:rsidR="00921776" w:rsidRDefault="00921776"/>
    <w:p w:rsidR="00921776" w:rsidRDefault="00921776"/>
    <w:p w:rsidR="00921776" w:rsidRDefault="00921776"/>
    <w:p w:rsidR="00921776" w:rsidRDefault="00921776"/>
    <w:tbl>
      <w:tblPr>
        <w:tblStyle w:val="a0"/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2"/>
        <w:gridCol w:w="3118"/>
        <w:gridCol w:w="1559"/>
        <w:gridCol w:w="1843"/>
        <w:gridCol w:w="2410"/>
      </w:tblGrid>
      <w:tr w:rsidR="00921776">
        <w:trPr>
          <w:trHeight w:val="24"/>
        </w:trPr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1776" w:rsidRDefault="00942A45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118" w:type="dxa"/>
          </w:tcPr>
          <w:p w:rsidR="00921776" w:rsidRDefault="00942A45">
            <w:pP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  <w:highlight w:val="white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  <w:highlight w:val="white"/>
              </w:rPr>
              <w:t>RECARGA DE GÁS LIQUEFEITO DE PETRÓLEO – GLP</w:t>
            </w:r>
          </w:p>
          <w:p w:rsidR="00921776" w:rsidRDefault="00942A45">
            <w:pPr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  <w:highlight w:val="white"/>
              </w:rPr>
              <w:t>ENVASADO, CILINDRO P13 COM CAPACIDADE DE 13 KG</w:t>
            </w:r>
          </w:p>
        </w:tc>
        <w:tc>
          <w:tcPr>
            <w:tcW w:w="1559" w:type="dxa"/>
            <w:vAlign w:val="bottom"/>
          </w:tcPr>
          <w:p w:rsidR="00921776" w:rsidRDefault="006F0F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FF0000"/>
                <w:sz w:val="22"/>
                <w:szCs w:val="22"/>
              </w:rPr>
              <w:t>TOTAL 424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SENDO: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SMED: 190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TURISMO: 15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SMOT: 100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SMAD: 44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SMMR: 10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SMS:65</w:t>
            </w:r>
          </w:p>
        </w:tc>
        <w:tc>
          <w:tcPr>
            <w:tcW w:w="1843" w:type="dxa"/>
            <w:vAlign w:val="bottom"/>
          </w:tcPr>
          <w:p w:rsidR="00921776" w:rsidRDefault="00493FA2" w:rsidP="00D019C0">
            <w:pPr>
              <w:jc w:val="right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>R$ 170,7</w:t>
            </w:r>
            <w:r w:rsidR="00D019C0">
              <w:rPr>
                <w:rFonts w:ascii="Bookman Old Style" w:eastAsia="Bookman Old Style" w:hAnsi="Bookman Old Style" w:cs="Bookman Old Style"/>
                <w:sz w:val="22"/>
                <w:szCs w:val="22"/>
              </w:rPr>
              <w:t>8</w:t>
            </w:r>
          </w:p>
        </w:tc>
        <w:tc>
          <w:tcPr>
            <w:tcW w:w="2410" w:type="dxa"/>
          </w:tcPr>
          <w:p w:rsidR="00921776" w:rsidRDefault="00942A45" w:rsidP="00493FA2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 xml:space="preserve">R$ </w:t>
            </w:r>
            <w:r w:rsidR="00D019C0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7</w:t>
            </w:r>
            <w:r w:rsidR="006F0FEB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2</w:t>
            </w:r>
            <w:r w:rsidR="00D019C0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.</w:t>
            </w:r>
            <w:r w:rsidR="00493FA2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410,72</w:t>
            </w:r>
          </w:p>
        </w:tc>
      </w:tr>
      <w:tr w:rsidR="00921776">
        <w:trPr>
          <w:trHeight w:val="24"/>
        </w:trPr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1776" w:rsidRDefault="00942A45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118" w:type="dxa"/>
          </w:tcPr>
          <w:p w:rsidR="00921776" w:rsidRDefault="00942A45">
            <w:pP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  <w:highlight w:val="white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  <w:highlight w:val="white"/>
              </w:rPr>
              <w:t>RECARGA DE GÁS LIQUEFEITO DE PETRÓLEO – GLP</w:t>
            </w:r>
          </w:p>
          <w:p w:rsidR="00921776" w:rsidRDefault="00942A45">
            <w:pPr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  <w:highlight w:val="white"/>
              </w:rPr>
              <w:t>ENVASADO, CILINDRO P45 COM CAPACIDADE DE 45KG</w:t>
            </w:r>
          </w:p>
        </w:tc>
        <w:tc>
          <w:tcPr>
            <w:tcW w:w="1559" w:type="dxa"/>
            <w:vAlign w:val="bottom"/>
          </w:tcPr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FF0000"/>
                <w:sz w:val="22"/>
                <w:szCs w:val="22"/>
              </w:rPr>
              <w:t>TOTAL 164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SENDO: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SMED: 90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TURISMO: 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SMOT: 10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SMAD: 44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SMMR:20</w:t>
            </w:r>
          </w:p>
          <w:p w:rsidR="00921776" w:rsidRDefault="00942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SMS:0</w:t>
            </w:r>
          </w:p>
        </w:tc>
        <w:tc>
          <w:tcPr>
            <w:tcW w:w="1843" w:type="dxa"/>
            <w:vAlign w:val="bottom"/>
          </w:tcPr>
          <w:p w:rsidR="00921776" w:rsidRDefault="00942A45" w:rsidP="00D019C0">
            <w:pPr>
              <w:jc w:val="right"/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sz w:val="22"/>
                <w:szCs w:val="22"/>
              </w:rPr>
              <w:t xml:space="preserve">R$ </w:t>
            </w:r>
            <w:r w:rsidR="00D019C0">
              <w:rPr>
                <w:rFonts w:ascii="Bookman Old Style" w:eastAsia="Bookman Old Style" w:hAnsi="Bookman Old Style" w:cs="Bookman Old Style"/>
                <w:sz w:val="22"/>
                <w:szCs w:val="22"/>
              </w:rPr>
              <w:t>544,18</w:t>
            </w:r>
          </w:p>
        </w:tc>
        <w:tc>
          <w:tcPr>
            <w:tcW w:w="2410" w:type="dxa"/>
          </w:tcPr>
          <w:p w:rsidR="00921776" w:rsidRDefault="00942A45" w:rsidP="00D019C0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 xml:space="preserve">R$ </w:t>
            </w:r>
            <w:r w:rsidR="00D019C0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89.245,52</w:t>
            </w:r>
          </w:p>
        </w:tc>
      </w:tr>
      <w:tr w:rsidR="00921776">
        <w:trPr>
          <w:trHeight w:val="24"/>
        </w:trPr>
        <w:tc>
          <w:tcPr>
            <w:tcW w:w="7372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1776" w:rsidRDefault="00942A45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 xml:space="preserve">TOTAL </w:t>
            </w:r>
          </w:p>
        </w:tc>
        <w:tc>
          <w:tcPr>
            <w:tcW w:w="2410" w:type="dxa"/>
          </w:tcPr>
          <w:p w:rsidR="00921776" w:rsidRDefault="00942A45" w:rsidP="00493FA2">
            <w:pPr>
              <w:jc w:val="center"/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 xml:space="preserve">R$ </w:t>
            </w:r>
            <w:r w:rsidR="00493FA2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26</w:t>
            </w:r>
            <w:r w:rsidR="00DA7151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9.17</w:t>
            </w:r>
            <w:r w:rsidR="00493FA2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9</w:t>
            </w:r>
            <w:r w:rsidR="00DA7151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,</w:t>
            </w:r>
            <w:r w:rsidR="00493FA2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3</w:t>
            </w:r>
            <w:r w:rsidR="00DA7151">
              <w:rPr>
                <w:rFonts w:ascii="Bookman Old Style" w:eastAsia="Bookman Old Style" w:hAnsi="Bookman Old Style" w:cs="Bookman Old Style"/>
                <w:b/>
                <w:bCs/>
                <w:sz w:val="22"/>
                <w:szCs w:val="22"/>
              </w:rPr>
              <w:t>0</w:t>
            </w:r>
          </w:p>
        </w:tc>
      </w:tr>
    </w:tbl>
    <w:p w:rsidR="00921776" w:rsidRDefault="00921776">
      <w:pPr>
        <w:spacing w:line="360" w:lineRule="auto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</w:p>
    <w:p w:rsidR="00921776" w:rsidRDefault="00942A45">
      <w:pPr>
        <w:spacing w:line="360" w:lineRule="auto"/>
        <w:ind w:firstLine="708"/>
        <w:jc w:val="both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>Para a definição dos quantitativos, foram considerados os seguintes órgãos: Secretaria Municipal de Educação (SMED), Secretaria Municipal de Saúde (SMS), Se</w:t>
      </w:r>
      <w:r w:rsidR="002B1DDA">
        <w:rPr>
          <w:rFonts w:ascii="Bookman Old Style" w:eastAsia="Bookman Old Style" w:hAnsi="Bookman Old Style" w:cs="Bookman Old Style"/>
          <w:sz w:val="22"/>
          <w:szCs w:val="22"/>
        </w:rPr>
        <w:t xml:space="preserve">cretaria Municipal de Turismo, </w:t>
      </w:r>
      <w:r>
        <w:rPr>
          <w:rFonts w:ascii="Bookman Old Style" w:eastAsia="Bookman Old Style" w:hAnsi="Bookman Old Style" w:cs="Bookman Old Style"/>
          <w:sz w:val="22"/>
          <w:szCs w:val="22"/>
        </w:rPr>
        <w:t xml:space="preserve">Cultura e </w:t>
      </w:r>
      <w:r w:rsidR="002B1DDA">
        <w:rPr>
          <w:rFonts w:ascii="Bookman Old Style" w:eastAsia="Bookman Old Style" w:hAnsi="Bookman Old Style" w:cs="Bookman Old Style"/>
          <w:sz w:val="22"/>
          <w:szCs w:val="22"/>
        </w:rPr>
        <w:t>Desenvolvimento Econômico (SMTDS),</w:t>
      </w:r>
      <w:r>
        <w:rPr>
          <w:rFonts w:ascii="Bookman Old Style" w:eastAsia="Bookman Old Style" w:hAnsi="Bookman Old Style" w:cs="Bookman Old Style"/>
          <w:sz w:val="22"/>
          <w:szCs w:val="22"/>
        </w:rPr>
        <w:t xml:space="preserve"> Secretaria Municipal de Obras e Trânsito (SMOT), Secretaria Municipal do Meio Rural (SMMR) e Secretaria de Administração</w:t>
      </w:r>
      <w:r w:rsidR="002B1DDA">
        <w:rPr>
          <w:rFonts w:ascii="Bookman Old Style" w:eastAsia="Bookman Old Style" w:hAnsi="Bookman Old Style" w:cs="Bookman Old Style"/>
          <w:sz w:val="22"/>
          <w:szCs w:val="22"/>
        </w:rPr>
        <w:t xml:space="preserve"> (SMAD)</w:t>
      </w:r>
      <w:r>
        <w:rPr>
          <w:rFonts w:ascii="Bookman Old Style" w:eastAsia="Bookman Old Style" w:hAnsi="Bookman Old Style" w:cs="Bookman Old Style"/>
          <w:sz w:val="22"/>
          <w:szCs w:val="22"/>
        </w:rPr>
        <w:t>.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5 – LEVANTAMENTO DE MERCADO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br/>
        <w:t xml:space="preserve">     A solução de mercado vigente para a aquisição dos itens em questão é realizada por meio de licitações no formato de Sistema de Registro de Preços (SRP), com adjudicação por item. Esse modelo possibilita à Administração Pública a aquisição dos produtos de forma parcelada, conforme a necessidade, sem a obrigatoriedade de adquirir a totalidade do quantitativo licitado em uma única oportunidade. Tal abordagem evita comprometer o </w:t>
      </w: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921776" w:rsidRDefault="002B1DDA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E</w:t>
      </w:r>
      <w:r w:rsidR="00942A45">
        <w:rPr>
          <w:rFonts w:ascii="Bookman Old Style" w:eastAsia="Bookman Old Style" w:hAnsi="Bookman Old Style" w:cs="Bookman Old Style"/>
          <w:color w:val="000000"/>
          <w:sz w:val="22"/>
          <w:szCs w:val="22"/>
        </w:rPr>
        <w:t>spaço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</w:t>
      </w:r>
      <w:r w:rsidR="00942A45">
        <w:rPr>
          <w:rFonts w:ascii="Bookman Old Style" w:eastAsia="Bookman Old Style" w:hAnsi="Bookman Old Style" w:cs="Bookman Old Style"/>
          <w:color w:val="000000"/>
          <w:sz w:val="22"/>
          <w:szCs w:val="22"/>
        </w:rPr>
        <w:t>físico destinado à armazenagem dos materiais e preserva a compatibilidade com o orçamento previamente estimado. Ademais, trata-se de uma aquisição que se caracteriza como rotineira no âmbito dos entes públicos, uma vez que envolve materiais permanentes de uso cotidiano, essenciais à manutenção das atividades administrativas e operacionais.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color w:val="FF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6 – ESTIMATIVA DO PREÇO DA CONTRATAÇÃO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br/>
        <w:t xml:space="preserve">      A comprovação da pesquisa de preços encontra-se anexada ao Termo de Referência (Anexo II). Para a aquisição dos itens, estima-se o valor de 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R$ </w:t>
      </w:r>
      <w:r w:rsidR="00493FA2" w:rsidRPr="00493FA2">
        <w:rPr>
          <w:rFonts w:ascii="Bookman Old Style" w:eastAsia="Bookman Old Style" w:hAnsi="Bookman Old Style" w:cs="Bookman Old Style"/>
          <w:b/>
          <w:bCs/>
          <w:sz w:val="22"/>
          <w:szCs w:val="22"/>
          <w:highlight w:val="yellow"/>
        </w:rPr>
        <w:t>269.17</w:t>
      </w:r>
      <w:r w:rsidR="00493FA2">
        <w:rPr>
          <w:rFonts w:ascii="Bookman Old Style" w:eastAsia="Bookman Old Style" w:hAnsi="Bookman Old Style" w:cs="Bookman Old Style"/>
          <w:b/>
          <w:bCs/>
          <w:sz w:val="22"/>
          <w:szCs w:val="22"/>
          <w:highlight w:val="yellow"/>
        </w:rPr>
        <w:t>9</w:t>
      </w:r>
      <w:r w:rsidR="00493FA2" w:rsidRPr="00493FA2">
        <w:rPr>
          <w:rFonts w:ascii="Bookman Old Style" w:eastAsia="Bookman Old Style" w:hAnsi="Bookman Old Style" w:cs="Bookman Old Style"/>
          <w:b/>
          <w:bCs/>
          <w:sz w:val="22"/>
          <w:szCs w:val="22"/>
          <w:highlight w:val="yellow"/>
        </w:rPr>
        <w:t>,30</w:t>
      </w:r>
      <w:r w:rsidR="00493FA2" w:rsidRPr="00493FA2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 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>(</w:t>
      </w:r>
      <w:r w:rsidR="004E1537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duzentos e </w:t>
      </w:r>
      <w:r w:rsidR="00493FA2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>sessenta</w:t>
      </w:r>
      <w:r w:rsidR="00DA7151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 e nove</w:t>
      </w:r>
      <w:r w:rsidR="004E1537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 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>mil</w:t>
      </w:r>
      <w:r w:rsidR="004E1537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, cento e </w:t>
      </w:r>
      <w:r w:rsidR="00DA7151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setenta e </w:t>
      </w:r>
      <w:r w:rsidR="00493FA2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>nove</w:t>
      </w:r>
      <w:r w:rsidR="00DA7151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 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reais e </w:t>
      </w:r>
      <w:r w:rsidR="00493FA2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>trinta</w:t>
      </w:r>
      <w:r w:rsidR="00DA7151"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 xml:space="preserve"> 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  <w:highlight w:val="yellow"/>
        </w:rPr>
        <w:t>centavos)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. Para o cálculo dos dispêndios, bem como a estimativa do valor para a aquisição dos materiais de expediente foi realizada por meio do software TAG (Tecnologia de Apoio a Gestão), ferramentas que possibilitam a consulta aos preços praticados em compras públicas através da Inteligência Artificial</w:t>
      </w:r>
      <w:r>
        <w:rPr>
          <w:rFonts w:ascii="Bookman Old Style" w:eastAsia="Bookman Old Style" w:hAnsi="Bookman Old Style" w:cs="Bookman Old Style"/>
          <w:color w:val="FF0000"/>
          <w:sz w:val="22"/>
          <w:szCs w:val="22"/>
        </w:rPr>
        <w:t>.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 xml:space="preserve">7 – DESCRIÇÃO DA SOLUÇÃO COMO UM TODO 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br/>
        <w:t xml:space="preserve">    Nesse contexto, ao considerar os princípios que regem a Administração Pública — Legalidade, Impessoalidade, Moralidade, Publicidade e Eficiência — a aquisição de gás liquefeito de petróleo (GLP) por meio de Sistema de Registro de Preços, apresenta-se como a solução mais viável para atender as necessidades do Executivo Municipal.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     Ainda, os objetos a serem licitados enquadram-se como bem comum, nos termos do art. 6º, inciso XIII, da Lei nº 14.133, de 1° de abril de 2021, por possuir padrões de desempenho e características gerais e específicas, usualmente encontradas no mercado, podendo, portanto, ser licitado por meio da modalidade Pregão Eletrônico. Assim, a aquisição mostra-se viável na modalidade de compra por Pregão eletrônico e julgamento por Menor Preço por item.</w:t>
      </w: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8 – JUSTIFICATIVA DO PARCELAMENTO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br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O parcelamento da contratação mostra-se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técnica e economicamente viável </w:t>
      </w:r>
      <w:r>
        <w:rPr>
          <w:rFonts w:ascii="Bookman Old Style" w:eastAsia="Bookman Old Style" w:hAnsi="Bookman Old Style" w:cs="Bookman Old Style"/>
          <w:sz w:val="22"/>
          <w:szCs w:val="22"/>
        </w:rPr>
        <w:t>e adequado ao modelo de SRP, pelos seguintes fundamentos:</w:t>
      </w:r>
    </w:p>
    <w:p w:rsidR="00921776" w:rsidRDefault="00942A45">
      <w:pPr>
        <w:numPr>
          <w:ilvl w:val="0"/>
          <w:numId w:val="1"/>
        </w:numPr>
        <w:spacing w:before="240"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>O Sistema de Registro de Preços é especialmente indicado para contratações com demanda incerta, futura e parcelada, como é o caso do fornecimento de GLP;</w:t>
      </w:r>
    </w:p>
    <w:p w:rsidR="00921776" w:rsidRDefault="00942A45">
      <w:pPr>
        <w:numPr>
          <w:ilvl w:val="0"/>
          <w:numId w:val="1"/>
        </w:numPr>
        <w:spacing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>O fornecimento parcelado evita a formação de estoques desnecessários, reduzindo custos com armazenamento e riscos de perdas;</w:t>
      </w:r>
    </w:p>
    <w:p w:rsidR="00921776" w:rsidRDefault="00942A45">
      <w:pPr>
        <w:numPr>
          <w:ilvl w:val="0"/>
          <w:numId w:val="1"/>
        </w:numPr>
        <w:spacing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>O mercado fornecedor opera regularmente com entregas fracionadas, não havendo prejuízo à economia de escala;</w:t>
      </w:r>
    </w:p>
    <w:p w:rsidR="00921776" w:rsidRDefault="00942A45">
      <w:pPr>
        <w:numPr>
          <w:ilvl w:val="0"/>
          <w:numId w:val="1"/>
        </w:numPr>
        <w:spacing w:after="240" w:line="360" w:lineRule="auto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>O parcelamento está alinhado à lógica do SRP, que possibilita a contratação conforme a necessidade da Administração, garantindo maior eficiência na gestão dos recursos públicos.</w:t>
      </w:r>
    </w:p>
    <w:p w:rsidR="00921776" w:rsidRDefault="00942A45">
      <w:pPr>
        <w:spacing w:before="240" w:after="240" w:line="360" w:lineRule="auto"/>
        <w:ind w:firstLine="720"/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Dessa forma, conclui-se que o parcelamento da contratação é medida que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>melhor atende ao interesse público</w:t>
      </w:r>
      <w:r>
        <w:rPr>
          <w:rFonts w:ascii="Bookman Old Style" w:eastAsia="Bookman Old Style" w:hAnsi="Bookman Old Style" w:cs="Bookman Old Style"/>
          <w:sz w:val="22"/>
          <w:szCs w:val="22"/>
        </w:rPr>
        <w:t>, promovendo maior competitividade, economicidade e aderência ao modelo de contratação por registro de preços.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9 – DEMONSTRAÇÃO DOS RESULTADOS PRETENDIDOS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  A proposta visa alcançar resultados para atender o funcionamento eficiente e contínuo das atividades administrativas, pedagógicas e operacionais do Executivo </w:t>
      </w:r>
      <w:proofErr w:type="spellStart"/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Lavrense</w:t>
      </w:r>
      <w:proofErr w:type="spellEnd"/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.  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10 – PROVIDÊNCIAS PRÉVIAS AO CONTRATO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br/>
        <w:t xml:space="preserve">   A Licitação será realizada conforme o disposto na Lei nº 14.133/2021, com a elaboração do Termo de Referência e a publicação do edital.</w:t>
      </w: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</w:p>
    <w:p w:rsidR="00921776" w:rsidRDefault="00921776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</w:p>
    <w:p w:rsidR="00942A45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</w:pPr>
    </w:p>
    <w:p w:rsidR="00942A45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</w:pPr>
    </w:p>
    <w:p w:rsidR="00942A45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</w:pP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11 - CONTRATAÇÕES CORRELATAS/INTERDEPENDENTES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br/>
        <w:t xml:space="preserve">  Não se aplica.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12 – IMPACTOS AMBIENTAIS</w:t>
      </w:r>
    </w:p>
    <w:p w:rsidR="00921776" w:rsidRDefault="00942A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Embora o GLP seja amplamente utilizado como fonte de energia, seu manuseio, transporte e armazenamento exigem cuidados específicos, considerando seu potencial inflamável. Assim, a contratação deverá assegurar que o fornecedor observe rigorosamente as normas ambientais e de segurança vigentes, especialmente quanto à logística reversa de recipientes, destinação adequada de botijões inservíveis e prevenção de riscos ambientais e operacionais.</w:t>
      </w:r>
    </w:p>
    <w:p w:rsidR="00921776" w:rsidRDefault="00921776">
      <w:pPr>
        <w:spacing w:line="360" w:lineRule="auto"/>
        <w:jc w:val="both"/>
      </w:pPr>
    </w:p>
    <w:p w:rsidR="00921776" w:rsidRDefault="00942A45">
      <w:pPr>
        <w:spacing w:line="360" w:lineRule="auto"/>
        <w:jc w:val="both"/>
        <w:rPr>
          <w:rFonts w:ascii="Bookman Old Style" w:eastAsia="Bookman Old Style" w:hAnsi="Bookman Old Style" w:cs="Bookman Old Style"/>
          <w:b/>
          <w:bCs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>13 – POSICIONAMENTO SOBRE A VIABILIDADE DA CONTRATAÇÃO</w:t>
      </w:r>
    </w:p>
    <w:p w:rsidR="00921776" w:rsidRDefault="00942A4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    O presente estudo técnico preliminar evidencia que a contratação da solução descrita no item " 7 - DESCRIÇÃO DA SOLUÇÃO COMO UM TODO</w:t>
      </w:r>
      <w:proofErr w:type="gramStart"/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",  se</w:t>
      </w:r>
      <w:proofErr w:type="gramEnd"/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mostra tecnicamente viável e fundamentadamente necessária. Diante do exposto, </w:t>
      </w: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DECLARO SER VIÁVEL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 a contratação pretendida.</w:t>
      </w:r>
    </w:p>
    <w:p w:rsidR="00921776" w:rsidRDefault="00493FA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jc w:val="both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  <w:t xml:space="preserve">Lavras do Sul,          </w:t>
      </w:r>
      <w:r w:rsidR="00942A45"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de 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           </w:t>
      </w:r>
      <w:bookmarkStart w:id="0" w:name="_GoBack"/>
      <w:bookmarkEnd w:id="0"/>
      <w:r w:rsidR="00942A45">
        <w:rPr>
          <w:rFonts w:ascii="Bookman Old Style" w:eastAsia="Bookman Old Style" w:hAnsi="Bookman Old Style" w:cs="Bookman Old Style"/>
          <w:color w:val="000000"/>
          <w:sz w:val="22"/>
          <w:szCs w:val="22"/>
        </w:rPr>
        <w:t>de 2026.</w:t>
      </w:r>
    </w:p>
    <w:p w:rsidR="00921776" w:rsidRDefault="0092177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jc w:val="center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</w:p>
    <w:p w:rsidR="00921776" w:rsidRDefault="00942A4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jc w:val="center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  <w:bookmarkStart w:id="1" w:name="_heading=h.5tuo1iwt83rz" w:colFirst="0" w:colLast="0"/>
      <w:bookmarkEnd w:id="1"/>
      <w:r>
        <w:rPr>
          <w:rFonts w:ascii="Bookman Old Style" w:eastAsia="Bookman Old Style" w:hAnsi="Bookman Old Style" w:cs="Bookman Old Style"/>
          <w:sz w:val="22"/>
          <w:szCs w:val="22"/>
        </w:rPr>
        <w:t>Responsável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pela formalização da demanda</w:t>
      </w:r>
    </w:p>
    <w:sectPr w:rsidR="00921776">
      <w:headerReference w:type="default" r:id="rId9"/>
      <w:pgSz w:w="11906" w:h="16838"/>
      <w:pgMar w:top="1417" w:right="184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4BA" w:rsidRDefault="00942A45">
      <w:r>
        <w:separator/>
      </w:r>
    </w:p>
  </w:endnote>
  <w:endnote w:type="continuationSeparator" w:id="0">
    <w:p w:rsidR="004A24BA" w:rsidRDefault="0094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94C497B-A226-45BD-AD4D-188FFB4878F7}"/>
    <w:embedBold r:id="rId2" w:fontKey="{38E2400B-56EF-4DE4-8A2D-21CA02DF67F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ECEE74E7-4563-4E0A-ACFE-0926210EBEC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92EEE2B-7F15-4FB7-BB5F-E72E5BAD008D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5" w:fontKey="{0EF65D88-7A2D-4978-93B1-DFA5E8AF9659}"/>
    <w:embedBold r:id="rId6" w:fontKey="{AE42F0DD-56C2-4D98-A5B2-0147A1C8660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336EE9D4-F655-4A47-8F5F-57D498A0A54B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4BA" w:rsidRDefault="00942A45">
      <w:r>
        <w:separator/>
      </w:r>
    </w:p>
  </w:footnote>
  <w:footnote w:type="continuationSeparator" w:id="0">
    <w:p w:rsidR="004A24BA" w:rsidRDefault="00942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776" w:rsidRDefault="00942A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-1080134</wp:posOffset>
          </wp:positionH>
          <wp:positionV relativeFrom="paragraph">
            <wp:posOffset>-454024</wp:posOffset>
          </wp:positionV>
          <wp:extent cx="7546535" cy="10679299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6535" cy="106792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21776" w:rsidRDefault="009217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21776" w:rsidRDefault="009217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21776" w:rsidRDefault="009217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205D1B"/>
    <w:multiLevelType w:val="multilevel"/>
    <w:tmpl w:val="1E7AAC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776"/>
    <w:rsid w:val="002B1DDA"/>
    <w:rsid w:val="00337948"/>
    <w:rsid w:val="00370ECD"/>
    <w:rsid w:val="00493FA2"/>
    <w:rsid w:val="004A24BA"/>
    <w:rsid w:val="004E1537"/>
    <w:rsid w:val="006F0FEB"/>
    <w:rsid w:val="008127F5"/>
    <w:rsid w:val="00921776"/>
    <w:rsid w:val="00942A45"/>
    <w:rsid w:val="00D019C0"/>
    <w:rsid w:val="00DA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B23DD5-33C3-4CB7-9F49-04B7101A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64DF"/>
  </w:style>
  <w:style w:type="paragraph" w:styleId="Rodap">
    <w:name w:val="footer"/>
    <w:basedOn w:val="Normal"/>
    <w:link w:val="Rodap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64DF"/>
  </w:style>
  <w:style w:type="paragraph" w:styleId="NormalWeb">
    <w:name w:val="Normal (Web)"/>
    <w:basedOn w:val="Normal"/>
    <w:uiPriority w:val="99"/>
    <w:unhideWhenUsed/>
    <w:rsid w:val="005518C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Fontepargpadro"/>
    <w:rsid w:val="005518CC"/>
  </w:style>
  <w:style w:type="character" w:styleId="Hyperlink">
    <w:name w:val="Hyperlink"/>
    <w:basedOn w:val="Fontepargpadro"/>
    <w:uiPriority w:val="99"/>
    <w:unhideWhenUsed/>
    <w:rsid w:val="00C41701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41701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41701"/>
    <w:rPr>
      <w:rFonts w:ascii="Times New Roman" w:eastAsia="Times New Roman" w:hAnsi="Times New Roman" w:cs="Times New Roman"/>
      <w:kern w:val="0"/>
      <w:lang w:val="pt-PT"/>
    </w:rPr>
  </w:style>
  <w:style w:type="character" w:styleId="Forte">
    <w:name w:val="Strong"/>
    <w:basedOn w:val="Fontepargpadro"/>
    <w:uiPriority w:val="22"/>
    <w:qFormat/>
    <w:rsid w:val="00C41701"/>
    <w:rPr>
      <w:b/>
      <w:bCs/>
    </w:rPr>
  </w:style>
  <w:style w:type="paragraph" w:customStyle="1" w:styleId="Default">
    <w:name w:val="Default"/>
    <w:rsid w:val="0099195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128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128B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vrasdosul.rs.gov.br/pagina/id/1050/?pa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ZFxckAxxMGSnKuuSnPOoy3onGw==">CgMxLjAyDmguNXR1bzFpd3Q4M3J6OAByITFBSGlGWmhsRVdmbXRQdWJKcE10UFU4Nkszc2V2SjVJdA==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Vaz</dc:creator>
  <cp:lastModifiedBy>Admin</cp:lastModifiedBy>
  <cp:revision>2</cp:revision>
  <cp:lastPrinted>2026-04-29T12:45:00Z</cp:lastPrinted>
  <dcterms:created xsi:type="dcterms:W3CDTF">2026-04-30T14:59:00Z</dcterms:created>
  <dcterms:modified xsi:type="dcterms:W3CDTF">2026-04-30T14:59:00Z</dcterms:modified>
</cp:coreProperties>
</file>