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087"/>
        <w:jc w:val="right"/>
        <w:rPr>
          <w:rFonts w:ascii="Arial" w:hAnsi="Arial" w:cs="Arial"/>
        </w:rPr>
      </w:pPr>
      <w:r>
        <w:rPr>
          <w:rFonts w:ascii="Arial" w:hAnsi="Arial" w:cs="Arial"/>
          <w:b/>
          <w:u w:val="single" w:color="000000"/>
        </w:rPr>
        <w:t>DOCUMENTO DE FORMALIZAÇÃO DE DEMANDA – DFD</w:t>
      </w: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128"/>
        <w:tblW w:w="9641" w:type="dxa"/>
        <w:tblInd w:w="141" w:type="dxa"/>
        <w:tblLayout w:type="autofit"/>
        <w:tblCellMar>
          <w:top w:w="146" w:type="dxa"/>
          <w:left w:w="99" w:type="dxa"/>
          <w:bottom w:w="0" w:type="dxa"/>
          <w:right w:w="115" w:type="dxa"/>
        </w:tblCellMar>
      </w:tblPr>
      <w:tblGrid>
        <w:gridCol w:w="5820"/>
        <w:gridCol w:w="3821"/>
      </w:tblGrid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38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B5394"/>
          </w:tcPr>
          <w:p>
            <w:pPr>
              <w:ind w:left="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INFORMAÇÕES DA UNIDADE 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84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Unidade Requisitante (</w:t>
            </w:r>
            <w:r>
              <w:rPr>
                <w:rFonts w:ascii="Arial" w:hAnsi="Arial" w:cs="Arial"/>
                <w:b/>
                <w:i/>
              </w:rPr>
              <w:t>Secretaria Municipal</w:t>
            </w:r>
            <w:r>
              <w:rPr>
                <w:rFonts w:ascii="Arial" w:hAnsi="Arial" w:cs="Arial"/>
                <w:b/>
              </w:rPr>
              <w:t xml:space="preserve">):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Secretaria Municipal de Educação, Cultura, Turismo, Esporte e Lazer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9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Secretário da Unidade Requisitante: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/>
                <w:lang w:val="pt-BR"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  <w:r>
              <w:rPr>
                <w:rFonts w:hint="default"/>
                <w:lang w:val="pt-BR"/>
              </w:rPr>
              <w:t xml:space="preserve">                                             </w:t>
            </w:r>
          </w:p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Secretária Municipal de Educação, Cultura, Turismo, Esporte e Lazer                                    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hint="default"/>
                <w:lang w:val="pt-BR"/>
              </w:rPr>
              <w:t xml:space="preserve">                                                                               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Matrícula n° 2303-5/2</w:t>
            </w:r>
          </w:p>
          <w:p>
            <w:pPr>
              <w:ind w:left="1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>Responsável pela Demanda: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Vanuza Silveira da Rosa</w:t>
            </w: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hint="default" w:ascii="Arial" w:hAnsi="Arial" w:cs="Arial"/>
                <w:lang w:val="pt-BR"/>
              </w:rPr>
            </w:pP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 Matricula n° 1449-4</w:t>
            </w:r>
          </w:p>
          <w:p>
            <w:pPr>
              <w:ind w:left="1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E-Mail: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vanuza.rosa@tupancireta.rs.gov.br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 w:right="1081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Telefone Fixo: (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55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)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3272-7502</w:t>
            </w:r>
          </w:p>
          <w:p>
            <w:pPr>
              <w:ind w:left="1" w:right="1081"/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Telefone Cel: ( 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55</w:t>
            </w:r>
            <w:r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)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999783698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76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Indicação do membro da equipe de planejamento e responsável pela fiscalização.</w:t>
            </w:r>
          </w:p>
          <w:p>
            <w:pPr>
              <w:ind w:left="13"/>
              <w:jc w:val="center"/>
              <w:rPr>
                <w:rFonts w:hint="default" w:ascii="Arial" w:hAnsi="Arial" w:cs="Arial"/>
                <w:b w:val="0"/>
                <w:bCs/>
                <w:lang w:val="pt-BR"/>
              </w:rPr>
            </w:pPr>
            <w:r>
              <w:rPr>
                <w:rFonts w:hint="default" w:ascii="Arial" w:hAnsi="Arial" w:cs="Arial"/>
                <w:b w:val="0"/>
                <w:bCs/>
                <w:lang w:val="pt-BR"/>
              </w:rPr>
              <w:t>Maria Luiza Ehlers</w:t>
            </w:r>
          </w:p>
          <w:p>
            <w:pPr>
              <w:ind w:left="13"/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Gestora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  <w:r>
              <w:rPr>
                <w:rFonts w:hint="default"/>
                <w:lang w:val="pt-BR"/>
              </w:rPr>
              <w:t xml:space="preserve">  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sz w:val="22"/>
                <w:szCs w:val="22"/>
                <w:lang w:val="pt-BR"/>
              </w:rPr>
              <w:t>Matrícula n°2303-5/2</w:t>
            </w:r>
          </w:p>
          <w:p>
            <w:pPr>
              <w:bidi w:val="0"/>
              <w:spacing w:after="0" w:line="240" w:lineRule="auto"/>
              <w:jc w:val="left"/>
              <w:rPr>
                <w:rFonts w:hint="default"/>
                <w:sz w:val="22"/>
                <w:szCs w:val="22"/>
                <w:lang w:val="pt-BR"/>
              </w:rPr>
            </w:pPr>
          </w:p>
          <w:p>
            <w:pPr>
              <w:ind w:left="1" w:leftChars="0"/>
              <w:rPr>
                <w:rFonts w:ascii="Arial" w:hAnsi="Arial" w:eastAsia="Times New Roman" w:cs="Arial"/>
                <w:sz w:val="24"/>
                <w:szCs w:val="24"/>
                <w:lang w:val="pt-BR" w:eastAsia="zh-CN" w:bidi="ar-SA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>Fiscal: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Maria Luiza Gouveia Ehlers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Professora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b w:val="0"/>
                <w:bCs/>
                <w:sz w:val="22"/>
                <w:szCs w:val="22"/>
                <w:lang w:val="pt-BR"/>
              </w:rPr>
              <w:t>Matrícula n°2384-1/1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4677"/>
        <w:gridCol w:w="4959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5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>INFORMAÇÕES DA NECESSIDADE DE CONTRATAÇÃO</w:t>
            </w:r>
            <w:r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52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5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TIPO DO ITEM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MATERIAL DE CONSUMO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EQUIPAMENTO/MATERIAL PERMANENTE (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CONTINUADO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NÃO CONTINUADO ( </w:t>
            </w:r>
            <w:r>
              <w:rPr>
                <w:rFonts w:hint="default" w:ascii="Arial" w:hAnsi="Arial" w:cs="Arial"/>
                <w:b/>
                <w:lang w:val="pt-BR"/>
              </w:rPr>
              <w:t>x</w:t>
            </w:r>
            <w:r>
              <w:rPr>
                <w:rFonts w:ascii="Arial" w:hAnsi="Arial" w:cs="Arial"/>
                <w:b/>
              </w:rPr>
              <w:t xml:space="preserve">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OBRA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DE ENGENHARIA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1296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sucinta da solicitação: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A Prefeitura Municipal de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Tupanciretã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-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RS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,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através da Secretaria Municipal de Educação, Cultura, Esporte e Lazer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, para contratação de serviços de Sonorização, Iluminação e locação de Equipamentos para o Evento de Natal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, no dia 23/11/2023, quinta-feira, as 19horas as 22horas.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2101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Necessidade da contratação:</w:t>
            </w:r>
          </w:p>
          <w:p>
            <w:pPr>
              <w:jc w:val="both"/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O presente termo de referência tem como finalidade a contratação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de sonorização e iluminação para o Evento “Natal Mais Encantado do Mundo”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; para atender o município de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Tupanciretã/RS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. Conforme Reunião realizada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no inicio do ano de 2023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, onde foram debatidos a possibilidade e a data de realização d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o Evento” Natal Mais Encantado 2023”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, foram ouvidas as opiniões dos presentes e definido que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a Secretaria de Cultura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custeasse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a sonorização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sem que houvesse cobrança de ingresso para os munícipes e visitantes, o que foi acatado e aprovado através d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o Calendário de Eventos do Município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,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o show definido para o dia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23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de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novembro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de 202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3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, buscando proporcionar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 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a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cada ano o evento vem apresentando um sucesso maior em público e investimentos para realização d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o evento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, garantindo ao público de todas as idades e classes sociais, uma festa segura e exultante,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festa seja um sucesso. Todo este lazer com padrões de comodidade e segurança é oferecido ao público com entrada gratuita no período de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23 de novembro de 2023.</w:t>
            </w:r>
          </w:p>
          <w:p>
            <w:pPr>
              <w:jc w:val="both"/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O serviço é indispensável para garantir a realização do evento.</w:t>
            </w:r>
          </w:p>
          <w:p>
            <w:pPr>
              <w:jc w:val="both"/>
              <w:rPr>
                <w:rFonts w:hint="default" w:ascii="Arial" w:hAnsi="Arial" w:cs="Arial"/>
                <w:b w:val="0"/>
                <w:bCs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b w:val="0"/>
                <w:bCs/>
                <w:sz w:val="24"/>
                <w:szCs w:val="24"/>
                <w:lang w:val="pt-BR"/>
              </w:rPr>
              <w:t>O Evento está programado no calendário de eventos da administração municipal de Tupanciretã/RS.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>
      <w:pPr>
        <w:ind w:left="-993" w:right="10772"/>
        <w:rPr>
          <w:rFonts w:ascii="Arial" w:hAnsi="Arial" w:cs="Arial"/>
        </w:rPr>
      </w:pPr>
    </w:p>
    <w:tbl>
      <w:tblPr>
        <w:tblStyle w:val="128"/>
        <w:tblW w:w="9643" w:type="dxa"/>
        <w:tblInd w:w="138" w:type="dxa"/>
        <w:tblLayout w:type="autofit"/>
        <w:tblCellMar>
          <w:top w:w="47" w:type="dxa"/>
          <w:left w:w="102" w:type="dxa"/>
          <w:bottom w:w="1" w:type="dxa"/>
          <w:right w:w="48" w:type="dxa"/>
        </w:tblCellMar>
      </w:tblPr>
      <w:tblGrid>
        <w:gridCol w:w="765"/>
        <w:gridCol w:w="1230"/>
        <w:gridCol w:w="5126"/>
        <w:gridCol w:w="1191"/>
        <w:gridCol w:w="1331"/>
      </w:tblGrid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0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Resultados Pretendidos: </w:t>
            </w:r>
          </w:p>
          <w:p>
            <w:pPr>
              <w:numPr>
                <w:ilvl w:val="0"/>
                <w:numId w:val="0"/>
              </w:numPr>
              <w:bidi w:val="0"/>
              <w:spacing w:after="0" w:line="240" w:lineRule="auto"/>
              <w:rPr>
                <w:rFonts w:hint="default" w:ascii="Calibri" w:hAnsi="Calibri" w:eastAsia="SimSun" w:cs="Calibri"/>
                <w:sz w:val="24"/>
                <w:szCs w:val="24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</w:rPr>
              <w:t>.</w:t>
            </w:r>
          </w:p>
          <w:p>
            <w:pPr>
              <w:numPr>
                <w:ilvl w:val="0"/>
                <w:numId w:val="0"/>
              </w:numPr>
              <w:bidi w:val="0"/>
              <w:spacing w:after="0" w:line="240" w:lineRule="auto"/>
              <w:rPr>
                <w:rFonts w:hint="default" w:ascii="Calibri" w:hAnsi="Calibri" w:eastAsia="SimSun" w:cs="Calibri"/>
                <w:sz w:val="24"/>
                <w:szCs w:val="24"/>
                <w:lang w:val="pt-BR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  <w:lang w:val="pt-BR"/>
              </w:rPr>
              <w:t>Que a empresa contratada  realize o serviço com responsabilidade, obedecendo  horário combinado, com os objetos necessários  para montagem dos equipamentos .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48" w:hRule="atLeast"/>
        </w:trPr>
        <w:tc>
          <w:tcPr>
            <w:tcW w:w="765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6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CATMAT/ CATSER </w:t>
            </w:r>
          </w:p>
        </w:tc>
        <w:tc>
          <w:tcPr>
            <w:tcW w:w="51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right="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</w:t>
            </w: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9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Unidade </w:t>
            </w:r>
          </w:p>
        </w:tc>
        <w:tc>
          <w:tcPr>
            <w:tcW w:w="13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ind w:right="3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Qtde.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65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13757</w:t>
            </w:r>
          </w:p>
        </w:tc>
        <w:tc>
          <w:tcPr>
            <w:tcW w:w="51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both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Serviço de Sonorização</w:t>
            </w: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01</w:t>
            </w:r>
          </w:p>
        </w:tc>
        <w:tc>
          <w:tcPr>
            <w:tcW w:w="13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01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926" w:hRule="atLeast"/>
        </w:trPr>
        <w:tc>
          <w:tcPr>
            <w:tcW w:w="9643" w:type="dxa"/>
            <w:gridSpan w:val="5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Especificações </w:t>
            </w: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do contratado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): </w:t>
            </w:r>
          </w:p>
          <w:p>
            <w:pPr>
              <w:pStyle w:val="125"/>
              <w:numPr>
                <w:ilvl w:val="0"/>
                <w:numId w:val="3"/>
              </w:numPr>
              <w:tabs>
                <w:tab w:val="left" w:pos="567"/>
              </w:tabs>
              <w:spacing w:before="240" w:after="240"/>
              <w:ind w:leftChars="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Operador de som;</w:t>
            </w:r>
          </w:p>
          <w:p>
            <w:pPr>
              <w:pStyle w:val="125"/>
              <w:numPr>
                <w:ilvl w:val="0"/>
                <w:numId w:val="3"/>
              </w:numPr>
              <w:tabs>
                <w:tab w:val="left" w:pos="567"/>
              </w:tabs>
              <w:spacing w:before="240" w:after="240"/>
              <w:ind w:leftChars="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Microfone;</w:t>
            </w:r>
          </w:p>
          <w:p>
            <w:pPr>
              <w:pStyle w:val="125"/>
              <w:numPr>
                <w:ilvl w:val="0"/>
                <w:numId w:val="3"/>
              </w:numPr>
              <w:tabs>
                <w:tab w:val="left" w:pos="567"/>
              </w:tabs>
              <w:spacing w:before="240" w:after="240"/>
              <w:ind w:leftChars="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Sistema de som slim para até 2000 pessoas;</w:t>
            </w:r>
          </w:p>
          <w:p>
            <w:pPr>
              <w:pStyle w:val="125"/>
              <w:numPr>
                <w:ilvl w:val="0"/>
                <w:numId w:val="3"/>
              </w:numPr>
              <w:tabs>
                <w:tab w:val="left" w:pos="567"/>
              </w:tabs>
              <w:spacing w:before="240" w:after="240"/>
              <w:ind w:leftChars="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Mesa de som;</w:t>
            </w:r>
          </w:p>
          <w:p>
            <w:pPr>
              <w:pStyle w:val="125"/>
              <w:numPr>
                <w:ilvl w:val="0"/>
                <w:numId w:val="3"/>
              </w:numPr>
              <w:tabs>
                <w:tab w:val="left" w:pos="567"/>
              </w:tabs>
              <w:spacing w:before="240" w:after="240"/>
              <w:ind w:leftChars="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Caixas de som ativas  com tripé;</w:t>
            </w:r>
          </w:p>
          <w:p>
            <w:pPr>
              <w:pStyle w:val="125"/>
              <w:numPr>
                <w:ilvl w:val="0"/>
                <w:numId w:val="3"/>
              </w:numPr>
              <w:tabs>
                <w:tab w:val="left" w:pos="567"/>
              </w:tabs>
              <w:spacing w:before="240" w:after="240"/>
              <w:ind w:leftChars="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  <w:t>DJ;</w:t>
            </w:r>
          </w:p>
          <w:p>
            <w:pPr>
              <w:pStyle w:val="125"/>
              <w:numPr>
                <w:ilvl w:val="0"/>
                <w:numId w:val="0"/>
              </w:numPr>
              <w:tabs>
                <w:tab w:val="left" w:pos="567"/>
              </w:tabs>
              <w:spacing w:before="240" w:after="240"/>
              <w:contextualSpacing w:val="0"/>
              <w:jc w:val="both"/>
              <w:rPr>
                <w:rFonts w:hint="default" w:ascii="Arial" w:hAnsi="Arial" w:cs="Arial"/>
                <w:b/>
                <w:sz w:val="22"/>
                <w:szCs w:val="22"/>
                <w:lang w:val="pt-BR"/>
              </w:rPr>
            </w:pPr>
          </w:p>
          <w:p>
            <w:pPr>
              <w:pStyle w:val="125"/>
              <w:numPr>
                <w:ilvl w:val="0"/>
                <w:numId w:val="0"/>
              </w:numPr>
              <w:tabs>
                <w:tab w:val="left" w:pos="567"/>
              </w:tabs>
              <w:spacing w:before="240" w:after="240"/>
              <w:ind w:left="480" w:leftChars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7253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Requisitos necessários para a contratação: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sz w:val="24"/>
                <w:szCs w:val="24"/>
                <w:lang w:val="pt-BR"/>
              </w:rPr>
              <w:t>Possuir CNPJ , nota fiscal.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 objeto da presente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 xml:space="preserve"> contratação do serviço </w:t>
            </w:r>
            <w:r>
              <w:rPr>
                <w:rFonts w:ascii="Arial" w:hAnsi="Arial" w:cs="Arial"/>
                <w:sz w:val="22"/>
                <w:szCs w:val="22"/>
              </w:rPr>
              <w:t>será recebido provisoriamente em até 05 (cinco) dias úteis, contados da data da entrega , acompanhada da respectiva nota fiscal/fatura.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Constatadas irregularidades no objeto, a CONTRATANTE poderá: </w:t>
            </w:r>
          </w:p>
          <w:p>
            <w:pPr>
              <w:pStyle w:val="125"/>
              <w:numPr>
                <w:ilvl w:val="2"/>
                <w:numId w:val="2"/>
              </w:numPr>
              <w:spacing w:before="120" w:after="120"/>
              <w:contextualSpacing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Se disser respeito à especificação, rejeitá-lo no todo ou em parte, determinando sua substituição ou rescindindo a contratação, sem prejuízo das penalidades cabíveis;</w:t>
            </w:r>
          </w:p>
          <w:p>
            <w:pPr>
              <w:pStyle w:val="125"/>
              <w:numPr>
                <w:ilvl w:val="3"/>
                <w:numId w:val="2"/>
              </w:numPr>
              <w:tabs>
                <w:tab w:val="left" w:pos="2268"/>
              </w:tabs>
              <w:spacing w:before="120" w:after="120"/>
              <w:ind w:left="851" w:firstLine="0"/>
              <w:contextualSpacing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hipótese de substituição, 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CONTRATADA</w:t>
            </w:r>
            <w:r>
              <w:rPr>
                <w:rFonts w:ascii="Arial" w:hAnsi="Arial" w:cs="Arial"/>
                <w:sz w:val="22"/>
                <w:szCs w:val="22"/>
              </w:rPr>
              <w:t xml:space="preserve"> deverá fazê-la em conformidade com a indicação da Administração, no prazo máximo de 03 (três) dias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 xml:space="preserve"> úteis</w:t>
            </w:r>
            <w:r>
              <w:rPr>
                <w:rFonts w:ascii="Arial" w:hAnsi="Arial" w:cs="Arial"/>
                <w:sz w:val="22"/>
                <w:szCs w:val="22"/>
              </w:rPr>
              <w:t>, contados da notificação por escrito, mantido o preço inicialmente contratado;</w:t>
            </w:r>
          </w:p>
          <w:p>
            <w:pPr>
              <w:pStyle w:val="125"/>
              <w:numPr>
                <w:ilvl w:val="2"/>
                <w:numId w:val="2"/>
              </w:numPr>
              <w:spacing w:before="120" w:after="12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disser respeito à diferença de quantidade ou de partes, determinar sua complementação ou rescindir a contratação, sem prejuízo das penalidades cabíveis;</w:t>
            </w:r>
          </w:p>
          <w:p>
            <w:pPr>
              <w:pStyle w:val="125"/>
              <w:numPr>
                <w:ilvl w:val="3"/>
                <w:numId w:val="2"/>
              </w:numPr>
              <w:tabs>
                <w:tab w:val="left" w:pos="2268"/>
              </w:tabs>
              <w:spacing w:before="120" w:after="120"/>
              <w:ind w:left="851" w:firstLine="0"/>
              <w:contextualSpacing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hipótese de complementação, 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CONTRATADA</w:t>
            </w:r>
            <w:r>
              <w:rPr>
                <w:rFonts w:ascii="Arial" w:hAnsi="Arial" w:cs="Arial"/>
                <w:sz w:val="22"/>
                <w:szCs w:val="22"/>
              </w:rPr>
              <w:t xml:space="preserve"> deverá fazê-la em conformidade com a indicação da Administração, no prazo máximo de 03 (três) dias, contados da notificação por escrito, mantido o preço inicialmente contratado;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 recebimento do objeto dar-se-á definitivamente no prazo de 05 (cinco) dias úteis após o recebimento provisório, uma vez verificado o atendimento integral da quantidade e das especificações contratadas.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falta do fornecimento, em condições que representem riscos ao desenvolvimento das atividades da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CONTRATANTE</w:t>
            </w:r>
            <w:r>
              <w:rPr>
                <w:rFonts w:ascii="Arial" w:hAnsi="Arial" w:cs="Arial"/>
                <w:sz w:val="22"/>
                <w:szCs w:val="22"/>
              </w:rPr>
              <w:t xml:space="preserve">, autorizará este último à convocação dos proponentes remanescentes, devendo 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CONTRATADA</w:t>
            </w:r>
            <w:r>
              <w:rPr>
                <w:rFonts w:ascii="Arial" w:hAnsi="Arial" w:cs="Arial"/>
                <w:sz w:val="22"/>
                <w:szCs w:val="22"/>
              </w:rPr>
              <w:t xml:space="preserve"> arcar com a diferença dos custos decorrentes de tal contratação, exceto se a interrupção for a pedido da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CONTRATANTE</w:t>
            </w:r>
            <w:r>
              <w:rPr>
                <w:rFonts w:ascii="Arial" w:hAnsi="Arial" w:cs="Arial"/>
                <w:sz w:val="22"/>
                <w:szCs w:val="22"/>
              </w:rPr>
              <w:t xml:space="preserve">, ou por motivo para o qual 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CONTRATADA</w:t>
            </w:r>
            <w:r>
              <w:rPr>
                <w:rFonts w:ascii="Arial" w:hAnsi="Arial" w:cs="Arial"/>
                <w:sz w:val="22"/>
                <w:szCs w:val="22"/>
              </w:rPr>
              <w:t xml:space="preserve"> não tenha concorrido direta ou indiretamente e nos casos de força maior ou caso fortuito.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ind w:right="53"/>
              <w:jc w:val="both"/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637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A"/>
              </w:rPr>
              <w:t xml:space="preserve">Providências a serem adotadas pela administração previamente à contratação: 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agamento será efetuado em até 05 (cinco) dias úteis em favor da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CONTRATADA</w:t>
            </w:r>
            <w:r>
              <w:rPr>
                <w:rFonts w:ascii="Arial" w:hAnsi="Arial" w:cs="Arial"/>
                <w:sz w:val="22"/>
                <w:szCs w:val="22"/>
              </w:rPr>
              <w:t xml:space="preserve"> pela </w:t>
            </w:r>
            <w:r>
              <w:rPr>
                <w:rFonts w:ascii="Arial" w:hAnsi="Arial" w:cs="Arial"/>
                <w:b/>
                <w:sz w:val="22"/>
                <w:szCs w:val="22"/>
              </w:rPr>
              <w:t>CONTRATANTE</w:t>
            </w:r>
            <w:r>
              <w:rPr>
                <w:rFonts w:ascii="Arial" w:hAnsi="Arial" w:cs="Arial"/>
                <w:sz w:val="22"/>
                <w:szCs w:val="22"/>
              </w:rPr>
              <w:t>, através de depósito bancário, transferência ou boleto de compensação, após a efetiva entrega do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 xml:space="preserve"> serviço</w:t>
            </w:r>
            <w:r>
              <w:rPr>
                <w:rFonts w:ascii="Arial" w:hAnsi="Arial" w:cs="Arial"/>
                <w:sz w:val="22"/>
                <w:szCs w:val="22"/>
              </w:rPr>
              <w:t xml:space="preserve">s e documento fiscal correspondente, em nome 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prefeitura Municipal de Tupanciretã/RS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Todo o documento fiscal deverá possuir referência somente ao objeto desta contratação, devendo ainda conter a descrição com o respectivo código do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 xml:space="preserve"> trabalho oferecido e </w:t>
            </w:r>
            <w:r>
              <w:rPr>
                <w:rFonts w:ascii="Arial" w:hAnsi="Arial" w:cs="Arial"/>
                <w:sz w:val="22"/>
                <w:szCs w:val="22"/>
              </w:rPr>
              <w:t xml:space="preserve"> entregue.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Havendo incorreções, o documento será devolvido à contratada para saneamento, sendo seu vencimento renovado para 05 (cinco) dias úteis após a reapresentação devidamente corrigido.</w:t>
            </w:r>
          </w:p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Verificada a integridade do 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serviço</w:t>
            </w:r>
            <w:r>
              <w:rPr>
                <w:rFonts w:ascii="Arial" w:hAnsi="Arial" w:cs="Arial"/>
                <w:sz w:val="22"/>
                <w:szCs w:val="22"/>
              </w:rPr>
              <w:t xml:space="preserve">, a regularidade da contratada e do documento fiscal, o representante </w:t>
            </w: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da SMECEL</w:t>
            </w:r>
            <w:r>
              <w:rPr>
                <w:rFonts w:ascii="Arial" w:hAnsi="Arial" w:cs="Arial"/>
                <w:sz w:val="22"/>
                <w:szCs w:val="22"/>
              </w:rPr>
              <w:t xml:space="preserve"> encaminhará o referido documento ao Departamento Financeiro para a respectiva quitação.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</w:rPr>
      </w:pPr>
      <w:r>
        <w:rPr>
          <w:rFonts w:ascii="Arial" w:hAnsi="Arial" w:cs="Arial"/>
        </w:rPr>
        <w:t xml:space="preserve">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</w:rPr>
      </w:pPr>
      <w:r>
        <w:rPr>
          <w:rFonts w:hint="default" w:ascii="Arial" w:hAnsi="Arial"/>
        </w:rPr>
        <w:t>Com base no art. 72, inciso I, da Lei n.º 14.133/2021, que conferem discricionariedade à Administração para elaboração do Estudo Técnico Preliminar e da Análise de Riscos, entende-se, para os fins dos presentes autos, que a menor complexidade do objeto e o pequeno valor torna prescindível a necessidade de elaboração desses documentos (art. 75, inc. I e II da Lei 14.133/21).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</w:rPr>
      </w:pPr>
      <w:r>
        <w:rPr>
          <w:rFonts w:hint="default" w:ascii="Arial" w:hAnsi="Arial"/>
        </w:rPr>
        <w:t>De toda forma, as informações necessárias e suficientes capazes de demonstrar o interesse público, provendo a devida segurança transacional, estão registradas nos documentos que compõem a instrução processual.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  <w:lang w:val="pt-BR"/>
        </w:rPr>
      </w:pPr>
      <w:r>
        <w:rPr>
          <w:rFonts w:hint="default" w:ascii="Arial" w:hAnsi="Arial"/>
          <w:lang w:val="pt-BR"/>
        </w:rPr>
        <w:t>Potanto dispensa o mapa de riscos e estudos técnicos preliminares.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  <w:lang w:val="pt-BR"/>
        </w:rPr>
      </w:pP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  <w:lang w:val="pt-BR"/>
        </w:rPr>
      </w:pP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  <w:lang w:val="pt-BR"/>
        </w:rPr>
      </w:pP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  <w:lang w:val="pt-BR"/>
        </w:rPr>
      </w:pP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hint="default" w:ascii="Arial" w:hAnsi="Arial"/>
          <w:lang w:val="pt-BR"/>
        </w:rPr>
      </w:pP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ascii="Arial" w:hAnsi="Arial" w:cs="Arial"/>
        </w:rPr>
      </w:pPr>
      <w:r>
        <w:rPr>
          <w:rFonts w:ascii="Arial" w:hAnsi="Arial" w:cs="Arial"/>
          <w:b/>
          <w:color w:val="00000A"/>
        </w:rPr>
        <w:t xml:space="preserve">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9636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6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RESPONSABILIDADE PELA FORMALIZAÇÃO DA DEMANDA E CONTEÚDO DO DOCUMENTO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3277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 </w:t>
            </w:r>
          </w:p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Certifico que a formalização da demanda acima identificada se faz necessária pelos motivos expostos na justificativa da contratação do presente documento. 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>
      <w:pPr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Tupanciretã-RS, </w:t>
      </w:r>
      <w:r>
        <w:rPr>
          <w:rFonts w:hint="default" w:ascii="Arial" w:hAnsi="Arial" w:cs="Arial"/>
          <w:color w:val="auto"/>
          <w:lang w:val="pt-BR"/>
        </w:rPr>
        <w:t xml:space="preserve">16 </w:t>
      </w:r>
      <w:r>
        <w:rPr>
          <w:rFonts w:ascii="Arial" w:hAnsi="Arial" w:cs="Arial"/>
          <w:color w:val="auto"/>
        </w:rPr>
        <w:t xml:space="preserve">de </w:t>
      </w:r>
      <w:r>
        <w:rPr>
          <w:rFonts w:hint="default" w:ascii="Arial" w:hAnsi="Arial" w:cs="Arial"/>
          <w:color w:val="auto"/>
          <w:lang w:val="pt-BR"/>
        </w:rPr>
        <w:t xml:space="preserve">novembro </w:t>
      </w:r>
      <w:r>
        <w:rPr>
          <w:rFonts w:ascii="Arial" w:hAnsi="Arial" w:cs="Arial"/>
          <w:color w:val="auto"/>
        </w:rPr>
        <w:t xml:space="preserve"> de 20</w:t>
      </w:r>
      <w:r>
        <w:rPr>
          <w:rFonts w:hint="default" w:ascii="Arial" w:hAnsi="Arial" w:cs="Arial"/>
          <w:color w:val="auto"/>
          <w:lang w:val="pt-BR"/>
        </w:rPr>
        <w:t>23</w:t>
      </w:r>
      <w:r>
        <w:rPr>
          <w:rFonts w:ascii="Arial" w:hAnsi="Arial" w:cs="Arial"/>
          <w:color w:val="auto"/>
        </w:rPr>
        <w:t xml:space="preserve">. </w:t>
      </w:r>
    </w:p>
    <w:p>
      <w:pPr>
        <w:ind w:left="14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</w:t>
      </w:r>
    </w:p>
    <w:tbl>
      <w:tblPr>
        <w:tblStyle w:val="30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25"/>
        <w:gridCol w:w="50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bidi w:val="0"/>
              <w:spacing w:after="0" w:line="240" w:lineRule="auto"/>
              <w:jc w:val="center"/>
              <w:rPr>
                <w:rFonts w:hint="default"/>
                <w:lang w:val="pt-BR"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  <w:r>
              <w:rPr>
                <w:rFonts w:hint="default"/>
                <w:lang w:val="pt-BR"/>
              </w:rPr>
              <w:t xml:space="preserve">   </w:t>
            </w:r>
            <w:r>
              <w:rPr>
                <w:rFonts w:hint="default" w:ascii="Arial" w:hAnsi="Arial" w:cs="Arial"/>
                <w:lang w:val="pt-BR"/>
              </w:rPr>
              <w:t>Secretária Municipal de Educação, Cultura, Turismo, Esporte e Lazer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Matrícula n°2303-5/2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/>
                <w:lang w:val="pt-BR"/>
              </w:rPr>
            </w:pPr>
          </w:p>
          <w:p>
            <w:pPr>
              <w:bidi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>
            <w:pPr>
              <w:bidi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Vanuza Silveira da Rosa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Chefe de Setor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Matrícula n° 1449-4</w:t>
            </w:r>
            <w:bookmarkStart w:id="0" w:name="_GoBack"/>
            <w:bookmarkEnd w:id="0"/>
          </w:p>
        </w:tc>
      </w:tr>
    </w:tbl>
    <w:p>
      <w:pPr>
        <w:ind w:left="185"/>
        <w:jc w:val="center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</w:p>
    <w:p>
      <w:pPr>
        <w:spacing w:line="23" w:lineRule="atLeast"/>
        <w:jc w:val="both"/>
        <w:rPr>
          <w:rFonts w:ascii="Arial" w:hAnsi="Arial" w:cs="Arial"/>
        </w:rPr>
      </w:pPr>
    </w:p>
    <w:sectPr>
      <w:headerReference r:id="rId3" w:type="default"/>
      <w:footerReference r:id="rId4" w:type="default"/>
      <w:pgSz w:w="11906" w:h="16838"/>
      <w:pgMar w:top="850" w:right="850" w:bottom="850" w:left="850" w:header="850" w:footer="85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5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5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5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5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www.tupancireta.rs.gov.br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Style w:val="46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juridico@tupancireta.rs.gov.br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lang w:eastAsia="pt-BR"/>
      </w:rP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3"/>
      <w:rPr>
        <w:sz w:val="28"/>
        <w:szCs w:val="28"/>
      </w:rPr>
    </w:pPr>
    <w:r>
      <w:rPr>
        <w:rFonts w:ascii="Arial" w:hAnsi="Arial" w:cs="Arial"/>
        <w:b/>
        <w:sz w:val="28"/>
        <w:szCs w:val="28"/>
      </w:rPr>
      <w:t>PREFEITURA MUNICIPAL DE TUPANCIRETÃ</w:t>
    </w:r>
  </w:p>
  <w:p>
    <w:pPr>
      <w:pStyle w:val="5"/>
      <w:jc w:val="center"/>
      <w:rPr>
        <w:sz w:val="24"/>
        <w:szCs w:val="24"/>
      </w:rPr>
    </w:pPr>
    <w:r>
      <w:rPr>
        <w:rFonts w:ascii="Arial" w:hAnsi="Arial" w:cs="Arial"/>
        <w:sz w:val="24"/>
        <w:szCs w:val="24"/>
      </w:rPr>
      <w:t>Estado do Rio Grande do Sul</w:t>
    </w:r>
  </w:p>
  <w:p>
    <w:pPr>
      <w:spacing w:before="0" w:after="0" w:line="240" w:lineRule="auto"/>
      <w:ind w:left="0" w:right="193" w:firstLine="0"/>
      <w:jc w:val="center"/>
      <w:rPr>
        <w:sz w:val="16"/>
        <w:szCs w:val="16"/>
      </w:rPr>
    </w:pPr>
    <w:r>
      <w:rPr>
        <w:sz w:val="16"/>
        <w:szCs w:val="16"/>
      </w:rPr>
      <w:t>R: Exp. João Moreira Alberto, 181 – CEP 98.170-000</w:t>
    </w:r>
  </w:p>
  <w:p>
    <w:pPr>
      <w:spacing w:before="0" w:after="0" w:line="240" w:lineRule="auto"/>
      <w:ind w:left="0" w:right="193" w:firstLine="0"/>
      <w:jc w:val="center"/>
      <w:rPr>
        <w:sz w:val="16"/>
        <w:szCs w:val="16"/>
      </w:rPr>
    </w:pPr>
    <w:r>
      <w:rPr>
        <w:sz w:val="16"/>
        <w:szCs w:val="16"/>
      </w:rPr>
      <w:t xml:space="preserve">Fone (55) 3272 </w:t>
    </w:r>
    <w:r>
      <w:rPr>
        <w:rFonts w:hint="default"/>
        <w:sz w:val="16"/>
        <w:szCs w:val="16"/>
        <w:lang w:val="pt-BR"/>
      </w:rPr>
      <w:t>7502</w:t>
    </w:r>
    <w:r>
      <w:rPr>
        <w:sz w:val="16"/>
        <w:szCs w:val="16"/>
      </w:rPr>
      <w:t>/751</w:t>
    </w:r>
    <w:r>
      <w:rPr>
        <w:rFonts w:hint="default"/>
        <w:sz w:val="16"/>
        <w:szCs w:val="16"/>
        <w:lang w:val="pt-BR"/>
      </w:rPr>
      <w:t>8</w:t>
    </w:r>
    <w:r>
      <w:rPr>
        <w:sz w:val="16"/>
        <w:szCs w:val="16"/>
      </w:rPr>
      <w:t>/75</w:t>
    </w:r>
    <w:r>
      <w:rPr>
        <w:rFonts w:hint="default"/>
        <w:sz w:val="16"/>
        <w:szCs w:val="16"/>
        <w:lang w:val="pt-BR"/>
      </w:rPr>
      <w:t>00</w:t>
    </w:r>
    <w:r>
      <w:rPr>
        <w:sz w:val="16"/>
        <w:szCs w:val="16"/>
      </w:rPr>
      <w:t xml:space="preserve">-Fax-(55) 272 1401 </w:t>
    </w:r>
  </w:p>
  <w:p>
    <w:pPr>
      <w:pStyle w:val="24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611233"/>
    <w:multiLevelType w:val="singleLevel"/>
    <w:tmpl w:val="C5611233"/>
    <w:lvl w:ilvl="0" w:tentative="0">
      <w:start w:val="1"/>
      <w:numFmt w:val="upperLetter"/>
      <w:suff w:val="space"/>
      <w:lvlText w:val="%1)"/>
      <w:lvlJc w:val="left"/>
    </w:lvl>
  </w:abstractNum>
  <w:abstractNum w:abstractNumId="1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</w:lvl>
  </w:abstractNum>
  <w:abstractNum w:abstractNumId="2">
    <w:nsid w:val="7EFE32C0"/>
    <w:multiLevelType w:val="multilevel"/>
    <w:tmpl w:val="7EFE32C0"/>
    <w:lvl w:ilvl="0" w:tentative="0">
      <w:start w:val="1"/>
      <w:numFmt w:val="decimal"/>
      <w:lvlText w:val="%1."/>
      <w:lvlJc w:val="left"/>
      <w:pPr>
        <w:ind w:left="600" w:hanging="360"/>
      </w:pPr>
      <w:rPr>
        <w:rFonts w:hint="default"/>
        <w:b/>
        <w:sz w:val="22"/>
      </w:rPr>
    </w:lvl>
    <w:lvl w:ilvl="1" w:tentative="0">
      <w:start w:val="1"/>
      <w:numFmt w:val="decimal"/>
      <w:lvlText w:val="%1.%2."/>
      <w:lvlJc w:val="left"/>
      <w:pPr>
        <w:ind w:left="716" w:hanging="432"/>
      </w:pPr>
      <w:rPr>
        <w:rFonts w:hint="default" w:ascii="Arial" w:hAnsi="Arial" w:cs="Arial"/>
        <w:b w:val="0"/>
        <w:i w:val="0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tabs>
          <w:tab w:val="left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 w:tentative="0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0A"/>
    <w:rsid w:val="00004D66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01EE8"/>
    <w:rsid w:val="002114E4"/>
    <w:rsid w:val="002665E8"/>
    <w:rsid w:val="00307ABE"/>
    <w:rsid w:val="00311FCE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33E71"/>
    <w:rsid w:val="006630A0"/>
    <w:rsid w:val="00663688"/>
    <w:rsid w:val="00695150"/>
    <w:rsid w:val="006E47E9"/>
    <w:rsid w:val="0072146F"/>
    <w:rsid w:val="00742CF0"/>
    <w:rsid w:val="007B0AAC"/>
    <w:rsid w:val="007C35BA"/>
    <w:rsid w:val="00831BB8"/>
    <w:rsid w:val="00871B28"/>
    <w:rsid w:val="00875BB0"/>
    <w:rsid w:val="008B793E"/>
    <w:rsid w:val="008E6DDD"/>
    <w:rsid w:val="00944E93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65125"/>
    <w:rsid w:val="00DD0433"/>
    <w:rsid w:val="00DF17DB"/>
    <w:rsid w:val="00E20127"/>
    <w:rsid w:val="00E2196B"/>
    <w:rsid w:val="00E42EFC"/>
    <w:rsid w:val="00E450A1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7308F"/>
    <w:rsid w:val="00F8708D"/>
    <w:rsid w:val="00FC3683"/>
    <w:rsid w:val="00FD054A"/>
    <w:rsid w:val="00FD17EC"/>
    <w:rsid w:val="00FD20BC"/>
    <w:rsid w:val="00FD6600"/>
    <w:rsid w:val="09773BFA"/>
    <w:rsid w:val="0B4C37F4"/>
    <w:rsid w:val="0B8A58F1"/>
    <w:rsid w:val="13021765"/>
    <w:rsid w:val="173D61DE"/>
    <w:rsid w:val="1A081CE0"/>
    <w:rsid w:val="1B8D3716"/>
    <w:rsid w:val="20D755EE"/>
    <w:rsid w:val="23834330"/>
    <w:rsid w:val="23E57A18"/>
    <w:rsid w:val="27674D14"/>
    <w:rsid w:val="27ED6180"/>
    <w:rsid w:val="2BCF6D3A"/>
    <w:rsid w:val="34753FF7"/>
    <w:rsid w:val="35765F5B"/>
    <w:rsid w:val="35F001DB"/>
    <w:rsid w:val="3D0D154D"/>
    <w:rsid w:val="3EF3492E"/>
    <w:rsid w:val="4000052B"/>
    <w:rsid w:val="40BF420F"/>
    <w:rsid w:val="425B648B"/>
    <w:rsid w:val="43973815"/>
    <w:rsid w:val="441450C8"/>
    <w:rsid w:val="46B30723"/>
    <w:rsid w:val="470E3078"/>
    <w:rsid w:val="4D93559C"/>
    <w:rsid w:val="52614B7C"/>
    <w:rsid w:val="52E06CC1"/>
    <w:rsid w:val="53695C0D"/>
    <w:rsid w:val="54250DF1"/>
    <w:rsid w:val="57F146A5"/>
    <w:rsid w:val="582E57DE"/>
    <w:rsid w:val="58D67985"/>
    <w:rsid w:val="5AEC4110"/>
    <w:rsid w:val="5DC818D1"/>
    <w:rsid w:val="5EAE0C76"/>
    <w:rsid w:val="5F5C25AD"/>
    <w:rsid w:val="605773D2"/>
    <w:rsid w:val="62F615EE"/>
    <w:rsid w:val="631E5A90"/>
    <w:rsid w:val="639E277B"/>
    <w:rsid w:val="64C37BF6"/>
    <w:rsid w:val="68C62C5D"/>
    <w:rsid w:val="69894B3D"/>
    <w:rsid w:val="6AD4393A"/>
    <w:rsid w:val="717F2367"/>
    <w:rsid w:val="74755542"/>
    <w:rsid w:val="761B7A50"/>
    <w:rsid w:val="778C39B1"/>
    <w:rsid w:val="7A1C79E8"/>
    <w:rsid w:val="7B210AA9"/>
    <w:rsid w:val="7BFE3D20"/>
    <w:rsid w:val="7C48312F"/>
    <w:rsid w:val="7E8B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page number"/>
    <w:basedOn w:val="11"/>
    <w:qFormat/>
    <w:uiPriority w:val="0"/>
  </w:style>
  <w:style w:type="paragraph" w:styleId="17">
    <w:name w:val="List"/>
    <w:basedOn w:val="18"/>
    <w:qFormat/>
    <w:uiPriority w:val="0"/>
    <w:rPr>
      <w:rFonts w:cs="Mangal"/>
    </w:rPr>
  </w:style>
  <w:style w:type="paragraph" w:styleId="18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9">
    <w:name w:val="Body Text Indent 2"/>
    <w:basedOn w:val="1"/>
    <w:qFormat/>
    <w:uiPriority w:val="0"/>
    <w:pPr>
      <w:ind w:firstLine="2340"/>
      <w:jc w:val="both"/>
    </w:pPr>
  </w:style>
  <w:style w:type="paragraph" w:styleId="20">
    <w:name w:val="Title"/>
    <w:basedOn w:val="1"/>
    <w:next w:val="18"/>
    <w:qFormat/>
    <w:uiPriority w:val="10"/>
    <w:pPr>
      <w:jc w:val="center"/>
    </w:pPr>
    <w:rPr>
      <w:b/>
      <w:sz w:val="20"/>
      <w:szCs w:val="20"/>
    </w:rPr>
  </w:style>
  <w:style w:type="paragraph" w:styleId="21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lang w:eastAsia="pt-BR"/>
    </w:rPr>
  </w:style>
  <w:style w:type="paragraph" w:styleId="22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3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4">
    <w:name w:val="header"/>
    <w:basedOn w:val="1"/>
    <w:qFormat/>
    <w:uiPriority w:val="0"/>
    <w:rPr>
      <w:sz w:val="20"/>
      <w:szCs w:val="20"/>
    </w:rPr>
  </w:style>
  <w:style w:type="paragraph" w:styleId="25">
    <w:name w:val="footer"/>
    <w:basedOn w:val="1"/>
    <w:qFormat/>
    <w:uiPriority w:val="0"/>
    <w:rPr>
      <w:sz w:val="20"/>
      <w:szCs w:val="20"/>
    </w:rPr>
  </w:style>
  <w:style w:type="paragraph" w:styleId="26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7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8">
    <w:name w:val="footnote text"/>
    <w:basedOn w:val="1"/>
    <w:qFormat/>
    <w:uiPriority w:val="0"/>
    <w:rPr>
      <w:sz w:val="20"/>
      <w:szCs w:val="20"/>
    </w:rPr>
  </w:style>
  <w:style w:type="paragraph" w:styleId="29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30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1">
    <w:name w:val="WW8Num1z0"/>
    <w:qFormat/>
    <w:uiPriority w:val="0"/>
  </w:style>
  <w:style w:type="character" w:customStyle="1" w:styleId="32">
    <w:name w:val="WW8Num1z1"/>
    <w:qFormat/>
    <w:uiPriority w:val="0"/>
  </w:style>
  <w:style w:type="character" w:customStyle="1" w:styleId="33">
    <w:name w:val="WW8Num1z2"/>
    <w:qFormat/>
    <w:uiPriority w:val="0"/>
  </w:style>
  <w:style w:type="character" w:customStyle="1" w:styleId="34">
    <w:name w:val="WW8Num1z3"/>
    <w:qFormat/>
    <w:uiPriority w:val="0"/>
  </w:style>
  <w:style w:type="character" w:customStyle="1" w:styleId="35">
    <w:name w:val="WW8Num1z4"/>
    <w:qFormat/>
    <w:uiPriority w:val="0"/>
  </w:style>
  <w:style w:type="character" w:customStyle="1" w:styleId="36">
    <w:name w:val="WW8Num1z5"/>
    <w:qFormat/>
    <w:uiPriority w:val="0"/>
  </w:style>
  <w:style w:type="character" w:customStyle="1" w:styleId="37">
    <w:name w:val="WW8Num1z6"/>
    <w:qFormat/>
    <w:uiPriority w:val="0"/>
  </w:style>
  <w:style w:type="character" w:customStyle="1" w:styleId="38">
    <w:name w:val="WW8Num1z7"/>
    <w:qFormat/>
    <w:uiPriority w:val="0"/>
  </w:style>
  <w:style w:type="character" w:customStyle="1" w:styleId="39">
    <w:name w:val="WW8Num1z8"/>
    <w:qFormat/>
    <w:uiPriority w:val="0"/>
  </w:style>
  <w:style w:type="character" w:customStyle="1" w:styleId="40">
    <w:name w:val="WW8Num2z0"/>
    <w:qFormat/>
    <w:uiPriority w:val="0"/>
  </w:style>
  <w:style w:type="character" w:customStyle="1" w:styleId="41">
    <w:name w:val="WW8Num3z0"/>
    <w:qFormat/>
    <w:uiPriority w:val="0"/>
  </w:style>
  <w:style w:type="character" w:customStyle="1" w:styleId="42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3">
    <w:name w:val="Cabeçalho Char"/>
    <w:basedOn w:val="11"/>
    <w:qFormat/>
    <w:uiPriority w:val="0"/>
  </w:style>
  <w:style w:type="character" w:customStyle="1" w:styleId="44">
    <w:name w:val="Ênfase forte"/>
    <w:qFormat/>
    <w:uiPriority w:val="0"/>
    <w:rPr>
      <w:b/>
      <w:bCs/>
    </w:rPr>
  </w:style>
  <w:style w:type="character" w:customStyle="1" w:styleId="45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6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7">
    <w:name w:val="Texto de nota de rodapé Char"/>
    <w:basedOn w:val="11"/>
    <w:qFormat/>
    <w:uiPriority w:val="0"/>
  </w:style>
  <w:style w:type="character" w:customStyle="1" w:styleId="48">
    <w:name w:val="Caracteres de nota de rodapé"/>
    <w:qFormat/>
    <w:uiPriority w:val="0"/>
    <w:rPr>
      <w:vertAlign w:val="superscript"/>
    </w:rPr>
  </w:style>
  <w:style w:type="character" w:customStyle="1" w:styleId="49">
    <w:name w:val="Rodapé Char"/>
    <w:basedOn w:val="11"/>
    <w:qFormat/>
    <w:uiPriority w:val="0"/>
  </w:style>
  <w:style w:type="character" w:customStyle="1" w:styleId="50">
    <w:name w:val="ListLabel 1"/>
    <w:qFormat/>
    <w:uiPriority w:val="0"/>
    <w:rPr>
      <w:rFonts w:ascii="Arial" w:hAnsi="Arial" w:cs="Arial"/>
      <w:sz w:val="20"/>
      <w:szCs w:val="20"/>
    </w:rPr>
  </w:style>
  <w:style w:type="character" w:customStyle="1" w:styleId="51">
    <w:name w:val="ListLabel 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2">
    <w:name w:val="ListLabel 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3">
    <w:name w:val="ListLabel 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4">
    <w:name w:val="Link da internet visitado"/>
    <w:qFormat/>
    <w:uiPriority w:val="0"/>
    <w:rPr>
      <w:color w:val="800000"/>
      <w:u w:val="single"/>
    </w:rPr>
  </w:style>
  <w:style w:type="character" w:customStyle="1" w:styleId="55">
    <w:name w:val="Âncora da nota de rodapé"/>
    <w:qFormat/>
    <w:uiPriority w:val="0"/>
    <w:rPr>
      <w:vertAlign w:val="superscript"/>
    </w:rPr>
  </w:style>
  <w:style w:type="character" w:customStyle="1" w:styleId="56">
    <w:name w:val="Âncora da nota de fim"/>
    <w:qFormat/>
    <w:uiPriority w:val="0"/>
    <w:rPr>
      <w:vertAlign w:val="superscript"/>
    </w:rPr>
  </w:style>
  <w:style w:type="character" w:customStyle="1" w:styleId="57">
    <w:name w:val="Caracteres de nota de fim"/>
    <w:qFormat/>
    <w:uiPriority w:val="0"/>
  </w:style>
  <w:style w:type="character" w:customStyle="1" w:styleId="58">
    <w:name w:val="ListLabel 6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59">
    <w:name w:val="ListLabel 7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0">
    <w:name w:val="ListLabel 8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1">
    <w:name w:val="ListLabel 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2">
    <w:name w:val="ListLabel 10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63">
    <w:name w:val="ListLabel 11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4">
    <w:name w:val="ListLabel 12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5">
    <w:name w:val="ListLabel 1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6">
    <w:name w:val="ListLabel 1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7">
    <w:name w:val="ListLabel 1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8">
    <w:name w:val="ListLabel 1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9">
    <w:name w:val="ListLabel 1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0">
    <w:name w:val="Footnote Characters"/>
    <w:qFormat/>
    <w:uiPriority w:val="0"/>
    <w:rPr>
      <w:vertAlign w:val="superscript"/>
    </w:rPr>
  </w:style>
  <w:style w:type="character" w:customStyle="1" w:styleId="71">
    <w:name w:val="WW-Ref. de nota de rodapé1"/>
    <w:qFormat/>
    <w:uiPriority w:val="0"/>
    <w:rPr>
      <w:vertAlign w:val="superscript"/>
    </w:rPr>
  </w:style>
  <w:style w:type="character" w:customStyle="1" w:styleId="72">
    <w:name w:val="ListLabel 1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3">
    <w:name w:val="ListLabel 1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4">
    <w:name w:val="ListLabel 2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5">
    <w:name w:val="ListLabel 2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6">
    <w:name w:val="ListLabel 2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7">
    <w:name w:val="ListLabel 2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8">
    <w:name w:val="ListLabel 2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9">
    <w:name w:val="ListLabel 2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0">
    <w:name w:val="ListLabel 2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1">
    <w:name w:val="ListLabel 2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2">
    <w:name w:val="ListLabel 2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3">
    <w:name w:val="ListLabel 2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4">
    <w:name w:val="ListLabel 3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5">
    <w:name w:val="ListLabel 3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6">
    <w:name w:val="ListLabel 3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7">
    <w:name w:val="ListLabel 3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8">
    <w:name w:val="ListLabel 3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9">
    <w:name w:val="ListLabel 3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0">
    <w:name w:val="ListLabel 3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1">
    <w:name w:val="ListLabel 3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2">
    <w:name w:val="ListLabel 38"/>
    <w:qFormat/>
    <w:uiPriority w:val="0"/>
    <w:rPr>
      <w:rFonts w:ascii="Arial" w:hAnsi="Arial" w:eastAsia="Times New Roman" w:cs="Arial"/>
    </w:rPr>
  </w:style>
  <w:style w:type="character" w:customStyle="1" w:styleId="93">
    <w:name w:val="ListLabel 39"/>
    <w:qFormat/>
    <w:uiPriority w:val="0"/>
    <w:rPr>
      <w:rFonts w:cs="Courier New"/>
    </w:rPr>
  </w:style>
  <w:style w:type="character" w:customStyle="1" w:styleId="94">
    <w:name w:val="ListLabel 40"/>
    <w:qFormat/>
    <w:uiPriority w:val="0"/>
    <w:rPr>
      <w:rFonts w:cs="Courier New"/>
    </w:rPr>
  </w:style>
  <w:style w:type="character" w:customStyle="1" w:styleId="95">
    <w:name w:val="ListLabel 41"/>
    <w:qFormat/>
    <w:uiPriority w:val="0"/>
    <w:rPr>
      <w:rFonts w:cs="Courier New"/>
    </w:rPr>
  </w:style>
  <w:style w:type="character" w:customStyle="1" w:styleId="96">
    <w:name w:val="ListLabel 4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7">
    <w:name w:val="ListLabel 43"/>
    <w:qFormat/>
    <w:uiPriority w:val="0"/>
    <w:rPr>
      <w:rFonts w:cs="Arial"/>
    </w:rPr>
  </w:style>
  <w:style w:type="character" w:customStyle="1" w:styleId="98">
    <w:name w:val="ListLabel 44"/>
    <w:qFormat/>
    <w:uiPriority w:val="0"/>
    <w:rPr>
      <w:rFonts w:cs="Courier New"/>
    </w:rPr>
  </w:style>
  <w:style w:type="character" w:customStyle="1" w:styleId="99">
    <w:name w:val="ListLabel 45"/>
    <w:qFormat/>
    <w:uiPriority w:val="0"/>
    <w:rPr>
      <w:rFonts w:cs="Wingdings"/>
    </w:rPr>
  </w:style>
  <w:style w:type="character" w:customStyle="1" w:styleId="100">
    <w:name w:val="ListLabel 46"/>
    <w:qFormat/>
    <w:uiPriority w:val="0"/>
    <w:rPr>
      <w:rFonts w:cs="Symbol"/>
    </w:rPr>
  </w:style>
  <w:style w:type="character" w:customStyle="1" w:styleId="101">
    <w:name w:val="ListLabel 47"/>
    <w:qFormat/>
    <w:uiPriority w:val="0"/>
    <w:rPr>
      <w:rFonts w:cs="Courier New"/>
    </w:rPr>
  </w:style>
  <w:style w:type="character" w:customStyle="1" w:styleId="102">
    <w:name w:val="ListLabel 48"/>
    <w:qFormat/>
    <w:uiPriority w:val="0"/>
    <w:rPr>
      <w:rFonts w:cs="Wingdings"/>
    </w:rPr>
  </w:style>
  <w:style w:type="character" w:customStyle="1" w:styleId="103">
    <w:name w:val="ListLabel 49"/>
    <w:qFormat/>
    <w:uiPriority w:val="0"/>
    <w:rPr>
      <w:rFonts w:cs="Symbol"/>
    </w:rPr>
  </w:style>
  <w:style w:type="character" w:customStyle="1" w:styleId="104">
    <w:name w:val="ListLabel 50"/>
    <w:qFormat/>
    <w:uiPriority w:val="0"/>
    <w:rPr>
      <w:rFonts w:cs="Courier New"/>
    </w:rPr>
  </w:style>
  <w:style w:type="character" w:customStyle="1" w:styleId="105">
    <w:name w:val="ListLabel 51"/>
    <w:qFormat/>
    <w:uiPriority w:val="0"/>
    <w:rPr>
      <w:rFonts w:cs="Wingdings"/>
    </w:rPr>
  </w:style>
  <w:style w:type="character" w:customStyle="1" w:styleId="106">
    <w:name w:val="ListLabel 5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107">
    <w:name w:val="ListLabel 53"/>
    <w:qFormat/>
    <w:uiPriority w:val="0"/>
    <w:rPr>
      <w:rFonts w:cs="Arial"/>
    </w:rPr>
  </w:style>
  <w:style w:type="character" w:customStyle="1" w:styleId="108">
    <w:name w:val="ListLabel 54"/>
    <w:qFormat/>
    <w:uiPriority w:val="0"/>
    <w:rPr>
      <w:rFonts w:cs="Courier New"/>
    </w:rPr>
  </w:style>
  <w:style w:type="character" w:customStyle="1" w:styleId="109">
    <w:name w:val="ListLabel 55"/>
    <w:qFormat/>
    <w:uiPriority w:val="0"/>
    <w:rPr>
      <w:rFonts w:cs="Wingdings"/>
    </w:rPr>
  </w:style>
  <w:style w:type="character" w:customStyle="1" w:styleId="110">
    <w:name w:val="ListLabel 56"/>
    <w:qFormat/>
    <w:uiPriority w:val="0"/>
    <w:rPr>
      <w:rFonts w:cs="Symbol"/>
    </w:rPr>
  </w:style>
  <w:style w:type="character" w:customStyle="1" w:styleId="111">
    <w:name w:val="ListLabel 57"/>
    <w:qFormat/>
    <w:uiPriority w:val="0"/>
    <w:rPr>
      <w:rFonts w:cs="Courier New"/>
    </w:rPr>
  </w:style>
  <w:style w:type="character" w:customStyle="1" w:styleId="112">
    <w:name w:val="ListLabel 58"/>
    <w:qFormat/>
    <w:uiPriority w:val="0"/>
    <w:rPr>
      <w:rFonts w:cs="Wingdings"/>
    </w:rPr>
  </w:style>
  <w:style w:type="character" w:customStyle="1" w:styleId="113">
    <w:name w:val="ListLabel 59"/>
    <w:qFormat/>
    <w:uiPriority w:val="0"/>
    <w:rPr>
      <w:rFonts w:cs="Symbol"/>
    </w:rPr>
  </w:style>
  <w:style w:type="character" w:customStyle="1" w:styleId="114">
    <w:name w:val="ListLabel 60"/>
    <w:qFormat/>
    <w:uiPriority w:val="0"/>
    <w:rPr>
      <w:rFonts w:cs="Courier New"/>
    </w:rPr>
  </w:style>
  <w:style w:type="character" w:customStyle="1" w:styleId="115">
    <w:name w:val="ListLabel 61"/>
    <w:qFormat/>
    <w:uiPriority w:val="0"/>
    <w:rPr>
      <w:rFonts w:cs="Wingdings"/>
    </w:rPr>
  </w:style>
  <w:style w:type="character" w:customStyle="1" w:styleId="116">
    <w:name w:val="ListLabel 62"/>
    <w:qFormat/>
    <w:uiPriority w:val="0"/>
    <w:rPr>
      <w:rFonts w:ascii="Century Gothic" w:hAnsi="Century Gothic" w:cs="Century Gothic"/>
      <w:sz w:val="18"/>
      <w:szCs w:val="18"/>
    </w:rPr>
  </w:style>
  <w:style w:type="paragraph" w:customStyle="1" w:styleId="117">
    <w:name w:val="Título1"/>
    <w:basedOn w:val="1"/>
    <w:next w:val="18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8">
    <w:name w:val="Índice"/>
    <w:basedOn w:val="1"/>
    <w:qFormat/>
    <w:uiPriority w:val="0"/>
    <w:pPr>
      <w:suppressLineNumbers/>
    </w:pPr>
    <w:rPr>
      <w:rFonts w:cs="Mangal"/>
    </w:rPr>
  </w:style>
  <w:style w:type="paragraph" w:styleId="119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20">
    <w:name w:val="Conteúdo da tabela"/>
    <w:basedOn w:val="1"/>
    <w:qFormat/>
    <w:uiPriority w:val="0"/>
    <w:pPr>
      <w:suppressLineNumbers/>
    </w:pPr>
  </w:style>
  <w:style w:type="paragraph" w:customStyle="1" w:styleId="121">
    <w:name w:val="Título de tabela"/>
    <w:basedOn w:val="120"/>
    <w:qFormat/>
    <w:uiPriority w:val="0"/>
    <w:pPr>
      <w:jc w:val="center"/>
    </w:pPr>
    <w:rPr>
      <w:b/>
      <w:bCs/>
    </w:rPr>
  </w:style>
  <w:style w:type="paragraph" w:customStyle="1" w:styleId="122">
    <w:name w:val="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123">
    <w:name w:val="WW-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124">
    <w:name w:val="Standard"/>
    <w:qFormat/>
    <w:uiPriority w:val="0"/>
    <w:pPr>
      <w:suppressAutoHyphens/>
      <w:textAlignment w:val="baseline"/>
    </w:pPr>
    <w:rPr>
      <w:rFonts w:ascii="Times New Roman" w:hAnsi="Times New Roman" w:eastAsia="Times New Roman" w:cs="Times New Roman"/>
      <w:kern w:val="2"/>
      <w:sz w:val="24"/>
      <w:szCs w:val="24"/>
      <w:lang w:val="pt-BR" w:eastAsia="zh-CN" w:bidi="ar-SA"/>
    </w:rPr>
  </w:style>
  <w:style w:type="paragraph" w:styleId="125">
    <w:name w:val="List Paragraph"/>
    <w:basedOn w:val="1"/>
    <w:qFormat/>
    <w:uiPriority w:val="34"/>
    <w:pPr>
      <w:ind w:left="720"/>
      <w:contextualSpacing/>
    </w:pPr>
  </w:style>
  <w:style w:type="character" w:customStyle="1" w:styleId="126">
    <w:name w:val="apple-tab-span"/>
    <w:basedOn w:val="11"/>
    <w:qFormat/>
    <w:uiPriority w:val="0"/>
  </w:style>
  <w:style w:type="paragraph" w:customStyle="1" w:styleId="127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table" w:customStyle="1" w:styleId="128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9">
    <w:name w:val="Dispensa Eletrônica"/>
    <w:basedOn w:val="18"/>
    <w:next w:val="18"/>
    <w:qFormat/>
    <w:uiPriority w:val="0"/>
    <w:pPr>
      <w:tabs>
        <w:tab w:val="left" w:pos="851"/>
      </w:tabs>
      <w:spacing w:before="120" w:after="120"/>
    </w:pPr>
    <w:rPr>
      <w:rFonts w:cs="Arial"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4315</Characters>
  <Lines>35</Lines>
  <Paragraphs>10</Paragraphs>
  <TotalTime>186</TotalTime>
  <ScaleCrop>false</ScaleCrop>
  <LinksUpToDate>false</LinksUpToDate>
  <CharactersWithSpaces>5103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2023-03-21T15:40:00Z</dcterms:created>
  <dc:creator>Liaisson Wilhelm</dc:creator>
  <cp:lastModifiedBy>vanuza.silveira</cp:lastModifiedBy>
  <cp:lastPrinted>2023-11-08T14:28:00Z</cp:lastPrinted>
  <dcterms:modified xsi:type="dcterms:W3CDTF">2023-11-16T13:55:43Z</dcterms:modified>
  <dc:title>Tupanciretã, 10 de março de 2004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1046-12.2.0.13306</vt:lpwstr>
  </property>
  <property fmtid="{D5CDD505-2E9C-101B-9397-08002B2CF9AE}" pid="9" name="ICV">
    <vt:lpwstr>AAD0E1763A3A4B0C84291BB742D6AA47_13</vt:lpwstr>
  </property>
</Properties>
</file>