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default"/>
          <w:sz w:val="28"/>
          <w:szCs w:val="28"/>
          <w:lang w:val="pt-BR"/>
        </w:rPr>
      </w:pPr>
    </w:p>
    <w:p>
      <w:pPr>
        <w:jc w:val="center"/>
        <w:rPr>
          <w:rFonts w:hint="default"/>
          <w:sz w:val="28"/>
          <w:szCs w:val="28"/>
          <w:lang w:val="pt-BR"/>
        </w:rPr>
      </w:pPr>
      <w:r>
        <w:rPr>
          <w:rFonts w:ascii="Times New Roman" w:hAnsi="Times New Roman" w:eastAsia="Times New Roman" w:cs="Times New Roman"/>
          <w:b/>
          <w:sz w:val="28"/>
          <w:u w:val="none"/>
          <w:lang w:val="pt-BR" w:eastAsia="pt-BR"/>
        </w:rPr>
        <w:drawing>
          <wp:anchor distT="0" distB="0" distL="114300" distR="114300" simplePos="0" relativeHeight="251659264" behindDoc="0" locked="0" layoutInCell="0" allowOverlap="1">
            <wp:simplePos x="0" y="0"/>
            <wp:positionH relativeFrom="column">
              <wp:posOffset>1033145</wp:posOffset>
            </wp:positionH>
            <wp:positionV relativeFrom="paragraph">
              <wp:posOffset>6350</wp:posOffset>
            </wp:positionV>
            <wp:extent cx="667385" cy="742950"/>
            <wp:effectExtent l="0" t="0" r="18415" b="0"/>
            <wp:wrapNone/>
            <wp:docPr id="2" name="Figura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Figura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67385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suppressAutoHyphens/>
        <w:jc w:val="center"/>
        <w:rPr>
          <w:rFonts w:ascii="Century Gothic" w:hAnsi="Century Gothic" w:eastAsia="Times New Roman" w:cs="Times New Roman"/>
          <w:b/>
          <w:bCs/>
          <w:sz w:val="14"/>
          <w:szCs w:val="14"/>
          <w:u w:val="none"/>
          <w:lang w:val="pt-BR" w:eastAsia="pt-BR" w:bidi="ar-SA"/>
        </w:rPr>
      </w:pPr>
      <w:r>
        <w:rPr>
          <w:rFonts w:ascii="Century Gothic" w:hAnsi="Century Gothic" w:eastAsia="Times New Roman" w:cs="Times New Roman"/>
          <w:b/>
          <w:bCs/>
          <w:sz w:val="14"/>
          <w:szCs w:val="14"/>
          <w:u w:val="none"/>
          <w:lang w:val="pt-BR" w:eastAsia="pt-BR" w:bidi="ar-SA"/>
        </w:rPr>
        <w:t>ESTADO DO RIO GRANDE DO SUL</w:t>
      </w:r>
    </w:p>
    <w:p>
      <w:pPr>
        <w:keepNext/>
        <w:suppressAutoHyphens/>
        <w:jc w:val="center"/>
        <w:outlineLvl w:val="0"/>
        <w:rPr>
          <w:rFonts w:ascii="Century Gothic" w:hAnsi="Century Gothic" w:eastAsia="Times New Roman" w:cs="Tahoma"/>
          <w:b/>
          <w:bCs/>
          <w:i w:val="0"/>
          <w:iCs w:val="0"/>
          <w:sz w:val="14"/>
          <w:szCs w:val="14"/>
          <w:u w:val="none"/>
          <w:lang w:val="pt-BR" w:eastAsia="pt-BR" w:bidi="ar-SA"/>
        </w:rPr>
      </w:pPr>
      <w:r>
        <w:rPr>
          <w:rFonts w:hint="default" w:ascii="Century Gothic" w:hAnsi="Century Gothic" w:eastAsia="Times New Roman" w:cs="Tahoma"/>
          <w:b/>
          <w:bCs/>
          <w:sz w:val="14"/>
          <w:szCs w:val="14"/>
          <w:u w:val="none"/>
          <w:lang w:val="en-US" w:eastAsia="pt-BR" w:bidi="ar-SA"/>
        </w:rPr>
        <w:t xml:space="preserve">   </w:t>
      </w:r>
      <w:r>
        <w:rPr>
          <w:rFonts w:ascii="Century Gothic" w:hAnsi="Century Gothic" w:eastAsia="Times New Roman" w:cs="Tahoma"/>
          <w:b/>
          <w:bCs/>
          <w:sz w:val="14"/>
          <w:szCs w:val="14"/>
          <w:u w:val="none"/>
          <w:lang w:val="pt-BR" w:eastAsia="pt-BR" w:bidi="ar-SA"/>
        </w:rPr>
        <w:t>PREFEITURA MUNICIPAL DE TUPANCIRETÃ</w:t>
      </w:r>
    </w:p>
    <w:p>
      <w:pPr>
        <w:jc w:val="center"/>
        <w:rPr>
          <w:rFonts w:ascii="Century Gothic" w:hAnsi="Century Gothic" w:eastAsia="Times New Roman" w:cs="Times New Roman"/>
          <w:sz w:val="14"/>
          <w:szCs w:val="14"/>
          <w:u w:val="none"/>
          <w:lang w:val="pt-BR" w:eastAsia="pt-BR"/>
        </w:rPr>
      </w:pPr>
      <w:r>
        <w:rPr>
          <w:rFonts w:ascii="Century Gothic" w:hAnsi="Century Gothic" w:eastAsia="Times New Roman" w:cs="Times New Roman"/>
          <w:sz w:val="14"/>
          <w:szCs w:val="14"/>
          <w:u w:val="none"/>
          <w:lang w:val="pt-BR" w:eastAsia="pt-BR"/>
        </w:rPr>
        <w:t>SECRETARIA MUNICIPAL DE EDUCAÇÃO</w:t>
      </w:r>
    </w:p>
    <w:p>
      <w:pPr>
        <w:jc w:val="both"/>
        <w:rPr>
          <w:rFonts w:hint="default"/>
          <w:sz w:val="28"/>
          <w:szCs w:val="28"/>
          <w:lang w:val="pt-BR"/>
        </w:rPr>
      </w:pPr>
    </w:p>
    <w:p>
      <w:pPr>
        <w:jc w:val="center"/>
        <w:rPr>
          <w:rFonts w:hint="default"/>
          <w:sz w:val="28"/>
          <w:szCs w:val="28"/>
          <w:lang w:val="pt-BR"/>
        </w:rPr>
      </w:pPr>
    </w:p>
    <w:p>
      <w:pPr>
        <w:jc w:val="center"/>
        <w:rPr>
          <w:rFonts w:hint="default"/>
          <w:sz w:val="28"/>
          <w:szCs w:val="28"/>
          <w:lang w:val="pt-BR"/>
        </w:rPr>
      </w:pPr>
      <w:r>
        <w:rPr>
          <w:rFonts w:hint="default"/>
          <w:sz w:val="28"/>
          <w:szCs w:val="28"/>
          <w:lang w:val="pt-BR"/>
        </w:rPr>
        <w:t>JUSTIFICATIVA PARA A AUSÊNCIA DE ESTUDO TÉCNICO PRELIMINAR E ANÁLISE DE RISCOS.</w:t>
      </w:r>
    </w:p>
    <w:p>
      <w:pPr>
        <w:jc w:val="center"/>
        <w:rPr>
          <w:rFonts w:hint="default"/>
          <w:sz w:val="28"/>
          <w:szCs w:val="28"/>
          <w:lang w:val="pt-BR"/>
        </w:rPr>
      </w:pPr>
    </w:p>
    <w:p>
      <w:pPr>
        <w:jc w:val="center"/>
        <w:rPr>
          <w:rFonts w:hint="default"/>
          <w:sz w:val="28"/>
          <w:szCs w:val="28"/>
          <w:lang w:val="pt-BR"/>
        </w:rPr>
      </w:pPr>
    </w:p>
    <w:p>
      <w:pPr>
        <w:jc w:val="both"/>
        <w:rPr>
          <w:rFonts w:hint="default"/>
          <w:sz w:val="28"/>
          <w:szCs w:val="28"/>
          <w:lang w:val="pt-BR"/>
        </w:rPr>
      </w:pPr>
      <w:r>
        <w:rPr>
          <w:rFonts w:hint="default"/>
          <w:sz w:val="28"/>
          <w:szCs w:val="28"/>
          <w:lang w:val="pt-BR"/>
        </w:rPr>
        <w:t xml:space="preserve">Com base no art.72,inciso I, da lei nº 14.133/2021,que confere discriscionariedade à Administração para elaboração do Estudo Técnico Preliminar e da Análise de Risco, entende-se, para os fins dos presentes autos, que a menor complexidade do objeto e o pequeno valor torna prescindível a necessidade de elaboração destes documentos (art.75,inc.I e II da lei 14.133/21). </w:t>
      </w:r>
    </w:p>
    <w:p>
      <w:pPr>
        <w:jc w:val="both"/>
        <w:rPr>
          <w:rFonts w:hint="default"/>
          <w:sz w:val="28"/>
          <w:szCs w:val="28"/>
          <w:lang w:val="pt-BR"/>
        </w:rPr>
      </w:pPr>
      <w:r>
        <w:rPr>
          <w:rFonts w:hint="default"/>
          <w:sz w:val="28"/>
          <w:szCs w:val="28"/>
          <w:lang w:val="pt-BR"/>
        </w:rPr>
        <w:t>De toda a forma, as informações necessárias e suficientes capazes de demonstrar o interesse público, provendo a devida segurança transacional, estão registradas nos documentos que compõe a intrução processual.</w:t>
      </w:r>
    </w:p>
    <w:p>
      <w:pPr>
        <w:jc w:val="both"/>
        <w:rPr>
          <w:rFonts w:hint="default"/>
          <w:sz w:val="28"/>
          <w:szCs w:val="28"/>
          <w:lang w:val="pt-BR"/>
        </w:rPr>
      </w:pPr>
      <w:r>
        <w:rPr>
          <w:rFonts w:hint="default"/>
          <w:sz w:val="28"/>
          <w:szCs w:val="28"/>
          <w:lang w:val="pt-BR"/>
        </w:rPr>
        <w:t>Portanto torna-se dispensável o Estudo Técnico Preliminar e o Mapa de Risco.</w:t>
      </w:r>
    </w:p>
    <w:p>
      <w:pPr>
        <w:jc w:val="both"/>
        <w:rPr>
          <w:rFonts w:hint="default"/>
          <w:sz w:val="28"/>
          <w:szCs w:val="28"/>
          <w:lang w:val="pt-BR"/>
        </w:rPr>
      </w:pPr>
    </w:p>
    <w:p>
      <w:pPr>
        <w:jc w:val="both"/>
        <w:rPr>
          <w:rFonts w:hint="default"/>
          <w:sz w:val="28"/>
          <w:szCs w:val="28"/>
          <w:lang w:val="pt-BR"/>
        </w:rPr>
      </w:pPr>
      <w:bookmarkStart w:id="0" w:name="_GoBack"/>
      <w:bookmarkEnd w:id="0"/>
    </w:p>
    <w:p>
      <w:pPr>
        <w:jc w:val="both"/>
        <w:rPr>
          <w:rFonts w:hint="default"/>
          <w:sz w:val="28"/>
          <w:szCs w:val="28"/>
          <w:lang w:val="pt-BR"/>
        </w:rPr>
      </w:pPr>
    </w:p>
    <w:p>
      <w:pPr>
        <w:jc w:val="both"/>
        <w:rPr>
          <w:rFonts w:hint="default"/>
          <w:sz w:val="28"/>
          <w:szCs w:val="28"/>
          <w:lang w:val="pt-BR"/>
        </w:rPr>
      </w:pPr>
      <w:r>
        <w:rPr>
          <w:rFonts w:hint="default"/>
          <w:sz w:val="28"/>
          <w:szCs w:val="28"/>
          <w:lang w:val="pt-BR"/>
        </w:rPr>
        <w:t xml:space="preserve"> </w:t>
      </w:r>
    </w:p>
    <w:p>
      <w:pPr>
        <w:jc w:val="both"/>
        <w:rPr>
          <w:rFonts w:hint="default"/>
          <w:sz w:val="28"/>
          <w:szCs w:val="28"/>
          <w:lang w:val="pt-BR"/>
        </w:rPr>
      </w:pPr>
      <w:r>
        <w:rPr>
          <w:rFonts w:hint="default"/>
          <w:sz w:val="28"/>
          <w:szCs w:val="28"/>
          <w:lang w:val="pt-BR"/>
        </w:rPr>
        <w:t xml:space="preserve">Rosani Taschetto Didoné                                           Vanuza Silveira da Rosa                                        </w:t>
      </w:r>
    </w:p>
    <w:p>
      <w:pPr>
        <w:jc w:val="both"/>
        <w:rPr>
          <w:rFonts w:hint="default"/>
          <w:sz w:val="28"/>
          <w:szCs w:val="28"/>
          <w:lang w:val="pt-BR"/>
        </w:rPr>
      </w:pPr>
      <w:r>
        <w:rPr>
          <w:rFonts w:hint="default"/>
          <w:sz w:val="28"/>
          <w:szCs w:val="28"/>
          <w:lang w:val="pt-BR"/>
        </w:rPr>
        <w:t>Secretária da SMECTEL                                                      Chefe de Setor</w:t>
      </w:r>
    </w:p>
    <w:p>
      <w:pPr>
        <w:jc w:val="both"/>
        <w:rPr>
          <w:rFonts w:hint="default"/>
          <w:sz w:val="28"/>
          <w:szCs w:val="28"/>
          <w:lang w:val="pt-BR"/>
        </w:rPr>
      </w:pPr>
      <w:r>
        <w:rPr>
          <w:rFonts w:hint="default"/>
          <w:sz w:val="28"/>
          <w:szCs w:val="28"/>
          <w:lang w:val="pt-BR"/>
        </w:rPr>
        <w:t>Matrícula 2303-5/2                                                       Matricula 1449-4</w:t>
      </w:r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entury Gothic">
    <w:altName w:val="Yu Gothic UI"/>
    <w:panose1 w:val="020B0502020202020204"/>
    <w:charset w:val="00"/>
    <w:family w:val="swiss"/>
    <w:pitch w:val="default"/>
    <w:sig w:usb0="00000000" w:usb1="00000000" w:usb2="00000000" w:usb3="00000000" w:csb0="2000009F" w:csb1="DFD7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Yu Gothic UI">
    <w:panose1 w:val="020B0500000000000000"/>
    <w:charset w:val="80"/>
    <w:family w:val="auto"/>
    <w:pitch w:val="default"/>
    <w:sig w:usb0="E00002FF" w:usb1="2AC7FDFF" w:usb2="00000016" w:usb3="00000000" w:csb0="2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6D36DF6"/>
    <w:rsid w:val="04DE64BC"/>
    <w:rsid w:val="14CC6BFB"/>
    <w:rsid w:val="16D36DF6"/>
    <w:rsid w:val="457C68F9"/>
    <w:rsid w:val="57D93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14</TotalTime>
  <ScaleCrop>false</ScaleCrop>
  <LinksUpToDate>false</LinksUpToDate>
  <CharactersWithSpaces>0</CharactersWithSpaces>
  <Application>WPS Office_12.2.0.13306_F1E327BC-269C-435d-A152-05C5408002CA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2023-11-09T11:30:00Z</dcterms:created>
  <dc:creator>carla.pereira</dc:creator>
  <cp:lastModifiedBy>vanuza.silveira</cp:lastModifiedBy>
  <dcterms:modified xsi:type="dcterms:W3CDTF">2023-11-09T14:12:29Z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1046-12.2.0.13306</vt:lpwstr>
  </property>
  <property fmtid="{D5CDD505-2E9C-101B-9397-08002B2CF9AE}" pid="3" name="ICV">
    <vt:lpwstr>E79A72811B854B099A7A6F19AF1F191A_13</vt:lpwstr>
  </property>
</Properties>
</file>