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TERMO DE REFERÊNCIA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ascii="Arial" w:hAnsi="Arial" w:cs="Arial"/>
        </w:rPr>
      </w:pPr>
    </w:p>
    <w:p>
      <w:pPr>
        <w:pStyle w:val="3"/>
        <w:keepNext w:val="0"/>
        <w:keepLines w:val="0"/>
        <w:widowControl/>
        <w:suppressLineNumbers w:val="0"/>
        <w:jc w:val="left"/>
        <w:rPr>
          <w:rFonts w:hint="default"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</w:rPr>
        <w:t>PROCESSO ADMINISTRATIVO Nº</w:t>
      </w:r>
      <w:r>
        <w:rPr>
          <w:rFonts w:hint="default" w:ascii="Arial" w:hAnsi="Arial" w:cs="Arial"/>
          <w:b/>
          <w:bCs/>
          <w:lang w:val="pt-BR"/>
        </w:rPr>
        <w:t xml:space="preserve"> 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Município de Tupanciretã/RS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Secretaria Municipal de </w:t>
      </w:r>
      <w:r>
        <w:rPr>
          <w:rFonts w:hint="default" w:ascii="Arial" w:hAnsi="Arial" w:cs="Arial"/>
          <w:lang w:val="pt-BR"/>
        </w:rPr>
        <w:t>Educação, Cultura, Esporte e Lazer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Necessidade da Administração: contratação de </w:t>
      </w:r>
      <w:r>
        <w:rPr>
          <w:rFonts w:hint="default" w:ascii="Arial" w:hAnsi="Arial" w:cs="Arial"/>
          <w:lang w:val="pt-BR"/>
        </w:rPr>
        <w:t>empresa para serviço de Cronometragem, entrega de kits e chip para atletas em evento esportivo da</w:t>
      </w:r>
      <w:r>
        <w:rPr>
          <w:rFonts w:hint="default" w:ascii="Arial" w:hAnsi="Arial" w:cs="Arial"/>
          <w:b/>
          <w:bCs/>
          <w:lang w:val="pt-BR"/>
        </w:rPr>
        <w:t xml:space="preserve"> 2ª Ultramaratona</w:t>
      </w:r>
      <w:r>
        <w:rPr>
          <w:rFonts w:hint="default" w:ascii="Arial" w:hAnsi="Arial" w:cs="Arial"/>
          <w:lang w:val="pt-BR"/>
        </w:rPr>
        <w:t xml:space="preserve"> de Tupanciretã que ocorrerá no dia 16 de Dezembro de 2023.</w:t>
      </w: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1. OBJETO</w:t>
      </w:r>
    </w:p>
    <w:p>
      <w:pPr>
        <w:spacing w:line="23" w:lineRule="atLeast"/>
        <w:jc w:val="both"/>
        <w:rPr>
          <w:rFonts w:hint="default" w:ascii="Arial" w:hAnsi="Arial" w:cs="Arial"/>
          <w:color w:val="000000"/>
          <w:sz w:val="24"/>
          <w:szCs w:val="24"/>
          <w:lang w:eastAsia="pt-B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  <w:lang w:eastAsia="pt-BR"/>
        </w:rPr>
        <w:t xml:space="preserve">O presente termo tem por objeto a aquisição/contratação de empresa especializada na prestação de serviços de </w:t>
      </w:r>
      <w:r>
        <w:rPr>
          <w:rFonts w:hint="default" w:ascii="Arial" w:hAnsi="Arial" w:eastAsia="Bahnschrift Condensed" w:cs="Arial"/>
          <w:color w:val="000000"/>
          <w:kern w:val="0"/>
          <w:sz w:val="24"/>
          <w:szCs w:val="24"/>
          <w:lang w:val="en-US" w:eastAsia="zh-CN" w:bidi="ar"/>
        </w:rPr>
        <w:t xml:space="preserve">Assessoria e entrega de numeração e kits no dia do evento, cronometragem eletrônica, chip para todos atletas, site para inscrição, apuração e divulgação dos resultados no dia do evento e após em site oficial, pórtico inflável de largada e chegada e cones para funil de chegada. </w:t>
      </w:r>
    </w:p>
    <w:p>
      <w:pPr>
        <w:spacing w:line="23" w:lineRule="atLeast"/>
        <w:ind w:firstLine="720" w:firstLineChars="300"/>
        <w:jc w:val="center"/>
        <w:rPr>
          <w:rFonts w:hint="default" w:ascii="Arial" w:hAnsi="Arial" w:cs="Arial"/>
          <w:color w:val="000000"/>
          <w:lang w:val="en-US"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 </w:t>
      </w:r>
      <w:bookmarkStart w:id="0" w:name="art6xxiiib"/>
      <w:bookmarkEnd w:id="0"/>
    </w:p>
    <w:p>
      <w:pPr>
        <w:numPr>
          <w:ilvl w:val="0"/>
          <w:numId w:val="2"/>
        </w:num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FUNDAMENTAÇÃO DA CONTRATAÇÃO</w:t>
      </w:r>
    </w:p>
    <w:p>
      <w:pPr>
        <w:numPr>
          <w:ilvl w:val="0"/>
          <w:numId w:val="0"/>
        </w:num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</w:p>
    <w:p>
      <w:pPr>
        <w:numPr>
          <w:ilvl w:val="0"/>
          <w:numId w:val="0"/>
        </w:numPr>
        <w:spacing w:line="23" w:lineRule="atLeast"/>
        <w:jc w:val="both"/>
        <w:rPr>
          <w:rFonts w:hint="default" w:ascii="Arial" w:hAnsi="Arial" w:cs="Arial"/>
          <w:b w:val="0"/>
          <w:bCs w:val="0"/>
          <w:color w:val="000000"/>
          <w:sz w:val="24"/>
          <w:szCs w:val="24"/>
          <w:lang w:val="en-US" w:eastAsia="pt-BR"/>
        </w:rPr>
      </w:pPr>
      <w:r>
        <w:rPr>
          <w:rFonts w:hint="default" w:ascii="Arial" w:hAnsi="Arial" w:cs="Arial"/>
          <w:b w:val="0"/>
          <w:bCs w:val="0"/>
          <w:color w:val="000000"/>
          <w:sz w:val="24"/>
          <w:szCs w:val="24"/>
          <w:lang w:val="en-US" w:eastAsia="pt-BR"/>
        </w:rPr>
        <w:t>A contratação se justifica pela necessidade de serviço de assessoria e organização que exige de perfeitas condições aos atletas participarem da competição de uma maratona oficial em diversas modalidades e categorias.</w:t>
      </w:r>
    </w:p>
    <w:p>
      <w:pPr>
        <w:numPr>
          <w:ilvl w:val="0"/>
          <w:numId w:val="0"/>
        </w:numPr>
        <w:spacing w:line="23" w:lineRule="atLeast"/>
        <w:jc w:val="both"/>
        <w:rPr>
          <w:rFonts w:hint="default" w:ascii="Arial" w:hAnsi="Arial" w:cs="Arial"/>
          <w:b w:val="0"/>
          <w:bCs w:val="0"/>
          <w:color w:val="000000"/>
          <w:sz w:val="24"/>
          <w:szCs w:val="24"/>
          <w:lang w:val="en-US" w:eastAsia="pt-BR"/>
        </w:rPr>
      </w:pPr>
      <w:r>
        <w:rPr>
          <w:rFonts w:hint="default" w:ascii="Arial" w:hAnsi="Arial" w:cs="Arial"/>
          <w:b w:val="0"/>
          <w:bCs w:val="0"/>
          <w:color w:val="000000"/>
          <w:sz w:val="24"/>
          <w:szCs w:val="24"/>
          <w:lang w:val="en-US" w:eastAsia="pt-BR"/>
        </w:rPr>
        <w:t>Visando todo material e equipamento de apoio  ao ambiente de corrida dos atletas durante as competições.</w:t>
      </w:r>
    </w:p>
    <w:p>
      <w:pPr>
        <w:keepNext w:val="0"/>
        <w:keepLines w:val="0"/>
        <w:widowControl/>
        <w:suppressLineNumbers w:val="0"/>
        <w:jc w:val="left"/>
        <w:rPr>
          <w:b w:val="0"/>
          <w:bCs w:val="0"/>
          <w:sz w:val="24"/>
          <w:szCs w:val="24"/>
        </w:rPr>
      </w:pPr>
      <w:r>
        <w:rPr>
          <w:rFonts w:ascii="Arial" w:hAnsi="Arial" w:eastAsia="SimSun" w:cs="Arial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Os materiais deverão ser de primeira linha e </w:t>
      </w:r>
      <w:r>
        <w:rPr>
          <w:rFonts w:hint="default" w:ascii="Arial" w:hAnsi="Arial" w:eastAsia="SimSun" w:cs="Arial"/>
          <w:b w:val="0"/>
          <w:bCs w:val="0"/>
          <w:color w:val="000000"/>
          <w:kern w:val="0"/>
          <w:sz w:val="24"/>
          <w:szCs w:val="24"/>
          <w:lang w:val="pt-BR" w:eastAsia="zh-CN" w:bidi="ar"/>
        </w:rPr>
        <w:t>os equipamentos deverão seguir o padrões das normas de qualidade e segurança</w:t>
      </w:r>
      <w:r>
        <w:rPr>
          <w:rFonts w:hint="default" w:ascii="Arial" w:hAnsi="Arial" w:eastAsia="SimSun" w:cs="Arial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. 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1" w:name="art6xxiiic"/>
      <w:bookmarkEnd w:id="1"/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3. DESCRIÇÃO DA SOLUÇÃO COMO UM TODO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hint="default" w:ascii="Arial" w:hAnsi="Arial" w:cs="Arial"/>
          <w:lang w:val="pt-BR"/>
        </w:rPr>
      </w:pPr>
      <w:r>
        <w:rPr>
          <w:rFonts w:ascii="Arial" w:hAnsi="Arial" w:cs="Arial"/>
        </w:rPr>
        <w:t>A solução proposta é a contratação de empresa especializada para o fornecimento/prestação de serviços</w:t>
      </w:r>
      <w:r>
        <w:rPr>
          <w:rFonts w:hint="default" w:ascii="Arial" w:hAnsi="Arial" w:cs="Arial"/>
          <w:lang w:val="pt-BR"/>
        </w:rPr>
        <w:t xml:space="preserve"> acima descritos no objeto e na fundamentação.</w:t>
      </w: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bookmarkStart w:id="2" w:name="art6xxiiid"/>
      <w:bookmarkEnd w:id="2"/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4. REQUISITOS DA CONTRATAÇÃO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3" w:name="art6xxiiie"/>
      <w:bookmarkEnd w:id="3"/>
    </w:p>
    <w:p>
      <w:pPr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A Contratada deverá cumprir todas as especificações constantes no orçamento, assumindo como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exclusivamente seus riscos e as despesas decorrentes da boa e perfeita execução do objeto. </w:t>
      </w:r>
    </w:p>
    <w:p>
      <w:pPr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Comunicar à Contratante, no prazo máximo de 24 (vinte e quatro) horas que antecede a data da entrega, os motivos que impossibilitem o cumprimento do prazo previsto, com a devida 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Comprovação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.</w:t>
      </w:r>
    </w:p>
    <w:p>
      <w:pPr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Entendemos, portanto, que a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execução do serviço</w:t>
      </w:r>
      <w:r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nos presentes termos, atende aos requisitos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exigidos na Legislação em vigor. </w:t>
      </w:r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Ademais, a contratação do referido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 serviço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deverá obedecer, no que couber, ao disposto na Lei nº 14.133/21, de 01 de abril de 2021. 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5. EXECUÇÃO DO OBJETO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keepNext w:val="0"/>
        <w:keepLines w:val="0"/>
        <w:widowControl/>
        <w:suppressLineNumbers w:val="0"/>
        <w:jc w:val="left"/>
        <w:rPr>
          <w:sz w:val="24"/>
          <w:szCs w:val="24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O serviço</w:t>
      </w:r>
      <w:r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deverá produzir os resultados pretendidos desde o seu início até o seu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encerramento. Deverá observar o caso concreto e as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peculiaridades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do objeto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: compra-serviço não continuado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.</w:t>
      </w:r>
    </w:p>
    <w:p>
      <w:pPr>
        <w:spacing w:line="23" w:lineRule="atLeast"/>
        <w:jc w:val="both"/>
        <w:rPr>
          <w:rFonts w:hint="default" w:ascii="Arial" w:hAnsi="Arial" w:cs="Arial"/>
          <w:color w:val="000000"/>
          <w:lang w:val="en-US"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bookmarkStart w:id="4" w:name="art6xxiiif"/>
      <w:bookmarkEnd w:id="4"/>
      <w:r>
        <w:rPr>
          <w:rFonts w:ascii="Arial" w:hAnsi="Arial" w:cs="Arial"/>
          <w:b/>
          <w:bCs/>
          <w:color w:val="000000"/>
          <w:lang w:eastAsia="pt-BR"/>
        </w:rPr>
        <w:t>6. GESTÃO DO CONTRATO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A gestão de contratos e a fiscalização do objeto contratado serão realizados pelos Membros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nomeados pela Portaria nº 29.798/2023 de 16 de outubro de 2023 - da Secret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a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ria Municipal de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Administração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, nos termos da Lei Federal nº14.133/2021.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5" w:name="art6xxiiig"/>
      <w:bookmarkEnd w:id="5"/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7. CRITÉRIOS DE MEDIÇÃO E DE PAGAMENTO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6" w:name="art6xxiiih"/>
      <w:bookmarkEnd w:id="6"/>
    </w:p>
    <w:p>
      <w:pPr>
        <w:spacing w:line="23" w:lineRule="atLeast"/>
        <w:jc w:val="both"/>
        <w:rPr>
          <w:rFonts w:hint="default" w:ascii="Arial" w:hAnsi="Arial" w:cs="Arial"/>
          <w:color w:val="000000"/>
          <w:lang w:val="en-US" w:eastAsia="pt-BR"/>
        </w:rPr>
      </w:pPr>
      <w:r>
        <w:rPr>
          <w:rFonts w:hint="default" w:ascii="Arial" w:hAnsi="Arial" w:cs="Arial"/>
          <w:color w:val="000000"/>
          <w:lang w:val="en-US" w:eastAsia="pt-BR"/>
        </w:rPr>
        <w:t>Prazo de pagamento 30 (tinta) dias após empenhando a conclusão do serviço com a Nota Fiscal,</w:t>
      </w:r>
      <w:r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em favor da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CONTRATADA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pela </w:t>
      </w:r>
      <w:r>
        <w:rPr>
          <w:rFonts w:hint="default" w:ascii="Arial" w:hAnsi="Arial" w:eastAsia="SimSun" w:cs="Arial"/>
          <w:b/>
          <w:bCs/>
          <w:color w:val="000000"/>
          <w:kern w:val="0"/>
          <w:sz w:val="24"/>
          <w:szCs w:val="24"/>
          <w:lang w:val="en-US" w:eastAsia="zh-CN" w:bidi="ar"/>
        </w:rPr>
        <w:t>CONTRATANTE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, através de depósito bancário, transferência ou boleto de compensação, correspondente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 e liquidação da mesma pelo setor de compras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em nome Prefeitura Municipal de Tupanciretã/RS.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8. FORMA E CRITÉRIOS DE SELEÇÃO DO FORNECEDOR/PRESTADOR DE SERVIÇO</w:t>
      </w:r>
    </w:p>
    <w:p>
      <w:pPr>
        <w:keepNext w:val="0"/>
        <w:keepLines w:val="0"/>
        <w:widowControl/>
        <w:suppressLineNumbers w:val="0"/>
        <w:jc w:val="left"/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bookmarkStart w:id="7" w:name="art6xxiii.i"/>
      <w:bookmarkEnd w:id="7"/>
    </w:p>
    <w:p>
      <w:pPr>
        <w:keepNext w:val="0"/>
        <w:keepLines w:val="0"/>
        <w:widowControl/>
        <w:suppressLineNumbers w:val="0"/>
        <w:jc w:val="left"/>
        <w:rPr>
          <w:sz w:val="24"/>
          <w:szCs w:val="24"/>
        </w:rPr>
      </w:pPr>
      <w:r>
        <w:rPr>
          <w:rFonts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Conforme disposto no item 4, o futuro contratado será selecionado mediante fornecimento de </w:t>
      </w:r>
    </w:p>
    <w:p>
      <w:pPr>
        <w:spacing w:line="23" w:lineRule="atLeast"/>
        <w:jc w:val="both"/>
        <w:rPr>
          <w:rFonts w:hint="default" w:ascii="Arial" w:hAnsi="Arial" w:cs="Arial"/>
          <w:color w:val="000000"/>
          <w:lang w:val="en-US" w:eastAsia="pt-BR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menor orçamento com as especificações solicitadas</w:t>
      </w:r>
      <w:r>
        <w:rPr>
          <w:rFonts w:hint="default" w:ascii="Arial" w:hAnsi="Arial" w:cs="Arial"/>
          <w:color w:val="000000"/>
          <w:lang w:val="en-US" w:eastAsia="pt-BR"/>
        </w:rPr>
        <w:t>.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9. ESTIMATIVA DO VALOR DA CONTRATAÇÃO</w:t>
      </w: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  <w:bookmarkStart w:id="8" w:name="art6xxiiij"/>
      <w:bookmarkEnd w:id="8"/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Estima-se para a contratação almejada o valor total de R$</w:t>
      </w:r>
      <w:r>
        <w:rPr>
          <w:rFonts w:hint="default" w:ascii="Arial" w:hAnsi="Arial" w:cs="Arial"/>
          <w:lang w:val="pt-BR"/>
        </w:rPr>
        <w:t>3.000 (três milreais)</w:t>
      </w:r>
      <w:r>
        <w:rPr>
          <w:rFonts w:ascii="Arial" w:hAnsi="Arial" w:cs="Arial"/>
        </w:rPr>
        <w:t>.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Vislumbra-se que tal valor é compatível com o praticado pelo mercado correspondente, 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observando-se o procedimento administrativo para a realização de pesquisa de preços para </w:t>
      </w:r>
    </w:p>
    <w:p>
      <w:pPr>
        <w:keepNext w:val="0"/>
        <w:keepLines w:val="0"/>
        <w:widowControl/>
        <w:suppressLineNumbers w:val="0"/>
        <w:jc w:val="both"/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aquisição de material de consumo, nos termos do art. 23, § 1º, da Lei Federal nº 14.133/2021.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10. ADEQUAÇÃO ORÇAMENTÁRIA</w:t>
      </w:r>
    </w:p>
    <w:p>
      <w:pPr>
        <w:spacing w:line="23" w:lineRule="atLeast"/>
        <w:jc w:val="both"/>
        <w:rPr>
          <w:rFonts w:ascii="Arial" w:hAnsi="Arial" w:cs="Arial"/>
          <w:b/>
          <w:bCs/>
        </w:rPr>
      </w:pPr>
    </w:p>
    <w:p>
      <w:pPr>
        <w:spacing w:line="23" w:lineRule="atLeast"/>
        <w:jc w:val="both"/>
        <w:rPr>
          <w:rFonts w:hint="default" w:ascii="Arial" w:hAnsi="Arial" w:cs="Arial"/>
          <w:lang w:val="pt-BR"/>
        </w:rPr>
      </w:pPr>
      <w:r>
        <w:rPr>
          <w:rFonts w:ascii="Arial" w:hAnsi="Arial" w:cs="Arial"/>
        </w:rPr>
        <w:t xml:space="preserve">O dispêndio financeiro decorrente da contratação ora pretendida decorrerá da dotação orçamentária </w:t>
      </w:r>
      <w:r>
        <w:rPr>
          <w:rFonts w:hint="default" w:ascii="Arial" w:hAnsi="Arial" w:cs="Arial"/>
          <w:lang w:val="pt-BR"/>
        </w:rPr>
        <w:t>através do Recurso: não vinculados a impostos</w:t>
      </w:r>
      <w:bookmarkStart w:id="9" w:name="_GoBack"/>
      <w:bookmarkEnd w:id="9"/>
      <w:r>
        <w:rPr>
          <w:rFonts w:hint="default" w:ascii="Arial" w:hAnsi="Arial" w:cs="Arial"/>
          <w:lang w:val="pt-BR"/>
        </w:rPr>
        <w:t>, Dotação:  8439.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 w:eastAsiaTheme="minorHAnsi"/>
          <w:lang w:eastAsia="en-US"/>
        </w:rPr>
      </w:pPr>
      <w:r>
        <w:rPr>
          <w:rFonts w:ascii="Arial" w:hAnsi="Arial" w:cs="Arial"/>
          <w:b/>
        </w:rPr>
        <w:t xml:space="preserve">                                             </w:t>
      </w:r>
      <w:r>
        <w:rPr>
          <w:rFonts w:hint="default" w:ascii="Arial" w:hAnsi="Arial" w:cs="Arial"/>
          <w:b/>
          <w:lang w:val="pt-BR"/>
        </w:rPr>
        <w:t xml:space="preserve">                             </w:t>
      </w:r>
      <w:r>
        <w:rPr>
          <w:rFonts w:ascii="Arial" w:hAnsi="Arial" w:cs="Arial"/>
          <w:b/>
        </w:rPr>
        <w:t xml:space="preserve"> Tupanciretã/RS,</w:t>
      </w:r>
      <w:r>
        <w:rPr>
          <w:rFonts w:hint="default" w:ascii="Arial" w:hAnsi="Arial" w:cs="Arial"/>
          <w:b/>
          <w:lang w:val="pt-BR"/>
        </w:rPr>
        <w:t xml:space="preserve"> 1º de dezembro de 2023</w:t>
      </w:r>
    </w:p>
    <w:p>
      <w:pPr>
        <w:spacing w:line="23" w:lineRule="atLeast"/>
        <w:jc w:val="center"/>
        <w:rPr>
          <w:rFonts w:hint="default" w:ascii="Arial" w:hAnsi="Arial" w:cs="Arial"/>
          <w:lang w:val="pt-BR"/>
        </w:rPr>
      </w:pPr>
    </w:p>
    <w:p>
      <w:pPr>
        <w:spacing w:line="23" w:lineRule="atLeast"/>
        <w:jc w:val="center"/>
        <w:rPr>
          <w:rFonts w:hint="default" w:ascii="Arial" w:hAnsi="Arial" w:cs="Arial"/>
          <w:lang w:val="pt-BR"/>
        </w:rPr>
      </w:pPr>
    </w:p>
    <w:p>
      <w:pPr>
        <w:spacing w:line="23" w:lineRule="atLeast"/>
        <w:jc w:val="center"/>
        <w:rPr>
          <w:rFonts w:hint="default" w:ascii="Arial" w:hAnsi="Arial" w:cs="Arial"/>
          <w:lang w:val="pt-BR"/>
        </w:rPr>
      </w:pPr>
    </w:p>
    <w:p>
      <w:pPr>
        <w:spacing w:line="23" w:lineRule="atLeast"/>
        <w:jc w:val="center"/>
        <w:rPr>
          <w:rFonts w:hint="default" w:ascii="Arial" w:hAnsi="Arial" w:cs="Arial"/>
          <w:lang w:val="pt-BR"/>
        </w:rPr>
      </w:pPr>
    </w:p>
    <w:p>
      <w:pPr>
        <w:spacing w:line="23" w:lineRule="atLeast"/>
        <w:jc w:val="center"/>
        <w:rPr>
          <w:rFonts w:hint="default" w:ascii="Arial" w:hAnsi="Arial" w:cs="Arial"/>
          <w:lang w:val="pt-BR"/>
        </w:rPr>
      </w:pPr>
    </w:p>
    <w:p>
      <w:pPr>
        <w:spacing w:line="23" w:lineRule="atLeast"/>
        <w:ind w:firstLine="3720" w:firstLineChars="1550"/>
        <w:jc w:val="both"/>
        <w:rPr>
          <w:rFonts w:hint="default" w:ascii="Arial" w:hAnsi="Arial" w:cs="Arial"/>
          <w:lang w:val="pt-BR"/>
        </w:rPr>
      </w:pPr>
    </w:p>
    <w:tbl>
      <w:tblPr>
        <w:tblStyle w:val="29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25"/>
        <w:gridCol w:w="50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auto" w:sz="4" w:space="0"/>
            </w:tcBorders>
          </w:tcPr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b w:val="0"/>
                <w:bCs/>
                <w:lang w:val="pt-BR"/>
              </w:rPr>
              <w:t>Rosani Taschetto Didone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Secretária Municipal de Educação, Cultura, Turismo, Esporte e Lazer</w:t>
            </w:r>
          </w:p>
          <w:p>
            <w:pPr>
              <w:bidi w:val="0"/>
              <w:spacing w:after="0" w:line="240" w:lineRule="auto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 xml:space="preserve">Matrícula n° </w:t>
            </w:r>
            <w:r>
              <w:rPr>
                <w:rFonts w:hint="default"/>
                <w:lang w:val="pt-BR"/>
              </w:rPr>
              <w:t>7061-0</w:t>
            </w:r>
          </w:p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96" w:type="dxa"/>
            <w:tcBorders>
              <w:top w:val="single" w:color="auto" w:sz="4" w:space="0"/>
            </w:tcBorders>
          </w:tcPr>
          <w:p>
            <w:pPr>
              <w:ind w:firstLine="1320" w:firstLineChars="550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Andrei Cardoso</w:t>
            </w:r>
          </w:p>
          <w:p>
            <w:pPr>
              <w:bidi w:val="0"/>
              <w:spacing w:after="0" w:line="240" w:lineRule="auto"/>
              <w:ind w:firstLine="1320" w:firstLineChars="550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Coordenador</w:t>
            </w:r>
          </w:p>
          <w:p>
            <w:pPr>
              <w:ind w:firstLine="1200" w:firstLineChars="500"/>
              <w:jc w:val="both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Matrícula n° 3029-5</w:t>
            </w:r>
          </w:p>
        </w:tc>
      </w:tr>
    </w:tbl>
    <w:p>
      <w:pPr>
        <w:spacing w:line="23" w:lineRule="atLeast"/>
        <w:ind w:firstLine="3720" w:firstLineChars="1550"/>
        <w:jc w:val="both"/>
        <w:rPr>
          <w:rFonts w:hint="default" w:ascii="Arial" w:hAnsi="Arial" w:cs="Arial"/>
          <w:lang w:val="pt-BR"/>
        </w:rPr>
      </w:pPr>
    </w:p>
    <w:sectPr>
      <w:headerReference r:id="rId3" w:type="default"/>
      <w:footerReference r:id="rId4" w:type="default"/>
      <w:pgSz w:w="11906" w:h="16838"/>
      <w:pgMar w:top="850" w:right="850" w:bottom="850" w:left="850" w:header="850" w:footer="85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AMGD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4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4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1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4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4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45"/>
        <w:rFonts w:ascii="Century Gothic" w:hAnsi="Century Gothic" w:cs="Century Gothic"/>
        <w:sz w:val="18"/>
        <w:szCs w:val="18"/>
      </w:rPr>
      <w:t>www.tupancireta.rs.gov.br</w:t>
    </w:r>
    <w:r>
      <w:rPr>
        <w:rStyle w:val="45"/>
        <w:rFonts w:ascii="Century Gothic" w:hAnsi="Century Gothic" w:cs="Century Gothic"/>
        <w:sz w:val="18"/>
        <w:szCs w:val="18"/>
      </w:rPr>
      <w:fldChar w:fldCharType="end"/>
    </w:r>
    <w:r>
      <w:rPr>
        <w:rStyle w:val="45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45"/>
        <w:rFonts w:ascii="Century Gothic" w:hAnsi="Century Gothic" w:cs="Century Gothic"/>
        <w:sz w:val="18"/>
        <w:szCs w:val="18"/>
      </w:rPr>
      <w:t>juridico@tupancireta.rs.gov.br</w:t>
    </w:r>
    <w:r>
      <w:rPr>
        <w:rStyle w:val="45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center"/>
    </w:pPr>
    <w:r>
      <w:rPr>
        <w:lang w:eastAsia="pt-BR"/>
      </w:rP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1" t="-62" r="-71" b="-62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3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>
    <w:pPr>
      <w:pStyle w:val="23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Poder Executivo Municipal</w:t>
    </w:r>
  </w:p>
  <w:p>
    <w:pPr>
      <w:pStyle w:val="23"/>
      <w:pBdr>
        <w:bottom w:val="single" w:color="000000" w:sz="12" w:space="1"/>
      </w:pBdr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Procuradoria Jurídica</w:t>
    </w:r>
  </w:p>
  <w:p>
    <w:pPr>
      <w:pStyle w:val="23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9C8C47"/>
    <w:multiLevelType w:val="singleLevel"/>
    <w:tmpl w:val="CC9C8C47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0A"/>
    <w:rsid w:val="00013B3B"/>
    <w:rsid w:val="00033322"/>
    <w:rsid w:val="000503ED"/>
    <w:rsid w:val="00051C70"/>
    <w:rsid w:val="00052534"/>
    <w:rsid w:val="0006047E"/>
    <w:rsid w:val="0011522C"/>
    <w:rsid w:val="0011530A"/>
    <w:rsid w:val="00116552"/>
    <w:rsid w:val="0012269A"/>
    <w:rsid w:val="001546E3"/>
    <w:rsid w:val="001B2DDC"/>
    <w:rsid w:val="001B4002"/>
    <w:rsid w:val="002114E4"/>
    <w:rsid w:val="0024506C"/>
    <w:rsid w:val="002665E8"/>
    <w:rsid w:val="00307ABE"/>
    <w:rsid w:val="00311FCE"/>
    <w:rsid w:val="0037119F"/>
    <w:rsid w:val="00372388"/>
    <w:rsid w:val="003C552C"/>
    <w:rsid w:val="003E6108"/>
    <w:rsid w:val="003F567A"/>
    <w:rsid w:val="00407CF2"/>
    <w:rsid w:val="00445756"/>
    <w:rsid w:val="004C34EA"/>
    <w:rsid w:val="004D7528"/>
    <w:rsid w:val="00511CAE"/>
    <w:rsid w:val="00554A35"/>
    <w:rsid w:val="0058071A"/>
    <w:rsid w:val="00592E99"/>
    <w:rsid w:val="005A7DAD"/>
    <w:rsid w:val="005D5ECB"/>
    <w:rsid w:val="00633E71"/>
    <w:rsid w:val="006630A0"/>
    <w:rsid w:val="00663688"/>
    <w:rsid w:val="00695150"/>
    <w:rsid w:val="0072146F"/>
    <w:rsid w:val="00742CF0"/>
    <w:rsid w:val="007B0AAC"/>
    <w:rsid w:val="007C35BA"/>
    <w:rsid w:val="00831BB8"/>
    <w:rsid w:val="00875BB0"/>
    <w:rsid w:val="0089612C"/>
    <w:rsid w:val="008B793E"/>
    <w:rsid w:val="008E6DDD"/>
    <w:rsid w:val="00944E93"/>
    <w:rsid w:val="00A0046B"/>
    <w:rsid w:val="00A223C7"/>
    <w:rsid w:val="00A2469E"/>
    <w:rsid w:val="00AD6B96"/>
    <w:rsid w:val="00B20884"/>
    <w:rsid w:val="00B521E9"/>
    <w:rsid w:val="00B7669C"/>
    <w:rsid w:val="00C3240B"/>
    <w:rsid w:val="00C444C9"/>
    <w:rsid w:val="00C71D73"/>
    <w:rsid w:val="00C76F5C"/>
    <w:rsid w:val="00D07257"/>
    <w:rsid w:val="00D326D8"/>
    <w:rsid w:val="00D50631"/>
    <w:rsid w:val="00DD0433"/>
    <w:rsid w:val="00DF17DB"/>
    <w:rsid w:val="00E20127"/>
    <w:rsid w:val="00E2196B"/>
    <w:rsid w:val="00E42EFC"/>
    <w:rsid w:val="00E450A1"/>
    <w:rsid w:val="00E5679E"/>
    <w:rsid w:val="00E6453C"/>
    <w:rsid w:val="00E67002"/>
    <w:rsid w:val="00E863FD"/>
    <w:rsid w:val="00ED366C"/>
    <w:rsid w:val="00EF642F"/>
    <w:rsid w:val="00F37383"/>
    <w:rsid w:val="00F43128"/>
    <w:rsid w:val="00F51F99"/>
    <w:rsid w:val="00F57318"/>
    <w:rsid w:val="00F7308F"/>
    <w:rsid w:val="00FC3683"/>
    <w:rsid w:val="00FD054A"/>
    <w:rsid w:val="00FD17EC"/>
    <w:rsid w:val="00FD20BC"/>
    <w:rsid w:val="00FD6600"/>
    <w:rsid w:val="01303AC5"/>
    <w:rsid w:val="01B91EE5"/>
    <w:rsid w:val="07B05D89"/>
    <w:rsid w:val="08F2668D"/>
    <w:rsid w:val="09773BFA"/>
    <w:rsid w:val="0B4C37F4"/>
    <w:rsid w:val="0B8A58F1"/>
    <w:rsid w:val="0BFE57A8"/>
    <w:rsid w:val="13021765"/>
    <w:rsid w:val="160F7630"/>
    <w:rsid w:val="173D61DE"/>
    <w:rsid w:val="1A081CE0"/>
    <w:rsid w:val="1B8D3716"/>
    <w:rsid w:val="23E57A18"/>
    <w:rsid w:val="27674D14"/>
    <w:rsid w:val="27ED6180"/>
    <w:rsid w:val="29066761"/>
    <w:rsid w:val="35765F5B"/>
    <w:rsid w:val="35F001DB"/>
    <w:rsid w:val="3A0A0D7C"/>
    <w:rsid w:val="3D0D154D"/>
    <w:rsid w:val="3EF3492E"/>
    <w:rsid w:val="4000052B"/>
    <w:rsid w:val="40BF420F"/>
    <w:rsid w:val="425B648B"/>
    <w:rsid w:val="43973815"/>
    <w:rsid w:val="441450C8"/>
    <w:rsid w:val="46B30723"/>
    <w:rsid w:val="470E3078"/>
    <w:rsid w:val="4D93559C"/>
    <w:rsid w:val="4E495657"/>
    <w:rsid w:val="52E06CC1"/>
    <w:rsid w:val="53695C0D"/>
    <w:rsid w:val="54250DF1"/>
    <w:rsid w:val="57F146A5"/>
    <w:rsid w:val="582E57DE"/>
    <w:rsid w:val="58D67985"/>
    <w:rsid w:val="59D34348"/>
    <w:rsid w:val="5AEC4110"/>
    <w:rsid w:val="5B1748D4"/>
    <w:rsid w:val="5DC818D1"/>
    <w:rsid w:val="5E0E37E0"/>
    <w:rsid w:val="5F5C25AD"/>
    <w:rsid w:val="5F86095E"/>
    <w:rsid w:val="605773D2"/>
    <w:rsid w:val="62AC2121"/>
    <w:rsid w:val="62F615EE"/>
    <w:rsid w:val="631E5A90"/>
    <w:rsid w:val="64E63914"/>
    <w:rsid w:val="68C62C5D"/>
    <w:rsid w:val="6AD4393A"/>
    <w:rsid w:val="6D752EB2"/>
    <w:rsid w:val="74755542"/>
    <w:rsid w:val="761B7A50"/>
    <w:rsid w:val="77823C71"/>
    <w:rsid w:val="778C39B1"/>
    <w:rsid w:val="7B556765"/>
    <w:rsid w:val="7BFE3D20"/>
    <w:rsid w:val="7F29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page number"/>
    <w:basedOn w:val="11"/>
    <w:qFormat/>
    <w:uiPriority w:val="0"/>
  </w:style>
  <w:style w:type="paragraph" w:styleId="16">
    <w:name w:val="List"/>
    <w:basedOn w:val="17"/>
    <w:qFormat/>
    <w:uiPriority w:val="0"/>
    <w:rPr>
      <w:rFonts w:cs="Mangal"/>
    </w:rPr>
  </w:style>
  <w:style w:type="paragraph" w:styleId="17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8">
    <w:name w:val="Body Text Indent 2"/>
    <w:basedOn w:val="1"/>
    <w:qFormat/>
    <w:uiPriority w:val="0"/>
    <w:pPr>
      <w:ind w:firstLine="2340"/>
      <w:jc w:val="both"/>
    </w:pPr>
  </w:style>
  <w:style w:type="paragraph" w:styleId="19">
    <w:name w:val="Title"/>
    <w:basedOn w:val="1"/>
    <w:next w:val="17"/>
    <w:qFormat/>
    <w:uiPriority w:val="10"/>
    <w:pPr>
      <w:jc w:val="center"/>
    </w:pPr>
    <w:rPr>
      <w:b/>
      <w:sz w:val="20"/>
      <w:szCs w:val="20"/>
    </w:rPr>
  </w:style>
  <w:style w:type="paragraph" w:styleId="20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/>
    </w:pPr>
    <w:rPr>
      <w:lang w:eastAsia="pt-BR"/>
    </w:rPr>
  </w:style>
  <w:style w:type="paragraph" w:styleId="21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2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3">
    <w:name w:val="header"/>
    <w:basedOn w:val="1"/>
    <w:qFormat/>
    <w:uiPriority w:val="0"/>
    <w:rPr>
      <w:sz w:val="20"/>
      <w:szCs w:val="20"/>
    </w:rPr>
  </w:style>
  <w:style w:type="paragraph" w:styleId="24">
    <w:name w:val="footer"/>
    <w:basedOn w:val="1"/>
    <w:qFormat/>
    <w:uiPriority w:val="0"/>
    <w:rPr>
      <w:sz w:val="20"/>
      <w:szCs w:val="20"/>
    </w:rPr>
  </w:style>
  <w:style w:type="paragraph" w:styleId="25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6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7">
    <w:name w:val="footnote text"/>
    <w:basedOn w:val="1"/>
    <w:qFormat/>
    <w:uiPriority w:val="0"/>
    <w:rPr>
      <w:sz w:val="20"/>
      <w:szCs w:val="20"/>
    </w:rPr>
  </w:style>
  <w:style w:type="paragraph" w:styleId="28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29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0">
    <w:name w:val="WW8Num1z0"/>
    <w:qFormat/>
    <w:uiPriority w:val="0"/>
  </w:style>
  <w:style w:type="character" w:customStyle="1" w:styleId="31">
    <w:name w:val="WW8Num1z1"/>
    <w:qFormat/>
    <w:uiPriority w:val="0"/>
  </w:style>
  <w:style w:type="character" w:customStyle="1" w:styleId="32">
    <w:name w:val="WW8Num1z2"/>
    <w:qFormat/>
    <w:uiPriority w:val="0"/>
  </w:style>
  <w:style w:type="character" w:customStyle="1" w:styleId="33">
    <w:name w:val="WW8Num1z3"/>
    <w:qFormat/>
    <w:uiPriority w:val="0"/>
  </w:style>
  <w:style w:type="character" w:customStyle="1" w:styleId="34">
    <w:name w:val="WW8Num1z4"/>
    <w:qFormat/>
    <w:uiPriority w:val="0"/>
  </w:style>
  <w:style w:type="character" w:customStyle="1" w:styleId="35">
    <w:name w:val="WW8Num1z5"/>
    <w:qFormat/>
    <w:uiPriority w:val="0"/>
  </w:style>
  <w:style w:type="character" w:customStyle="1" w:styleId="36">
    <w:name w:val="WW8Num1z6"/>
    <w:qFormat/>
    <w:uiPriority w:val="0"/>
  </w:style>
  <w:style w:type="character" w:customStyle="1" w:styleId="37">
    <w:name w:val="WW8Num1z7"/>
    <w:qFormat/>
    <w:uiPriority w:val="0"/>
  </w:style>
  <w:style w:type="character" w:customStyle="1" w:styleId="38">
    <w:name w:val="WW8Num1z8"/>
    <w:qFormat/>
    <w:uiPriority w:val="0"/>
  </w:style>
  <w:style w:type="character" w:customStyle="1" w:styleId="39">
    <w:name w:val="WW8Num2z0"/>
    <w:qFormat/>
    <w:uiPriority w:val="0"/>
  </w:style>
  <w:style w:type="character" w:customStyle="1" w:styleId="40">
    <w:name w:val="WW8Num3z0"/>
    <w:qFormat/>
    <w:uiPriority w:val="0"/>
  </w:style>
  <w:style w:type="character" w:customStyle="1" w:styleId="41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2">
    <w:name w:val="Cabeçalho Char"/>
    <w:basedOn w:val="11"/>
    <w:qFormat/>
    <w:uiPriority w:val="0"/>
  </w:style>
  <w:style w:type="character" w:customStyle="1" w:styleId="43">
    <w:name w:val="Ênfase forte"/>
    <w:qFormat/>
    <w:uiPriority w:val="0"/>
    <w:rPr>
      <w:b/>
      <w:bCs/>
    </w:rPr>
  </w:style>
  <w:style w:type="character" w:customStyle="1" w:styleId="44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5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46">
    <w:name w:val="Texto de nota de rodapé Char"/>
    <w:basedOn w:val="11"/>
    <w:qFormat/>
    <w:uiPriority w:val="0"/>
  </w:style>
  <w:style w:type="character" w:customStyle="1" w:styleId="47">
    <w:name w:val="Caracteres de nota de rodapé"/>
    <w:qFormat/>
    <w:uiPriority w:val="0"/>
    <w:rPr>
      <w:vertAlign w:val="superscript"/>
    </w:rPr>
  </w:style>
  <w:style w:type="character" w:customStyle="1" w:styleId="48">
    <w:name w:val="Rodapé Char"/>
    <w:basedOn w:val="11"/>
    <w:qFormat/>
    <w:uiPriority w:val="0"/>
  </w:style>
  <w:style w:type="character" w:customStyle="1" w:styleId="49">
    <w:name w:val="ListLabel 1"/>
    <w:qFormat/>
    <w:uiPriority w:val="0"/>
    <w:rPr>
      <w:rFonts w:ascii="Arial" w:hAnsi="Arial" w:cs="Arial"/>
      <w:sz w:val="20"/>
      <w:szCs w:val="20"/>
    </w:rPr>
  </w:style>
  <w:style w:type="character" w:customStyle="1" w:styleId="50">
    <w:name w:val="ListLabel 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1">
    <w:name w:val="ListLabel 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2">
    <w:name w:val="ListLabel 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3">
    <w:name w:val="Link da internet visitado"/>
    <w:qFormat/>
    <w:uiPriority w:val="0"/>
    <w:rPr>
      <w:color w:val="800000"/>
      <w:u w:val="single"/>
    </w:rPr>
  </w:style>
  <w:style w:type="character" w:customStyle="1" w:styleId="54">
    <w:name w:val="Âncora da nota de rodapé"/>
    <w:qFormat/>
    <w:uiPriority w:val="0"/>
    <w:rPr>
      <w:vertAlign w:val="superscript"/>
    </w:rPr>
  </w:style>
  <w:style w:type="character" w:customStyle="1" w:styleId="55">
    <w:name w:val="Âncora da nota de fim"/>
    <w:qFormat/>
    <w:uiPriority w:val="0"/>
    <w:rPr>
      <w:vertAlign w:val="superscript"/>
    </w:rPr>
  </w:style>
  <w:style w:type="character" w:customStyle="1" w:styleId="56">
    <w:name w:val="Caracteres de nota de fim"/>
    <w:qFormat/>
    <w:uiPriority w:val="0"/>
  </w:style>
  <w:style w:type="character" w:customStyle="1" w:styleId="57">
    <w:name w:val="ListLabel 6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58">
    <w:name w:val="ListLabel 7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59">
    <w:name w:val="ListLabel 8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0">
    <w:name w:val="ListLabel 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1">
    <w:name w:val="ListLabel 10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62">
    <w:name w:val="ListLabel 11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3">
    <w:name w:val="ListLabel 12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4">
    <w:name w:val="ListLabel 1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5">
    <w:name w:val="ListLabel 1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6">
    <w:name w:val="ListLabel 1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7">
    <w:name w:val="ListLabel 1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8">
    <w:name w:val="ListLabel 1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9">
    <w:name w:val="Footnote Characters"/>
    <w:qFormat/>
    <w:uiPriority w:val="0"/>
    <w:rPr>
      <w:vertAlign w:val="superscript"/>
    </w:rPr>
  </w:style>
  <w:style w:type="character" w:customStyle="1" w:styleId="70">
    <w:name w:val="WW-Ref. de nota de rodapé1"/>
    <w:qFormat/>
    <w:uiPriority w:val="0"/>
    <w:rPr>
      <w:vertAlign w:val="superscript"/>
    </w:rPr>
  </w:style>
  <w:style w:type="character" w:customStyle="1" w:styleId="71">
    <w:name w:val="ListLabel 1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2">
    <w:name w:val="ListLabel 1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3">
    <w:name w:val="ListLabel 2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4">
    <w:name w:val="ListLabel 2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5">
    <w:name w:val="ListLabel 2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6">
    <w:name w:val="ListLabel 2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7">
    <w:name w:val="ListLabel 2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8">
    <w:name w:val="ListLabel 2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9">
    <w:name w:val="ListLabel 2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0">
    <w:name w:val="ListLabel 2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1">
    <w:name w:val="ListLabel 2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2">
    <w:name w:val="ListLabel 2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3">
    <w:name w:val="ListLabel 3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4">
    <w:name w:val="ListLabel 3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5">
    <w:name w:val="ListLabel 3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6">
    <w:name w:val="ListLabel 3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7">
    <w:name w:val="ListLabel 3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8">
    <w:name w:val="ListLabel 3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9">
    <w:name w:val="ListLabel 3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0">
    <w:name w:val="ListLabel 3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1">
    <w:name w:val="ListLabel 38"/>
    <w:qFormat/>
    <w:uiPriority w:val="0"/>
    <w:rPr>
      <w:rFonts w:ascii="Arial" w:hAnsi="Arial" w:eastAsia="Times New Roman" w:cs="Arial"/>
    </w:rPr>
  </w:style>
  <w:style w:type="character" w:customStyle="1" w:styleId="92">
    <w:name w:val="ListLabel 39"/>
    <w:qFormat/>
    <w:uiPriority w:val="0"/>
    <w:rPr>
      <w:rFonts w:cs="Courier New"/>
    </w:rPr>
  </w:style>
  <w:style w:type="character" w:customStyle="1" w:styleId="93">
    <w:name w:val="ListLabel 40"/>
    <w:qFormat/>
    <w:uiPriority w:val="0"/>
    <w:rPr>
      <w:rFonts w:cs="Courier New"/>
    </w:rPr>
  </w:style>
  <w:style w:type="character" w:customStyle="1" w:styleId="94">
    <w:name w:val="ListLabel 41"/>
    <w:qFormat/>
    <w:uiPriority w:val="0"/>
    <w:rPr>
      <w:rFonts w:cs="Courier New"/>
    </w:rPr>
  </w:style>
  <w:style w:type="character" w:customStyle="1" w:styleId="95">
    <w:name w:val="ListLabel 4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6">
    <w:name w:val="ListLabel 43"/>
    <w:qFormat/>
    <w:uiPriority w:val="0"/>
    <w:rPr>
      <w:rFonts w:cs="Arial"/>
    </w:rPr>
  </w:style>
  <w:style w:type="character" w:customStyle="1" w:styleId="97">
    <w:name w:val="ListLabel 44"/>
    <w:qFormat/>
    <w:uiPriority w:val="0"/>
    <w:rPr>
      <w:rFonts w:cs="Courier New"/>
    </w:rPr>
  </w:style>
  <w:style w:type="character" w:customStyle="1" w:styleId="98">
    <w:name w:val="ListLabel 45"/>
    <w:qFormat/>
    <w:uiPriority w:val="0"/>
    <w:rPr>
      <w:rFonts w:cs="Wingdings"/>
    </w:rPr>
  </w:style>
  <w:style w:type="character" w:customStyle="1" w:styleId="99">
    <w:name w:val="ListLabel 46"/>
    <w:qFormat/>
    <w:uiPriority w:val="0"/>
    <w:rPr>
      <w:rFonts w:cs="Symbol"/>
    </w:rPr>
  </w:style>
  <w:style w:type="character" w:customStyle="1" w:styleId="100">
    <w:name w:val="ListLabel 47"/>
    <w:qFormat/>
    <w:uiPriority w:val="0"/>
    <w:rPr>
      <w:rFonts w:cs="Courier New"/>
    </w:rPr>
  </w:style>
  <w:style w:type="character" w:customStyle="1" w:styleId="101">
    <w:name w:val="ListLabel 48"/>
    <w:qFormat/>
    <w:uiPriority w:val="0"/>
    <w:rPr>
      <w:rFonts w:cs="Wingdings"/>
    </w:rPr>
  </w:style>
  <w:style w:type="character" w:customStyle="1" w:styleId="102">
    <w:name w:val="ListLabel 49"/>
    <w:qFormat/>
    <w:uiPriority w:val="0"/>
    <w:rPr>
      <w:rFonts w:cs="Symbol"/>
    </w:rPr>
  </w:style>
  <w:style w:type="character" w:customStyle="1" w:styleId="103">
    <w:name w:val="ListLabel 50"/>
    <w:qFormat/>
    <w:uiPriority w:val="0"/>
    <w:rPr>
      <w:rFonts w:cs="Courier New"/>
    </w:rPr>
  </w:style>
  <w:style w:type="character" w:customStyle="1" w:styleId="104">
    <w:name w:val="ListLabel 51"/>
    <w:qFormat/>
    <w:uiPriority w:val="0"/>
    <w:rPr>
      <w:rFonts w:cs="Wingdings"/>
    </w:rPr>
  </w:style>
  <w:style w:type="character" w:customStyle="1" w:styleId="105">
    <w:name w:val="ListLabel 5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106">
    <w:name w:val="ListLabel 53"/>
    <w:qFormat/>
    <w:uiPriority w:val="0"/>
    <w:rPr>
      <w:rFonts w:cs="Arial"/>
    </w:rPr>
  </w:style>
  <w:style w:type="character" w:customStyle="1" w:styleId="107">
    <w:name w:val="ListLabel 54"/>
    <w:qFormat/>
    <w:uiPriority w:val="0"/>
    <w:rPr>
      <w:rFonts w:cs="Courier New"/>
    </w:rPr>
  </w:style>
  <w:style w:type="character" w:customStyle="1" w:styleId="108">
    <w:name w:val="ListLabel 55"/>
    <w:qFormat/>
    <w:uiPriority w:val="0"/>
    <w:rPr>
      <w:rFonts w:cs="Wingdings"/>
    </w:rPr>
  </w:style>
  <w:style w:type="character" w:customStyle="1" w:styleId="109">
    <w:name w:val="ListLabel 56"/>
    <w:qFormat/>
    <w:uiPriority w:val="0"/>
    <w:rPr>
      <w:rFonts w:cs="Symbol"/>
    </w:rPr>
  </w:style>
  <w:style w:type="character" w:customStyle="1" w:styleId="110">
    <w:name w:val="ListLabel 57"/>
    <w:qFormat/>
    <w:uiPriority w:val="0"/>
    <w:rPr>
      <w:rFonts w:cs="Courier New"/>
    </w:rPr>
  </w:style>
  <w:style w:type="character" w:customStyle="1" w:styleId="111">
    <w:name w:val="ListLabel 58"/>
    <w:qFormat/>
    <w:uiPriority w:val="0"/>
    <w:rPr>
      <w:rFonts w:cs="Wingdings"/>
    </w:rPr>
  </w:style>
  <w:style w:type="character" w:customStyle="1" w:styleId="112">
    <w:name w:val="ListLabel 59"/>
    <w:qFormat/>
    <w:uiPriority w:val="0"/>
    <w:rPr>
      <w:rFonts w:cs="Symbol"/>
    </w:rPr>
  </w:style>
  <w:style w:type="character" w:customStyle="1" w:styleId="113">
    <w:name w:val="ListLabel 60"/>
    <w:qFormat/>
    <w:uiPriority w:val="0"/>
    <w:rPr>
      <w:rFonts w:cs="Courier New"/>
    </w:rPr>
  </w:style>
  <w:style w:type="character" w:customStyle="1" w:styleId="114">
    <w:name w:val="ListLabel 61"/>
    <w:qFormat/>
    <w:uiPriority w:val="0"/>
    <w:rPr>
      <w:rFonts w:cs="Wingdings"/>
    </w:rPr>
  </w:style>
  <w:style w:type="character" w:customStyle="1" w:styleId="115">
    <w:name w:val="ListLabel 62"/>
    <w:qFormat/>
    <w:uiPriority w:val="0"/>
    <w:rPr>
      <w:rFonts w:ascii="Century Gothic" w:hAnsi="Century Gothic" w:cs="Century Gothic"/>
      <w:sz w:val="18"/>
      <w:szCs w:val="18"/>
    </w:rPr>
  </w:style>
  <w:style w:type="paragraph" w:customStyle="1" w:styleId="116">
    <w:name w:val="Título1"/>
    <w:basedOn w:val="1"/>
    <w:next w:val="17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7">
    <w:name w:val="Índice"/>
    <w:basedOn w:val="1"/>
    <w:qFormat/>
    <w:uiPriority w:val="0"/>
    <w:pPr>
      <w:suppressLineNumbers/>
    </w:pPr>
    <w:rPr>
      <w:rFonts w:cs="Mangal"/>
    </w:rPr>
  </w:style>
  <w:style w:type="paragraph" w:styleId="118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119">
    <w:name w:val="Conteúdo da tabela"/>
    <w:basedOn w:val="1"/>
    <w:qFormat/>
    <w:uiPriority w:val="0"/>
    <w:pPr>
      <w:suppressLineNumbers/>
    </w:pPr>
  </w:style>
  <w:style w:type="paragraph" w:customStyle="1" w:styleId="120">
    <w:name w:val="Título de tabela"/>
    <w:basedOn w:val="119"/>
    <w:qFormat/>
    <w:uiPriority w:val="0"/>
    <w:pPr>
      <w:jc w:val="center"/>
    </w:pPr>
    <w:rPr>
      <w:b/>
      <w:bCs/>
    </w:rPr>
  </w:style>
  <w:style w:type="paragraph" w:customStyle="1" w:styleId="121">
    <w:name w:val="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709"/>
      <w:jc w:val="both"/>
    </w:pPr>
  </w:style>
  <w:style w:type="paragraph" w:customStyle="1" w:styleId="122">
    <w:name w:val="WW-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1134"/>
      <w:jc w:val="both"/>
    </w:pPr>
  </w:style>
  <w:style w:type="paragraph" w:customStyle="1" w:styleId="123">
    <w:name w:val="Standard"/>
    <w:qFormat/>
    <w:uiPriority w:val="0"/>
    <w:pPr>
      <w:suppressAutoHyphens/>
      <w:textAlignment w:val="baseline"/>
    </w:pPr>
    <w:rPr>
      <w:rFonts w:ascii="Times New Roman" w:hAnsi="Times New Roman" w:eastAsia="Times New Roman" w:cs="Times New Roman"/>
      <w:kern w:val="2"/>
      <w:sz w:val="24"/>
      <w:szCs w:val="24"/>
      <w:lang w:val="pt-BR" w:eastAsia="zh-CN" w:bidi="ar-SA"/>
    </w:rPr>
  </w:style>
  <w:style w:type="paragraph" w:styleId="124">
    <w:name w:val="List Paragraph"/>
    <w:basedOn w:val="1"/>
    <w:qFormat/>
    <w:uiPriority w:val="34"/>
    <w:pPr>
      <w:ind w:left="720"/>
      <w:contextualSpacing/>
    </w:pPr>
  </w:style>
  <w:style w:type="character" w:customStyle="1" w:styleId="125">
    <w:name w:val="apple-tab-span"/>
    <w:basedOn w:val="11"/>
    <w:qFormat/>
    <w:uiPriority w:val="0"/>
  </w:style>
  <w:style w:type="paragraph" w:customStyle="1" w:styleId="126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839</Words>
  <Characters>4535</Characters>
  <Lines>37</Lines>
  <Paragraphs>10</Paragraphs>
  <TotalTime>289</TotalTime>
  <ScaleCrop>false</ScaleCrop>
  <LinksUpToDate>false</LinksUpToDate>
  <CharactersWithSpaces>5364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2023-03-21T14:39:00Z</dcterms:created>
  <dc:creator>Liaisson Wilhelm</dc:creator>
  <cp:lastModifiedBy>Andrei Cardoso</cp:lastModifiedBy>
  <cp:lastPrinted>2022-11-16T12:19:00Z</cp:lastPrinted>
  <dcterms:modified xsi:type="dcterms:W3CDTF">2023-12-01T13:35:39Z</dcterms:modified>
  <dc:title>Tupanciretã, 10 de março de 2004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1046-12.2.0.13215</vt:lpwstr>
  </property>
  <property fmtid="{D5CDD505-2E9C-101B-9397-08002B2CF9AE}" pid="9" name="ICV">
    <vt:lpwstr>11F04B810DD94F6AB82ACE2AE399044D_13</vt:lpwstr>
  </property>
</Properties>
</file>