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pt-BR"/>
        </w:rPr>
      </w:pPr>
      <w:bookmarkStart w:id="0" w:name="_GoBack"/>
      <w:bookmarkEnd w:id="0"/>
    </w:p>
    <w:p>
      <w:pPr>
        <w:jc w:val="center"/>
        <w:rPr>
          <w:rFonts w:hint="default"/>
          <w:sz w:val="28"/>
          <w:szCs w:val="28"/>
          <w:lang w:val="pt-BR"/>
        </w:rPr>
      </w:pPr>
      <w:r>
        <w:rPr>
          <w:rFonts w:ascii="Times New Roman" w:hAnsi="Times New Roman" w:eastAsia="Times New Roman" w:cs="Times New Roman"/>
          <w:b/>
          <w:sz w:val="28"/>
          <w:u w:val="none"/>
          <w:lang w:val="pt-BR" w:eastAsia="pt-BR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747395</wp:posOffset>
            </wp:positionH>
            <wp:positionV relativeFrom="paragraph">
              <wp:posOffset>149225</wp:posOffset>
            </wp:positionV>
            <wp:extent cx="667385" cy="742950"/>
            <wp:effectExtent l="0" t="0" r="18415" b="0"/>
            <wp:wrapNone/>
            <wp:docPr id="2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uppressAutoHyphens/>
        <w:jc w:val="center"/>
        <w:rPr>
          <w:rFonts w:ascii="Century Gothic" w:hAnsi="Century Gothic" w:eastAsia="Times New Roman" w:cs="Times New Roman"/>
          <w:b/>
          <w:bCs/>
          <w:sz w:val="18"/>
          <w:szCs w:val="18"/>
          <w:u w:val="none"/>
          <w:lang w:val="pt-BR" w:eastAsia="pt-BR" w:bidi="ar-SA"/>
        </w:rPr>
      </w:pPr>
      <w:r>
        <w:rPr>
          <w:rFonts w:ascii="Century Gothic" w:hAnsi="Century Gothic" w:eastAsia="Times New Roman" w:cs="Times New Roman"/>
          <w:b/>
          <w:bCs/>
          <w:sz w:val="18"/>
          <w:szCs w:val="18"/>
          <w:u w:val="none"/>
          <w:lang w:val="pt-BR" w:eastAsia="pt-BR" w:bidi="ar-SA"/>
        </w:rPr>
        <w:t>ESTADO DO RIO GRANDE DO SUL</w:t>
      </w:r>
    </w:p>
    <w:p>
      <w:pPr>
        <w:keepNext/>
        <w:suppressAutoHyphens/>
        <w:jc w:val="center"/>
        <w:outlineLvl w:val="0"/>
        <w:rPr>
          <w:rFonts w:ascii="Century Gothic" w:hAnsi="Century Gothic" w:eastAsia="Times New Roman" w:cs="Tahoma"/>
          <w:b/>
          <w:bCs/>
          <w:i w:val="0"/>
          <w:iCs w:val="0"/>
          <w:sz w:val="18"/>
          <w:szCs w:val="18"/>
          <w:u w:val="none"/>
          <w:lang w:val="pt-BR" w:eastAsia="pt-BR" w:bidi="ar-SA"/>
        </w:rPr>
      </w:pPr>
      <w:r>
        <w:rPr>
          <w:rFonts w:hint="default" w:ascii="Century Gothic" w:hAnsi="Century Gothic" w:eastAsia="Times New Roman" w:cs="Tahoma"/>
          <w:b/>
          <w:bCs/>
          <w:sz w:val="18"/>
          <w:szCs w:val="18"/>
          <w:u w:val="none"/>
          <w:lang w:val="en-US" w:eastAsia="pt-BR" w:bidi="ar-SA"/>
        </w:rPr>
        <w:t xml:space="preserve">   </w:t>
      </w:r>
      <w:r>
        <w:rPr>
          <w:rFonts w:ascii="Century Gothic" w:hAnsi="Century Gothic" w:eastAsia="Times New Roman" w:cs="Tahoma"/>
          <w:b/>
          <w:bCs/>
          <w:sz w:val="18"/>
          <w:szCs w:val="18"/>
          <w:u w:val="none"/>
          <w:lang w:val="pt-BR" w:eastAsia="pt-BR" w:bidi="ar-SA"/>
        </w:rPr>
        <w:t>PREFEITURA MUNICIPAL DE TUPANCIRETÃ</w:t>
      </w:r>
    </w:p>
    <w:p>
      <w:pPr>
        <w:jc w:val="center"/>
        <w:rPr>
          <w:rFonts w:ascii="Century Gothic" w:hAnsi="Century Gothic" w:eastAsia="Times New Roman" w:cs="Times New Roman"/>
          <w:sz w:val="18"/>
          <w:szCs w:val="18"/>
          <w:u w:val="none"/>
          <w:lang w:val="pt-BR" w:eastAsia="pt-BR"/>
        </w:rPr>
      </w:pPr>
      <w:r>
        <w:rPr>
          <w:rFonts w:ascii="Century Gothic" w:hAnsi="Century Gothic" w:eastAsia="Times New Roman" w:cs="Times New Roman"/>
          <w:sz w:val="18"/>
          <w:szCs w:val="18"/>
          <w:u w:val="none"/>
          <w:lang w:val="pt-BR" w:eastAsia="pt-BR"/>
        </w:rPr>
        <w:t>SECRETARIA MUNICIPAL DE EDUCAÇÃO</w:t>
      </w: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JUSTIFICATIVA PARA A AUSÊNCIA DE ESTUDO TÉCNICO PRELIMINAR E ANÁLISE DE RISCOS.</w:t>
      </w: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 xml:space="preserve">Com base no art.72,inciso I, da lei nº 14.133/2021,que confere discriscionariedade à Administração para elaboração do Estudo Técnico Preliminar e da Análise de Risco, entende-se, para os fins dos presentes autos, que a menor complexidade do objeto e o pequeno valor torna prescindível a necessidade de elaboração destes documentos (art.75,inc.I e II da lei 14.133/21). 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De toda a forma, as informações necessárias e suficientes capazes de demonstrar o interesse público, provendo a devida segurança transacional, estão registadas nos documentos que compõe a instrução processual.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Portanto torna-se dispensável o Estudo Técnico Preliminar e o Mapa de Risco.</w:t>
      </w: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right"/>
        <w:rPr>
          <w:rFonts w:ascii="Arial" w:hAnsi="Arial" w:cs="Arial"/>
          <w:color w:val="auto"/>
        </w:rPr>
      </w:pP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6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4"/>
        <w:gridCol w:w="377"/>
        <w:gridCol w:w="45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auto" w:sz="4" w:space="0"/>
            </w:tcBorders>
          </w:tcPr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b w:val="0"/>
                <w:bCs/>
                <w:sz w:val="24"/>
                <w:szCs w:val="24"/>
                <w:lang w:val="pt-BR"/>
              </w:rPr>
              <w:t>Rosani Taschetto Didone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Secretária Municipal de Educação, Cultura, Turismo, Esporte e Lazer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 xml:space="preserve">Matrícula n° </w:t>
            </w:r>
            <w:r>
              <w:rPr>
                <w:rFonts w:hint="default"/>
                <w:sz w:val="24"/>
                <w:szCs w:val="24"/>
                <w:lang w:val="pt-BR"/>
              </w:rPr>
              <w:t>7061-0</w:t>
            </w:r>
          </w:p>
          <w:p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6" w:type="dxa"/>
            <w:tcBorders>
              <w:top w:val="single" w:color="auto" w:sz="4" w:space="0"/>
            </w:tcBorders>
          </w:tcPr>
          <w:p>
            <w:pPr>
              <w:ind w:firstLine="1320" w:firstLineChars="550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Andrei Cardoso</w:t>
            </w:r>
          </w:p>
          <w:p>
            <w:pPr>
              <w:bidi w:val="0"/>
              <w:spacing w:after="0" w:line="240" w:lineRule="auto"/>
              <w:ind w:firstLine="1320" w:firstLineChars="550"/>
              <w:jc w:val="both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Coordenador</w:t>
            </w:r>
          </w:p>
          <w:p>
            <w:pPr>
              <w:ind w:firstLine="1200" w:firstLineChars="500"/>
              <w:jc w:val="both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Matrícula n° 3029-5</w:t>
            </w:r>
          </w:p>
        </w:tc>
      </w:tr>
    </w:tbl>
    <w:p>
      <w:pPr>
        <w:ind w:left="185"/>
        <w:jc w:val="center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</w:p>
    <w:p>
      <w:pPr>
        <w:jc w:val="both"/>
        <w:rPr>
          <w:rFonts w:hint="default"/>
          <w:sz w:val="28"/>
          <w:szCs w:val="28"/>
          <w:lang w:val="pt-BR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D36DF6"/>
    <w:rsid w:val="01E6207A"/>
    <w:rsid w:val="052C1863"/>
    <w:rsid w:val="0FAD4335"/>
    <w:rsid w:val="14CC6BFB"/>
    <w:rsid w:val="16D36DF6"/>
    <w:rsid w:val="2F2A2E56"/>
    <w:rsid w:val="44265490"/>
    <w:rsid w:val="457C68F9"/>
    <w:rsid w:val="57D93C2F"/>
    <w:rsid w:val="7509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rPr>
      <w:sz w:val="20"/>
      <w:szCs w:val="20"/>
    </w:rPr>
  </w:style>
  <w:style w:type="paragraph" w:styleId="5">
    <w:name w:val="footer"/>
    <w:basedOn w:val="1"/>
    <w:qFormat/>
    <w:uiPriority w:val="0"/>
    <w:rPr>
      <w:sz w:val="20"/>
      <w:szCs w:val="20"/>
    </w:rPr>
  </w:style>
  <w:style w:type="table" w:styleId="6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Link da Internet"/>
    <w:basedOn w:val="2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1198</TotalTime>
  <ScaleCrop>false</ScaleCrop>
  <LinksUpToDate>false</LinksUpToDate>
  <CharactersWithSpaces>0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2023-11-09T11:30:00Z</dcterms:created>
  <dc:creator>carla.pereira</dc:creator>
  <cp:lastModifiedBy>Andrei Cardoso</cp:lastModifiedBy>
  <cp:lastPrinted>2023-11-21T11:27:00Z</cp:lastPrinted>
  <dcterms:modified xsi:type="dcterms:W3CDTF">2023-12-01T10:27:08Z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1046-12.2.0.13215</vt:lpwstr>
  </property>
  <property fmtid="{D5CDD505-2E9C-101B-9397-08002B2CF9AE}" pid="3" name="ICV">
    <vt:lpwstr>47F7C31EE4894328A6669C85600802A8_13</vt:lpwstr>
  </property>
</Properties>
</file>