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center"/>
        <w:rPr>
          <w:rFonts w:ascii="Arial" w:hAnsi="Arial" w:cs="Arial"/>
        </w:rPr>
      </w:pPr>
      <w:bookmarkStart w:id="6" w:name="_GoBack"/>
      <w:bookmarkEnd w:id="6"/>
      <w:r>
        <w:rPr>
          <w:rFonts w:ascii="Arial" w:hAnsi="Arial" w:cs="Arial"/>
          <w:b/>
        </w:rPr>
        <w:t>TERMO DE REFERÊNCIA</w:t>
      </w: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center"/>
        <w:rPr>
          <w:rFonts w:ascii="Arial" w:hAnsi="Arial" w:cs="Arial"/>
        </w:rPr>
      </w:pPr>
    </w:p>
    <w:p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23" w:lineRule="atLeast"/>
        <w:jc w:val="center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PROCESSO ADMINISTRATIVO N°3.679/2024</w:t>
      </w:r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Município de Tupanciretã/RS </w:t>
      </w:r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Gabinete do Prefeito Necessidade da Administração: Compra de lonas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1. OBJETO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O presente termo tem por objeto a compra para atendimento emergencial de famílias atingidas pelas fortes chuvas 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Os bens/serviços objeto da contratação pretendida possuem as seguintes especificações:  </w:t>
      </w:r>
    </w:p>
    <w:p>
      <w:pPr>
        <w:widowControl w:val="0"/>
        <w:spacing w:before="0" w:after="0"/>
        <w:jc w:val="left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kern w:val="0"/>
          <w:sz w:val="24"/>
          <w:lang w:eastAsia="pt-BR"/>
        </w:rPr>
        <w:t>5 ROLOS - LONA 6 MT  - 200 METROS (R$2,000,00) TOTAL- R$10,000.00</w:t>
      </w:r>
    </w:p>
    <w:p>
      <w:pPr>
        <w:widowControl w:val="0"/>
        <w:spacing w:before="0" w:after="0"/>
        <w:jc w:val="left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kern w:val="0"/>
          <w:sz w:val="24"/>
          <w:lang w:eastAsia="pt-BR"/>
        </w:rPr>
        <w:t>200 METROS LONA PRETA 6MT- R$19,60 – TOTAL 3,920,00</w:t>
      </w: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kern w:val="0"/>
          <w:sz w:val="24"/>
          <w:lang w:eastAsia="pt-BR"/>
        </w:rPr>
        <w:t>VALOR TOTAL : R$ 13,920.00</w:t>
      </w: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ind w:left="0" w:right="0" w:firstLine="0"/>
        <w:jc w:val="left"/>
        <w:rPr>
          <w:rFonts w:ascii="Arial" w:hAnsi="Arial" w:cs="Arial"/>
        </w:rPr>
      </w:pPr>
    </w:p>
    <w:p>
      <w:pPr>
        <w:widowControl w:val="0"/>
        <w:spacing w:before="0" w:after="0"/>
        <w:ind w:left="0" w:right="0" w:firstLine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0" w:name="art6xxiiib"/>
      <w:bookmarkEnd w:id="0"/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2. FUNDAMENTAÇÃO DA CONTRATAÇÃO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 xml:space="preserve"> </w:t>
      </w:r>
    </w:p>
    <w:p>
      <w:pPr>
        <w:widowControl w:val="0"/>
        <w:spacing w:before="0" w:after="0" w:line="23" w:lineRule="atLeast"/>
        <w:ind w:left="0" w:right="0" w:firstLine="0"/>
        <w:jc w:val="left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 w:val="0"/>
          <w:bCs w:val="0"/>
          <w:i/>
          <w:color w:val="000000"/>
          <w:kern w:val="0"/>
          <w:sz w:val="24"/>
          <w:lang w:eastAsia="pt-BR"/>
        </w:rPr>
        <w:t>AQUISI</w:t>
      </w:r>
      <w:r>
        <w:rPr>
          <w:rFonts w:ascii="Arial" w:hAnsi="Arial" w:cs="Arial"/>
          <w:b w:val="0"/>
          <w:bCs w:val="0"/>
          <w:i/>
          <w:color w:val="000000"/>
          <w:kern w:val="0"/>
          <w:sz w:val="22"/>
          <w:lang w:eastAsia="pt-BR"/>
        </w:rPr>
        <w:t xml:space="preserve">ÇÃO DE MATERIAL DE EMERGÊNCIA PARA AJUDAR A POPULAÇÃO DA CIDADE E INTERIOR EM VIRTUDES DAS FORTES CHUVAS QUE ASSOLARAM NOSSO ESTADO 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1" w:name="art6xxiiic"/>
      <w:bookmarkEnd w:id="1"/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3. DESCRIÇÃO DA SOLUÇÃO COMO UM TODO</w:t>
      </w:r>
    </w:p>
    <w:p>
      <w:pPr>
        <w:widowControl w:val="0"/>
        <w:spacing w:before="0" w:after="0" w:line="23" w:lineRule="atLeast"/>
        <w:ind w:left="0" w:right="0" w:firstLine="0"/>
        <w:jc w:val="left"/>
        <w:rPr>
          <w:rFonts w:ascii="Arial" w:hAnsi="Arial" w:cs="Arial"/>
          <w:color w:val="000000"/>
          <w:kern w:val="0"/>
        </w:rPr>
      </w:pPr>
      <w:r>
        <w:rPr>
          <w:rFonts w:ascii="Arial" w:hAnsi="Arial" w:cs="Arial"/>
          <w:b w:val="0"/>
          <w:bCs w:val="0"/>
          <w:i/>
          <w:color w:val="000000"/>
          <w:kern w:val="0"/>
          <w:sz w:val="24"/>
        </w:rPr>
        <w:t>AQUISI</w:t>
      </w:r>
      <w:r>
        <w:rPr>
          <w:rFonts w:ascii="Arial" w:hAnsi="Arial" w:cs="Arial"/>
          <w:b w:val="0"/>
          <w:bCs w:val="0"/>
          <w:i/>
          <w:color w:val="000000"/>
          <w:kern w:val="0"/>
          <w:sz w:val="22"/>
        </w:rPr>
        <w:t xml:space="preserve">ÇÃO DE MATERIAL DE EMERGÊNCIA PARA AJUDAR A POPULAÇÃO DA CIDADE E INTERIOR EM VIRTUDES DAS FORTES CHUVAS QUE ASSOLARAM NOSSO ESTADO </w:t>
      </w:r>
    </w:p>
    <w:p>
      <w:pPr>
        <w:spacing w:line="23" w:lineRule="atLeast"/>
        <w:jc w:val="both"/>
        <w:rPr>
          <w:rFonts w:ascii="Arial" w:hAnsi="Arial" w:cs="Arial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bookmarkStart w:id="2" w:name="art6xxiiid"/>
      <w:bookmarkEnd w:id="2"/>
      <w:r>
        <w:rPr>
          <w:rFonts w:ascii="Arial" w:hAnsi="Arial" w:cs="Arial"/>
          <w:b/>
          <w:bCs/>
          <w:color w:val="000000"/>
          <w:lang w:eastAsia="pt-BR"/>
        </w:rPr>
        <w:t>4. REQUISITOS DA CONTRATAÇÃO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3" w:name="art6xxiiie"/>
      <w:bookmarkEnd w:id="3"/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Materiais têm natureza de bens/serviços comuns, tendo em vista que seus </w:t>
      </w:r>
      <w:r>
        <w:rPr>
          <w:rFonts w:ascii="Arial" w:hAnsi="Arial" w:cs="Arial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Arial" w:hAnsi="Arial" w:cs="Arial"/>
        </w:rPr>
        <w:t>nos termos do art. 6º, inciso XIII, da Lei Federal nº 14.133/2021.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aquisição  será realizada através de nota de empenho, pois a entrega sera imediata e não haverá parcelamento da  entrega e nem obrigações futuras.</w:t>
      </w:r>
    </w:p>
    <w:p>
      <w:pPr>
        <w:spacing w:line="23" w:lineRule="atLeast"/>
        <w:jc w:val="both"/>
        <w:rPr>
          <w:rFonts w:ascii="Arial" w:hAnsi="Arial" w:cs="Arial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5. MODELO DE GESTÃO DO CONTRATO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r>
        <w:rPr>
          <w:rFonts w:ascii="Arial" w:hAnsi="Arial" w:cs="Arial"/>
          <w:color w:val="000000"/>
          <w:lang w:eastAsia="pt-BR"/>
        </w:rPr>
        <w:t>A gestão e a fiscalização do objeto comprado serão realizadas conforme o disposto no Decreto Municipal 6545/2023, que dispõe sobre as funções do agente de contratação, da equipe de apoio e da comissão de contratação, suas atribuições e funcionamento a fiscalização e gestão dos contratos, e a atuação da assessoria jurídica e do controle interno no âmbito do município de Tupanciretã, nos termos da lei federal 14133 da outras providências.</w:t>
      </w: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color w:val="000000"/>
          <w:lang w:eastAsia="pt-BR"/>
        </w:rPr>
      </w:pPr>
      <w:bookmarkStart w:id="4" w:name="art6xxiiig"/>
      <w:bookmarkEnd w:id="4"/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6. CRITÉRIOS DE MEDIÇÃO E DE PAGAMENTO</w:t>
      </w: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left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left"/>
      </w:pPr>
      <w:r>
        <w:rPr>
          <w:rFonts w:ascii="Arial" w:hAnsi="Arial" w:cs="Arial"/>
          <w:b/>
          <w:bCs/>
          <w:color w:val="000000"/>
          <w:lang w:eastAsia="pt-BR"/>
        </w:rPr>
        <w:tab/>
      </w:r>
      <w:r>
        <w:rPr>
          <w:rFonts w:ascii="Arial" w:hAnsi="Arial" w:cs="Arial"/>
          <w:b/>
          <w:bCs/>
          <w:color w:val="000000"/>
          <w:lang w:eastAsia="pt-BR"/>
        </w:rPr>
        <w:t xml:space="preserve"> </w:t>
      </w:r>
      <w:r>
        <w:rPr>
          <w:rFonts w:ascii="Arial" w:hAnsi="Arial" w:cs="Arial"/>
          <w:b w:val="0"/>
          <w:bCs w:val="0"/>
          <w:color w:val="000000"/>
          <w:lang w:eastAsia="pt-BR"/>
        </w:rPr>
        <w:t>A contratada devera apresentar nota fiscal eletrônica,  indicando o numero da conta corrente, agencia e  banco que devera ser  atestada pelo Secretario da pasta ou servidor expressamente designado;</w:t>
      </w:r>
    </w:p>
    <w:p>
      <w:pPr>
        <w:spacing w:line="23" w:lineRule="atLeast"/>
        <w:jc w:val="left"/>
        <w:rPr>
          <w:b w:val="0"/>
          <w:bCs w:val="0"/>
        </w:rPr>
      </w:pPr>
      <w:r>
        <w:rPr>
          <w:rFonts w:ascii="Arial" w:hAnsi="Arial" w:cs="Arial"/>
          <w:b w:val="0"/>
          <w:bCs w:val="0"/>
          <w:color w:val="000000"/>
          <w:lang w:eastAsia="pt-BR"/>
        </w:rPr>
        <w:tab/>
      </w:r>
      <w:r>
        <w:rPr>
          <w:rFonts w:ascii="Arial" w:hAnsi="Arial" w:cs="Arial"/>
          <w:b w:val="0"/>
          <w:bCs w:val="0"/>
          <w:color w:val="000000"/>
          <w:lang w:eastAsia="pt-BR"/>
        </w:rPr>
        <w:t>O pagamento será efetuado em 30 dias após a  liquidação da nota fiscal do fornecedor , após o cumprimento de subitens   anteriores  .</w:t>
      </w:r>
    </w:p>
    <w:p>
      <w:pPr>
        <w:spacing w:line="23" w:lineRule="atLeast"/>
        <w:jc w:val="left"/>
        <w:rPr>
          <w:b w:val="0"/>
          <w:bCs w:val="0"/>
        </w:rPr>
      </w:pPr>
      <w:r>
        <w:rPr>
          <w:rFonts w:ascii="Arial" w:hAnsi="Arial" w:cs="Arial"/>
          <w:b w:val="0"/>
          <w:bCs w:val="0"/>
          <w:color w:val="000000"/>
          <w:lang w:eastAsia="pt-BR"/>
        </w:rPr>
        <w:tab/>
      </w:r>
      <w:r>
        <w:rPr>
          <w:rFonts w:ascii="Arial" w:hAnsi="Arial" w:cs="Arial"/>
          <w:b w:val="0"/>
          <w:bCs w:val="0"/>
          <w:color w:val="000000"/>
          <w:lang w:eastAsia="pt-BR"/>
        </w:rPr>
        <w:t>No caso de incorreção nos documentos apresentados, inclusive nota fiscal/ fatura serão devolvidos e  à contratada para as correções necessárias, não respondendo a contratante por quaisquer encargos   resultantes dos atrasos na liquidação dos pagamentos correspondentes, quando esse se de por culpa da contratada.</w:t>
      </w:r>
    </w:p>
    <w:p>
      <w:pPr>
        <w:spacing w:line="23" w:lineRule="atLeast"/>
        <w:jc w:val="left"/>
        <w:rPr>
          <w:b w:val="0"/>
          <w:bCs w:val="0"/>
        </w:rPr>
      </w:pPr>
      <w:r>
        <w:rPr>
          <w:rFonts w:ascii="Arial" w:hAnsi="Arial" w:cs="Arial"/>
          <w:b w:val="0"/>
          <w:bCs w:val="0"/>
          <w:color w:val="000000"/>
          <w:lang w:eastAsia="pt-BR"/>
        </w:rPr>
        <w:t xml:space="preserve"> </w:t>
      </w:r>
      <w:r>
        <w:rPr>
          <w:rFonts w:ascii="Arial" w:hAnsi="Arial" w:cs="Arial"/>
          <w:b w:val="0"/>
          <w:bCs w:val="0"/>
          <w:color w:val="000000"/>
          <w:lang w:eastAsia="pt-BR"/>
        </w:rPr>
        <w:tab/>
      </w:r>
      <w:r>
        <w:rPr>
          <w:rFonts w:ascii="Arial" w:hAnsi="Arial" w:cs="Arial"/>
          <w:b w:val="0"/>
          <w:bCs w:val="0"/>
          <w:color w:val="000000"/>
          <w:lang w:eastAsia="pt-BR"/>
        </w:rPr>
        <w:t xml:space="preserve">A liberação do pagamento ficara condicionada a consulta previsa do sistema de cadastro dos fornecedores da prefeitura, para verificação da situação da contratada em relação as suas condições de habilitação e qualificação exigidas  para compra, cujo o resultado será juntado ao processo </w:t>
      </w:r>
    </w:p>
    <w:p>
      <w:pPr>
        <w:spacing w:line="23" w:lineRule="atLeast"/>
        <w:jc w:val="left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>7. ESTIMATIVA DO VALOR DA CONTRATAÇÃO</w:t>
      </w: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  <w:bookmarkStart w:id="5" w:name="art6xxiiij"/>
      <w:bookmarkEnd w:id="5"/>
    </w:p>
    <w:p>
      <w:pPr>
        <w:spacing w:line="23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Estima-se para a contratação almejada o valor total de </w:t>
      </w:r>
      <w:r>
        <w:rPr>
          <w:rFonts w:ascii="Arial" w:hAnsi="Arial" w:cs="Arial"/>
          <w:b/>
          <w:color w:val="000000"/>
          <w:kern w:val="0"/>
          <w:sz w:val="24"/>
          <w:lang w:eastAsia="pt-BR"/>
        </w:rPr>
        <w:t>R$ 13,920.00</w:t>
      </w:r>
    </w:p>
    <w:p>
      <w:pPr>
        <w:widowControl w:val="0"/>
        <w:spacing w:before="0" w:after="0"/>
        <w:jc w:val="left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kern w:val="0"/>
          <w:sz w:val="24"/>
          <w:lang w:eastAsia="pt-BR"/>
        </w:rPr>
        <w:t>5 ROLOS - LONA 6 MT  - 200 METROS (R$2,000,00) TOTAL- R$10,000.00</w:t>
      </w:r>
    </w:p>
    <w:p>
      <w:pPr>
        <w:widowControl w:val="0"/>
        <w:spacing w:before="0" w:after="0"/>
        <w:jc w:val="left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kern w:val="0"/>
          <w:sz w:val="24"/>
          <w:lang w:eastAsia="pt-BR"/>
        </w:rPr>
        <w:t>200 METROS LONA PRETA 6MT- R$19,60 – TOTAL 3,920,00</w:t>
      </w: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kern w:val="0"/>
          <w:sz w:val="24"/>
          <w:lang w:eastAsia="pt-BR"/>
        </w:rPr>
        <w:t>VALOR TOTAL : R$ 13,920.00</w:t>
      </w:r>
    </w:p>
    <w:p>
      <w:pPr>
        <w:widowControl w:val="0"/>
        <w:spacing w:before="0" w:after="0"/>
        <w:ind w:left="0" w:right="0" w:firstLine="0"/>
        <w:jc w:val="left"/>
        <w:rPr>
          <w:rFonts w:ascii="Arial" w:hAnsi="Arial" w:cs="Arial"/>
        </w:rPr>
      </w:pPr>
    </w:p>
    <w:p>
      <w:pPr>
        <w:widowControl w:val="0"/>
        <w:ind w:left="0" w:right="0" w:firstLine="0"/>
        <w:rPr>
          <w:rFonts w:ascii="Arial" w:hAnsi="Arial" w:cs="Arial"/>
        </w:rPr>
      </w:pPr>
    </w:p>
    <w:p>
      <w:pPr>
        <w:widowControl w:val="0"/>
        <w:spacing w:before="0" w:after="0"/>
        <w:jc w:val="left"/>
        <w:rPr>
          <w:rFonts w:ascii="Arial" w:hAnsi="Arial" w:cs="Arial"/>
        </w:rPr>
      </w:pPr>
    </w:p>
    <w:p>
      <w:pPr>
        <w:widowControl w:val="0"/>
        <w:spacing w:before="0" w:after="0" w:line="23" w:lineRule="atLeast"/>
        <w:ind w:left="0" w:right="0" w:firstLine="0"/>
        <w:jc w:val="left"/>
        <w:rPr>
          <w:rFonts w:ascii="Arial" w:hAnsi="Arial" w:cs="Arial"/>
        </w:rPr>
      </w:pPr>
      <w:r>
        <w:rPr>
          <w:rFonts w:ascii="Arial" w:hAnsi="Arial" w:cs="Arial"/>
          <w:b/>
          <w:kern w:val="0"/>
        </w:rPr>
        <w:t xml:space="preserve">    </w:t>
      </w:r>
    </w:p>
    <w:p>
      <w:pPr>
        <w:spacing w:line="23" w:lineRule="atLeast"/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</w:rPr>
        <w:t>Vislumbra-se que tal valor é compatível com o praticado pelo mercado correspondente, observando-se o disposto no Decreto Municipal n.º 6539/2023, que “Estabelece o procedimento administrativo para a realização de pesquisa de preços para aquisição de bens, contratação de serviços em geral e para contratação de obras e serviços de engenharia no âmbito do Município de Tupanciretã, nos termos da Lei Federal nº 14.133/2021”, nos termos do art. 23, § 1º, da Lei Federal nº 14.133/2021.</w:t>
      </w:r>
    </w:p>
    <w:p>
      <w:pPr>
        <w:spacing w:line="23" w:lineRule="atLeast"/>
        <w:jc w:val="center"/>
        <w:rPr>
          <w:rFonts w:ascii="Arial" w:hAnsi="Arial" w:cs="Arial"/>
          <w:b/>
          <w:bCs/>
          <w:color w:val="000000"/>
          <w:lang w:eastAsia="pt-BR"/>
        </w:rPr>
      </w:pPr>
    </w:p>
    <w:p>
      <w:pPr>
        <w:spacing w:line="23" w:lineRule="atLeast"/>
        <w:rPr>
          <w:rFonts w:ascii="Arial" w:hAnsi="Arial" w:cs="Arial" w:eastAsiaTheme="minorHAnsi"/>
          <w:lang w:eastAsia="en-US"/>
        </w:rPr>
      </w:pPr>
      <w:r>
        <w:rPr>
          <w:rFonts w:ascii="Arial" w:hAnsi="Arial" w:cs="Arial"/>
          <w:b/>
        </w:rPr>
        <w:t xml:space="preserve">                                  </w:t>
      </w:r>
    </w:p>
    <w:p>
      <w:pPr>
        <w:spacing w:line="23" w:lineRule="atLeast"/>
        <w:rPr>
          <w:rFonts w:ascii="Arial" w:hAnsi="Arial" w:cs="Arial" w:eastAsiaTheme="minorHAnsi"/>
          <w:lang w:eastAsia="en-US"/>
        </w:rPr>
      </w:pPr>
    </w:p>
    <w:p>
      <w:pPr>
        <w:spacing w:line="23" w:lineRule="atLeast"/>
        <w:rPr>
          <w:rFonts w:ascii="Arial" w:hAnsi="Arial" w:cs="Arial" w:eastAsiaTheme="minorHAnsi"/>
          <w:lang w:eastAsia="en-US"/>
        </w:rPr>
      </w:pPr>
    </w:p>
    <w:p>
      <w:pPr>
        <w:spacing w:line="23" w:lineRule="atLeast"/>
        <w:rPr>
          <w:rFonts w:ascii="Arial" w:hAnsi="Arial" w:cs="Arial" w:eastAsiaTheme="minorHAnsi"/>
          <w:lang w:eastAsia="en-US"/>
        </w:rPr>
      </w:pPr>
    </w:p>
    <w:tbl>
      <w:tblPr>
        <w:tblStyle w:val="12"/>
        <w:tblW w:w="9585" w:type="dxa"/>
        <w:tblInd w:w="7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3"/>
        <w:gridCol w:w="417"/>
        <w:gridCol w:w="510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bottom w:val="single" w:color="000000" w:sz="4" w:space="0"/>
            </w:tcBorders>
          </w:tcPr>
          <w:p>
            <w:pPr>
              <w:widowControl w:val="0"/>
              <w:spacing w:before="0" w:after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</w:p>
          <w:p>
            <w:pPr>
              <w:widowControl w:val="0"/>
              <w:spacing w:before="0" w:after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</w:p>
          <w:p>
            <w:pPr>
              <w:widowControl w:val="0"/>
              <w:spacing w:before="0" w:after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</w:p>
          <w:p>
            <w:pPr>
              <w:widowControl w:val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</w:p>
        </w:tc>
        <w:tc>
          <w:tcPr>
            <w:tcW w:w="417" w:type="dxa"/>
          </w:tcPr>
          <w:p>
            <w:pPr>
              <w:widowControl w:val="0"/>
              <w:spacing w:before="0" w:after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</w:p>
        </w:tc>
        <w:tc>
          <w:tcPr>
            <w:tcW w:w="5105" w:type="dxa"/>
            <w:tcBorders>
              <w:bottom w:val="single" w:color="000000" w:sz="4" w:space="0"/>
            </w:tcBorders>
          </w:tcPr>
          <w:p>
            <w:pPr>
              <w:widowControl w:val="0"/>
              <w:spacing w:before="0" w:after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63" w:type="dxa"/>
            <w:tcBorders>
              <w:top w:val="single" w:color="000000" w:sz="4" w:space="0"/>
            </w:tcBorders>
          </w:tcPr>
          <w:p>
            <w:pPr>
              <w:widowControl w:val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Giovani Dalmas</w:t>
            </w:r>
          </w:p>
          <w:p>
            <w:pPr>
              <w:widowControl w:val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Matrícula funcional n.º7063-7</w:t>
            </w:r>
          </w:p>
        </w:tc>
        <w:tc>
          <w:tcPr>
            <w:tcW w:w="417" w:type="dxa"/>
          </w:tcPr>
          <w:p>
            <w:pPr>
              <w:widowControl w:val="0"/>
              <w:spacing w:before="0" w:after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</w:p>
        </w:tc>
        <w:tc>
          <w:tcPr>
            <w:tcW w:w="5105" w:type="dxa"/>
            <w:tcBorders>
              <w:top w:val="single" w:color="000000" w:sz="4" w:space="0"/>
            </w:tcBorders>
          </w:tcPr>
          <w:p>
            <w:pPr>
              <w:widowControl w:val="0"/>
              <w:ind w:left="0" w:right="0" w:firstLine="0"/>
              <w:jc w:val="center"/>
              <w:rPr>
                <w:rFonts w:ascii="Arial" w:hAnsi="Arial" w:cs="Arial" w:eastAsiaTheme="minorHAnsi"/>
                <w:lang w:eastAsia="en-US"/>
              </w:rPr>
            </w:pPr>
            <w:r>
              <w:rPr>
                <w:rFonts w:ascii="Arial" w:hAnsi="Arial" w:cs="Arial"/>
                <w:sz w:val="20"/>
              </w:rPr>
              <w:t>Luisa Teresinha Arrojo da Silva</w:t>
            </w:r>
          </w:p>
          <w:p>
            <w:pPr>
              <w:widowControl w:val="0"/>
              <w:ind w:left="0" w:right="0" w:firstLine="0"/>
              <w:jc w:val="center"/>
              <w:rPr>
                <w:rFonts w:ascii="Arial" w:hAnsi="Arial" w:cs="Arial" w:eastAsiaTheme="minorHAnsi"/>
                <w:lang w:val="pt-BR" w:eastAsia="en-US"/>
              </w:rPr>
            </w:pPr>
            <w:r>
              <w:rPr>
                <w:rFonts w:ascii="Arial" w:hAnsi="Arial" w:cs="Arial"/>
                <w:sz w:val="20"/>
              </w:rPr>
              <w:t>Matrícula funcional n.º</w:t>
            </w:r>
            <w:r>
              <w:rPr>
                <w:rFonts w:ascii="Arial" w:hAnsi="Arial" w:cs="Arial"/>
                <w:sz w:val="20"/>
                <w:lang w:val="pt-BR"/>
              </w:rPr>
              <w:t>7214-1</w:t>
            </w:r>
          </w:p>
        </w:tc>
      </w:tr>
    </w:tbl>
    <w:p>
      <w:pPr>
        <w:ind w:left="185" w:right="0" w:firstLine="0"/>
        <w:jc w:val="center"/>
        <w:rPr>
          <w:rFonts w:ascii="Arial" w:hAnsi="Arial" w:cs="Arial" w:eastAsiaTheme="minorHAnsi"/>
          <w:lang w:eastAsia="en-US"/>
        </w:rPr>
      </w:pPr>
    </w:p>
    <w:p>
      <w:pPr>
        <w:ind w:left="140" w:right="0" w:firstLine="0"/>
        <w:rPr>
          <w:rFonts w:ascii="Arial" w:hAnsi="Arial" w:cs="Arial" w:eastAsiaTheme="minorHAnsi"/>
          <w:lang w:eastAsia="en-US"/>
        </w:rPr>
      </w:pPr>
      <w:r>
        <w:rPr>
          <w:rFonts w:ascii="Arial" w:hAnsi="Arial" w:cs="Arial"/>
          <w:i/>
          <w:color w:val="FF0000"/>
        </w:rPr>
        <w:t xml:space="preserve"> </w:t>
      </w:r>
    </w:p>
    <w:p>
      <w:pPr>
        <w:spacing w:line="23" w:lineRule="atLeast"/>
        <w:rPr>
          <w:rFonts w:ascii="Arial" w:hAnsi="Arial" w:cs="Arial" w:eastAsiaTheme="minorHAnsi"/>
          <w:lang w:eastAsia="en-US"/>
        </w:rPr>
      </w:pPr>
    </w:p>
    <w:sectPr>
      <w:headerReference r:id="rId4" w:type="default"/>
      <w:footerReference r:id="rId5" w:type="default"/>
      <w:pgSz w:w="11906" w:h="16838"/>
      <w:pgMar w:top="907" w:right="850" w:bottom="907" w:left="850" w:header="850" w:footer="850" w:gutter="0"/>
      <w:pgNumType w:fmt="decimal"/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taccato222 BT;Courier New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roman"/>
    <w:pitch w:val="default"/>
    <w:sig w:usb0="E1002EFF" w:usb1="C000605B" w:usb2="00000029" w:usb3="00000000" w:csb0="200101FF" w:csb1="20280000"/>
  </w:font>
  <w:font w:name="Liberation Sans">
    <w:altName w:val="Arial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auto"/>
    <w:pitch w:val="default"/>
    <w:sig w:usb0="00000003" w:usb1="00000000" w:usb2="00000000" w:usb3="00000000" w:csb0="20000001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ntury Gothic">
    <w:panose1 w:val="020B0502020202020204"/>
    <w:charset w:val="00"/>
    <w:family w:val="roman"/>
    <w:pitch w:val="default"/>
    <w:sig w:usb0="00000287" w:usb1="00000000" w:usb2="00000000" w:usb3="00000000" w:csb0="2000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pBdr>
        <w:bottom w:val="single" w:color="000000" w:sz="12" w:space="1"/>
      </w:pBdr>
      <w:jc w:val="center"/>
      <w:rPr>
        <w:rFonts w:ascii="Century Gothic" w:hAnsi="Century Gothic" w:cs="Century Gothic"/>
        <w:sz w:val="10"/>
        <w:szCs w:val="10"/>
      </w:rPr>
    </w:pPr>
  </w:p>
  <w:p>
    <w:pPr>
      <w:pStyle w:val="23"/>
      <w:jc w:val="center"/>
    </w:pPr>
    <w:r>
      <w:rPr>
        <w:rFonts w:ascii="Century Gothic" w:hAnsi="Century Gothic" w:cs="Century Gothic"/>
        <w:sz w:val="10"/>
        <w:szCs w:val="10"/>
      </w:rPr>
      <w:t xml:space="preserve"> </w:t>
    </w:r>
  </w:p>
  <w:p>
    <w:pPr>
      <w:pStyle w:val="23"/>
      <w:jc w:val="right"/>
    </w:pPr>
    <w:r>
      <w:rPr>
        <w:rFonts w:ascii="Century Gothic" w:hAnsi="Century Gothic" w:cs="Century Gothic"/>
        <w:sz w:val="18"/>
        <w:szCs w:val="18"/>
      </w:rPr>
      <w:t xml:space="preserve">Página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PAGE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  <w:r>
      <w:rPr>
        <w:rFonts w:ascii="Century Gothic" w:hAnsi="Century Gothic" w:cs="Century Gothic"/>
        <w:sz w:val="18"/>
        <w:szCs w:val="18"/>
      </w:rPr>
      <w:t xml:space="preserve"> de </w:t>
    </w:r>
    <w:r>
      <w:rPr>
        <w:rFonts w:ascii="Century Gothic" w:hAnsi="Century Gothic" w:cs="Century Gothic"/>
        <w:b/>
        <w:bCs/>
        <w:sz w:val="18"/>
        <w:szCs w:val="18"/>
      </w:rPr>
      <w:fldChar w:fldCharType="begin"/>
    </w:r>
    <w:r>
      <w:rPr>
        <w:rFonts w:ascii="Century Gothic" w:hAnsi="Century Gothic" w:cs="Century Gothic"/>
        <w:b/>
        <w:bCs/>
        <w:sz w:val="18"/>
        <w:szCs w:val="18"/>
      </w:rPr>
      <w:instrText xml:space="preserve">NUMPAGES</w:instrText>
    </w:r>
    <w:r>
      <w:rPr>
        <w:rFonts w:ascii="Century Gothic" w:hAnsi="Century Gothic" w:cs="Century Gothic"/>
        <w:b/>
        <w:bCs/>
        <w:sz w:val="18"/>
        <w:szCs w:val="18"/>
      </w:rPr>
      <w:fldChar w:fldCharType="separate"/>
    </w:r>
    <w:r>
      <w:rPr>
        <w:rFonts w:ascii="Century Gothic" w:hAnsi="Century Gothic" w:cs="Century Gothic"/>
        <w:b/>
        <w:bCs/>
        <w:sz w:val="18"/>
        <w:szCs w:val="18"/>
      </w:rPr>
      <w:t>3</w:t>
    </w:r>
    <w:r>
      <w:rPr>
        <w:rFonts w:ascii="Century Gothic" w:hAnsi="Century Gothic" w:cs="Century Gothic"/>
        <w:b/>
        <w:bCs/>
        <w:sz w:val="18"/>
        <w:szCs w:val="18"/>
      </w:rPr>
      <w:fldChar w:fldCharType="end"/>
    </w:r>
  </w:p>
  <w:p>
    <w:pPr>
      <w:pStyle w:val="23"/>
      <w:jc w:val="center"/>
      <w:rPr>
        <w:rFonts w:ascii="Century Gothic" w:hAnsi="Century Gothic" w:cs="Century Gothic"/>
        <w:b/>
        <w:bCs/>
        <w:sz w:val="18"/>
        <w:szCs w:val="18"/>
      </w:rPr>
    </w:pPr>
    <w:r>
      <w:rPr>
        <w:rFonts w:ascii="Century Gothic" w:hAnsi="Century Gothic" w:cs="Century Gothic"/>
        <w:sz w:val="18"/>
        <w:szCs w:val="18"/>
      </w:rPr>
      <w:t>Rua Exp. João Moreira Alberto, 181. Centro – Tupanciretã/RS – Fone: 55 32727500</w:t>
    </w:r>
  </w:p>
  <w:p>
    <w:pPr>
      <w:pStyle w:val="23"/>
      <w:jc w:val="center"/>
    </w:pPr>
    <w:r>
      <w:rPr>
        <w:rFonts w:ascii="Century Gothic" w:hAnsi="Century Gothic" w:eastAsia="Century Gothic" w:cs="Century Gothic"/>
      </w:rPr>
      <w:t xml:space="preserve"> </w:t>
    </w:r>
    <w:r>
      <w:fldChar w:fldCharType="begin"/>
    </w:r>
    <w:r>
      <w:instrText xml:space="preserve"> HYPERLINK "http://www.tupancireta.rs.gov.br/" \h </w:instrText>
    </w:r>
    <w:r>
      <w:fldChar w:fldCharType="separate"/>
    </w:r>
    <w:r>
      <w:rPr>
        <w:rStyle w:val="45"/>
        <w:rFonts w:ascii="Century Gothic" w:hAnsi="Century Gothic" w:cs="Century Gothic"/>
        <w:sz w:val="18"/>
        <w:szCs w:val="18"/>
      </w:rPr>
      <w:t>www.tupancireta.rs.gov.br</w:t>
    </w:r>
    <w:r>
      <w:rPr>
        <w:rStyle w:val="45"/>
        <w:rFonts w:ascii="Century Gothic" w:hAnsi="Century Gothic" w:cs="Century Gothic"/>
        <w:sz w:val="18"/>
        <w:szCs w:val="18"/>
      </w:rPr>
      <w:fldChar w:fldCharType="end"/>
    </w:r>
    <w:r>
      <w:rPr>
        <w:rStyle w:val="45"/>
        <w:rFonts w:ascii="Century Gothic" w:hAnsi="Century Gothic" w:cs="Century Gothic"/>
        <w:sz w:val="18"/>
        <w:szCs w:val="18"/>
      </w:rPr>
      <w:t xml:space="preserve">  </w:t>
    </w:r>
    <w:r>
      <w:rPr>
        <w:rFonts w:ascii="Century Gothic" w:hAnsi="Century Gothic" w:cs="Century Gothic"/>
        <w:sz w:val="18"/>
        <w:szCs w:val="18"/>
      </w:rPr>
      <w:t xml:space="preserve">e-mail: </w:t>
    </w:r>
    <w:r>
      <w:fldChar w:fldCharType="begin"/>
    </w:r>
    <w:r>
      <w:instrText xml:space="preserve"> HYPERLINK "mailto:juridico@tupancireta.rs.gov.br" \h </w:instrText>
    </w:r>
    <w:r>
      <w:fldChar w:fldCharType="separate"/>
    </w:r>
    <w:r>
      <w:rPr>
        <w:rStyle w:val="45"/>
        <w:rFonts w:ascii="Century Gothic" w:hAnsi="Century Gothic" w:cs="Century Gothic"/>
        <w:sz w:val="18"/>
        <w:szCs w:val="18"/>
      </w:rPr>
      <w:t>juridico@tupancireta.rs.gov.br</w:t>
    </w:r>
    <w:r>
      <w:rPr>
        <w:rStyle w:val="45"/>
        <w:rFonts w:ascii="Century Gothic" w:hAnsi="Century Gothic" w:cs="Century Gothic"/>
        <w:sz w:val="18"/>
        <w:szCs w:val="18"/>
      </w:rPr>
      <w:fldChar w:fldCharType="end"/>
    </w:r>
    <w:r>
      <w:rPr>
        <w:rFonts w:ascii="Century Gothic" w:hAnsi="Century Gothic" w:cs="Century Gothic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  <w:jc w:val="center"/>
    </w:pPr>
    <w:r>
      <w:drawing>
        <wp:inline distT="0" distB="0" distL="0" distR="0">
          <wp:extent cx="638175" cy="685800"/>
          <wp:effectExtent l="0" t="0" r="0" b="0"/>
          <wp:docPr id="1" name="Figura1" descr="Uma imagem contendo Calend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Uma imagem contendo Calendári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13" t="-105" r="-113" b="-105"/>
                  <a:stretch>
                    <a:fillRect/>
                  </a:stretch>
                </pic:blipFill>
                <pic:spPr>
                  <a:xfrm>
                    <a:off x="0" y="0"/>
                    <a:ext cx="6381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22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Município de Tupanciretã</w:t>
    </w:r>
  </w:p>
  <w:p>
    <w:pPr>
      <w:pStyle w:val="22"/>
      <w:jc w:val="center"/>
      <w:rPr>
        <w:rFonts w:ascii="Arial" w:hAnsi="Arial" w:cs="Arial"/>
      </w:rPr>
    </w:pPr>
    <w:r>
      <w:rPr>
        <w:rFonts w:ascii="Arial" w:hAnsi="Arial" w:cs="Arial"/>
        <w:sz w:val="22"/>
        <w:szCs w:val="22"/>
      </w:rPr>
      <w:t>Poder Executivo Municipal</w:t>
    </w:r>
  </w:p>
  <w:p>
    <w:pPr>
      <w:pStyle w:val="22"/>
      <w:pBdr>
        <w:bottom w:val="single" w:color="000000" w:sz="12" w:space="1"/>
      </w:pBdr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Procuradoria Jurídica</w:t>
    </w:r>
  </w:p>
  <w:p>
    <w:pPr>
      <w:pStyle w:val="22"/>
      <w:jc w:val="center"/>
      <w:rPr>
        <w:rFonts w:ascii="Arial" w:hAnsi="Arial" w:cs="Arial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none"/>
      <w:pStyle w:val="2"/>
      <w:suff w:val="nothing"/>
      <w:lvlText w:val=""/>
      <w:lvlJc w:val="left"/>
      <w:pPr>
        <w:tabs>
          <w:tab w:val="left" w:pos="0"/>
        </w:tabs>
        <w:ind w:left="0" w:firstLine="0"/>
      </w:pPr>
    </w:lvl>
    <w:lvl w:ilvl="1" w:tentative="0">
      <w:start w:val="1"/>
      <w:numFmt w:val="none"/>
      <w:pStyle w:val="3"/>
      <w:suff w:val="nothing"/>
      <w:lvlText w:val=""/>
      <w:lvlJc w:val="left"/>
      <w:pPr>
        <w:tabs>
          <w:tab w:val="left" w:pos="0"/>
        </w:tabs>
        <w:ind w:left="0" w:firstLine="0"/>
      </w:pPr>
    </w:lvl>
    <w:lvl w:ilvl="2" w:tentative="0">
      <w:start w:val="1"/>
      <w:numFmt w:val="none"/>
      <w:pStyle w:val="4"/>
      <w:suff w:val="nothing"/>
      <w:lvlText w:val=""/>
      <w:lvlJc w:val="left"/>
      <w:pPr>
        <w:tabs>
          <w:tab w:val="left" w:pos="0"/>
        </w:tabs>
        <w:ind w:left="0" w:firstLine="0"/>
      </w:pPr>
    </w:lvl>
    <w:lvl w:ilvl="3" w:tentative="0">
      <w:start w:val="1"/>
      <w:numFmt w:val="none"/>
      <w:pStyle w:val="5"/>
      <w:suff w:val="nothing"/>
      <w:lvlText w:val=""/>
      <w:lvlJc w:val="left"/>
      <w:pPr>
        <w:tabs>
          <w:tab w:val="left" w:pos="0"/>
        </w:tabs>
        <w:ind w:left="0" w:firstLine="0"/>
      </w:pPr>
    </w:lvl>
    <w:lvl w:ilvl="4" w:tentative="0">
      <w:start w:val="1"/>
      <w:numFmt w:val="none"/>
      <w:pStyle w:val="6"/>
      <w:suff w:val="nothing"/>
      <w:lvlText w:val=""/>
      <w:lvlJc w:val="left"/>
      <w:pPr>
        <w:tabs>
          <w:tab w:val="left" w:pos="0"/>
        </w:tabs>
        <w:ind w:left="0" w:firstLine="0"/>
      </w:pPr>
    </w:lvl>
    <w:lvl w:ilvl="5" w:tentative="0">
      <w:start w:val="1"/>
      <w:numFmt w:val="none"/>
      <w:pStyle w:val="7"/>
      <w:suff w:val="nothing"/>
      <w:lvlText w:val=""/>
      <w:lvlJc w:val="left"/>
      <w:pPr>
        <w:tabs>
          <w:tab w:val="left" w:pos="0"/>
        </w:tabs>
        <w:ind w:left="0" w:firstLine="0"/>
      </w:pPr>
    </w:lvl>
    <w:lvl w:ilvl="6" w:tentative="0">
      <w:start w:val="1"/>
      <w:numFmt w:val="none"/>
      <w:pStyle w:val="8"/>
      <w:suff w:val="nothing"/>
      <w:lvlText w:val=""/>
      <w:lvlJc w:val="left"/>
      <w:pPr>
        <w:tabs>
          <w:tab w:val="left" w:pos="0"/>
        </w:tabs>
        <w:ind w:left="0" w:firstLine="0"/>
      </w:pPr>
    </w:lvl>
    <w:lvl w:ilvl="7" w:tentative="0">
      <w:start w:val="1"/>
      <w:numFmt w:val="none"/>
      <w:pStyle w:val="9"/>
      <w:suff w:val="nothing"/>
      <w:lvlText w:val=""/>
      <w:lvlJc w:val="left"/>
      <w:pPr>
        <w:tabs>
          <w:tab w:val="left" w:pos="0"/>
        </w:tabs>
        <w:ind w:left="0" w:firstLine="0"/>
      </w:pPr>
    </w:lvl>
    <w:lvl w:ilvl="8" w:tentative="0">
      <w:start w:val="1"/>
      <w:numFmt w:val="none"/>
      <w:pStyle w:val="10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autoHyphenation/>
  <w:footnotePr>
    <w:footnote w:id="0"/>
    <w:footnote w:id="1"/>
  </w:foot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857A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0" w:semiHidden="0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numPr>
        <w:ilvl w:val="0"/>
        <w:numId w:val="1"/>
      </w:numPr>
      <w:jc w:val="both"/>
      <w:outlineLvl w:val="0"/>
    </w:pPr>
    <w:rPr>
      <w:rFonts w:ascii="Arial" w:hAnsi="Arial" w:cs="Arial"/>
      <w:sz w:val="2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numPr>
        <w:ilvl w:val="1"/>
        <w:numId w:val="1"/>
      </w:numPr>
      <w:jc w:val="center"/>
      <w:outlineLvl w:val="1"/>
    </w:pPr>
    <w:rPr>
      <w:rFonts w:ascii="Staccato222 BT;Courier New" w:hAnsi="Staccato222 BT;Courier New" w:cs="Staccato222 BT;Courier New"/>
      <w:szCs w:val="20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sz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numPr>
        <w:ilvl w:val="3"/>
        <w:numId w:val="1"/>
      </w:numPr>
      <w:jc w:val="both"/>
      <w:outlineLvl w:val="3"/>
    </w:pPr>
    <w:rPr>
      <w:rFonts w:ascii="Arial" w:hAnsi="Arial" w:cs="Arial"/>
      <w:b/>
      <w:bCs/>
      <w:sz w:val="28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numPr>
        <w:ilvl w:val="4"/>
        <w:numId w:val="1"/>
      </w:numPr>
      <w:outlineLvl w:val="4"/>
    </w:pPr>
    <w:rPr>
      <w:u w:val="thick"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numPr>
        <w:ilvl w:val="5"/>
        <w:numId w:val="1"/>
      </w:numPr>
      <w:jc w:val="center"/>
      <w:outlineLvl w:val="5"/>
    </w:pPr>
    <w:rPr>
      <w:b/>
      <w:bCs/>
    </w:rPr>
  </w:style>
  <w:style w:type="paragraph" w:styleId="8">
    <w:name w:val="heading 7"/>
    <w:basedOn w:val="1"/>
    <w:next w:val="1"/>
    <w:qFormat/>
    <w:uiPriority w:val="0"/>
    <w:pPr>
      <w:keepNext/>
      <w:numPr>
        <w:ilvl w:val="6"/>
        <w:numId w:val="1"/>
      </w:numPr>
      <w:jc w:val="center"/>
      <w:outlineLvl w:val="6"/>
    </w:pPr>
    <w:rPr>
      <w:b/>
      <w:bCs/>
      <w:sz w:val="28"/>
    </w:rPr>
  </w:style>
  <w:style w:type="paragraph" w:styleId="9">
    <w:name w:val="heading 8"/>
    <w:basedOn w:val="1"/>
    <w:next w:val="1"/>
    <w:qFormat/>
    <w:uiPriority w:val="0"/>
    <w:pPr>
      <w:keepNext/>
      <w:numPr>
        <w:ilvl w:val="7"/>
        <w:numId w:val="1"/>
      </w:numPr>
      <w:outlineLvl w:val="7"/>
    </w:pPr>
    <w:rPr>
      <w:b/>
      <w:bCs/>
    </w:rPr>
  </w:style>
  <w:style w:type="paragraph" w:styleId="10">
    <w:name w:val="heading 9"/>
    <w:basedOn w:val="1"/>
    <w:next w:val="1"/>
    <w:qFormat/>
    <w:uiPriority w:val="0"/>
    <w:pPr>
      <w:keepNext/>
      <w:numPr>
        <w:ilvl w:val="8"/>
        <w:numId w:val="1"/>
      </w:numPr>
      <w:jc w:val="both"/>
      <w:outlineLvl w:val="8"/>
    </w:pPr>
    <w:rPr>
      <w:b/>
      <w:bCs/>
      <w:sz w:val="20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Strong"/>
    <w:basedOn w:val="11"/>
    <w:qFormat/>
    <w:uiPriority w:val="22"/>
    <w:rPr>
      <w:b/>
      <w:bCs/>
    </w:rPr>
  </w:style>
  <w:style w:type="character" w:styleId="14">
    <w:name w:val="page number"/>
    <w:basedOn w:val="11"/>
    <w:qFormat/>
    <w:uiPriority w:val="0"/>
  </w:style>
  <w:style w:type="paragraph" w:styleId="15">
    <w:name w:val="List"/>
    <w:basedOn w:val="16"/>
    <w:qFormat/>
    <w:uiPriority w:val="0"/>
    <w:rPr>
      <w:rFonts w:cs="Mangal"/>
    </w:rPr>
  </w:style>
  <w:style w:type="paragraph" w:styleId="16">
    <w:name w:val="Body Text"/>
    <w:basedOn w:val="1"/>
    <w:qFormat/>
    <w:uiPriority w:val="0"/>
    <w:rPr>
      <w:rFonts w:ascii="Tahoma" w:hAnsi="Tahoma" w:cs="Tahoma"/>
      <w:szCs w:val="20"/>
    </w:rPr>
  </w:style>
  <w:style w:type="paragraph" w:styleId="17">
    <w:name w:val="Body Text Indent 2"/>
    <w:basedOn w:val="1"/>
    <w:qFormat/>
    <w:uiPriority w:val="0"/>
    <w:pPr>
      <w:ind w:firstLine="2340"/>
      <w:jc w:val="both"/>
    </w:pPr>
  </w:style>
  <w:style w:type="paragraph" w:styleId="18">
    <w:name w:val="Title"/>
    <w:basedOn w:val="1"/>
    <w:next w:val="16"/>
    <w:qFormat/>
    <w:uiPriority w:val="10"/>
    <w:pPr>
      <w:jc w:val="center"/>
    </w:pPr>
    <w:rPr>
      <w:b/>
      <w:sz w:val="20"/>
      <w:szCs w:val="20"/>
    </w:rPr>
  </w:style>
  <w:style w:type="paragraph" w:styleId="19">
    <w:name w:val="Normal (Web)"/>
    <w:basedOn w:val="1"/>
    <w:semiHidden/>
    <w:unhideWhenUsed/>
    <w:qFormat/>
    <w:uiPriority w:val="99"/>
    <w:pPr>
      <w:suppressAutoHyphens w:val="0"/>
      <w:spacing w:beforeAutospacing="1" w:afterAutospacing="1"/>
    </w:pPr>
    <w:rPr>
      <w:lang w:eastAsia="pt-BR"/>
    </w:rPr>
  </w:style>
  <w:style w:type="paragraph" w:styleId="20">
    <w:name w:val="Body Text 3"/>
    <w:basedOn w:val="1"/>
    <w:qFormat/>
    <w:uiPriority w:val="0"/>
    <w:pPr>
      <w:jc w:val="both"/>
    </w:pPr>
    <w:rPr>
      <w:rFonts w:ascii="Arial" w:hAnsi="Arial" w:cs="Arial"/>
      <w:sz w:val="28"/>
    </w:rPr>
  </w:style>
  <w:style w:type="paragraph" w:styleId="21">
    <w:name w:val="Body Text 2"/>
    <w:basedOn w:val="1"/>
    <w:qFormat/>
    <w:uiPriority w:val="0"/>
    <w:pPr>
      <w:jc w:val="center"/>
    </w:pPr>
    <w:rPr>
      <w:b/>
      <w:bCs/>
      <w:sz w:val="28"/>
    </w:rPr>
  </w:style>
  <w:style w:type="paragraph" w:styleId="22">
    <w:name w:val="header"/>
    <w:basedOn w:val="1"/>
    <w:qFormat/>
    <w:uiPriority w:val="0"/>
    <w:rPr>
      <w:sz w:val="20"/>
      <w:szCs w:val="20"/>
    </w:rPr>
  </w:style>
  <w:style w:type="paragraph" w:styleId="23">
    <w:name w:val="footer"/>
    <w:basedOn w:val="1"/>
    <w:qFormat/>
    <w:uiPriority w:val="0"/>
    <w:rPr>
      <w:sz w:val="20"/>
      <w:szCs w:val="20"/>
    </w:rPr>
  </w:style>
  <w:style w:type="paragraph" w:styleId="24">
    <w:name w:val="caption"/>
    <w:basedOn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25">
    <w:name w:val="Balloon Text"/>
    <w:basedOn w:val="1"/>
    <w:qFormat/>
    <w:uiPriority w:val="0"/>
    <w:rPr>
      <w:rFonts w:ascii="Tahoma" w:hAnsi="Tahoma" w:cs="Tahoma"/>
      <w:sz w:val="16"/>
      <w:szCs w:val="16"/>
    </w:rPr>
  </w:style>
  <w:style w:type="paragraph" w:styleId="26">
    <w:name w:val="footnote text"/>
    <w:basedOn w:val="1"/>
    <w:qFormat/>
    <w:uiPriority w:val="0"/>
    <w:rPr>
      <w:sz w:val="20"/>
      <w:szCs w:val="20"/>
    </w:rPr>
  </w:style>
  <w:style w:type="paragraph" w:styleId="27">
    <w:name w:val="Body Text Indent"/>
    <w:basedOn w:val="1"/>
    <w:qFormat/>
    <w:uiPriority w:val="0"/>
    <w:pPr>
      <w:ind w:firstLine="1440"/>
      <w:jc w:val="both"/>
    </w:pPr>
    <w:rPr>
      <w:rFonts w:ascii="Arial" w:hAnsi="Arial" w:cs="Arial"/>
      <w:sz w:val="28"/>
    </w:rPr>
  </w:style>
  <w:style w:type="table" w:styleId="28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9">
    <w:name w:val="Ênfase1"/>
    <w:basedOn w:val="11"/>
    <w:qFormat/>
    <w:uiPriority w:val="20"/>
    <w:rPr>
      <w:i/>
      <w:iCs/>
    </w:rPr>
  </w:style>
  <w:style w:type="character" w:customStyle="1" w:styleId="30">
    <w:name w:val="WW8Num1z0"/>
    <w:qFormat/>
    <w:uiPriority w:val="0"/>
  </w:style>
  <w:style w:type="character" w:customStyle="1" w:styleId="31">
    <w:name w:val="WW8Num1z1"/>
    <w:qFormat/>
    <w:uiPriority w:val="0"/>
  </w:style>
  <w:style w:type="character" w:customStyle="1" w:styleId="32">
    <w:name w:val="WW8Num1z2"/>
    <w:qFormat/>
    <w:uiPriority w:val="0"/>
  </w:style>
  <w:style w:type="character" w:customStyle="1" w:styleId="33">
    <w:name w:val="WW8Num1z3"/>
    <w:qFormat/>
    <w:uiPriority w:val="0"/>
  </w:style>
  <w:style w:type="character" w:customStyle="1" w:styleId="34">
    <w:name w:val="WW8Num1z4"/>
    <w:qFormat/>
    <w:uiPriority w:val="0"/>
  </w:style>
  <w:style w:type="character" w:customStyle="1" w:styleId="35">
    <w:name w:val="WW8Num1z5"/>
    <w:qFormat/>
    <w:uiPriority w:val="0"/>
  </w:style>
  <w:style w:type="character" w:customStyle="1" w:styleId="36">
    <w:name w:val="WW8Num1z6"/>
    <w:qFormat/>
    <w:uiPriority w:val="0"/>
  </w:style>
  <w:style w:type="character" w:customStyle="1" w:styleId="37">
    <w:name w:val="WW8Num1z7"/>
    <w:qFormat/>
    <w:uiPriority w:val="0"/>
  </w:style>
  <w:style w:type="character" w:customStyle="1" w:styleId="38">
    <w:name w:val="WW8Num1z8"/>
    <w:qFormat/>
    <w:uiPriority w:val="0"/>
  </w:style>
  <w:style w:type="character" w:customStyle="1" w:styleId="39">
    <w:name w:val="WW8Num2z0"/>
    <w:qFormat/>
    <w:uiPriority w:val="0"/>
  </w:style>
  <w:style w:type="character" w:customStyle="1" w:styleId="40">
    <w:name w:val="WW8Num3z0"/>
    <w:qFormat/>
    <w:uiPriority w:val="0"/>
  </w:style>
  <w:style w:type="character" w:customStyle="1" w:styleId="41">
    <w:name w:val="Corpo de texto 3 Char"/>
    <w:qFormat/>
    <w:uiPriority w:val="0"/>
    <w:rPr>
      <w:rFonts w:ascii="Arial" w:hAnsi="Arial" w:cs="Arial"/>
      <w:sz w:val="28"/>
      <w:szCs w:val="24"/>
    </w:rPr>
  </w:style>
  <w:style w:type="character" w:customStyle="1" w:styleId="42">
    <w:name w:val="Cabeçalho Char"/>
    <w:basedOn w:val="11"/>
    <w:qFormat/>
    <w:uiPriority w:val="0"/>
  </w:style>
  <w:style w:type="character" w:customStyle="1" w:styleId="43">
    <w:name w:val="Ênfase forte"/>
    <w:qFormat/>
    <w:uiPriority w:val="0"/>
    <w:rPr>
      <w:b/>
      <w:bCs/>
    </w:rPr>
  </w:style>
  <w:style w:type="character" w:customStyle="1" w:styleId="44">
    <w:name w:val="Corpo de texto Char"/>
    <w:qFormat/>
    <w:uiPriority w:val="0"/>
    <w:rPr>
      <w:rFonts w:ascii="Tahoma" w:hAnsi="Tahoma" w:cs="Tahoma"/>
      <w:sz w:val="24"/>
    </w:rPr>
  </w:style>
  <w:style w:type="character" w:customStyle="1" w:styleId="45">
    <w:name w:val="Link da Internet"/>
    <w:basedOn w:val="11"/>
    <w:unhideWhenUsed/>
    <w:qFormat/>
    <w:uiPriority w:val="99"/>
    <w:rPr>
      <w:color w:val="0000FF"/>
      <w:u w:val="single"/>
    </w:rPr>
  </w:style>
  <w:style w:type="character" w:customStyle="1" w:styleId="46">
    <w:name w:val="Texto de nota de rodapé Char"/>
    <w:basedOn w:val="11"/>
    <w:qFormat/>
    <w:uiPriority w:val="0"/>
  </w:style>
  <w:style w:type="character" w:customStyle="1" w:styleId="47">
    <w:name w:val="Caracteres de nota de rodapé"/>
    <w:qFormat/>
    <w:uiPriority w:val="0"/>
    <w:rPr>
      <w:vertAlign w:val="superscript"/>
    </w:rPr>
  </w:style>
  <w:style w:type="character" w:customStyle="1" w:styleId="48">
    <w:name w:val="Rodapé Char"/>
    <w:basedOn w:val="11"/>
    <w:qFormat/>
    <w:uiPriority w:val="0"/>
  </w:style>
  <w:style w:type="character" w:customStyle="1" w:styleId="49">
    <w:name w:val="Link da internet visitado"/>
    <w:qFormat/>
    <w:uiPriority w:val="0"/>
    <w:rPr>
      <w:color w:val="800000"/>
      <w:u w:val="single"/>
    </w:rPr>
  </w:style>
  <w:style w:type="character" w:customStyle="1" w:styleId="50">
    <w:name w:val="Âncora da nota de rodapé"/>
    <w:qFormat/>
    <w:uiPriority w:val="0"/>
    <w:rPr>
      <w:vertAlign w:val="superscript"/>
    </w:rPr>
  </w:style>
  <w:style w:type="character" w:customStyle="1" w:styleId="51">
    <w:name w:val="Âncora da nota de fim"/>
    <w:qFormat/>
    <w:uiPriority w:val="0"/>
    <w:rPr>
      <w:vertAlign w:val="superscript"/>
    </w:rPr>
  </w:style>
  <w:style w:type="character" w:customStyle="1" w:styleId="52">
    <w:name w:val="Caracteres de nota de fim"/>
    <w:qFormat/>
    <w:uiPriority w:val="0"/>
  </w:style>
  <w:style w:type="character" w:customStyle="1" w:styleId="53">
    <w:name w:val="Footnote Characters"/>
    <w:qFormat/>
    <w:uiPriority w:val="0"/>
    <w:rPr>
      <w:vertAlign w:val="superscript"/>
    </w:rPr>
  </w:style>
  <w:style w:type="character" w:customStyle="1" w:styleId="54">
    <w:name w:val="WW-Ref. de nota de rodapé1"/>
    <w:qFormat/>
    <w:uiPriority w:val="0"/>
    <w:rPr>
      <w:vertAlign w:val="superscript"/>
    </w:rPr>
  </w:style>
  <w:style w:type="character" w:customStyle="1" w:styleId="55">
    <w:name w:val="apple-tab-span"/>
    <w:basedOn w:val="11"/>
    <w:qFormat/>
    <w:uiPriority w:val="0"/>
  </w:style>
  <w:style w:type="paragraph" w:customStyle="1" w:styleId="56">
    <w:name w:val="Título13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57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58">
    <w:name w:val="Cabeçalho e Rodapé"/>
    <w:basedOn w:val="1"/>
    <w:qFormat/>
    <w:uiPriority w:val="0"/>
  </w:style>
  <w:style w:type="paragraph" w:customStyle="1" w:styleId="59">
    <w:name w:val="Título12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60">
    <w:name w:val="Título11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customStyle="1" w:styleId="61">
    <w:name w:val="Título1"/>
    <w:basedOn w:val="1"/>
    <w:next w:val="1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62">
    <w:name w:val="No Spacing"/>
    <w:qFormat/>
    <w:uiPriority w:val="1"/>
    <w:pPr>
      <w:widowControl/>
      <w:suppressAutoHyphens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zh-CN" w:bidi="ar-SA"/>
    </w:rPr>
  </w:style>
  <w:style w:type="paragraph" w:customStyle="1" w:styleId="63">
    <w:name w:val="Conteúdo da tabela"/>
    <w:basedOn w:val="1"/>
    <w:qFormat/>
    <w:uiPriority w:val="0"/>
    <w:pPr>
      <w:suppressLineNumbers/>
    </w:pPr>
  </w:style>
  <w:style w:type="paragraph" w:customStyle="1" w:styleId="64">
    <w:name w:val="Título de tabela"/>
    <w:basedOn w:val="63"/>
    <w:qFormat/>
    <w:uiPriority w:val="0"/>
    <w:pPr>
      <w:jc w:val="center"/>
    </w:pPr>
    <w:rPr>
      <w:b/>
      <w:bCs/>
    </w:rPr>
  </w:style>
  <w:style w:type="paragraph" w:customStyle="1" w:styleId="65">
    <w:name w:val="Recuo de corpo de texto 21"/>
    <w:basedOn w:val="1"/>
    <w:qFormat/>
    <w:uiPriority w:val="0"/>
    <w:pPr>
      <w:tabs>
        <w:tab w:val="left" w:pos="1134"/>
      </w:tabs>
      <w:spacing w:before="120" w:after="0" w:line="360" w:lineRule="auto"/>
      <w:ind w:firstLine="709"/>
      <w:jc w:val="both"/>
    </w:pPr>
  </w:style>
  <w:style w:type="paragraph" w:customStyle="1" w:styleId="66">
    <w:name w:val="WW-Recuo de corpo de texto 21"/>
    <w:basedOn w:val="1"/>
    <w:qFormat/>
    <w:uiPriority w:val="0"/>
    <w:pPr>
      <w:tabs>
        <w:tab w:val="left" w:pos="1134"/>
      </w:tabs>
      <w:spacing w:before="120" w:after="0" w:line="360" w:lineRule="auto"/>
      <w:ind w:firstLine="1134"/>
      <w:jc w:val="both"/>
    </w:pPr>
  </w:style>
  <w:style w:type="paragraph" w:customStyle="1" w:styleId="67">
    <w:name w:val="Standard"/>
    <w:qFormat/>
    <w:uiPriority w:val="0"/>
    <w:pPr>
      <w:widowControl/>
      <w:suppressAutoHyphens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t-BR" w:eastAsia="zh-CN" w:bidi="ar-SA"/>
    </w:rPr>
  </w:style>
  <w:style w:type="paragraph" w:styleId="68">
    <w:name w:val="List Paragraph"/>
    <w:basedOn w:val="1"/>
    <w:qFormat/>
    <w:uiPriority w:val="34"/>
    <w:pPr>
      <w:spacing w:before="0" w:after="0"/>
      <w:ind w:left="720" w:firstLine="0"/>
      <w:contextualSpacing/>
    </w:pPr>
  </w:style>
  <w:style w:type="paragraph" w:customStyle="1" w:styleId="69">
    <w:name w:val="Default"/>
    <w:qFormat/>
    <w:uiPriority w:val="99"/>
    <w:pPr>
      <w:widowControl/>
      <w:suppressAutoHyphens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pt-BR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572</Words>
  <Characters>3224</Characters>
  <Paragraphs>46</Paragraphs>
  <TotalTime>11</TotalTime>
  <ScaleCrop>false</ScaleCrop>
  <LinksUpToDate>false</LinksUpToDate>
  <CharactersWithSpaces>3832</CharactersWithSpaces>
  <Application>WPS Office_12.2.0.16909_F1E327BC-269C-435d-A152-05C5408002CA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2023-03-21T14:39:00Z</dcterms:created>
  <dc:creator>Liaisson Wilhelm</dc:creator>
  <cp:lastModifiedBy>leticia.almeida</cp:lastModifiedBy>
  <cp:lastPrinted>2022-11-16T12:19:00Z</cp:lastPrinted>
  <dcterms:modified xsi:type="dcterms:W3CDTF">2024-06-05T12:47:51Z</dcterms:modified>
  <dc:title>Tupanciretã, 10 de março de 2004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CV">
    <vt:lpwstr>E417144DCD9548FFB79438C977EE6F0B_13</vt:lpwstr>
  </property>
  <property fmtid="{D5CDD505-2E9C-101B-9397-08002B2CF9AE}" pid="4" name="KSOProductBuildVer">
    <vt:lpwstr>1046-12.2.0.16909</vt:lpwstr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