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D86" w:rsidRPr="00D81D81" w:rsidRDefault="00D81D81" w:rsidP="00D81D8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 de </w:t>
      </w:r>
      <w:r w:rsidRPr="00D81D81">
        <w:rPr>
          <w:rFonts w:ascii="Arial" w:hAnsi="Arial" w:cs="Arial"/>
          <w:sz w:val="24"/>
          <w:szCs w:val="24"/>
        </w:rPr>
        <w:t>Esclarecimento</w:t>
      </w:r>
    </w:p>
    <w:p w:rsidR="00D81D81" w:rsidRPr="00D81D81" w:rsidRDefault="00D81D81">
      <w:pPr>
        <w:rPr>
          <w:rFonts w:ascii="Arial" w:hAnsi="Arial" w:cs="Arial"/>
          <w:sz w:val="24"/>
          <w:szCs w:val="24"/>
        </w:rPr>
      </w:pPr>
    </w:p>
    <w:p w:rsidR="00D81D81" w:rsidRPr="00D81D81" w:rsidRDefault="00D81D81" w:rsidP="00D81D81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rFonts w:ascii="Arial" w:hAnsi="Arial" w:cs="Arial"/>
          <w:color w:val="000000"/>
        </w:rPr>
      </w:pPr>
      <w:r w:rsidRPr="00D81D81">
        <w:rPr>
          <w:rFonts w:ascii="Arial" w:hAnsi="Arial" w:cs="Arial"/>
        </w:rPr>
        <w:t xml:space="preserve">O Pregoeiro, a pedido do gestor técnico do Pregão Eletrônico nº 09/2024, </w:t>
      </w:r>
      <w:r>
        <w:rPr>
          <w:rFonts w:ascii="Arial" w:hAnsi="Arial" w:cs="Arial"/>
        </w:rPr>
        <w:t xml:space="preserve">esclarece </w:t>
      </w:r>
      <w:r w:rsidRPr="00D81D81">
        <w:rPr>
          <w:rFonts w:ascii="Arial" w:hAnsi="Arial" w:cs="Arial"/>
        </w:rPr>
        <w:t xml:space="preserve">que </w:t>
      </w:r>
      <w:r>
        <w:rPr>
          <w:rFonts w:ascii="Arial" w:hAnsi="Arial" w:cs="Arial"/>
          <w:color w:val="000000"/>
        </w:rPr>
        <w:t>há</w:t>
      </w:r>
      <w:r w:rsidRPr="00D81D81">
        <w:rPr>
          <w:rFonts w:ascii="Arial" w:hAnsi="Arial" w:cs="Arial"/>
          <w:color w:val="000000"/>
        </w:rPr>
        <w:t xml:space="preserve"> uma divergência existente no Estudo Técnico Preliminar (ETP) em relação ao Termo de Referência (TR).</w:t>
      </w:r>
    </w:p>
    <w:p w:rsidR="00D81D81" w:rsidRP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81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ETP, no item </w:t>
      </w:r>
      <w:proofErr w:type="gramStart"/>
      <w:r w:rsidRPr="00D81D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VII .</w:t>
      </w:r>
      <w:proofErr w:type="gramEnd"/>
      <w:r w:rsidRPr="00D81D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3 - Canais de comunicação</w:t>
      </w:r>
      <w:r w:rsidRPr="00D81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consta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9"/>
        <w:gridCol w:w="1752"/>
        <w:gridCol w:w="1573"/>
      </w:tblGrid>
      <w:tr w:rsidR="00D81D81" w:rsidRPr="00D81D81" w:rsidTr="00D81D8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Site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Quantidade canais voz</w:t>
            </w:r>
          </w:p>
        </w:tc>
      </w:tr>
      <w:tr w:rsidR="00D81D81" w:rsidRPr="00D81D81" w:rsidTr="00D81D8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Troncos entrada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Troncos saída</w:t>
            </w:r>
            <w:proofErr w:type="gramEnd"/>
          </w:p>
        </w:tc>
      </w:tr>
      <w:tr w:rsidR="00D81D81" w:rsidRPr="00D81D81" w:rsidTr="00D81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Praça Mal Deodoro, 101 – subsolo - Centro – Porto alegre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45</w:t>
            </w:r>
          </w:p>
        </w:tc>
      </w:tr>
      <w:tr w:rsidR="00D81D81" w:rsidRPr="00D81D81" w:rsidTr="00D81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Rua Duque de Caxias, 920 – subsolo - Centro – Porto alegre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45</w:t>
            </w:r>
          </w:p>
        </w:tc>
      </w:tr>
    </w:tbl>
    <w:p w:rsidR="00D81D81" w:rsidRP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81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Entretanto, o TR consta</w:t>
      </w:r>
    </w:p>
    <w:p w:rsidR="00D81D81" w:rsidRPr="00D81D81" w:rsidRDefault="00D81D81" w:rsidP="00D81D8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81D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3.3 Canais de comunicação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93"/>
        <w:gridCol w:w="3131"/>
      </w:tblGrid>
      <w:tr w:rsidR="00D81D81" w:rsidRPr="00D81D81" w:rsidTr="00D81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Site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Quantitativo de canais  de voz</w:t>
            </w:r>
          </w:p>
        </w:tc>
      </w:tr>
      <w:tr w:rsidR="00D81D81" w:rsidRPr="00D81D81" w:rsidTr="00D81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Praça Mal Deodoro, 101 – subsolo - Centro – Porto Alegre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90</w:t>
            </w:r>
          </w:p>
        </w:tc>
      </w:tr>
      <w:tr w:rsidR="00D81D81" w:rsidRPr="00D81D81" w:rsidTr="00D81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Rua Duque de Caxias, 920 – subsolo - Centro – Porto Alegre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D81" w:rsidRPr="00D81D81" w:rsidRDefault="00D81D81" w:rsidP="00D81D8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D81D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90</w:t>
            </w:r>
          </w:p>
        </w:tc>
      </w:tr>
    </w:tbl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81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tabela correta é a do TR, visto que os troncos devem ser múltiplos de 30.</w:t>
      </w: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Sendo assim, considerando que o esclarecimento não altera a formulação das Propostas, são mantidas as datas e horas agendadas para a realização do referido Pregão.</w:t>
      </w: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01/04/2024</w:t>
      </w: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Fernando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Reichert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Silva,</w:t>
      </w:r>
    </w:p>
    <w:p w:rsid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Pregoeiro. </w:t>
      </w:r>
    </w:p>
    <w:p w:rsidR="00D81D81" w:rsidRPr="00D81D81" w:rsidRDefault="00D81D81" w:rsidP="00D81D81">
      <w:pPr>
        <w:spacing w:before="120" w:after="120" w:line="240" w:lineRule="auto"/>
        <w:ind w:left="120" w:right="120" w:firstLine="169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81D81" w:rsidRDefault="00D81D81">
      <w:r>
        <w:tab/>
      </w:r>
    </w:p>
    <w:sectPr w:rsidR="00D81D81" w:rsidSect="00603D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10"/>
  <w:proofState w:spelling="clean" w:grammar="clean"/>
  <w:defaultTabStop w:val="708"/>
  <w:hyphenationZone w:val="425"/>
  <w:characterSpacingControl w:val="doNotCompress"/>
  <w:compat/>
  <w:rsids>
    <w:rsidRoot w:val="00D81D81"/>
    <w:rsid w:val="00603D86"/>
    <w:rsid w:val="00D81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D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D8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1D81"/>
    <w:rPr>
      <w:b/>
      <w:bCs/>
    </w:rPr>
  </w:style>
  <w:style w:type="paragraph" w:styleId="NormalWeb">
    <w:name w:val="Normal (Web)"/>
    <w:basedOn w:val="Normal"/>
    <w:uiPriority w:val="99"/>
    <w:unhideWhenUsed/>
    <w:rsid w:val="00D8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Fernando</cp:lastModifiedBy>
  <cp:revision>1</cp:revision>
  <cp:lastPrinted>2024-04-01T16:47:00Z</cp:lastPrinted>
  <dcterms:created xsi:type="dcterms:W3CDTF">2024-04-01T16:41:00Z</dcterms:created>
  <dcterms:modified xsi:type="dcterms:W3CDTF">2024-04-01T16:50:00Z</dcterms:modified>
</cp:coreProperties>
</file>