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media/image3.png" ContentType="image/pn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60"/>
        <w:ind w:left="0" w:right="0" w:hanging="0"/>
        <w:jc w:val="both"/>
        <w:rPr>
          <w:rFonts w:ascii="Verdana" w:hAnsi="Verdana"/>
          <w:sz w:val="18"/>
          <w:szCs w:val="18"/>
        </w:rPr>
      </w:pPr>
      <w:r>
        <w:rPr>
          <w:rFonts w:cs="Verdana" w:ascii="Verdana" w:hAnsi="Verdana"/>
          <w:b/>
          <w:bCs/>
          <w:color w:val="000000"/>
          <w:sz w:val="18"/>
          <w:szCs w:val="18"/>
        </w:rPr>
        <w:t xml:space="preserve">CONTRATO Nº </w:t>
      </w:r>
      <w:r>
        <w:rPr>
          <w:rFonts w:eastAsia="ＭＳ 明朝" w:cs="Verdana" w:ascii="Verdana" w:hAnsi="Verdana"/>
          <w:b/>
          <w:bCs/>
          <w:color w:val="000000"/>
          <w:kern w:val="0"/>
          <w:sz w:val="18"/>
          <w:szCs w:val="18"/>
          <w:lang w:val="pt-BR" w:eastAsia="pt-BR" w:bidi="ar-SA"/>
        </w:rPr>
        <w:t>127</w:t>
      </w:r>
      <w:r>
        <w:rPr>
          <w:rFonts w:cs="Verdana" w:ascii="Verdana" w:hAnsi="Verdana"/>
          <w:b/>
          <w:bCs/>
          <w:color w:val="000000"/>
          <w:sz w:val="18"/>
          <w:szCs w:val="18"/>
        </w:rPr>
        <w:t>/2023</w:t>
      </w:r>
    </w:p>
    <w:p>
      <w:pPr>
        <w:pStyle w:val="Prembulo"/>
        <w:widowControl/>
        <w:suppressAutoHyphens w:val="true"/>
        <w:overflowPunct w:val="true"/>
        <w:bidi w:val="0"/>
        <w:spacing w:lineRule="auto" w:line="240" w:before="120" w:after="288"/>
        <w:ind w:left="4535" w:right="0" w:hanging="0"/>
        <w:jc w:val="both"/>
        <w:rPr>
          <w:rFonts w:ascii="Verdana" w:hAnsi="Verdana"/>
          <w:sz w:val="18"/>
          <w:szCs w:val="18"/>
        </w:rPr>
      </w:pPr>
      <w:r>
        <w:rPr>
          <w:rFonts w:ascii="Verdana" w:hAnsi="Verdana"/>
          <w:b/>
          <w:bCs/>
          <w:sz w:val="18"/>
          <w:szCs w:val="18"/>
        </w:rPr>
        <w:t xml:space="preserve">CONTRATO FIRMADO ENTRE O MUNICÍPIO DE NOVO HAMBURGO E </w:t>
      </w:r>
      <w:r>
        <w:rPr>
          <w:rFonts w:eastAsia="Arial" w:cs="Arial" w:ascii="Verdana" w:hAnsi="Verdana"/>
          <w:b/>
          <w:bCs/>
          <w:color w:val="auto"/>
          <w:kern w:val="0"/>
          <w:sz w:val="18"/>
          <w:szCs w:val="18"/>
          <w:lang w:val="pt-BR" w:eastAsia="pt-BR" w:bidi="ar-SA"/>
        </w:rPr>
        <w:t>AGIPREV – CONSULTORIA GLOBAL LTDA</w:t>
      </w:r>
      <w:r>
        <w:rPr>
          <w:rFonts w:ascii="Verdana" w:hAnsi="Verdana"/>
          <w:b/>
          <w:bCs/>
          <w:sz w:val="18"/>
          <w:szCs w:val="18"/>
        </w:rPr>
        <w:t>.</w:t>
      </w:r>
    </w:p>
    <w:p>
      <w:pPr>
        <w:pStyle w:val="Normal"/>
        <w:spacing w:lineRule="auto" w:line="240" w:before="0" w:after="0"/>
        <w:ind w:left="0" w:right="0" w:hanging="0"/>
        <w:jc w:val="both"/>
        <w:rPr/>
      </w:pPr>
      <w:r>
        <w:rPr>
          <w:rFonts w:eastAsia="Verdana" w:cs="Verdana" w:ascii="Verdana" w:hAnsi="Verdana"/>
          <w:b w:val="false"/>
          <w:bCs w:val="false"/>
          <w:color w:val="000000"/>
          <w:sz w:val="18"/>
          <w:szCs w:val="18"/>
        </w:rPr>
        <w:t>O MUNICÍPIO DE NOVO HAMBURGO, inscrito no C.N.P.J.M.F. sob o n° 88.254.875/0001-60, com sede na Rua Guia Lopes, n° 4201, bairro Canudos, doravante denominado CONTRATANTE, neste ato representado pelo Ilmo. Secretário de Administração, Sr. FAUSTON GUSTAVO SARAIVA, conforme autorizado</w:t>
      </w:r>
      <w:r>
        <w:rPr>
          <w:rFonts w:eastAsia="Verdana" w:cs="Verdana" w:ascii="Verdana" w:hAnsi="Verdana"/>
          <w:b w:val="false"/>
          <w:bCs w:val="false"/>
          <w:strike w:val="false"/>
          <w:dstrike w:val="false"/>
          <w:color w:val="000000"/>
          <w:sz w:val="18"/>
          <w:szCs w:val="18"/>
        </w:rPr>
        <w:t xml:space="preserve"> pelo Decreto Municipal n° 10.678 de 2023 </w:t>
      </w:r>
      <w:r>
        <w:rPr>
          <w:rFonts w:eastAsia="Verdana" w:cs="Verdana" w:ascii="Verdana" w:hAnsi="Verdana"/>
          <w:b w:val="false"/>
          <w:bCs w:val="false"/>
          <w:strike/>
          <w:color w:val="000000"/>
          <w:sz w:val="18"/>
          <w:szCs w:val="18"/>
        </w:rPr>
        <w:t>e</w:t>
      </w:r>
      <w:r>
        <w:rPr>
          <w:rFonts w:eastAsia="Verdana" w:cs="Verdana" w:ascii="Verdana" w:hAnsi="Verdana"/>
          <w:b w:val="false"/>
          <w:bCs w:val="false"/>
          <w:color w:val="000000"/>
          <w:sz w:val="18"/>
          <w:szCs w:val="18"/>
        </w:rPr>
        <w:t xml:space="preserve">, </w:t>
      </w:r>
      <w:r>
        <w:rPr>
          <w:rFonts w:eastAsia="Arial" w:cs="Arial" w:ascii="Verdana" w:hAnsi="Verdana"/>
          <w:b w:val="false"/>
          <w:bCs w:val="false"/>
          <w:color w:val="000000"/>
          <w:sz w:val="18"/>
          <w:szCs w:val="18"/>
        </w:rPr>
        <w:t>doravante denominado CONTRATANTE, e o(a)</w:t>
      </w:r>
      <w:r>
        <w:rPr>
          <w:rFonts w:eastAsia="Verdana" w:cs="Verdana" w:ascii="Verdana" w:hAnsi="Verdana"/>
          <w:b w:val="false"/>
          <w:bCs w:val="false"/>
          <w:color w:val="000000"/>
          <w:spacing w:val="0"/>
          <w:sz w:val="18"/>
          <w:szCs w:val="18"/>
        </w:rPr>
        <w:t xml:space="preserve"> </w:t>
      </w:r>
      <w:r>
        <w:rPr>
          <w:rFonts w:eastAsia="Arial" w:cs="Arial" w:ascii="Verdana" w:hAnsi="Verdana"/>
          <w:b/>
          <w:bCs/>
          <w:caps/>
          <w:color w:val="auto"/>
          <w:spacing w:val="0"/>
          <w:kern w:val="0"/>
          <w:sz w:val="18"/>
          <w:szCs w:val="18"/>
          <w:lang w:val="pt-BR" w:eastAsia="pt-BR" w:bidi="ar-SA"/>
        </w:rPr>
        <w:t>AGIPREV – CONSULTORIA GLOBAL LTDA</w:t>
      </w:r>
      <w:r>
        <w:rPr>
          <w:rFonts w:eastAsia="Verdana" w:cs="Verdana" w:ascii="Verdana" w:hAnsi="Verdana"/>
          <w:b/>
          <w:bCs/>
          <w:caps/>
          <w:color w:val="000000"/>
          <w:spacing w:val="0"/>
          <w:kern w:val="2"/>
          <w:sz w:val="18"/>
          <w:szCs w:val="18"/>
          <w:lang w:val="pt-BR" w:eastAsia="zxx" w:bidi="zxx"/>
        </w:rPr>
        <w:t>,</w:t>
      </w:r>
      <w:r>
        <w:rPr>
          <w:rFonts w:eastAsia="Verdana" w:cs="Verdana" w:ascii="Verdana" w:hAnsi="Verdana"/>
          <w:b/>
          <w:bCs/>
          <w:color w:val="000000"/>
          <w:spacing w:val="0"/>
          <w:sz w:val="18"/>
          <w:szCs w:val="18"/>
        </w:rPr>
        <w:t xml:space="preserve"> </w:t>
      </w:r>
      <w:r>
        <w:rPr>
          <w:rFonts w:eastAsia="Verdana" w:cs="Verdana" w:ascii="Verdana" w:hAnsi="Verdana"/>
          <w:b w:val="false"/>
          <w:bCs w:val="false"/>
          <w:color w:val="000000"/>
          <w:spacing w:val="0"/>
          <w:sz w:val="18"/>
          <w:szCs w:val="18"/>
        </w:rPr>
        <w:t xml:space="preserve">inscrita no C.N.P.J. sob o n° </w:t>
      </w:r>
      <w:r>
        <w:rPr>
          <w:rFonts w:eastAsia="Verdana" w:cs="Verdana" w:ascii="Verdana" w:hAnsi="Verdana"/>
          <w:b w:val="false"/>
          <w:bCs w:val="false"/>
          <w:color w:val="000000"/>
          <w:spacing w:val="0"/>
          <w:kern w:val="2"/>
          <w:sz w:val="18"/>
          <w:szCs w:val="18"/>
          <w:lang w:val="pt-BR" w:eastAsia="zh-CN" w:bidi="hi-IN"/>
        </w:rPr>
        <w:t>28.158.166/0001-50</w:t>
      </w:r>
      <w:r>
        <w:rPr>
          <w:rFonts w:eastAsia="Verdana" w:cs="Verdana" w:ascii="Verdana" w:hAnsi="Verdana"/>
          <w:b w:val="false"/>
          <w:bCs w:val="false"/>
          <w:color w:val="000000"/>
          <w:spacing w:val="0"/>
          <w:sz w:val="18"/>
          <w:szCs w:val="18"/>
        </w:rPr>
        <w:t>, com sede a Rua</w:t>
      </w:r>
      <w:r>
        <w:rPr>
          <w:rFonts w:eastAsia="Verdana" w:cs="Verdana" w:ascii="Verdana" w:hAnsi="Verdana"/>
          <w:b w:val="false"/>
          <w:bCs w:val="false"/>
          <w:color w:val="000000"/>
          <w:spacing w:val="0"/>
          <w:kern w:val="0"/>
          <w:sz w:val="18"/>
          <w:szCs w:val="18"/>
          <w:lang w:val="pt-BR" w:eastAsia="pt-BR" w:bidi="ar-SA"/>
        </w:rPr>
        <w:t xml:space="preserve"> Jorge</w:t>
      </w:r>
      <w:r>
        <w:rPr>
          <w:rFonts w:eastAsia="Verdana" w:cs="Verdana" w:ascii="Verdana" w:hAnsi="Verdana"/>
          <w:b w:val="false"/>
          <w:bCs w:val="false"/>
          <w:color w:val="000000"/>
          <w:spacing w:val="0"/>
          <w:kern w:val="0"/>
          <w:sz w:val="18"/>
          <w:szCs w:val="18"/>
          <w:lang w:val="pt-BR" w:eastAsia="pt-BR" w:bidi="ar-SA"/>
        </w:rPr>
        <w:t xml:space="preserve"> Tzachel</w:t>
      </w:r>
      <w:r>
        <w:rPr>
          <w:rFonts w:eastAsia="Verdana" w:cs="Verdana" w:ascii="Verdana" w:hAnsi="Verdana"/>
          <w:b w:val="false"/>
          <w:bCs w:val="false"/>
          <w:color w:val="000000"/>
          <w:spacing w:val="0"/>
          <w:sz w:val="18"/>
          <w:szCs w:val="18"/>
        </w:rPr>
        <w:t xml:space="preserve">, nº </w:t>
      </w:r>
      <w:r>
        <w:rPr>
          <w:rFonts w:eastAsia="Verdana" w:cs="Verdana" w:ascii="Verdana" w:hAnsi="Verdana"/>
          <w:b w:val="false"/>
          <w:bCs w:val="false"/>
          <w:color w:val="000000"/>
          <w:spacing w:val="0"/>
          <w:kern w:val="2"/>
          <w:sz w:val="18"/>
          <w:szCs w:val="18"/>
          <w:lang w:val="pt-BR" w:eastAsia="zh-CN" w:bidi="hi-IN"/>
        </w:rPr>
        <w:t>83</w:t>
      </w:r>
      <w:r>
        <w:rPr>
          <w:rFonts w:eastAsia="Verdana" w:cs="Verdana" w:ascii="Verdana" w:hAnsi="Verdana"/>
          <w:b w:val="false"/>
          <w:bCs w:val="false"/>
          <w:color w:val="000000"/>
          <w:spacing w:val="0"/>
          <w:sz w:val="18"/>
          <w:szCs w:val="18"/>
        </w:rPr>
        <w:t xml:space="preserve">, no bairro </w:t>
      </w:r>
      <w:r>
        <w:rPr>
          <w:rFonts w:eastAsia="Verdana" w:cs="Verdana" w:ascii="Verdana" w:hAnsi="Verdana"/>
          <w:b w:val="false"/>
          <w:bCs w:val="false"/>
          <w:color w:val="000000"/>
          <w:spacing w:val="0"/>
          <w:kern w:val="2"/>
          <w:sz w:val="18"/>
          <w:szCs w:val="18"/>
          <w:lang w:val="pt-BR" w:eastAsia="zh-CN" w:bidi="hi-IN"/>
        </w:rPr>
        <w:t>Fazenda</w:t>
      </w:r>
      <w:r>
        <w:rPr>
          <w:rFonts w:eastAsia="Verdana" w:cs="Verdana" w:ascii="Verdana" w:hAnsi="Verdana"/>
          <w:b w:val="false"/>
          <w:bCs w:val="false"/>
          <w:color w:val="000000"/>
          <w:spacing w:val="0"/>
          <w:sz w:val="18"/>
          <w:szCs w:val="18"/>
        </w:rPr>
        <w:t xml:space="preserve">, na cidade de </w:t>
      </w:r>
      <w:r>
        <w:rPr>
          <w:rFonts w:eastAsia="Verdana" w:cs="Verdana" w:ascii="Verdana" w:hAnsi="Verdana"/>
          <w:b w:val="false"/>
          <w:bCs w:val="false"/>
          <w:color w:val="000000"/>
          <w:spacing w:val="0"/>
          <w:kern w:val="2"/>
          <w:sz w:val="18"/>
          <w:szCs w:val="18"/>
          <w:lang w:val="pt-BR" w:eastAsia="zh-CN" w:bidi="hi-IN"/>
        </w:rPr>
        <w:t>Itajaí</w:t>
      </w:r>
      <w:r>
        <w:rPr>
          <w:rFonts w:eastAsia="Verdana" w:cs="Verdana" w:ascii="Verdana" w:hAnsi="Verdana"/>
          <w:b w:val="false"/>
          <w:bCs w:val="false"/>
          <w:color w:val="000000"/>
          <w:spacing w:val="0"/>
          <w:kern w:val="2"/>
          <w:sz w:val="18"/>
          <w:szCs w:val="18"/>
          <w:lang w:val="pt-BR" w:eastAsia="zh-CN" w:bidi="hi-IN"/>
        </w:rPr>
        <w:t>/</w:t>
      </w:r>
      <w:r>
        <w:rPr>
          <w:rFonts w:eastAsia="Verdana" w:cs="Verdana" w:ascii="Verdana" w:hAnsi="Verdana"/>
          <w:b w:val="false"/>
          <w:bCs w:val="false"/>
          <w:color w:val="000000"/>
          <w:spacing w:val="0"/>
          <w:kern w:val="2"/>
          <w:sz w:val="18"/>
          <w:szCs w:val="18"/>
          <w:lang w:val="pt-BR" w:eastAsia="zh-CN" w:bidi="hi-IN"/>
        </w:rPr>
        <w:t>SC</w:t>
      </w:r>
      <w:r>
        <w:rPr>
          <w:rFonts w:eastAsia="Arial" w:cs="Arial" w:ascii="Verdana" w:hAnsi="Verdana"/>
          <w:b w:val="false"/>
          <w:bCs w:val="false"/>
          <w:color w:val="000000"/>
          <w:sz w:val="18"/>
          <w:szCs w:val="18"/>
        </w:rPr>
        <w:t>, doravante designado CONTRATADO,</w:t>
      </w:r>
      <w:r>
        <w:rPr>
          <w:rFonts w:eastAsia="Arial" w:cs="Arial" w:ascii="Verdana" w:hAnsi="Verdana"/>
          <w:b w:val="false"/>
          <w:bCs w:val="false"/>
          <w:i/>
          <w:iCs/>
          <w:color w:val="FF0000"/>
          <w:sz w:val="18"/>
          <w:szCs w:val="18"/>
        </w:rPr>
        <w:t xml:space="preserve"> </w:t>
      </w:r>
      <w:r>
        <w:rPr>
          <w:rFonts w:eastAsia="Arial" w:cs="Arial" w:ascii="Verdana" w:hAnsi="Verdana"/>
          <w:b w:val="false"/>
          <w:bCs w:val="false"/>
          <w:color w:val="000000"/>
          <w:sz w:val="18"/>
          <w:szCs w:val="18"/>
        </w:rPr>
        <w:t xml:space="preserve">tendo em vista o que consta na Requisição de Compras nº </w:t>
      </w:r>
      <w:r>
        <w:rPr>
          <w:rFonts w:eastAsia="Arial" w:cs="Arial" w:ascii="Verdana" w:hAnsi="Verdana"/>
          <w:b w:val="false"/>
          <w:bCs w:val="false"/>
          <w:color w:val="auto"/>
          <w:kern w:val="0"/>
          <w:sz w:val="18"/>
          <w:szCs w:val="18"/>
          <w:lang w:val="pt-BR" w:eastAsia="pt-BR" w:bidi="ar-SA"/>
        </w:rPr>
        <w:t>976</w:t>
      </w:r>
      <w:r>
        <w:rPr>
          <w:rFonts w:eastAsia="Arial" w:cs="Arial" w:ascii="Verdana" w:hAnsi="Verdana"/>
          <w:b w:val="false"/>
          <w:bCs w:val="false"/>
          <w:color w:val="000000"/>
          <w:sz w:val="18"/>
          <w:szCs w:val="18"/>
        </w:rPr>
        <w:t>/2023</w:t>
      </w:r>
      <w:r>
        <w:rPr>
          <w:rFonts w:eastAsia="Arial" w:cs="Arial" w:ascii="Verdana" w:hAnsi="Verdana"/>
          <w:b w:val="false"/>
          <w:bCs w:val="false"/>
          <w:color w:val="FF0000"/>
          <w:sz w:val="18"/>
          <w:szCs w:val="18"/>
        </w:rPr>
        <w:t xml:space="preserve"> </w:t>
      </w:r>
      <w:r>
        <w:rPr>
          <w:rFonts w:eastAsia="Arial" w:cs="Arial" w:ascii="Verdana" w:hAnsi="Verdana"/>
          <w:b w:val="false"/>
          <w:bCs w:val="false"/>
          <w:color w:val="000000"/>
          <w:sz w:val="18"/>
          <w:szCs w:val="18"/>
        </w:rPr>
        <w:t xml:space="preserve">e em observância às disposições da </w:t>
      </w:r>
      <w:hyperlink r:id="rId2">
        <w:r>
          <w:rPr>
            <w:rStyle w:val="LinkdaInternet"/>
            <w:rFonts w:eastAsia="Arial" w:cs="Arial" w:ascii="Verdana" w:hAnsi="Verdana"/>
            <w:b w:val="false"/>
            <w:bCs w:val="false"/>
            <w:sz w:val="18"/>
            <w:szCs w:val="18"/>
          </w:rPr>
          <w:t>Lei nº 14.133, de 1º de abril de 2021</w:t>
        </w:r>
      </w:hyperlink>
      <w:r>
        <w:rPr>
          <w:rFonts w:eastAsia="Arial" w:cs="Arial" w:ascii="Verdana" w:hAnsi="Verdana"/>
          <w:b w:val="false"/>
          <w:bCs w:val="false"/>
          <w:color w:val="000000"/>
          <w:sz w:val="18"/>
          <w:szCs w:val="18"/>
        </w:rPr>
        <w:t xml:space="preserve">, e demais legislação aplicável, resolvem celebrar o presente Contrato, decorrente do Pregão Eletrônico n° </w:t>
      </w:r>
      <w:r>
        <w:rPr>
          <w:rFonts w:eastAsia="Arial" w:cs="Arial" w:ascii="Verdana" w:hAnsi="Verdana"/>
          <w:b w:val="false"/>
          <w:bCs w:val="false"/>
          <w:color w:val="000000"/>
          <w:kern w:val="0"/>
          <w:sz w:val="18"/>
          <w:szCs w:val="18"/>
          <w:lang w:val="pt-BR" w:eastAsia="pt-BR" w:bidi="ar-SA"/>
        </w:rPr>
        <w:t>77</w:t>
      </w:r>
      <w:r>
        <w:rPr>
          <w:rFonts w:eastAsia="Arial" w:cs="Arial" w:ascii="Verdana" w:hAnsi="Verdana"/>
          <w:b w:val="false"/>
          <w:bCs w:val="false"/>
          <w:color w:val="000000"/>
          <w:sz w:val="18"/>
          <w:szCs w:val="18"/>
        </w:rPr>
        <w:t>/2023, mediante as cláusulas e condições a seguir enunciadas.</w:t>
      </w:r>
    </w:p>
    <w:p>
      <w:pPr>
        <w:pStyle w:val="Normal"/>
        <w:spacing w:lineRule="auto" w:line="240" w:before="0" w:after="0"/>
        <w:ind w:left="0" w:right="0" w:hanging="0"/>
        <w:jc w:val="both"/>
        <w:rPr>
          <w:rFonts w:ascii="Verdana" w:hAnsi="Verdana" w:eastAsia="Arial" w:cs="Arial"/>
          <w:b w:val="false"/>
          <w:b w:val="false"/>
          <w:bCs w:val="false"/>
          <w:color w:val="000000"/>
          <w:sz w:val="18"/>
          <w:szCs w:val="18"/>
        </w:rPr>
      </w:pPr>
      <w:r>
        <w:rPr>
          <w:rFonts w:eastAsia="Arial" w:cs="Arial" w:ascii="Verdana" w:hAnsi="Verdana"/>
          <w:b w:val="false"/>
          <w:bCs w:val="false"/>
          <w:color w:val="000000"/>
          <w:sz w:val="18"/>
          <w:szCs w:val="18"/>
        </w:rPr>
      </w:r>
    </w:p>
    <w:p>
      <w:pPr>
        <w:pStyle w:val="Nivel01"/>
        <w:spacing w:lineRule="auto" w:line="240" w:before="0" w:after="0"/>
        <w:ind w:left="0" w:right="0" w:hanging="0"/>
        <w:jc w:val="both"/>
        <w:rPr>
          <w:rFonts w:ascii="Verdana" w:hAnsi="Verdana"/>
          <w:sz w:val="18"/>
          <w:szCs w:val="18"/>
        </w:rPr>
      </w:pPr>
      <w:r>
        <w:rPr>
          <w:rFonts w:ascii="Verdana" w:hAnsi="Verdana"/>
          <w:sz w:val="18"/>
          <w:szCs w:val="18"/>
        </w:rPr>
        <w:t>CLÁUSULA PRIMEIRA – OBJETO</w:t>
      </w:r>
    </w:p>
    <w:p>
      <w:pPr>
        <w:pStyle w:val="Normal"/>
        <w:spacing w:lineRule="auto" w:line="240" w:before="0" w:after="0"/>
        <w:ind w:left="0" w:right="0" w:hanging="0"/>
        <w:jc w:val="both"/>
        <w:rPr>
          <w:rFonts w:ascii="Verdana" w:hAnsi="Verdana"/>
          <w:sz w:val="18"/>
          <w:szCs w:val="18"/>
        </w:rPr>
      </w:pPr>
      <w:r>
        <w:rPr>
          <w:rFonts w:ascii="Verdana" w:hAnsi="Verdana"/>
          <w:sz w:val="18"/>
          <w:szCs w:val="18"/>
        </w:rPr>
      </w:r>
    </w:p>
    <w:p>
      <w:pPr>
        <w:pStyle w:val="Nivel2"/>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1.1. O objeto do presente instrumento é a</w:t>
      </w:r>
      <w:r>
        <w:rPr>
          <w:rFonts w:ascii="Verdana" w:hAnsi="Verdana"/>
          <w:color w:val="000000"/>
          <w:sz w:val="18"/>
          <w:szCs w:val="18"/>
        </w:rPr>
        <w:t xml:space="preserve"> </w:t>
      </w:r>
      <w:r>
        <w:rPr>
          <w:rFonts w:eastAsia="Verdana" w:cs="Verdana" w:ascii="Verdana" w:hAnsi="Verdana"/>
          <w:b/>
          <w:bCs/>
          <w:color w:val="000000"/>
          <w:kern w:val="0"/>
          <w:sz w:val="18"/>
          <w:szCs w:val="18"/>
          <w:lang w:val="pt-BR" w:eastAsia="pt-BR" w:bidi="ar-SA"/>
        </w:rPr>
        <w:t>CONTRATAÇÃO DE EMPRESA ESPECIALIZADA NA PLATAFORMA MULTIFUNCIONAL DESTINADA À AUDITAGEM NA INTEGRAÇÃO, FISCALIZAÇÃO E GESTÃO DE DADOS PARA APURAÇÃO DA REGULARIDADE DOS RECOLHIMENTOS REALIZADOS PELO MUNICÍPIO AO PROGRAMA DE FORMAÇÃO DO PATRIMÔNIO DO SERVIDOR PÚBLICO – PASEP</w:t>
      </w:r>
      <w:r>
        <w:rPr>
          <w:rFonts w:ascii="Verdana" w:hAnsi="Verdana"/>
          <w:sz w:val="18"/>
          <w:szCs w:val="18"/>
        </w:rPr>
        <w:t>, nas condições estabelecidas no Termo de Referência.</w:t>
      </w:r>
    </w:p>
    <w:p>
      <w:pPr>
        <w:pStyle w:val="Nivel2"/>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1.2. Vinculam esta contratação, independentemente de transcrição:</w:t>
      </w:r>
    </w:p>
    <w:p>
      <w:pPr>
        <w:pStyle w:val="Nivel3"/>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a) O Termo de Referência;</w:t>
      </w:r>
    </w:p>
    <w:p>
      <w:pPr>
        <w:pStyle w:val="Nivel3"/>
        <w:numPr>
          <w:ilvl w:val="0"/>
          <w:numId w:val="0"/>
        </w:numPr>
        <w:spacing w:lineRule="auto" w:line="240" w:before="0" w:after="3"/>
        <w:ind w:left="0" w:right="0" w:hanging="0"/>
        <w:jc w:val="both"/>
        <w:rPr>
          <w:rFonts w:ascii="Verdana" w:hAnsi="Verdana"/>
          <w:sz w:val="18"/>
          <w:szCs w:val="18"/>
        </w:rPr>
      </w:pPr>
      <w:r>
        <w:rPr>
          <w:rFonts w:ascii="Verdana" w:hAnsi="Verdana"/>
          <w:sz w:val="18"/>
          <w:szCs w:val="18"/>
        </w:rPr>
        <w:t>b) O Edital da Licitação;</w:t>
      </w:r>
    </w:p>
    <w:p>
      <w:pPr>
        <w:pStyle w:val="Nivel3"/>
        <w:numPr>
          <w:ilvl w:val="0"/>
          <w:numId w:val="0"/>
        </w:numPr>
        <w:spacing w:lineRule="auto" w:line="240" w:before="0" w:after="3"/>
        <w:ind w:left="0" w:right="0" w:hanging="0"/>
        <w:jc w:val="both"/>
        <w:rPr>
          <w:rFonts w:ascii="Verdana" w:hAnsi="Verdana"/>
          <w:sz w:val="18"/>
          <w:szCs w:val="18"/>
        </w:rPr>
      </w:pPr>
      <w:r>
        <w:rPr>
          <w:rFonts w:ascii="Verdana" w:hAnsi="Verdana"/>
          <w:sz w:val="18"/>
          <w:szCs w:val="18"/>
        </w:rPr>
        <w:t>c) A Proposta do contratado;</w:t>
      </w:r>
    </w:p>
    <w:p>
      <w:pPr>
        <w:pStyle w:val="Nivel3"/>
        <w:numPr>
          <w:ilvl w:val="0"/>
          <w:numId w:val="0"/>
        </w:numPr>
        <w:spacing w:lineRule="auto" w:line="240" w:before="0" w:after="3"/>
        <w:ind w:left="0" w:right="0" w:hanging="0"/>
        <w:jc w:val="both"/>
        <w:rPr>
          <w:rFonts w:ascii="Verdana" w:hAnsi="Verdana"/>
          <w:sz w:val="18"/>
          <w:szCs w:val="18"/>
        </w:rPr>
      </w:pPr>
      <w:r>
        <w:rPr>
          <w:rFonts w:ascii="Verdana" w:hAnsi="Verdana"/>
          <w:sz w:val="18"/>
          <w:szCs w:val="18"/>
        </w:rPr>
        <w:t>d) Eventuais anexos dos documentos supracitados.</w:t>
      </w:r>
    </w:p>
    <w:p>
      <w:pPr>
        <w:pStyle w:val="Nivel01"/>
        <w:tabs>
          <w:tab w:val="clear" w:pos="567"/>
          <w:tab w:val="left" w:pos="0" w:leader="none"/>
          <w:tab w:val="left" w:pos="120" w:leader="none"/>
        </w:tabs>
        <w:spacing w:lineRule="auto" w:line="240" w:before="0" w:after="0"/>
        <w:ind w:left="360" w:right="0" w:hanging="0"/>
        <w:jc w:val="both"/>
        <w:rPr>
          <w:rFonts w:ascii="Verdana" w:hAnsi="Verdana"/>
          <w:sz w:val="18"/>
          <w:szCs w:val="18"/>
        </w:rPr>
      </w:pPr>
      <w:r>
        <w:rPr>
          <w:rFonts w:ascii="Verdana" w:hAnsi="Verdana"/>
          <w:sz w:val="18"/>
          <w:szCs w:val="18"/>
        </w:rPr>
      </w:r>
    </w:p>
    <w:p>
      <w:pPr>
        <w:pStyle w:val="Nivel01"/>
        <w:numPr>
          <w:ilvl w:val="0"/>
          <w:numId w:val="0"/>
        </w:numPr>
        <w:tabs>
          <w:tab w:val="clear" w:pos="567"/>
          <w:tab w:val="left" w:pos="570" w:leader="none"/>
        </w:tabs>
        <w:spacing w:lineRule="auto" w:line="240" w:before="0" w:after="0"/>
        <w:ind w:left="0" w:right="0" w:hanging="0"/>
        <w:jc w:val="both"/>
        <w:rPr>
          <w:rFonts w:ascii="Verdana" w:hAnsi="Verdana"/>
          <w:sz w:val="18"/>
          <w:szCs w:val="18"/>
        </w:rPr>
      </w:pPr>
      <w:r>
        <w:rPr>
          <w:rFonts w:ascii="Verdana" w:hAnsi="Verdana"/>
          <w:i w:val="false"/>
          <w:iCs w:val="false"/>
          <w:sz w:val="18"/>
          <w:szCs w:val="18"/>
        </w:rPr>
        <w:t>CLÁUSULA SEGUNDA – VIGÊNCIA E PRORROGAÇÃO</w:t>
      </w:r>
    </w:p>
    <w:p>
      <w:pPr>
        <w:pStyle w:val="Normal"/>
        <w:numPr>
          <w:ilvl w:val="0"/>
          <w:numId w:val="0"/>
        </w:numPr>
        <w:tabs>
          <w:tab w:val="clear" w:pos="708"/>
          <w:tab w:val="left" w:pos="570" w:leader="none"/>
        </w:tabs>
        <w:spacing w:lineRule="auto" w:line="240" w:before="0" w:after="0"/>
        <w:ind w:left="0" w:right="0" w:hanging="0"/>
        <w:jc w:val="both"/>
        <w:rPr>
          <w:i w:val="false"/>
          <w:i w:val="false"/>
          <w:iCs w:val="false"/>
        </w:rPr>
      </w:pPr>
      <w:r>
        <w:rPr>
          <w:rFonts w:ascii="Verdana" w:hAnsi="Verdana"/>
          <w:sz w:val="18"/>
          <w:szCs w:val="18"/>
        </w:rPr>
      </w:r>
    </w:p>
    <w:p>
      <w:pPr>
        <w:pStyle w:val="Nivel2"/>
        <w:numPr>
          <w:ilvl w:val="0"/>
          <w:numId w:val="0"/>
        </w:numPr>
        <w:spacing w:lineRule="auto" w:line="240" w:before="0" w:after="0"/>
        <w:ind w:left="0" w:right="0" w:hanging="0"/>
        <w:jc w:val="both"/>
        <w:rPr>
          <w:rFonts w:ascii="Verdana" w:hAnsi="Verdana"/>
          <w:sz w:val="18"/>
          <w:szCs w:val="18"/>
        </w:rPr>
      </w:pPr>
      <w:r>
        <w:rPr>
          <w:rFonts w:ascii="Verdana" w:hAnsi="Verdana"/>
          <w:i w:val="false"/>
          <w:iCs w:val="false"/>
          <w:color w:val="auto"/>
          <w:sz w:val="18"/>
          <w:szCs w:val="18"/>
        </w:rPr>
        <w:t xml:space="preserve">2.1. O prazo de vigência da contratação é de </w:t>
      </w:r>
      <w:r>
        <w:rPr>
          <w:rFonts w:eastAsia="ＭＳ 明朝" w:cs="Arial" w:ascii="Verdana" w:hAnsi="Verdana"/>
          <w:i w:val="false"/>
          <w:iCs w:val="false"/>
          <w:color w:val="auto"/>
          <w:kern w:val="0"/>
          <w:sz w:val="18"/>
          <w:szCs w:val="18"/>
          <w:lang w:val="pt-BR" w:eastAsia="pt-BR" w:bidi="ar-SA"/>
        </w:rPr>
        <w:t>12</w:t>
      </w:r>
      <w:r>
        <w:rPr>
          <w:rFonts w:ascii="Verdana" w:hAnsi="Verdana"/>
          <w:i w:val="false"/>
          <w:iCs w:val="false"/>
          <w:color w:val="auto"/>
          <w:sz w:val="18"/>
          <w:szCs w:val="18"/>
        </w:rPr>
        <w:t xml:space="preserve"> (</w:t>
      </w:r>
      <w:r>
        <w:rPr>
          <w:rFonts w:eastAsia="ＭＳ 明朝" w:cs="Arial" w:ascii="Verdana" w:hAnsi="Verdana"/>
          <w:i w:val="false"/>
          <w:iCs w:val="false"/>
          <w:color w:val="auto"/>
          <w:kern w:val="0"/>
          <w:sz w:val="18"/>
          <w:szCs w:val="18"/>
          <w:lang w:val="pt-BR" w:eastAsia="pt-BR" w:bidi="ar-SA"/>
        </w:rPr>
        <w:t>doze</w:t>
      </w:r>
      <w:r>
        <w:rPr>
          <w:rFonts w:ascii="Verdana" w:hAnsi="Verdana"/>
          <w:i w:val="false"/>
          <w:iCs w:val="false"/>
          <w:color w:val="auto"/>
          <w:sz w:val="18"/>
          <w:szCs w:val="18"/>
        </w:rPr>
        <w:t xml:space="preserve">) </w:t>
      </w:r>
      <w:r>
        <w:rPr>
          <w:rFonts w:eastAsia="ＭＳ 明朝" w:cs="Arial" w:ascii="Verdana" w:hAnsi="Verdana"/>
          <w:i w:val="false"/>
          <w:iCs w:val="false"/>
          <w:color w:val="auto"/>
          <w:kern w:val="0"/>
          <w:sz w:val="18"/>
          <w:szCs w:val="18"/>
          <w:lang w:val="pt-BR" w:eastAsia="pt-BR" w:bidi="ar-SA"/>
        </w:rPr>
        <w:t>meses</w:t>
      </w:r>
      <w:r>
        <w:rPr>
          <w:rFonts w:ascii="Verdana" w:hAnsi="Verdana"/>
          <w:i w:val="false"/>
          <w:iCs w:val="false"/>
          <w:color w:val="auto"/>
          <w:sz w:val="18"/>
          <w:szCs w:val="18"/>
        </w:rPr>
        <w:t xml:space="preserve"> contados da data de assinatura, na forma do artigo 105 da Lei n° 14.133, de 2021.</w:t>
      </w:r>
    </w:p>
    <w:p>
      <w:pPr>
        <w:pStyle w:val="Nivel01"/>
        <w:spacing w:lineRule="auto" w:line="240" w:before="0" w:after="0"/>
        <w:ind w:left="360" w:right="0" w:hanging="0"/>
        <w:jc w:val="both"/>
        <w:rPr>
          <w:rFonts w:ascii="Verdana" w:hAnsi="Verdana"/>
          <w:i/>
          <w:i/>
          <w:color w:val="FF0000"/>
          <w:sz w:val="18"/>
          <w:szCs w:val="18"/>
        </w:rPr>
      </w:pPr>
      <w:r>
        <w:rPr>
          <w:rFonts w:ascii="Verdana" w:hAnsi="Verdana"/>
          <w:i/>
          <w:color w:val="FF0000"/>
          <w:sz w:val="18"/>
          <w:szCs w:val="18"/>
        </w:rPr>
      </w:r>
    </w:p>
    <w:p>
      <w:pPr>
        <w:pStyle w:val="Nivel01"/>
        <w:numPr>
          <w:ilvl w:val="0"/>
          <w:numId w:val="0"/>
        </w:numPr>
        <w:spacing w:lineRule="auto" w:line="240" w:before="0" w:after="0"/>
        <w:ind w:left="0" w:right="0" w:hanging="0"/>
        <w:jc w:val="both"/>
        <w:rPr>
          <w:rFonts w:ascii="Verdana" w:hAnsi="Verdana"/>
          <w:sz w:val="18"/>
          <w:szCs w:val="18"/>
        </w:rPr>
      </w:pPr>
      <w:bookmarkStart w:id="0" w:name="_Hlk114497577"/>
      <w:bookmarkStart w:id="1" w:name="_Hlk114497502"/>
      <w:bookmarkEnd w:id="0"/>
      <w:bookmarkEnd w:id="1"/>
      <w:r>
        <w:rPr>
          <w:rFonts w:ascii="Verdana" w:hAnsi="Verdana"/>
          <w:sz w:val="18"/>
          <w:szCs w:val="18"/>
        </w:rPr>
        <w:t>CLÁUSULA TERCEIRA – EXECUÇÃO, GESTÃO CONTRATUAIS E FISCALIZAÇÃO</w:t>
      </w:r>
    </w:p>
    <w:p>
      <w:pPr>
        <w:pStyle w:val="Normal"/>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r>
    </w:p>
    <w:p>
      <w:pPr>
        <w:pStyle w:val="Nivel2"/>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3.1. O regime de execução contratual, os modelos de gestão e de execução, assim como os prazos e condições de conclusão, entrega, observação e recebimento do objeto constam no Termo de Referência, anexo a este Contrato.</w:t>
      </w:r>
    </w:p>
    <w:p>
      <w:pPr>
        <w:pStyle w:val="Nivel2"/>
        <w:numPr>
          <w:ilvl w:val="0"/>
          <w:numId w:val="0"/>
        </w:numPr>
        <w:spacing w:lineRule="auto" w:line="240" w:before="0" w:after="0"/>
        <w:ind w:left="0" w:right="0" w:hanging="0"/>
        <w:jc w:val="both"/>
        <w:rPr/>
      </w:pPr>
      <w:r>
        <w:rPr>
          <w:rFonts w:ascii="Verdana" w:hAnsi="Verdana"/>
          <w:sz w:val="18"/>
          <w:szCs w:val="18"/>
        </w:rPr>
        <w:t xml:space="preserve">3.2. </w:t>
      </w:r>
      <w:r>
        <w:rPr>
          <w:rStyle w:val="Fontepargpadro"/>
          <w:rFonts w:eastAsia="Times New Roman" w:cs="Verdana" w:ascii="Verdana" w:hAnsi="Verdana"/>
          <w:b w:val="false"/>
          <w:bCs w:val="false"/>
          <w:color w:val="000000"/>
          <w:spacing w:val="0"/>
          <w:sz w:val="18"/>
          <w:szCs w:val="18"/>
          <w:lang w:val="pt-BR" w:eastAsia="zxx" w:bidi="ar-SA"/>
        </w:rPr>
        <w:t>A</w:t>
      </w:r>
      <w:r>
        <w:rPr>
          <w:rStyle w:val="Fontepargpadro"/>
          <w:rFonts w:eastAsia="Verdana" w:cs="Verdana" w:ascii="Verdana" w:hAnsi="Verdana"/>
          <w:b w:val="false"/>
          <w:bCs w:val="false"/>
          <w:color w:val="000000"/>
          <w:spacing w:val="0"/>
          <w:sz w:val="18"/>
          <w:szCs w:val="18"/>
          <w:lang w:val="pt-BR"/>
        </w:rPr>
        <w:t xml:space="preserve"> gestão e fiscalização do contrato será exercida pelo servidor </w:t>
      </w:r>
      <w:r>
        <w:rPr>
          <w:rStyle w:val="Fontepargpadro"/>
          <w:rFonts w:eastAsia="Verdana" w:cs="Verdana" w:ascii="Verdana" w:hAnsi="Verdana"/>
          <w:b w:val="false"/>
          <w:bCs w:val="false"/>
          <w:color w:val="000000"/>
          <w:spacing w:val="0"/>
          <w:kern w:val="0"/>
          <w:sz w:val="18"/>
          <w:szCs w:val="18"/>
          <w:lang w:val="pt-BR" w:eastAsia="pt-BR" w:bidi="ar-SA"/>
        </w:rPr>
        <w:t>Gilberto dos Reis</w:t>
      </w:r>
      <w:r>
        <w:rPr>
          <w:rStyle w:val="Fontepargpadro"/>
          <w:rFonts w:eastAsia="Verdana" w:cs="Verdana" w:ascii="Verdana" w:hAnsi="Verdana"/>
          <w:b w:val="false"/>
          <w:bCs w:val="false"/>
          <w:color w:val="000000"/>
          <w:spacing w:val="0"/>
          <w:sz w:val="18"/>
          <w:szCs w:val="18"/>
          <w:lang w:val="pt-BR"/>
        </w:rPr>
        <w:t>, lotado na Secretária Municipal d</w:t>
      </w:r>
      <w:r>
        <w:rPr>
          <w:rStyle w:val="Fontepargpadro"/>
          <w:rFonts w:eastAsia="Verdana" w:cs="Verdana" w:ascii="Verdana" w:hAnsi="Verdana"/>
          <w:b w:val="false"/>
          <w:bCs w:val="false"/>
          <w:color w:val="000000"/>
          <w:spacing w:val="0"/>
          <w:sz w:val="18"/>
          <w:szCs w:val="18"/>
          <w:lang w:val="pt-BR"/>
        </w:rPr>
        <w:t>a Fazenda – SEMFAZ</w:t>
      </w:r>
      <w:r>
        <w:rPr>
          <w:rStyle w:val="Fontepargpadro"/>
          <w:rFonts w:eastAsia="Verdana" w:cs="Verdana" w:ascii="Verdana" w:hAnsi="Verdana"/>
          <w:b w:val="false"/>
          <w:bCs w:val="false"/>
          <w:color w:val="000000"/>
          <w:spacing w:val="0"/>
          <w:kern w:val="2"/>
          <w:sz w:val="18"/>
          <w:szCs w:val="18"/>
          <w:lang w:val="pt-BR" w:eastAsia="zh-CN" w:bidi="hi-IN"/>
        </w:rPr>
        <w:t>,</w:t>
      </w:r>
      <w:r>
        <w:rPr>
          <w:rStyle w:val="Fontepargpadro"/>
          <w:rFonts w:eastAsia="Verdana" w:cs="Verdana" w:ascii="Verdana" w:hAnsi="Verdana"/>
          <w:b w:val="false"/>
          <w:bCs w:val="false"/>
          <w:color w:val="000000"/>
          <w:spacing w:val="0"/>
          <w:sz w:val="18"/>
          <w:szCs w:val="18"/>
          <w:lang w:val="pt-BR"/>
        </w:rPr>
        <w:t xml:space="preserve"> como preceitua a Lei </w:t>
      </w:r>
      <w:r>
        <w:rPr>
          <w:rStyle w:val="Fontepargpadro"/>
          <w:rFonts w:eastAsia="Verdana" w:cs="Verdana" w:ascii="Verdana" w:hAnsi="Verdana"/>
          <w:b w:val="false"/>
          <w:bCs w:val="false"/>
          <w:color w:val="000000"/>
          <w:spacing w:val="0"/>
          <w:kern w:val="0"/>
          <w:sz w:val="18"/>
          <w:szCs w:val="18"/>
          <w:lang w:val="pt-BR" w:eastAsia="pt-BR" w:bidi="ar-SA"/>
        </w:rPr>
        <w:t>14.133/2021</w:t>
      </w:r>
      <w:r>
        <w:rPr>
          <w:rStyle w:val="Fontepargpadro"/>
          <w:rFonts w:eastAsia="Verdana" w:cs="Verdana" w:ascii="Verdana" w:hAnsi="Verdana"/>
          <w:b w:val="false"/>
          <w:bCs w:val="false"/>
          <w:color w:val="000000"/>
          <w:spacing w:val="0"/>
          <w:sz w:val="18"/>
          <w:szCs w:val="18"/>
          <w:lang w:val="pt-BR"/>
        </w:rPr>
        <w:t>, que cuidará pontualmente do contrato, visando o acompanhamento e fiscalizando o objeto contratado.</w:t>
      </w:r>
    </w:p>
    <w:p>
      <w:pPr>
        <w:pStyle w:val="Nivel01"/>
        <w:spacing w:lineRule="auto" w:line="240" w:before="0" w:after="0"/>
        <w:ind w:left="360" w:right="0" w:hanging="0"/>
        <w:jc w:val="both"/>
        <w:rPr>
          <w:rFonts w:ascii="Verdana" w:hAnsi="Verdana"/>
          <w:sz w:val="18"/>
          <w:szCs w:val="18"/>
        </w:rPr>
      </w:pPr>
      <w:r>
        <w:rPr>
          <w:rFonts w:ascii="Verdana" w:hAnsi="Verdana"/>
          <w:sz w:val="18"/>
          <w:szCs w:val="18"/>
        </w:rPr>
      </w:r>
    </w:p>
    <w:p>
      <w:pPr>
        <w:pStyle w:val="Nivel01"/>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CLÁUSULA QUARTA – SUBCONTRATAÇÃO</w:t>
      </w:r>
    </w:p>
    <w:p>
      <w:pPr>
        <w:pStyle w:val="Normal"/>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r>
    </w:p>
    <w:p>
      <w:pPr>
        <w:pStyle w:val="Nivel2"/>
        <w:numPr>
          <w:ilvl w:val="0"/>
          <w:numId w:val="0"/>
        </w:numPr>
        <w:spacing w:lineRule="auto" w:line="240" w:before="0" w:after="0"/>
        <w:ind w:left="0" w:right="0" w:hanging="0"/>
        <w:jc w:val="both"/>
        <w:rPr>
          <w:rFonts w:ascii="Verdana" w:hAnsi="Verdana"/>
          <w:sz w:val="18"/>
          <w:szCs w:val="18"/>
        </w:rPr>
      </w:pPr>
      <w:r>
        <w:rPr>
          <w:rFonts w:ascii="Verdana" w:hAnsi="Verdana"/>
          <w:i w:val="false"/>
          <w:iCs w:val="false"/>
          <w:color w:val="auto"/>
          <w:sz w:val="18"/>
          <w:szCs w:val="18"/>
        </w:rPr>
        <w:t>Não será admitida a subcontratação do objeto contratual.</w:t>
      </w:r>
    </w:p>
    <w:p>
      <w:pPr>
        <w:pStyle w:val="Nivel01"/>
        <w:spacing w:lineRule="auto" w:line="240" w:before="0" w:after="0"/>
        <w:ind w:left="360" w:right="0" w:hanging="0"/>
        <w:jc w:val="both"/>
        <w:rPr>
          <w:rFonts w:ascii="Verdana" w:hAnsi="Verdana"/>
          <w:color w:val="auto"/>
          <w:sz w:val="18"/>
          <w:szCs w:val="18"/>
        </w:rPr>
      </w:pPr>
      <w:r>
        <w:rPr>
          <w:rFonts w:ascii="Verdana" w:hAnsi="Verdana"/>
          <w:color w:val="auto"/>
          <w:sz w:val="18"/>
          <w:szCs w:val="18"/>
        </w:rPr>
      </w:r>
    </w:p>
    <w:p>
      <w:pPr>
        <w:pStyle w:val="Nivel01"/>
        <w:numPr>
          <w:ilvl w:val="0"/>
          <w:numId w:val="0"/>
        </w:numPr>
        <w:spacing w:lineRule="auto" w:line="240" w:before="0" w:after="0"/>
        <w:ind w:left="0" w:right="0" w:hanging="0"/>
        <w:jc w:val="both"/>
        <w:rPr>
          <w:rFonts w:ascii="Verdana" w:hAnsi="Verdana"/>
          <w:sz w:val="18"/>
          <w:szCs w:val="18"/>
        </w:rPr>
      </w:pPr>
      <w:r>
        <w:rPr>
          <w:rFonts w:ascii="Verdana" w:hAnsi="Verdana"/>
          <w:color w:val="auto"/>
          <w:sz w:val="18"/>
          <w:szCs w:val="18"/>
        </w:rPr>
        <w:t>CLÁUSULA QUINTA – PREÇO</w:t>
      </w:r>
    </w:p>
    <w:p>
      <w:pPr>
        <w:pStyle w:val="Normal"/>
        <w:numPr>
          <w:ilvl w:val="0"/>
          <w:numId w:val="0"/>
        </w:numPr>
        <w:spacing w:lineRule="auto" w:line="240" w:before="0" w:after="0"/>
        <w:ind w:left="0" w:right="0" w:hanging="0"/>
        <w:jc w:val="both"/>
        <w:rPr>
          <w:color w:val="auto"/>
        </w:rPr>
      </w:pPr>
      <w:r>
        <w:rPr>
          <w:rFonts w:ascii="Verdana" w:hAnsi="Verdana"/>
          <w:sz w:val="18"/>
          <w:szCs w:val="18"/>
        </w:rPr>
      </w:r>
    </w:p>
    <w:p>
      <w:pPr>
        <w:pStyle w:val="Nivel2"/>
        <w:numPr>
          <w:ilvl w:val="0"/>
          <w:numId w:val="0"/>
        </w:numPr>
        <w:spacing w:lineRule="auto" w:line="240" w:before="0" w:after="0"/>
        <w:ind w:left="0" w:right="0" w:hanging="0"/>
        <w:jc w:val="both"/>
        <w:rPr>
          <w:rFonts w:ascii="Verdana" w:hAnsi="Verdana"/>
          <w:sz w:val="18"/>
          <w:szCs w:val="18"/>
        </w:rPr>
      </w:pPr>
      <w:r>
        <w:rPr>
          <w:rFonts w:ascii="Verdana" w:hAnsi="Verdana"/>
          <w:i w:val="false"/>
          <w:iCs w:val="false"/>
          <w:color w:val="auto"/>
          <w:sz w:val="18"/>
          <w:szCs w:val="18"/>
          <w:lang w:eastAsia="en-US"/>
        </w:rPr>
        <w:t xml:space="preserve">5.1. </w:t>
      </w:r>
      <w:r>
        <w:rPr>
          <w:rFonts w:ascii="Verdana" w:hAnsi="Verdana"/>
          <w:i w:val="false"/>
          <w:iCs w:val="false"/>
          <w:color w:val="auto"/>
          <w:sz w:val="18"/>
          <w:szCs w:val="18"/>
        </w:rPr>
        <w:t xml:space="preserve">O valor total da contratação é de </w:t>
      </w:r>
      <w:r>
        <w:rPr>
          <w:rFonts w:ascii="Verdana" w:hAnsi="Verdana"/>
          <w:b/>
          <w:bCs/>
          <w:i w:val="false"/>
          <w:iCs w:val="false"/>
          <w:color w:val="auto"/>
          <w:sz w:val="18"/>
          <w:szCs w:val="18"/>
        </w:rPr>
        <w:t xml:space="preserve">R$ </w:t>
      </w:r>
      <w:r>
        <w:rPr>
          <w:rFonts w:ascii="Verdana" w:hAnsi="Verdana"/>
          <w:b/>
          <w:bCs/>
          <w:i w:val="false"/>
          <w:iCs w:val="false"/>
          <w:color w:val="auto"/>
          <w:sz w:val="18"/>
          <w:szCs w:val="18"/>
        </w:rPr>
        <w:t>2.200.000,00</w:t>
      </w:r>
      <w:r>
        <w:rPr>
          <w:rFonts w:ascii="Verdana" w:hAnsi="Verdana"/>
          <w:b/>
          <w:bCs/>
          <w:i w:val="false"/>
          <w:iCs w:val="false"/>
          <w:color w:val="auto"/>
          <w:sz w:val="18"/>
          <w:szCs w:val="18"/>
        </w:rPr>
        <w:t xml:space="preserve"> (</w:t>
      </w:r>
      <w:r>
        <w:rPr>
          <w:rFonts w:eastAsia="ＭＳ 明朝" w:cs="Arial" w:ascii="Verdana" w:hAnsi="Verdana"/>
          <w:b/>
          <w:bCs/>
          <w:i w:val="false"/>
          <w:iCs w:val="false"/>
          <w:color w:val="auto"/>
          <w:kern w:val="0"/>
          <w:sz w:val="18"/>
          <w:szCs w:val="18"/>
          <w:lang w:val="pt-BR" w:eastAsia="pt-BR" w:bidi="ar-SA"/>
        </w:rPr>
        <w:t>dois milhões e duzentos mil reais</w:t>
      </w:r>
      <w:r>
        <w:rPr>
          <w:rFonts w:ascii="Verdana" w:hAnsi="Verdana"/>
          <w:b/>
          <w:bCs/>
          <w:i w:val="false"/>
          <w:iCs w:val="false"/>
          <w:color w:val="auto"/>
          <w:sz w:val="18"/>
          <w:szCs w:val="18"/>
        </w:rPr>
        <w:t>).</w:t>
      </w:r>
    </w:p>
    <w:p>
      <w:pPr>
        <w:pStyle w:val="Nivel2"/>
        <w:numPr>
          <w:ilvl w:val="0"/>
          <w:numId w:val="0"/>
        </w:numPr>
        <w:spacing w:lineRule="auto" w:line="240" w:before="0" w:after="60"/>
        <w:ind w:left="0" w:right="0" w:hanging="0"/>
        <w:jc w:val="both"/>
        <w:rPr>
          <w:rFonts w:ascii="Verdana" w:hAnsi="Verdana"/>
          <w:sz w:val="18"/>
          <w:szCs w:val="18"/>
        </w:rPr>
      </w:pPr>
      <w:r>
        <w:rPr>
          <w:rFonts w:ascii="Verdana" w:hAnsi="Verdana"/>
          <w:sz w:val="18"/>
          <w:szCs w:val="1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ivel01"/>
        <w:numPr>
          <w:ilvl w:val="0"/>
          <w:numId w:val="0"/>
        </w:numPr>
        <w:spacing w:lineRule="auto" w:line="240" w:before="0" w:after="0"/>
        <w:ind w:left="360" w:right="0" w:hanging="0"/>
        <w:jc w:val="both"/>
        <w:rPr>
          <w:rFonts w:ascii="Verdana" w:hAnsi="Verdana"/>
          <w:sz w:val="18"/>
          <w:szCs w:val="18"/>
        </w:rPr>
      </w:pPr>
      <w:r>
        <w:rPr>
          <w:rFonts w:ascii="Verdana" w:hAnsi="Verdana"/>
          <w:sz w:val="18"/>
          <w:szCs w:val="18"/>
        </w:rPr>
      </w:r>
    </w:p>
    <w:p>
      <w:pPr>
        <w:pStyle w:val="Nivel01"/>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CLÁUSULA SEXTA – PAGAMENTO</w:t>
      </w:r>
    </w:p>
    <w:p>
      <w:pPr>
        <w:pStyle w:val="Normal"/>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r>
    </w:p>
    <w:p>
      <w:pPr>
        <w:pStyle w:val="Normal"/>
        <w:spacing w:lineRule="auto" w:line="240"/>
        <w:jc w:val="both"/>
        <w:rPr>
          <w:rFonts w:ascii="Verdana" w:hAnsi="Verdana"/>
          <w:sz w:val="18"/>
          <w:szCs w:val="18"/>
        </w:rPr>
      </w:pPr>
      <w:r>
        <w:rPr>
          <w:rFonts w:eastAsia="Verdana" w:cs="Verdana" w:ascii="Verdana" w:hAnsi="Verdana"/>
          <w:b w:val="false"/>
          <w:bCs w:val="false"/>
          <w:strike w:val="false"/>
          <w:dstrike w:val="false"/>
          <w:color w:val="000000"/>
          <w:sz w:val="18"/>
          <w:szCs w:val="18"/>
        </w:rPr>
        <w:t>6</w:t>
      </w:r>
      <w:r>
        <w:rPr>
          <w:rFonts w:eastAsia="Verdana" w:cs="Verdana" w:ascii="Verdana" w:hAnsi="Verdana"/>
          <w:b w:val="false"/>
          <w:bCs w:val="false"/>
          <w:strike w:val="false"/>
          <w:dstrike w:val="false"/>
          <w:color w:val="000000"/>
          <w:sz w:val="18"/>
          <w:szCs w:val="18"/>
        </w:rPr>
        <w:t xml:space="preserve">.1. A remuneração pelos serviços prestados será na forma de parcela sucesso, ou seja, somente serão devidos os valores contratados mediante efetiva apuração de saldos a restituir e/ou compensar e/ou deduzir da base de cálculo dos recolhimentos realizados pelo Município ao Programa de Formação do Patrimônio do Servidor Público – PASEP, sendo limitada remuneração pelos serviços ao valor de R$ </w:t>
      </w:r>
      <w:r>
        <w:rPr>
          <w:rFonts w:eastAsia="Verdana" w:cs="Verdana" w:ascii="Verdana" w:hAnsi="Verdana"/>
          <w:b w:val="false"/>
          <w:bCs w:val="false"/>
          <w:i w:val="false"/>
          <w:iCs w:val="false"/>
          <w:strike w:val="false"/>
          <w:dstrike w:val="false"/>
          <w:color w:val="000000"/>
          <w:spacing w:val="0"/>
          <w:sz w:val="18"/>
          <w:szCs w:val="18"/>
          <w:u w:val="none"/>
        </w:rPr>
        <w:t>2.</w:t>
      </w:r>
      <w:r>
        <w:rPr>
          <w:rFonts w:eastAsia="Verdana" w:cs="Verdana" w:ascii="Verdana" w:hAnsi="Verdana"/>
          <w:b w:val="false"/>
          <w:bCs w:val="false"/>
          <w:i w:val="false"/>
          <w:iCs w:val="false"/>
          <w:strike w:val="false"/>
          <w:dstrike w:val="false"/>
          <w:color w:val="000000"/>
          <w:spacing w:val="0"/>
          <w:kern w:val="0"/>
          <w:sz w:val="18"/>
          <w:szCs w:val="18"/>
          <w:u w:val="none"/>
          <w:lang w:val="pt-BR" w:eastAsia="pt-BR" w:bidi="ar-SA"/>
        </w:rPr>
        <w:t>200.000,00</w:t>
      </w:r>
      <w:r>
        <w:rPr>
          <w:rFonts w:eastAsia="Verdana" w:cs="Verdana" w:ascii="Verdana" w:hAnsi="Verdana"/>
          <w:b w:val="false"/>
          <w:bCs w:val="false"/>
          <w:i w:val="false"/>
          <w:iCs w:val="false"/>
          <w:strike w:val="false"/>
          <w:dstrike w:val="false"/>
          <w:color w:val="000000"/>
          <w:spacing w:val="0"/>
          <w:sz w:val="18"/>
          <w:szCs w:val="18"/>
          <w:u w:val="none"/>
        </w:rPr>
        <w:t xml:space="preserve"> </w:t>
      </w:r>
      <w:r>
        <w:rPr>
          <w:rFonts w:eastAsia="Verdana" w:cs="Verdana" w:ascii="Verdana" w:hAnsi="Verdana"/>
          <w:b w:val="false"/>
          <w:bCs w:val="false"/>
          <w:i w:val="false"/>
          <w:iCs w:val="false"/>
          <w:strike w:val="false"/>
          <w:dstrike w:val="false"/>
          <w:color w:val="000000"/>
          <w:spacing w:val="0"/>
          <w:sz w:val="18"/>
          <w:szCs w:val="18"/>
          <w:u w:val="none"/>
        </w:rPr>
        <w:t>(dois milhões</w:t>
      </w:r>
      <w:r>
        <w:rPr>
          <w:rFonts w:eastAsia="Verdana" w:cs="Verdana" w:ascii="Verdana" w:hAnsi="Verdana"/>
          <w:b w:val="false"/>
          <w:bCs w:val="false"/>
          <w:i w:val="false"/>
          <w:iCs w:val="false"/>
          <w:strike w:val="false"/>
          <w:dstrike w:val="false"/>
          <w:color w:val="000000"/>
          <w:spacing w:val="0"/>
          <w:kern w:val="0"/>
          <w:sz w:val="18"/>
          <w:szCs w:val="18"/>
          <w:u w:val="none"/>
          <w:lang w:val="pt-BR" w:eastAsia="pt-BR" w:bidi="ar-SA"/>
        </w:rPr>
        <w:t xml:space="preserve"> e duzentos mil reais</w:t>
      </w:r>
      <w:r>
        <w:rPr>
          <w:rFonts w:eastAsia="Verdana" w:cs="Verdana" w:ascii="Verdana" w:hAnsi="Verdana"/>
          <w:b w:val="false"/>
          <w:bCs w:val="false"/>
          <w:i w:val="false"/>
          <w:iCs w:val="false"/>
          <w:strike w:val="false"/>
          <w:dstrike w:val="false"/>
          <w:color w:val="000000"/>
          <w:spacing w:val="0"/>
          <w:sz w:val="18"/>
          <w:szCs w:val="18"/>
          <w:u w:val="none"/>
        </w:rPr>
        <w:t>)</w:t>
      </w:r>
      <w:r>
        <w:rPr>
          <w:rFonts w:eastAsia="Verdana" w:cs="Verdana" w:ascii="Verdana" w:hAnsi="Verdana"/>
          <w:b w:val="false"/>
          <w:bCs w:val="false"/>
          <w:strike w:val="false"/>
          <w:dstrike w:val="false"/>
          <w:color w:val="000000"/>
          <w:sz w:val="18"/>
          <w:szCs w:val="18"/>
        </w:rPr>
        <w:t xml:space="preserve">, cujo pagamento será realizado mediante a comprovação da parcela sucesso (com efetivo retorno financeiro ao município) limitado ao valor de R$ 0,10 (dez centavos) incidentes sobre cada R$ 1,00 (um real) arrecadado até no limite ora fixado na licitação e/ou sobre os valores efetivamente auferidos ao tesouro municipal. E visando a preservação do erário municipal, a remuneração da empresa contratada será devida em 50% (cinquenta por cento) do valor contratado no deferimento da tutela antecipada para sobrestar os recolhimentos em duplicidade e/ou indevidos e 50% (cinquenta por cento) na compensação da repetição do indébito das contribuições sociais (PASEP). </w:t>
      </w:r>
    </w:p>
    <w:p>
      <w:pPr>
        <w:pStyle w:val="Normal"/>
        <w:spacing w:lineRule="auto" w:line="240"/>
        <w:jc w:val="both"/>
        <w:rPr>
          <w:rFonts w:ascii="Verdana" w:hAnsi="Verdana"/>
          <w:sz w:val="18"/>
          <w:szCs w:val="18"/>
        </w:rPr>
      </w:pPr>
      <w:r>
        <w:rPr>
          <w:rFonts w:eastAsia="Verdana" w:cs="Verdana" w:ascii="Verdana" w:hAnsi="Verdana"/>
          <w:b w:val="false"/>
          <w:bCs w:val="false"/>
          <w:strike w:val="false"/>
          <w:dstrike w:val="false"/>
          <w:color w:val="000000"/>
          <w:sz w:val="18"/>
          <w:szCs w:val="18"/>
        </w:rPr>
        <w:t>6</w:t>
      </w:r>
      <w:r>
        <w:rPr>
          <w:rFonts w:eastAsia="Verdana" w:cs="Verdana" w:ascii="Verdana" w:hAnsi="Verdana"/>
          <w:b w:val="false"/>
          <w:bCs w:val="false"/>
          <w:strike w:val="false"/>
          <w:dstrike w:val="false"/>
          <w:color w:val="000000"/>
          <w:sz w:val="18"/>
          <w:szCs w:val="18"/>
        </w:rPr>
        <w:t>.1.1. A comprovação da execução dos trabalhos será atestada pela Secretaria Municipal d</w:t>
      </w:r>
      <w:r>
        <w:rPr>
          <w:rFonts w:eastAsia="Verdana" w:cs="Verdana" w:ascii="Verdana" w:hAnsi="Verdana"/>
          <w:b w:val="false"/>
          <w:bCs w:val="false"/>
          <w:strike w:val="false"/>
          <w:dstrike w:val="false"/>
          <w:color w:val="000000"/>
          <w:sz w:val="18"/>
          <w:szCs w:val="18"/>
        </w:rPr>
        <w:t>a</w:t>
      </w:r>
      <w:r>
        <w:rPr>
          <w:rFonts w:eastAsia="Verdana" w:cs="Verdana" w:ascii="Verdana" w:hAnsi="Verdana"/>
          <w:b w:val="false"/>
          <w:bCs w:val="false"/>
          <w:strike w:val="false"/>
          <w:dstrike w:val="false"/>
          <w:color w:val="000000"/>
          <w:sz w:val="18"/>
          <w:szCs w:val="18"/>
        </w:rPr>
        <w:t xml:space="preserve"> </w:t>
      </w:r>
      <w:r>
        <w:rPr>
          <w:rFonts w:eastAsia="Verdana" w:cs="Verdana" w:ascii="Verdana" w:hAnsi="Verdana"/>
          <w:b w:val="false"/>
          <w:bCs w:val="false"/>
          <w:strike w:val="false"/>
          <w:dstrike w:val="false"/>
          <w:color w:val="000000"/>
          <w:sz w:val="18"/>
          <w:szCs w:val="18"/>
        </w:rPr>
        <w:t>Fazenda</w:t>
      </w:r>
      <w:r>
        <w:rPr>
          <w:rFonts w:eastAsia="Verdana" w:cs="Verdana" w:ascii="Verdana" w:hAnsi="Verdana"/>
          <w:b w:val="false"/>
          <w:bCs w:val="false"/>
          <w:strike w:val="false"/>
          <w:dstrike w:val="false"/>
          <w:color w:val="000000"/>
          <w:sz w:val="18"/>
          <w:szCs w:val="18"/>
        </w:rPr>
        <w:t xml:space="preserve">. </w:t>
      </w:r>
    </w:p>
    <w:p>
      <w:pPr>
        <w:pStyle w:val="Normal"/>
        <w:spacing w:lineRule="auto" w:line="240"/>
        <w:jc w:val="both"/>
        <w:rPr>
          <w:rFonts w:ascii="Verdana" w:hAnsi="Verdana"/>
          <w:sz w:val="18"/>
          <w:szCs w:val="18"/>
        </w:rPr>
      </w:pPr>
      <w:r>
        <w:rPr>
          <w:rFonts w:eastAsia="Verdana" w:cs="Verdana" w:ascii="Verdana" w:hAnsi="Verdana"/>
          <w:b w:val="false"/>
          <w:bCs w:val="false"/>
          <w:strike w:val="false"/>
          <w:dstrike w:val="false"/>
          <w:color w:val="000000"/>
          <w:sz w:val="18"/>
          <w:szCs w:val="18"/>
        </w:rPr>
        <w:t>6</w:t>
      </w:r>
      <w:r>
        <w:rPr>
          <w:rFonts w:eastAsia="Verdana" w:cs="Verdana" w:ascii="Verdana" w:hAnsi="Verdana"/>
          <w:b w:val="false"/>
          <w:bCs w:val="false"/>
          <w:strike w:val="false"/>
          <w:dstrike w:val="false"/>
          <w:color w:val="000000"/>
          <w:sz w:val="18"/>
          <w:szCs w:val="18"/>
        </w:rPr>
        <w:t xml:space="preserve">.2. O pagamento será efetuado em até </w:t>
      </w:r>
      <w:r>
        <w:rPr>
          <w:rFonts w:eastAsia="Verdana" w:cs="Verdana" w:ascii="Verdana" w:hAnsi="Verdana"/>
          <w:b w:val="false"/>
          <w:bCs w:val="false"/>
          <w:strike w:val="false"/>
          <w:dstrike w:val="false"/>
          <w:color w:val="000000"/>
          <w:sz w:val="18"/>
          <w:szCs w:val="18"/>
        </w:rPr>
        <w:t>30 (trinta)</w:t>
      </w:r>
      <w:r>
        <w:rPr>
          <w:rFonts w:eastAsia="Verdana" w:cs="Verdana" w:ascii="Verdana" w:hAnsi="Verdana"/>
          <w:b w:val="false"/>
          <w:bCs w:val="false"/>
          <w:strike w:val="false"/>
          <w:dstrike w:val="false"/>
          <w:color w:val="000000"/>
          <w:sz w:val="18"/>
          <w:szCs w:val="18"/>
        </w:rPr>
        <w:t xml:space="preserve"> quinze dias, </w:t>
      </w:r>
      <w:r>
        <w:rPr>
          <w:rFonts w:eastAsia="Verdana" w:cs="Verdana" w:ascii="Verdana" w:hAnsi="Verdana"/>
          <w:b w:val="false"/>
          <w:bCs w:val="false"/>
          <w:strike w:val="false"/>
          <w:dstrike w:val="false"/>
          <w:color w:val="000000"/>
          <w:sz w:val="18"/>
          <w:szCs w:val="18"/>
        </w:rPr>
        <w:t>após atesto da nota fiscal</w:t>
      </w:r>
      <w:r>
        <w:rPr>
          <w:rFonts w:eastAsia="Verdana" w:cs="Verdana" w:ascii="Verdana" w:hAnsi="Verdana"/>
          <w:b w:val="false"/>
          <w:bCs w:val="false"/>
          <w:strike w:val="false"/>
          <w:dstrike w:val="false"/>
          <w:color w:val="000000"/>
          <w:sz w:val="18"/>
          <w:szCs w:val="18"/>
        </w:rPr>
        <w:t xml:space="preserve">, através de depósito na </w:t>
      </w:r>
      <w:r>
        <w:rPr>
          <w:rFonts w:eastAsia="Verdana" w:cs="Verdana" w:ascii="Verdana" w:hAnsi="Verdana"/>
          <w:b w:val="false"/>
          <w:bCs w:val="false"/>
          <w:strike w:val="false"/>
          <w:dstrike w:val="false"/>
          <w:color w:val="000000"/>
          <w:sz w:val="18"/>
          <w:szCs w:val="18"/>
        </w:rPr>
        <w:t>conta-corrente</w:t>
      </w:r>
      <w:r>
        <w:rPr>
          <w:rFonts w:eastAsia="Verdana" w:cs="Verdana" w:ascii="Verdana" w:hAnsi="Verdana"/>
          <w:b w:val="false"/>
          <w:bCs w:val="false"/>
          <w:strike w:val="false"/>
          <w:dstrike w:val="false"/>
          <w:color w:val="000000"/>
          <w:sz w:val="18"/>
          <w:szCs w:val="18"/>
        </w:rPr>
        <w:t xml:space="preserve"> da CONTRATADA após os serviços serem aferidos, mediante a apresentação da Nota Fiscal/Fatura devidamente datada e assinada por responsável da Secretaria da Fazenda, e mediante entrega de relatório discriminado dos serviços executados, devidamente aprovado por responsável pelo acompanhamento e fiscalização do contrato.</w:t>
      </w:r>
    </w:p>
    <w:p>
      <w:pPr>
        <w:pStyle w:val="Normal"/>
        <w:spacing w:lineRule="auto" w:line="240"/>
        <w:jc w:val="both"/>
        <w:rPr>
          <w:rFonts w:ascii="Verdana" w:hAnsi="Verdana" w:eastAsia="Verdana" w:cs="Verdana"/>
          <w:strike w:val="false"/>
          <w:dstrike w:val="false"/>
          <w:color w:val="000000"/>
          <w:sz w:val="18"/>
          <w:szCs w:val="18"/>
        </w:rPr>
      </w:pPr>
      <w:r>
        <w:rPr>
          <w:rFonts w:eastAsia="Verdana" w:cs="Verdana" w:ascii="Verdana" w:hAnsi="Verdana"/>
          <w:b w:val="false"/>
          <w:bCs w:val="false"/>
          <w:strike w:val="false"/>
          <w:dstrike w:val="false"/>
          <w:color w:val="000000"/>
          <w:sz w:val="18"/>
          <w:szCs w:val="18"/>
        </w:rPr>
        <w:t>6</w:t>
      </w:r>
      <w:r>
        <w:rPr>
          <w:rFonts w:eastAsia="Verdana" w:cs="Verdana" w:ascii="Verdana" w:hAnsi="Verdana"/>
          <w:b w:val="false"/>
          <w:bCs w:val="false"/>
          <w:strike w:val="false"/>
          <w:dstrike w:val="false"/>
          <w:color w:val="000000"/>
          <w:sz w:val="18"/>
          <w:szCs w:val="18"/>
        </w:rPr>
        <w:t xml:space="preserve">.3. Para fazer jus ao pagamento, deverá ser apresentado, juntamente com o documento de cobrança, as certidões do FGTS e INSS. </w:t>
      </w:r>
    </w:p>
    <w:p>
      <w:pPr>
        <w:pStyle w:val="Normal"/>
        <w:spacing w:lineRule="auto" w:line="240"/>
        <w:jc w:val="both"/>
        <w:rPr>
          <w:rFonts w:ascii="Verdana" w:hAnsi="Verdana" w:eastAsia="Verdana" w:cs="Verdana"/>
          <w:strike w:val="false"/>
          <w:dstrike w:val="false"/>
          <w:color w:val="000000"/>
          <w:sz w:val="18"/>
          <w:szCs w:val="18"/>
        </w:rPr>
      </w:pPr>
      <w:r>
        <w:rPr>
          <w:rFonts w:eastAsia="Verdana" w:cs="Verdana" w:ascii="Verdana" w:hAnsi="Verdana"/>
          <w:b w:val="false"/>
          <w:bCs w:val="false"/>
          <w:strike w:val="false"/>
          <w:dstrike w:val="false"/>
          <w:color w:val="000000"/>
          <w:sz w:val="18"/>
          <w:szCs w:val="18"/>
        </w:rPr>
        <w:t>6</w:t>
      </w:r>
      <w:r>
        <w:rPr>
          <w:rFonts w:eastAsia="Verdana" w:cs="Verdana" w:ascii="Verdana" w:hAnsi="Verdana"/>
          <w:b w:val="false"/>
          <w:bCs w:val="false"/>
          <w:strike w:val="false"/>
          <w:dstrike w:val="false"/>
          <w:color w:val="000000"/>
          <w:sz w:val="18"/>
          <w:szCs w:val="18"/>
        </w:rPr>
        <w:t>.4. Nenhum pagamento será efetuado à empresa, enquanto houver pendência de liquidação de obrigação financeira, em virtude de penalidade ou inadimplência contratual.</w:t>
      </w:r>
    </w:p>
    <w:p>
      <w:pPr>
        <w:pStyle w:val="Normal"/>
        <w:numPr>
          <w:ilvl w:val="0"/>
          <w:numId w:val="0"/>
        </w:numPr>
        <w:spacing w:lineRule="auto" w:line="240" w:before="0" w:after="3"/>
        <w:ind w:left="0" w:right="0" w:hanging="0"/>
        <w:jc w:val="both"/>
        <w:rPr>
          <w:rFonts w:ascii="Verdana" w:hAnsi="Verdana" w:eastAsia="Verdana" w:cs="Verdana"/>
          <w:strike w:val="false"/>
          <w:dstrike w:val="false"/>
          <w:color w:val="000000"/>
          <w:sz w:val="18"/>
          <w:szCs w:val="18"/>
        </w:rPr>
      </w:pPr>
      <w:r>
        <w:rPr>
          <w:rFonts w:eastAsia="Verdana" w:cs="Verdana" w:ascii="Verdana" w:hAnsi="Verdana"/>
          <w:b w:val="false"/>
          <w:bCs w:val="false"/>
          <w:i w:val="false"/>
          <w:caps w:val="false"/>
          <w:smallCaps w:val="false"/>
          <w:strike w:val="false"/>
          <w:dstrike w:val="false"/>
          <w:color w:val="auto"/>
          <w:spacing w:val="0"/>
          <w:sz w:val="18"/>
          <w:szCs w:val="18"/>
        </w:rPr>
        <w:t>6</w:t>
      </w:r>
      <w:r>
        <w:rPr>
          <w:rFonts w:eastAsia="Verdana" w:cs="Verdana" w:ascii="Verdana" w:hAnsi="Verdana"/>
          <w:b w:val="false"/>
          <w:bCs w:val="false"/>
          <w:i w:val="false"/>
          <w:caps w:val="false"/>
          <w:smallCaps w:val="false"/>
          <w:strike w:val="false"/>
          <w:dstrike w:val="false"/>
          <w:color w:val="auto"/>
          <w:spacing w:val="0"/>
          <w:sz w:val="18"/>
          <w:szCs w:val="18"/>
        </w:rPr>
        <w:t>.5. No caso de eventuais atrasos de pagamento das faturas, por culpa da Administração, o valor será atualizado monetariamente.</w:t>
      </w:r>
    </w:p>
    <w:p>
      <w:pPr>
        <w:pStyle w:val="Nivel2"/>
        <w:numPr>
          <w:ilvl w:val="0"/>
          <w:numId w:val="0"/>
        </w:numPr>
        <w:spacing w:lineRule="auto" w:line="240" w:before="0" w:after="3"/>
        <w:ind w:left="4969" w:right="0" w:hanging="0"/>
        <w:jc w:val="both"/>
        <w:rPr>
          <w:rFonts w:ascii="Verdana" w:hAnsi="Verdana"/>
          <w:b w:val="false"/>
          <w:b w:val="false"/>
          <w:i w:val="false"/>
          <w:i w:val="false"/>
          <w:caps w:val="false"/>
          <w:smallCaps w:val="false"/>
          <w:color w:val="auto"/>
          <w:spacing w:val="0"/>
          <w:sz w:val="18"/>
          <w:szCs w:val="18"/>
        </w:rPr>
      </w:pPr>
      <w:r>
        <w:rPr>
          <w:rFonts w:ascii="Verdana" w:hAnsi="Verdana"/>
          <w:b w:val="false"/>
          <w:i w:val="false"/>
          <w:caps w:val="false"/>
          <w:smallCaps w:val="false"/>
          <w:color w:val="auto"/>
          <w:spacing w:val="0"/>
          <w:sz w:val="18"/>
          <w:szCs w:val="18"/>
        </w:rPr>
      </w:r>
    </w:p>
    <w:p>
      <w:pPr>
        <w:pStyle w:val="Nivel01"/>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CLÁUSULA SÉTIMA – REAJUSTE</w:t>
      </w:r>
    </w:p>
    <w:p>
      <w:pPr>
        <w:pStyle w:val="Normal"/>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r>
    </w:p>
    <w:p>
      <w:pPr>
        <w:pStyle w:val="Nivel2"/>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7.1. Os preços inicialmente contratados são fixos e irreajustáveis no prazo de um ano contado da data do orçamento estimado.</w:t>
      </w:r>
    </w:p>
    <w:p>
      <w:pPr>
        <w:pStyle w:val="Nivel2"/>
        <w:numPr>
          <w:ilvl w:val="0"/>
          <w:numId w:val="0"/>
        </w:numPr>
        <w:spacing w:lineRule="auto" w:line="240" w:before="0" w:after="3"/>
        <w:ind w:left="0" w:right="0" w:hanging="0"/>
        <w:jc w:val="both"/>
        <w:rPr>
          <w:rFonts w:ascii="Verdana" w:hAnsi="Verdana"/>
          <w:sz w:val="18"/>
          <w:szCs w:val="18"/>
        </w:rPr>
      </w:pPr>
      <w:r>
        <w:rPr>
          <w:rFonts w:ascii="Verdana" w:hAnsi="Verdana"/>
          <w:sz w:val="18"/>
          <w:szCs w:val="18"/>
        </w:rPr>
        <w:t xml:space="preserve">7.2. Após o interregno de um ano, e independentemente de pedido do contratado, os preços iniciais serão reajustados, mediante a aplicação, pelo contratante, </w:t>
      </w:r>
      <w:r>
        <w:rPr>
          <w:rFonts w:ascii="Verdana" w:hAnsi="Verdana"/>
          <w:b w:val="false"/>
          <w:bCs w:val="false"/>
          <w:i w:val="false"/>
          <w:iCs w:val="false"/>
          <w:color w:val="auto"/>
          <w:sz w:val="18"/>
          <w:szCs w:val="18"/>
        </w:rPr>
        <w:t>índice do IPCA</w:t>
      </w:r>
      <w:r>
        <w:rPr>
          <w:rFonts w:ascii="Verdana" w:hAnsi="Verdana"/>
          <w:b w:val="false"/>
          <w:bCs w:val="false"/>
          <w:i w:val="false"/>
          <w:iCs w:val="false"/>
          <w:caps w:val="false"/>
          <w:smallCaps w:val="false"/>
          <w:color w:val="auto"/>
          <w:spacing w:val="0"/>
          <w:sz w:val="18"/>
          <w:szCs w:val="18"/>
        </w:rPr>
        <w:t>/IBGE</w:t>
      </w:r>
      <w:r>
        <w:rPr>
          <w:rFonts w:ascii="Verdana" w:hAnsi="Verdana"/>
          <w:i/>
          <w:iCs/>
          <w:sz w:val="18"/>
          <w:szCs w:val="18"/>
        </w:rPr>
        <w:t>,</w:t>
      </w:r>
      <w:r>
        <w:rPr>
          <w:rFonts w:ascii="Verdana" w:hAnsi="Verdana"/>
          <w:sz w:val="18"/>
          <w:szCs w:val="18"/>
        </w:rPr>
        <w:t xml:space="preserve"> exclusivamente para as obrigações iniciadas e concluídas após a ocorrência da anualidade.</w:t>
      </w:r>
    </w:p>
    <w:p>
      <w:pPr>
        <w:pStyle w:val="Nivel2"/>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7.3. Nos reajustes subsequentes ao primeiro, o interregno mínimo de um ano será contado a partir dos efeitos financeiros do último reajuste.</w:t>
      </w:r>
    </w:p>
    <w:p>
      <w:pPr>
        <w:pStyle w:val="Nivel2"/>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pPr>
        <w:pStyle w:val="Nivel2"/>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7.5. Nas aferições finais, o(s) índice(s) utilizado(s) para reajuste será(ão), obrigatoriamente, o(s) definitivo(s).</w:t>
      </w:r>
    </w:p>
    <w:p>
      <w:pPr>
        <w:pStyle w:val="Nivel2"/>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7.6. Caso o(s) índice(s) estabelecido(s) para reajustamento venha(m) a ser extinto(s) ou de qualquer forma não possa(m) mais ser utilizado(s), será(ão) adotado(s), em substituição, o(s) que vier(em) a ser determinado(s) pela legislação então em vigor.</w:t>
      </w:r>
    </w:p>
    <w:p>
      <w:pPr>
        <w:pStyle w:val="Nivel2"/>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 xml:space="preserve">7.7. Na ausência de previsão legal quanto ao índice substituto, as partes elegerão novo índice oficial, para reajustamento do preço do valor remanescente, por meio de termo aditivo. </w:t>
      </w:r>
    </w:p>
    <w:p>
      <w:pPr>
        <w:pStyle w:val="Nivel2"/>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7.8. O reajuste será realizado por apostilamento.</w:t>
      </w:r>
    </w:p>
    <w:p>
      <w:pPr>
        <w:pStyle w:val="Nivel2"/>
        <w:numPr>
          <w:ilvl w:val="0"/>
          <w:numId w:val="0"/>
        </w:numPr>
        <w:spacing w:lineRule="auto" w:line="240" w:before="0" w:after="0"/>
        <w:ind w:left="360" w:right="0" w:hanging="0"/>
        <w:jc w:val="both"/>
        <w:rPr>
          <w:rFonts w:ascii="Verdana" w:hAnsi="Verdana"/>
          <w:sz w:val="18"/>
          <w:szCs w:val="18"/>
        </w:rPr>
      </w:pPr>
      <w:r>
        <w:rPr>
          <w:rFonts w:ascii="Verdana" w:hAnsi="Verdana"/>
          <w:sz w:val="18"/>
          <w:szCs w:val="18"/>
        </w:rPr>
      </w:r>
    </w:p>
    <w:p>
      <w:pPr>
        <w:pStyle w:val="Nivel01"/>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CLÁUSULA OITAVA – OBRIGAÇÕES DO CONTRATANTE</w:t>
      </w:r>
    </w:p>
    <w:p>
      <w:pPr>
        <w:pStyle w:val="Normal"/>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r>
    </w:p>
    <w:p>
      <w:pPr>
        <w:pStyle w:val="Nivel2"/>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8.1. São obrigações do Contratante:</w:t>
      </w:r>
    </w:p>
    <w:p>
      <w:pPr>
        <w:pStyle w:val="Nivel2"/>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a) Exigir o cumprimento de todas as obrigações assumidas pelo Contratado, de acordo com o contrato e seus anexos;</w:t>
      </w:r>
    </w:p>
    <w:p>
      <w:pPr>
        <w:pStyle w:val="Nivel2"/>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b) Receber o objeto no prazo e condições estabelecidas no Termo de Referência;</w:t>
      </w:r>
    </w:p>
    <w:p>
      <w:pPr>
        <w:pStyle w:val="Nivel2"/>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c) Notificar o Contratado, por escrito, sobre vícios, defeitos ou incorreções verificadas no objeto fornecido, para que seja por ele substituído, reparado ou corrigido, no total ou em parte, às suas expensas;</w:t>
      </w:r>
    </w:p>
    <w:p>
      <w:pPr>
        <w:pStyle w:val="Nivel2"/>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d) Acompanhar e fiscalizar a execução do contrato e o cumprimento das obrigações pelo Contratado;</w:t>
      </w:r>
    </w:p>
    <w:p>
      <w:pPr>
        <w:pStyle w:val="Nivel2"/>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e)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pPr>
        <w:pStyle w:val="Nivel2"/>
        <w:numPr>
          <w:ilvl w:val="0"/>
          <w:numId w:val="0"/>
        </w:numPr>
        <w:spacing w:lineRule="auto" w:line="240" w:before="0" w:after="3"/>
        <w:ind w:left="0" w:right="0" w:hanging="0"/>
        <w:jc w:val="both"/>
        <w:rPr>
          <w:rFonts w:ascii="Verdana" w:hAnsi="Verdana"/>
          <w:sz w:val="18"/>
          <w:szCs w:val="18"/>
        </w:rPr>
      </w:pPr>
      <w:r>
        <w:rPr>
          <w:rFonts w:ascii="Verdana" w:hAnsi="Verdana"/>
          <w:sz w:val="18"/>
          <w:szCs w:val="18"/>
        </w:rPr>
        <w:t>f) Efetuar o pagamento ao Contratado do valor correspondente à execução do objeto, no prazo, forma e condições estabelecidos no presente Contrato e no Termo de Referência;</w:t>
      </w:r>
    </w:p>
    <w:p>
      <w:pPr>
        <w:pStyle w:val="Nivel2"/>
        <w:numPr>
          <w:ilvl w:val="0"/>
          <w:numId w:val="0"/>
        </w:numPr>
        <w:spacing w:lineRule="auto" w:line="240" w:before="0" w:after="3"/>
        <w:ind w:left="0" w:right="0" w:hanging="0"/>
        <w:jc w:val="both"/>
        <w:rPr>
          <w:rFonts w:ascii="Verdana" w:hAnsi="Verdana"/>
          <w:sz w:val="18"/>
          <w:szCs w:val="18"/>
        </w:rPr>
      </w:pPr>
      <w:r>
        <w:rPr>
          <w:rFonts w:ascii="Verdana" w:hAnsi="Verdana"/>
          <w:sz w:val="18"/>
          <w:szCs w:val="18"/>
        </w:rPr>
        <w:t xml:space="preserve">g) Aplicar ao Contratado as sanções previstas na lei e neste Contrato; </w:t>
      </w:r>
    </w:p>
    <w:p>
      <w:pPr>
        <w:pStyle w:val="Nivel2"/>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h) Cientificar o órgão de representação judicial para adoção das medidas cabíveis quando do descumprimento de obrigações pelo Contratado;</w:t>
      </w:r>
    </w:p>
    <w:p>
      <w:pPr>
        <w:pStyle w:val="Nivel2"/>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i) 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pStyle w:val="Nivel3"/>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j) A Administração terá o prazo de</w:t>
      </w:r>
      <w:r>
        <w:rPr>
          <w:rFonts w:ascii="Verdana" w:hAnsi="Verdana"/>
          <w:i w:val="false"/>
          <w:iCs w:val="false"/>
          <w:color w:val="auto"/>
          <w:sz w:val="18"/>
          <w:szCs w:val="18"/>
        </w:rPr>
        <w:t xml:space="preserve"> </w:t>
      </w:r>
      <w:r>
        <w:rPr>
          <w:rFonts w:eastAsia="ＭＳ 明朝" w:cs="Arial" w:ascii="Verdana" w:hAnsi="Verdana"/>
          <w:i w:val="false"/>
          <w:iCs w:val="false"/>
          <w:color w:val="auto"/>
          <w:kern w:val="0"/>
          <w:sz w:val="18"/>
          <w:szCs w:val="18"/>
          <w:lang w:val="pt-BR" w:eastAsia="pt-BR" w:bidi="ar-SA"/>
        </w:rPr>
        <w:t>01 mês</w:t>
      </w:r>
      <w:r>
        <w:rPr>
          <w:rFonts w:ascii="Verdana" w:hAnsi="Verdana"/>
          <w:i w:val="false"/>
          <w:iCs w:val="false"/>
          <w:color w:val="auto"/>
          <w:sz w:val="18"/>
          <w:szCs w:val="18"/>
        </w:rPr>
        <w:t>,</w:t>
      </w:r>
      <w:r>
        <w:rPr>
          <w:rFonts w:ascii="Verdana" w:hAnsi="Verdana"/>
          <w:sz w:val="18"/>
          <w:szCs w:val="18"/>
        </w:rPr>
        <w:t xml:space="preserve"> a contar da data do protocolo do requerimento para decidir, admitida a prorrogação motivada, por igual período. </w:t>
      </w:r>
    </w:p>
    <w:p>
      <w:pPr>
        <w:pStyle w:val="Nivel2"/>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 xml:space="preserve">k) Responder eventuais pedidos de reestabelecimento do equilíbrio econômico-financeiro feitos pelo contratado no prazo máximo de </w:t>
      </w:r>
      <w:r>
        <w:rPr>
          <w:rFonts w:eastAsia="ＭＳ 明朝" w:cs="Arial" w:ascii="Verdana" w:hAnsi="Verdana"/>
          <w:i w:val="false"/>
          <w:iCs w:val="false"/>
          <w:color w:val="auto"/>
          <w:kern w:val="0"/>
          <w:sz w:val="18"/>
          <w:szCs w:val="18"/>
          <w:lang w:val="pt-BR" w:eastAsia="pt-BR" w:bidi="ar-SA"/>
        </w:rPr>
        <w:t>01 mês.</w:t>
      </w:r>
    </w:p>
    <w:p>
      <w:pPr>
        <w:pStyle w:val="Nvel2Red"/>
        <w:numPr>
          <w:ilvl w:val="0"/>
          <w:numId w:val="0"/>
        </w:numPr>
        <w:spacing w:lineRule="auto" w:line="240" w:before="0" w:after="0"/>
        <w:ind w:left="0" w:right="0" w:hanging="0"/>
        <w:jc w:val="both"/>
        <w:rPr>
          <w:rFonts w:ascii="Verdana" w:hAnsi="Verdana"/>
          <w:sz w:val="18"/>
          <w:szCs w:val="18"/>
        </w:rPr>
      </w:pPr>
      <w:r>
        <w:rPr>
          <w:rFonts w:ascii="Verdana" w:hAnsi="Verdana"/>
          <w:i w:val="false"/>
          <w:iCs w:val="false"/>
          <w:color w:val="auto"/>
          <w:sz w:val="18"/>
          <w:szCs w:val="18"/>
        </w:rPr>
        <w:t>l) Notificar os emitentes das garantias quanto ao início de processo administrativo para apuração de descumprimento de cláusulas contratuais.</w:t>
      </w:r>
    </w:p>
    <w:p>
      <w:pPr>
        <w:pStyle w:val="Nivel2"/>
        <w:numPr>
          <w:ilvl w:val="0"/>
          <w:numId w:val="0"/>
        </w:numPr>
        <w:spacing w:lineRule="auto" w:line="240" w:before="0" w:after="3"/>
        <w:ind w:left="0" w:right="0" w:hanging="0"/>
        <w:jc w:val="both"/>
        <w:rPr/>
      </w:pPr>
      <w:r>
        <w:rPr>
          <w:rFonts w:ascii="Verdana" w:hAnsi="Verdana"/>
          <w:sz w:val="18"/>
          <w:szCs w:val="18"/>
        </w:rPr>
        <w:t xml:space="preserve">m) Comunicar o Contratado na hipótese de posterior alteração do projeto pelo Contratante, no caso </w:t>
      </w:r>
      <w:r>
        <w:fldChar w:fldCharType="begin"/>
      </w:r>
      <w:r>
        <w:rPr>
          <w:rStyle w:val="LinkdaInternet"/>
          <w:sz w:val="18"/>
          <w:szCs w:val="18"/>
          <w:rFonts w:ascii="Verdana" w:hAnsi="Verdana"/>
          <w:color w:val="auto"/>
        </w:rPr>
        <w:instrText> HYPERLINK "http://www.planalto.gov.br/ccivil_03/_ato2019-2022/2021/lei/L14133.htm" \l "art93§2"</w:instrText>
      </w:r>
      <w:r>
        <w:rPr>
          <w:rStyle w:val="LinkdaInternet"/>
          <w:sz w:val="18"/>
          <w:szCs w:val="18"/>
          <w:rFonts w:ascii="Verdana" w:hAnsi="Verdana"/>
          <w:color w:val="auto"/>
        </w:rPr>
        <w:fldChar w:fldCharType="separate"/>
      </w:r>
      <w:r>
        <w:rPr>
          <w:rStyle w:val="LinkdaInternet"/>
          <w:rFonts w:ascii="Verdana" w:hAnsi="Verdana"/>
          <w:color w:val="auto"/>
          <w:sz w:val="18"/>
          <w:szCs w:val="18"/>
        </w:rPr>
        <w:t>do art. 93, §2º, da Lei nº 14.133, de 2021</w:t>
      </w:r>
      <w:r>
        <w:rPr>
          <w:rStyle w:val="LinkdaInternet"/>
          <w:sz w:val="18"/>
          <w:szCs w:val="18"/>
          <w:rFonts w:ascii="Verdana" w:hAnsi="Verdana"/>
          <w:color w:val="auto"/>
        </w:rPr>
        <w:fldChar w:fldCharType="end"/>
      </w:r>
      <w:r>
        <w:rPr>
          <w:rFonts w:ascii="Verdana" w:hAnsi="Verdana"/>
          <w:color w:val="auto"/>
          <w:sz w:val="18"/>
          <w:szCs w:val="18"/>
        </w:rPr>
        <w:t>.</w:t>
      </w:r>
    </w:p>
    <w:p>
      <w:pPr>
        <w:pStyle w:val="Nivel2"/>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n)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Nivel01"/>
        <w:numPr>
          <w:ilvl w:val="0"/>
          <w:numId w:val="0"/>
        </w:numPr>
        <w:spacing w:lineRule="auto" w:line="240" w:before="0" w:after="0"/>
        <w:ind w:left="360" w:right="0" w:hanging="0"/>
        <w:jc w:val="both"/>
        <w:rPr>
          <w:rFonts w:ascii="Verdana" w:hAnsi="Verdana"/>
          <w:sz w:val="18"/>
          <w:szCs w:val="18"/>
        </w:rPr>
      </w:pPr>
      <w:r>
        <w:rPr>
          <w:rFonts w:ascii="Verdana" w:hAnsi="Verdana"/>
          <w:sz w:val="18"/>
          <w:szCs w:val="18"/>
        </w:rPr>
      </w:r>
    </w:p>
    <w:p>
      <w:pPr>
        <w:pStyle w:val="Nivel01"/>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CLÁUSULA NONA – OBRIGAÇÕES DO CONTRATADO</w:t>
      </w:r>
    </w:p>
    <w:p>
      <w:pPr>
        <w:pStyle w:val="Normal"/>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r>
    </w:p>
    <w:p>
      <w:pPr>
        <w:pStyle w:val="Nivel2"/>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9.1. O Contratado deve cumprir todas as obrigações constantes deste Contrato e de seus anexos, assumindo como exclusivamente seus os riscos e as despesas decorrentes da boa e perfeita execução do objeto, observando, ainda, as obrigações a seguir dispostas:</w:t>
      </w:r>
    </w:p>
    <w:p>
      <w:pPr>
        <w:pStyle w:val="Nivel2"/>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9.2. Manter preposto aceito pela Administração no local da obra ou do serviço para representá-lo na execução do contrato.</w:t>
      </w:r>
    </w:p>
    <w:p>
      <w:pPr>
        <w:pStyle w:val="Nivel3"/>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9.3. A indicação ou a manutenção do preposto da empresa poderá ser recusada pelo órgão ou entidade, desde que devidamente justificada, devendo a empresa designar outro para o exercício da atividade.</w:t>
      </w:r>
    </w:p>
    <w:p>
      <w:pPr>
        <w:pStyle w:val="Nivel2"/>
        <w:numPr>
          <w:ilvl w:val="0"/>
          <w:numId w:val="0"/>
        </w:numPr>
        <w:spacing w:lineRule="auto" w:line="240" w:before="0" w:after="0"/>
        <w:ind w:left="0" w:right="0" w:hanging="0"/>
        <w:jc w:val="both"/>
        <w:rPr/>
      </w:pPr>
      <w:r>
        <w:rPr>
          <w:rFonts w:ascii="Verdana" w:hAnsi="Verdana"/>
          <w:sz w:val="18"/>
          <w:szCs w:val="18"/>
        </w:rPr>
        <w:t>9.4. Atender às determinações regulares emitidas pelo fiscal do contrato ou autoridade superior (</w:t>
      </w:r>
      <w:r>
        <w:fldChar w:fldCharType="begin"/>
      </w:r>
      <w:r>
        <w:rPr>
          <w:rStyle w:val="LinkdaInternet"/>
          <w:sz w:val="18"/>
          <w:szCs w:val="18"/>
          <w:rFonts w:ascii="Verdana" w:hAnsi="Verdana"/>
        </w:rPr>
        <w:instrText> HYPERLINK "http://www.planalto.gov.br/ccivil_03/_ato2019-2022/2021/lei/L14133.htm" \l "art137"</w:instrText>
      </w:r>
      <w:r>
        <w:rPr>
          <w:rStyle w:val="LinkdaInternet"/>
          <w:sz w:val="18"/>
          <w:szCs w:val="18"/>
          <w:rFonts w:ascii="Verdana" w:hAnsi="Verdana"/>
        </w:rPr>
        <w:fldChar w:fldCharType="separate"/>
      </w:r>
      <w:r>
        <w:rPr>
          <w:rStyle w:val="LinkdaInternet"/>
          <w:rFonts w:ascii="Verdana" w:hAnsi="Verdana"/>
          <w:sz w:val="18"/>
          <w:szCs w:val="18"/>
        </w:rPr>
        <w:t>art. 137, II</w:t>
      </w:r>
      <w:r>
        <w:rPr>
          <w:rStyle w:val="LinkdaInternet"/>
          <w:sz w:val="18"/>
          <w:szCs w:val="18"/>
          <w:rFonts w:ascii="Verdana" w:hAnsi="Verdana"/>
        </w:rPr>
        <w:fldChar w:fldCharType="end"/>
      </w:r>
      <w:r>
        <w:rPr>
          <w:rFonts w:ascii="Verdana" w:hAnsi="Verdana"/>
          <w:sz w:val="18"/>
          <w:szCs w:val="18"/>
        </w:rPr>
        <w:t>);</w:t>
      </w:r>
    </w:p>
    <w:p>
      <w:pPr>
        <w:pStyle w:val="Nivel2"/>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9.5.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pPr>
        <w:pStyle w:val="Nivel2"/>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9.6. Reparar, corrigir, remover, reconstruir ou substituir, às suas expensas, no total ou em parte, no prazo fixado pelo fiscal do contrato, os serviços nos quais se verificarem vícios, defeitos ou incorreções resultantes da execução ou dos materiais empregados;</w:t>
      </w:r>
    </w:p>
    <w:p>
      <w:pPr>
        <w:pStyle w:val="Nivel2"/>
        <w:numPr>
          <w:ilvl w:val="0"/>
          <w:numId w:val="0"/>
        </w:numPr>
        <w:spacing w:lineRule="auto" w:line="240" w:before="0" w:after="0"/>
        <w:ind w:left="0" w:right="0" w:hanging="0"/>
        <w:jc w:val="both"/>
        <w:rPr/>
      </w:pPr>
      <w:r>
        <w:rPr>
          <w:rFonts w:ascii="Verdana" w:hAnsi="Verdana"/>
          <w:sz w:val="18"/>
          <w:szCs w:val="18"/>
        </w:rPr>
        <w:t xml:space="preserve">9.7. Responsabilizar-se pelos vícios e danos decorrentes da execução do objeto, de acordo com o </w:t>
      </w:r>
      <w:hyperlink r:id="rId3">
        <w:r>
          <w:rPr>
            <w:rStyle w:val="LinkdaInternet"/>
            <w:rFonts w:ascii="Verdana" w:hAnsi="Verdana"/>
            <w:sz w:val="18"/>
            <w:szCs w:val="18"/>
          </w:rPr>
          <w:t>Código de Defesa do Consumidor (Lei nº 8.078, de 1990</w:t>
        </w:r>
      </w:hyperlink>
      <w:r>
        <w:rPr>
          <w:rFonts w:ascii="Verdana" w:hAnsi="Verdana"/>
          <w:sz w:val="18"/>
          <w:szCs w:val="1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pPr>
        <w:pStyle w:val="Nivel2"/>
        <w:numPr>
          <w:ilvl w:val="0"/>
          <w:numId w:val="0"/>
        </w:numPr>
        <w:spacing w:lineRule="auto" w:line="240" w:before="0" w:after="0"/>
        <w:ind w:left="0" w:right="0" w:hanging="0"/>
        <w:jc w:val="both"/>
        <w:rPr/>
      </w:pPr>
      <w:r>
        <w:rPr>
          <w:rFonts w:ascii="Verdana" w:hAnsi="Verdana"/>
          <w:sz w:val="18"/>
          <w:szCs w:val="18"/>
        </w:rPr>
        <w:t xml:space="preserve">9.8. Não contratar, durante a vigência do contrato, cônjuge, companheiro ou parente em linha reta, colateral ou por afinidade, até o terceiro grau, de dirigente do contratante ou do fiscal ou gestor do contrato, nos termos do </w:t>
      </w:r>
      <w:r>
        <w:fldChar w:fldCharType="begin"/>
      </w:r>
      <w:r>
        <w:rPr>
          <w:rStyle w:val="LinkdaInternet"/>
          <w:sz w:val="18"/>
          <w:szCs w:val="18"/>
          <w:rFonts w:ascii="Verdana" w:hAnsi="Verdana"/>
        </w:rPr>
        <w:instrText> HYPERLINK "http://www.planalto.gov.br/ccivil_03/_ato2019-2022/2021/lei/L14133.htm" \l "art48"</w:instrText>
      </w:r>
      <w:r>
        <w:rPr>
          <w:rStyle w:val="LinkdaInternet"/>
          <w:sz w:val="18"/>
          <w:szCs w:val="18"/>
          <w:rFonts w:ascii="Verdana" w:hAnsi="Verdana"/>
        </w:rPr>
        <w:fldChar w:fldCharType="separate"/>
      </w:r>
      <w:r>
        <w:rPr>
          <w:rStyle w:val="LinkdaInternet"/>
          <w:rFonts w:ascii="Verdana" w:hAnsi="Verdana"/>
          <w:sz w:val="18"/>
          <w:szCs w:val="18"/>
        </w:rPr>
        <w:t>artigo 48, parágrafo único, da Lei nº 14.133, de 2021</w:t>
      </w:r>
      <w:r>
        <w:rPr>
          <w:rStyle w:val="LinkdaInternet"/>
          <w:sz w:val="18"/>
          <w:szCs w:val="18"/>
          <w:rFonts w:ascii="Verdana" w:hAnsi="Verdana"/>
        </w:rPr>
        <w:fldChar w:fldCharType="end"/>
      </w:r>
      <w:r>
        <w:rPr>
          <w:rFonts w:ascii="Verdana" w:hAnsi="Verdana"/>
          <w:sz w:val="18"/>
          <w:szCs w:val="18"/>
        </w:rPr>
        <w:t>;</w:t>
      </w:r>
    </w:p>
    <w:p>
      <w:pPr>
        <w:pStyle w:val="Nivel2"/>
        <w:numPr>
          <w:ilvl w:val="0"/>
          <w:numId w:val="0"/>
        </w:numPr>
        <w:spacing w:lineRule="auto" w:line="240" w:before="0" w:after="0"/>
        <w:ind w:left="0" w:right="0" w:hanging="0"/>
        <w:jc w:val="both"/>
        <w:rPr>
          <w:rFonts w:ascii="Verdana" w:hAnsi="Verdana"/>
          <w:sz w:val="18"/>
          <w:szCs w:val="18"/>
        </w:rPr>
      </w:pPr>
      <w:r>
        <w:rPr>
          <w:rFonts w:ascii="Verdana" w:hAnsi="Verdana"/>
          <w:color w:val="000000"/>
          <w:sz w:val="18"/>
          <w:szCs w:val="18"/>
        </w:rPr>
        <w:t>9.9. Quando não for possível a verificação da regularidade no Sistema</w:t>
      </w:r>
      <w:r>
        <w:rPr>
          <w:rFonts w:ascii="Verdana" w:hAnsi="Verdana"/>
          <w:sz w:val="18"/>
          <w:szCs w:val="18"/>
        </w:rPr>
        <w:t xml:space="preserve">, o contratado deverá entregar ao setor responsável pela fiscalização do contrato, até o dia trinta do mês seguinte ao da prestação dos serviços, os seguintes documentos: </w:t>
      </w:r>
    </w:p>
    <w:p>
      <w:pPr>
        <w:pStyle w:val="Nivel2"/>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 xml:space="preserve">1) prova de regularidade relativa à Seguridade Social; </w:t>
      </w:r>
    </w:p>
    <w:p>
      <w:pPr>
        <w:pStyle w:val="Nivel2"/>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2) certidão conjunta relativa aos tributos federais e à Dívida Ativa da União;</w:t>
      </w:r>
    </w:p>
    <w:p>
      <w:pPr>
        <w:pStyle w:val="Nivel2"/>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3) certidões que comprovem a regularidade perante a Fazenda Municipal ou Distrital do domicílio ou sede do contratado;</w:t>
      </w:r>
    </w:p>
    <w:p>
      <w:pPr>
        <w:pStyle w:val="Nivel2"/>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 xml:space="preserve">4) Certidão de Regularidade do FGTS – CRF; e </w:t>
      </w:r>
    </w:p>
    <w:p>
      <w:pPr>
        <w:pStyle w:val="Nivel2"/>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 xml:space="preserve">5) Certidão Negativa de Débitos Trabalhistas – CNDT; </w:t>
      </w:r>
    </w:p>
    <w:p>
      <w:pPr>
        <w:pStyle w:val="Nivel2"/>
        <w:numPr>
          <w:ilvl w:val="0"/>
          <w:numId w:val="0"/>
        </w:numPr>
        <w:spacing w:lineRule="auto" w:line="240" w:before="0" w:after="3"/>
        <w:ind w:left="0" w:right="0" w:hanging="0"/>
        <w:jc w:val="both"/>
        <w:rPr>
          <w:rFonts w:ascii="Verdana" w:hAnsi="Verdana"/>
          <w:sz w:val="18"/>
          <w:szCs w:val="18"/>
        </w:rPr>
      </w:pPr>
      <w:r>
        <w:rPr>
          <w:rFonts w:ascii="Verdana" w:hAnsi="Verdana"/>
          <w:sz w:val="18"/>
          <w:szCs w:val="18"/>
        </w:rPr>
        <w:t xml:space="preserve">9.10.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pPr>
        <w:pStyle w:val="Nivel2"/>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9.11. Comunicar ao Fiscal do contrato, no prazo de 24 (vinte e quatro) horas, qualquer ocorrência anormal ou acidente que se verifique no local dos serviços.</w:t>
      </w:r>
    </w:p>
    <w:p>
      <w:pPr>
        <w:pStyle w:val="Nivel2"/>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9.12. Prestar todo esclarecimento ou informação solicitada pelo Contratante ou por seus prepostos, garantindo-lhes o acesso, a qualquer tempo, ao local dos trabalhos, bem como aos documentos relativos à execução do empreendimento.</w:t>
      </w:r>
    </w:p>
    <w:p>
      <w:pPr>
        <w:pStyle w:val="Nivel2"/>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9.13. Paralisar, por determinação do Contratante, qualquer atividade que não esteja sendo executada de acordo com a boa técnica ou que ponha em risco a segurança de pessoas ou bens de terceiros.</w:t>
      </w:r>
    </w:p>
    <w:p>
      <w:pPr>
        <w:pStyle w:val="Nivel2"/>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9.14. Promover a guarda, manutenção e vigilância de materiais, ferramentas, e tudo o que for necessário à execução do objeto, durante a vigência do contrato.</w:t>
      </w:r>
    </w:p>
    <w:p>
      <w:pPr>
        <w:pStyle w:val="Nivel2"/>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9.15. Conduzir os trabalhos com estrita observância às normas da legislação pertinente, cumprindo as determinações dos Poderes Públicos, mantendo sempre limpo o local dos serviços e nas melhores condições de segurança, higiene e disciplina.</w:t>
      </w:r>
    </w:p>
    <w:p>
      <w:pPr>
        <w:pStyle w:val="Nivel2"/>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9.16. Submeter previamente, por escrito, ao Contratante, para análise e aprovação, quaisquer mudanças nos métodos executivos que fujam às especificações do memorial descritivo ou instrumento congênere.</w:t>
      </w:r>
    </w:p>
    <w:p>
      <w:pPr>
        <w:pStyle w:val="Nivel2"/>
        <w:numPr>
          <w:ilvl w:val="0"/>
          <w:numId w:val="0"/>
        </w:numPr>
        <w:spacing w:lineRule="auto" w:line="240" w:before="0" w:after="3"/>
        <w:ind w:left="0" w:right="0" w:hanging="0"/>
        <w:jc w:val="both"/>
        <w:rPr>
          <w:rFonts w:ascii="Verdana" w:hAnsi="Verdana"/>
          <w:sz w:val="18"/>
          <w:szCs w:val="18"/>
        </w:rPr>
      </w:pPr>
      <w:r>
        <w:rPr>
          <w:rFonts w:ascii="Verdana" w:hAnsi="Verdana"/>
          <w:sz w:val="18"/>
          <w:szCs w:val="18"/>
        </w:rPr>
        <w:t>9.17. Não permitir a utilização de qualquer trabalho do menor de dezesseis anos, exceto na condição de aprendiz para os maiores de quatorze anos, nem permitir a utilização do trabalho do menor de dezoito anos em trabalho noturno, perigoso ou insalubre;</w:t>
      </w:r>
    </w:p>
    <w:p>
      <w:pPr>
        <w:pStyle w:val="Nivel2"/>
        <w:numPr>
          <w:ilvl w:val="0"/>
          <w:numId w:val="0"/>
        </w:numPr>
        <w:spacing w:lineRule="auto" w:line="240" w:before="0" w:after="3"/>
        <w:ind w:left="0" w:right="0" w:hanging="0"/>
        <w:jc w:val="both"/>
        <w:rPr>
          <w:rFonts w:ascii="Verdana" w:hAnsi="Verdana"/>
          <w:sz w:val="18"/>
          <w:szCs w:val="18"/>
        </w:rPr>
      </w:pPr>
      <w:r>
        <w:rPr>
          <w:rFonts w:ascii="Verdana" w:hAnsi="Verdana"/>
          <w:sz w:val="18"/>
          <w:szCs w:val="18"/>
        </w:rPr>
        <w:t xml:space="preserve">9.18. Manter durante toda a vigência do contrato, em compatibilidade com as obrigações assumidas, todas as condições exigidas para habilitação na licitação; </w:t>
      </w:r>
    </w:p>
    <w:p>
      <w:pPr>
        <w:pStyle w:val="Nivel2"/>
        <w:numPr>
          <w:ilvl w:val="0"/>
          <w:numId w:val="0"/>
        </w:numPr>
        <w:spacing w:lineRule="auto" w:line="240" w:before="0" w:after="0"/>
        <w:ind w:left="0" w:right="0" w:hanging="0"/>
        <w:jc w:val="both"/>
        <w:rPr/>
      </w:pPr>
      <w:r>
        <w:rPr>
          <w:rFonts w:ascii="Verdana" w:hAnsi="Verdana"/>
          <w:sz w:val="18"/>
          <w:szCs w:val="18"/>
        </w:rPr>
        <w:t>9.19. Cumprir, durante todo o período de execução do contrato, a reserva de cargos prevista em lei para pessoa com deficiência, para reabilitado da Previdência Social ou para aprendiz, bem como as reservas de cargos previstas na legislação (</w:t>
      </w:r>
      <w:r>
        <w:fldChar w:fldCharType="begin"/>
      </w:r>
      <w:r>
        <w:rPr>
          <w:rStyle w:val="LinkdaInternet"/>
          <w:sz w:val="18"/>
          <w:szCs w:val="18"/>
          <w:rFonts w:ascii="Verdana" w:hAnsi="Verdana"/>
        </w:rPr>
        <w:instrText> HYPERLINK "http://www.planalto.gov.br/ccivil_03/_ato2019-2022/2021/lei/L14133.htm" \l "art116"</w:instrText>
      </w:r>
      <w:r>
        <w:rPr>
          <w:rStyle w:val="LinkdaInternet"/>
          <w:sz w:val="18"/>
          <w:szCs w:val="18"/>
          <w:rFonts w:ascii="Verdana" w:hAnsi="Verdana"/>
        </w:rPr>
        <w:fldChar w:fldCharType="separate"/>
      </w:r>
      <w:r>
        <w:rPr>
          <w:rStyle w:val="LinkdaInternet"/>
          <w:rFonts w:ascii="Verdana" w:hAnsi="Verdana"/>
          <w:sz w:val="18"/>
          <w:szCs w:val="18"/>
        </w:rPr>
        <w:t>art. 116</w:t>
      </w:r>
      <w:r>
        <w:rPr>
          <w:rStyle w:val="LinkdaInternet"/>
          <w:sz w:val="18"/>
          <w:szCs w:val="18"/>
          <w:rFonts w:ascii="Verdana" w:hAnsi="Verdana"/>
        </w:rPr>
        <w:fldChar w:fldCharType="end"/>
      </w:r>
      <w:r>
        <w:rPr>
          <w:rFonts w:ascii="Verdana" w:hAnsi="Verdana"/>
          <w:sz w:val="18"/>
          <w:szCs w:val="18"/>
        </w:rPr>
        <w:t>);</w:t>
      </w:r>
    </w:p>
    <w:p>
      <w:pPr>
        <w:pStyle w:val="Nivel2"/>
        <w:numPr>
          <w:ilvl w:val="0"/>
          <w:numId w:val="0"/>
        </w:numPr>
        <w:spacing w:lineRule="auto" w:line="240" w:before="0" w:after="0"/>
        <w:ind w:left="0" w:right="0" w:hanging="0"/>
        <w:jc w:val="both"/>
        <w:rPr/>
      </w:pPr>
      <w:r>
        <w:rPr>
          <w:rFonts w:ascii="Verdana" w:hAnsi="Verdana"/>
          <w:sz w:val="18"/>
          <w:szCs w:val="18"/>
        </w:rPr>
        <w:t>9.20. Comprovar a reserva de cargos a que se refere a cláusula acima, no prazo fixado pelo fiscal do contrato, com a indicação dos empregados que preencheram as referidas vagas (</w:t>
      </w:r>
      <w:r>
        <w:fldChar w:fldCharType="begin"/>
      </w:r>
      <w:r>
        <w:rPr>
          <w:rStyle w:val="LinkdaInternet"/>
          <w:sz w:val="18"/>
          <w:szCs w:val="18"/>
          <w:rFonts w:ascii="Verdana" w:hAnsi="Verdana"/>
        </w:rPr>
        <w:instrText> HYPERLINK "http://www.planalto.gov.br/ccivil_03/_ato2019-2022/2021/lei/L14133.htm" \l "art116"</w:instrText>
      </w:r>
      <w:r>
        <w:rPr>
          <w:rStyle w:val="LinkdaInternet"/>
          <w:sz w:val="18"/>
          <w:szCs w:val="18"/>
          <w:rFonts w:ascii="Verdana" w:hAnsi="Verdana"/>
        </w:rPr>
        <w:fldChar w:fldCharType="separate"/>
      </w:r>
      <w:r>
        <w:rPr>
          <w:rStyle w:val="LinkdaInternet"/>
          <w:rFonts w:ascii="Verdana" w:hAnsi="Verdana"/>
          <w:sz w:val="18"/>
          <w:szCs w:val="18"/>
        </w:rPr>
        <w:t>art. 116, parágrafo único</w:t>
      </w:r>
      <w:r>
        <w:rPr>
          <w:rStyle w:val="LinkdaInternet"/>
          <w:sz w:val="18"/>
          <w:szCs w:val="18"/>
          <w:rFonts w:ascii="Verdana" w:hAnsi="Verdana"/>
        </w:rPr>
        <w:fldChar w:fldCharType="end"/>
      </w:r>
      <w:r>
        <w:rPr>
          <w:rFonts w:ascii="Verdana" w:hAnsi="Verdana"/>
          <w:sz w:val="18"/>
          <w:szCs w:val="18"/>
        </w:rPr>
        <w:t>);</w:t>
      </w:r>
    </w:p>
    <w:p>
      <w:pPr>
        <w:pStyle w:val="Nivel2"/>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9.21. Guardar sigilo sobre todas as informações obtidas em decorrência do cumprimento do contrato;</w:t>
      </w:r>
    </w:p>
    <w:p>
      <w:pPr>
        <w:pStyle w:val="Nivel2"/>
        <w:numPr>
          <w:ilvl w:val="0"/>
          <w:numId w:val="0"/>
        </w:numPr>
        <w:spacing w:lineRule="auto" w:line="240" w:before="0" w:after="0"/>
        <w:ind w:left="0" w:right="0" w:hanging="0"/>
        <w:jc w:val="both"/>
        <w:rPr/>
      </w:pPr>
      <w:r>
        <w:rPr>
          <w:rFonts w:ascii="Verdana" w:hAnsi="Verdana"/>
          <w:sz w:val="18"/>
          <w:szCs w:val="18"/>
        </w:rPr>
        <w:t xml:space="preserve">9.22.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fldChar w:fldCharType="begin"/>
      </w:r>
      <w:r>
        <w:rPr>
          <w:rStyle w:val="LinkdaInternet"/>
          <w:sz w:val="18"/>
          <w:szCs w:val="18"/>
          <w:rFonts w:ascii="Verdana" w:hAnsi="Verdana"/>
        </w:rPr>
        <w:instrText> HYPERLINK "http://www.planalto.gov.br/ccivil_03/_ato2019-2022/2021/lei/L14133.htm" \l "art124"</w:instrText>
      </w:r>
      <w:r>
        <w:rPr>
          <w:rStyle w:val="LinkdaInternet"/>
          <w:sz w:val="18"/>
          <w:szCs w:val="18"/>
          <w:rFonts w:ascii="Verdana" w:hAnsi="Verdana"/>
        </w:rPr>
        <w:fldChar w:fldCharType="separate"/>
      </w:r>
      <w:r>
        <w:rPr>
          <w:rStyle w:val="LinkdaInternet"/>
          <w:rFonts w:ascii="Verdana" w:hAnsi="Verdana"/>
          <w:sz w:val="18"/>
          <w:szCs w:val="18"/>
        </w:rPr>
        <w:t>art. 124, II, d, da Lei nº 14.133, de 2021</w:t>
      </w:r>
      <w:r>
        <w:rPr>
          <w:rStyle w:val="LinkdaInternet"/>
          <w:sz w:val="18"/>
          <w:szCs w:val="18"/>
          <w:rFonts w:ascii="Verdana" w:hAnsi="Verdana"/>
        </w:rPr>
        <w:fldChar w:fldCharType="end"/>
      </w:r>
      <w:r>
        <w:rPr>
          <w:rFonts w:ascii="Verdana" w:hAnsi="Verdana"/>
          <w:sz w:val="18"/>
          <w:szCs w:val="18"/>
        </w:rPr>
        <w:t>;</w:t>
      </w:r>
    </w:p>
    <w:p>
      <w:pPr>
        <w:pStyle w:val="Nivel2"/>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9.23. Cumprir, além dos postulados legais vigentes de âmbito federal, estadual ou municipal, as normas de segurança do Contratante.</w:t>
      </w:r>
    </w:p>
    <w:p>
      <w:pPr>
        <w:pStyle w:val="Nivel3"/>
        <w:numPr>
          <w:ilvl w:val="0"/>
          <w:numId w:val="0"/>
        </w:numPr>
        <w:spacing w:lineRule="auto" w:line="240" w:before="0" w:after="0"/>
        <w:ind w:left="360" w:right="0" w:hanging="0"/>
        <w:jc w:val="both"/>
        <w:rPr>
          <w:rFonts w:ascii="Verdana" w:hAnsi="Verdana"/>
          <w:i/>
          <w:i/>
          <w:iCs/>
          <w:color w:val="FF0000"/>
          <w:sz w:val="18"/>
          <w:szCs w:val="18"/>
        </w:rPr>
      </w:pPr>
      <w:r>
        <w:rPr>
          <w:rFonts w:ascii="Verdana" w:hAnsi="Verdana"/>
          <w:i/>
          <w:iCs/>
          <w:color w:val="FF0000"/>
          <w:sz w:val="18"/>
          <w:szCs w:val="18"/>
        </w:rPr>
      </w:r>
    </w:p>
    <w:p>
      <w:pPr>
        <w:pStyle w:val="Nivel01"/>
        <w:numPr>
          <w:ilvl w:val="0"/>
          <w:numId w:val="0"/>
        </w:numPr>
        <w:spacing w:lineRule="auto" w:line="240" w:before="0" w:after="0"/>
        <w:ind w:left="0" w:right="0" w:hanging="0"/>
        <w:jc w:val="both"/>
        <w:rPr>
          <w:rFonts w:ascii="Verdana" w:hAnsi="Verdana"/>
          <w:sz w:val="18"/>
          <w:szCs w:val="18"/>
        </w:rPr>
      </w:pPr>
      <w:r>
        <w:rPr>
          <w:rFonts w:ascii="Verdana" w:hAnsi="Verdana"/>
          <w:i w:val="false"/>
          <w:iCs w:val="false"/>
          <w:color w:val="auto"/>
          <w:sz w:val="18"/>
          <w:szCs w:val="18"/>
        </w:rPr>
        <w:t>CLÁUSULA DÉCIMA – OBRIGAÇÕES PERTINENTES À LGPD</w:t>
      </w:r>
    </w:p>
    <w:p>
      <w:pPr>
        <w:pStyle w:val="Normal"/>
        <w:numPr>
          <w:ilvl w:val="0"/>
          <w:numId w:val="0"/>
        </w:numPr>
        <w:spacing w:lineRule="auto" w:line="240" w:before="0" w:after="0"/>
        <w:ind w:left="0" w:right="0" w:hanging="0"/>
        <w:jc w:val="both"/>
        <w:rPr>
          <w:i w:val="false"/>
          <w:i w:val="false"/>
          <w:iCs w:val="false"/>
          <w:color w:val="auto"/>
        </w:rPr>
      </w:pPr>
      <w:r>
        <w:rPr>
          <w:rFonts w:ascii="Verdana" w:hAnsi="Verdana"/>
          <w:sz w:val="18"/>
          <w:szCs w:val="18"/>
        </w:rPr>
      </w:r>
    </w:p>
    <w:p>
      <w:pPr>
        <w:pStyle w:val="Nvel2Red"/>
        <w:numPr>
          <w:ilvl w:val="0"/>
          <w:numId w:val="0"/>
        </w:numPr>
        <w:spacing w:lineRule="auto" w:line="240" w:before="0" w:after="0"/>
        <w:ind w:left="0" w:right="0" w:hanging="0"/>
        <w:jc w:val="both"/>
        <w:rPr/>
      </w:pPr>
      <w:r>
        <w:rPr>
          <w:rFonts w:ascii="Verdana" w:hAnsi="Verdana"/>
          <w:i w:val="false"/>
          <w:iCs w:val="false"/>
          <w:color w:val="auto"/>
          <w:sz w:val="18"/>
          <w:szCs w:val="18"/>
        </w:rPr>
        <w:t xml:space="preserve">10.1. As partes deverão cumprir a </w:t>
      </w:r>
      <w:hyperlink r:id="rId4">
        <w:r>
          <w:rPr>
            <w:rStyle w:val="LinkdaInternet"/>
            <w:rFonts w:ascii="Verdana" w:hAnsi="Verdana"/>
            <w:i w:val="false"/>
            <w:iCs w:val="false"/>
            <w:color w:val="auto"/>
            <w:sz w:val="18"/>
            <w:szCs w:val="18"/>
          </w:rPr>
          <w:t>Lei nº 13.709, de 14 de agosto de 2018 (LGPD)</w:t>
        </w:r>
      </w:hyperlink>
      <w:r>
        <w:rPr>
          <w:rFonts w:ascii="Verdana" w:hAnsi="Verdana"/>
          <w:i w:val="false"/>
          <w:iCs w:val="false"/>
          <w:color w:val="auto"/>
          <w:sz w:val="18"/>
          <w:szCs w:val="18"/>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pPr>
        <w:pStyle w:val="Nvel2Red"/>
        <w:numPr>
          <w:ilvl w:val="0"/>
          <w:numId w:val="0"/>
        </w:numPr>
        <w:spacing w:lineRule="auto" w:line="240" w:before="0" w:after="0"/>
        <w:ind w:left="0" w:right="0" w:hanging="0"/>
        <w:jc w:val="both"/>
        <w:rPr/>
      </w:pPr>
      <w:r>
        <w:rPr>
          <w:rFonts w:ascii="Verdana" w:hAnsi="Verdana"/>
          <w:i w:val="false"/>
          <w:iCs w:val="false"/>
          <w:color w:val="auto"/>
          <w:sz w:val="18"/>
          <w:szCs w:val="18"/>
        </w:rPr>
        <w:t xml:space="preserve">10.2. Os dados obtidos somente poderão ser utilizados para as finalidades que justificaram seu acesso e de acordo com a boa-fé e com os princípios do </w:t>
      </w:r>
      <w:r>
        <w:fldChar w:fldCharType="begin"/>
      </w:r>
      <w:r>
        <w:rPr>
          <w:rStyle w:val="LinkdaInternet"/>
          <w:sz w:val="18"/>
          <w:i w:val="false"/>
          <w:szCs w:val="18"/>
          <w:iCs w:val="false"/>
          <w:rFonts w:ascii="Verdana" w:hAnsi="Verdana"/>
          <w:color w:val="auto"/>
        </w:rPr>
        <w:instrText> HYPERLINK "https://www.planalto.gov.br/ccivil_03/_ato2015-2018/2018/lei/l13709.htm" \l "art6"</w:instrText>
      </w:r>
      <w:r>
        <w:rPr>
          <w:rStyle w:val="LinkdaInternet"/>
          <w:sz w:val="18"/>
          <w:i w:val="false"/>
          <w:szCs w:val="18"/>
          <w:iCs w:val="false"/>
          <w:rFonts w:ascii="Verdana" w:hAnsi="Verdana"/>
          <w:color w:val="auto"/>
        </w:rPr>
        <w:fldChar w:fldCharType="separate"/>
      </w:r>
      <w:r>
        <w:rPr>
          <w:rStyle w:val="LinkdaInternet"/>
          <w:rFonts w:ascii="Verdana" w:hAnsi="Verdana"/>
          <w:i w:val="false"/>
          <w:iCs w:val="false"/>
          <w:color w:val="auto"/>
          <w:sz w:val="18"/>
          <w:szCs w:val="18"/>
        </w:rPr>
        <w:t>art. 6º da LGPD</w:t>
      </w:r>
      <w:r>
        <w:rPr>
          <w:rStyle w:val="LinkdaInternet"/>
          <w:sz w:val="18"/>
          <w:i w:val="false"/>
          <w:szCs w:val="18"/>
          <w:iCs w:val="false"/>
          <w:rFonts w:ascii="Verdana" w:hAnsi="Verdana"/>
          <w:color w:val="auto"/>
        </w:rPr>
        <w:fldChar w:fldCharType="end"/>
      </w:r>
      <w:r>
        <w:rPr>
          <w:rFonts w:ascii="Verdana" w:hAnsi="Verdana"/>
          <w:i w:val="false"/>
          <w:iCs w:val="false"/>
          <w:color w:val="auto"/>
          <w:sz w:val="18"/>
          <w:szCs w:val="18"/>
        </w:rPr>
        <w:t xml:space="preserve">. </w:t>
      </w:r>
    </w:p>
    <w:p>
      <w:pPr>
        <w:pStyle w:val="Nvel2Red"/>
        <w:numPr>
          <w:ilvl w:val="0"/>
          <w:numId w:val="0"/>
        </w:numPr>
        <w:spacing w:lineRule="auto" w:line="240" w:before="0" w:after="0"/>
        <w:ind w:left="0" w:right="0" w:hanging="0"/>
        <w:jc w:val="both"/>
        <w:rPr>
          <w:rFonts w:ascii="Verdana" w:hAnsi="Verdana"/>
          <w:sz w:val="18"/>
          <w:szCs w:val="18"/>
        </w:rPr>
      </w:pPr>
      <w:r>
        <w:rPr>
          <w:rFonts w:ascii="Verdana" w:hAnsi="Verdana"/>
          <w:i w:val="false"/>
          <w:iCs w:val="false"/>
          <w:color w:val="auto"/>
          <w:sz w:val="18"/>
          <w:szCs w:val="18"/>
        </w:rPr>
        <w:t>10.3. É vedado o compartilhamento com terceiros dos dados obtidos fora das hipóteses permitidas em Lei.</w:t>
      </w:r>
    </w:p>
    <w:p>
      <w:pPr>
        <w:pStyle w:val="Nvel2Red"/>
        <w:numPr>
          <w:ilvl w:val="0"/>
          <w:numId w:val="0"/>
        </w:numPr>
        <w:spacing w:lineRule="auto" w:line="240" w:before="0" w:after="0"/>
        <w:ind w:left="0" w:right="0" w:hanging="0"/>
        <w:jc w:val="both"/>
        <w:rPr>
          <w:rFonts w:ascii="Verdana" w:hAnsi="Verdana"/>
          <w:sz w:val="18"/>
          <w:szCs w:val="18"/>
        </w:rPr>
      </w:pPr>
      <w:r>
        <w:rPr>
          <w:rFonts w:ascii="Verdana" w:hAnsi="Verdana"/>
          <w:i w:val="false"/>
          <w:iCs w:val="false"/>
          <w:color w:val="auto"/>
          <w:sz w:val="18"/>
          <w:szCs w:val="18"/>
        </w:rPr>
        <w:t xml:space="preserve">10.4. A Administração deverá ser informada no prazo de 5 (cinco) dias úteis sobre todos os contratos de suboperação firmados ou que venham a ser celebrados pelo Contratado. </w:t>
      </w:r>
    </w:p>
    <w:p>
      <w:pPr>
        <w:pStyle w:val="Nvel2Red"/>
        <w:numPr>
          <w:ilvl w:val="0"/>
          <w:numId w:val="0"/>
        </w:numPr>
        <w:spacing w:lineRule="auto" w:line="240" w:before="0" w:after="0"/>
        <w:ind w:left="0" w:right="0" w:hanging="0"/>
        <w:jc w:val="both"/>
        <w:rPr/>
      </w:pPr>
      <w:r>
        <w:rPr>
          <w:rFonts w:ascii="Verdana" w:hAnsi="Verdana"/>
          <w:i w:val="false"/>
          <w:iCs w:val="false"/>
          <w:color w:val="auto"/>
          <w:sz w:val="18"/>
          <w:szCs w:val="18"/>
        </w:rPr>
        <w:t xml:space="preserve">10.5. Terminado o tratamento dos dados nos termos do </w:t>
      </w:r>
      <w:r>
        <w:fldChar w:fldCharType="begin"/>
      </w:r>
      <w:r>
        <w:rPr>
          <w:rStyle w:val="LinkdaInternet"/>
          <w:sz w:val="18"/>
          <w:i w:val="false"/>
          <w:szCs w:val="18"/>
          <w:iCs w:val="false"/>
          <w:rFonts w:ascii="Verdana" w:hAnsi="Verdana"/>
          <w:color w:val="auto"/>
        </w:rPr>
        <w:instrText> HYPERLINK "https://www.planalto.gov.br/ccivil_03/_ato2015-2018/2018/lei/l13709.htm" \l "art15"</w:instrText>
      </w:r>
      <w:r>
        <w:rPr>
          <w:rStyle w:val="LinkdaInternet"/>
          <w:sz w:val="18"/>
          <w:i w:val="false"/>
          <w:szCs w:val="18"/>
          <w:iCs w:val="false"/>
          <w:rFonts w:ascii="Verdana" w:hAnsi="Verdana"/>
          <w:color w:val="auto"/>
        </w:rPr>
        <w:fldChar w:fldCharType="separate"/>
      </w:r>
      <w:r>
        <w:rPr>
          <w:rStyle w:val="LinkdaInternet"/>
          <w:rFonts w:ascii="Verdana" w:hAnsi="Verdana"/>
          <w:i w:val="false"/>
          <w:iCs w:val="false"/>
          <w:color w:val="auto"/>
          <w:sz w:val="18"/>
          <w:szCs w:val="18"/>
        </w:rPr>
        <w:t>art. 15 da LGPD</w:t>
      </w:r>
      <w:r>
        <w:rPr>
          <w:rStyle w:val="LinkdaInternet"/>
          <w:sz w:val="18"/>
          <w:i w:val="false"/>
          <w:szCs w:val="18"/>
          <w:iCs w:val="false"/>
          <w:rFonts w:ascii="Verdana" w:hAnsi="Verdana"/>
          <w:color w:val="auto"/>
        </w:rPr>
        <w:fldChar w:fldCharType="end"/>
      </w:r>
      <w:r>
        <w:rPr>
          <w:rFonts w:ascii="Verdana" w:hAnsi="Verdana"/>
          <w:i w:val="false"/>
          <w:iCs w:val="false"/>
          <w:color w:val="auto"/>
          <w:sz w:val="18"/>
          <w:szCs w:val="18"/>
        </w:rPr>
        <w:t xml:space="preserve">, é dever do contratado eliminá-los, com exceção das hipóteses do </w:t>
      </w:r>
      <w:r>
        <w:fldChar w:fldCharType="begin"/>
      </w:r>
      <w:r>
        <w:rPr>
          <w:rStyle w:val="LinkdaInternet"/>
          <w:sz w:val="18"/>
          <w:i w:val="false"/>
          <w:szCs w:val="18"/>
          <w:iCs w:val="false"/>
          <w:rFonts w:ascii="Verdana" w:hAnsi="Verdana"/>
          <w:color w:val="auto"/>
        </w:rPr>
        <w:instrText> HYPERLINK "https://www.planalto.gov.br/ccivil_03/_ato2015-2018/2018/lei/l13709.htm" \l "art16"</w:instrText>
      </w:r>
      <w:r>
        <w:rPr>
          <w:rStyle w:val="LinkdaInternet"/>
          <w:sz w:val="18"/>
          <w:i w:val="false"/>
          <w:szCs w:val="18"/>
          <w:iCs w:val="false"/>
          <w:rFonts w:ascii="Verdana" w:hAnsi="Verdana"/>
          <w:color w:val="auto"/>
        </w:rPr>
        <w:fldChar w:fldCharType="separate"/>
      </w:r>
      <w:r>
        <w:rPr>
          <w:rStyle w:val="LinkdaInternet"/>
          <w:rFonts w:ascii="Verdana" w:hAnsi="Verdana"/>
          <w:i w:val="false"/>
          <w:iCs w:val="false"/>
          <w:color w:val="auto"/>
          <w:sz w:val="18"/>
          <w:szCs w:val="18"/>
        </w:rPr>
        <w:t>art. 16 da LGPD</w:t>
      </w:r>
      <w:r>
        <w:rPr>
          <w:rStyle w:val="LinkdaInternet"/>
          <w:sz w:val="18"/>
          <w:i w:val="false"/>
          <w:szCs w:val="18"/>
          <w:iCs w:val="false"/>
          <w:rFonts w:ascii="Verdana" w:hAnsi="Verdana"/>
          <w:color w:val="auto"/>
        </w:rPr>
        <w:fldChar w:fldCharType="end"/>
      </w:r>
      <w:r>
        <w:rPr>
          <w:rFonts w:ascii="Verdana" w:hAnsi="Verdana"/>
          <w:i w:val="false"/>
          <w:iCs w:val="false"/>
          <w:color w:val="auto"/>
          <w:sz w:val="18"/>
          <w:szCs w:val="18"/>
        </w:rPr>
        <w:t xml:space="preserve">, incluindo aquelas em que houver necessidade de guarda de documentação para fins de comprovação do cumprimento de obrigações legais ou contratuais e somente enquanto não prescritas essas obrigações. </w:t>
      </w:r>
    </w:p>
    <w:p>
      <w:pPr>
        <w:pStyle w:val="Nvel2Red"/>
        <w:numPr>
          <w:ilvl w:val="0"/>
          <w:numId w:val="0"/>
        </w:numPr>
        <w:spacing w:lineRule="auto" w:line="240" w:before="0" w:after="0"/>
        <w:ind w:left="0" w:right="0" w:hanging="0"/>
        <w:jc w:val="both"/>
        <w:rPr>
          <w:rFonts w:ascii="Verdana" w:hAnsi="Verdana"/>
          <w:sz w:val="18"/>
          <w:szCs w:val="18"/>
        </w:rPr>
      </w:pPr>
      <w:r>
        <w:rPr>
          <w:rFonts w:ascii="Verdana" w:hAnsi="Verdana"/>
          <w:i w:val="false"/>
          <w:iCs w:val="false"/>
          <w:color w:val="auto"/>
          <w:sz w:val="18"/>
          <w:szCs w:val="18"/>
        </w:rPr>
        <w:t xml:space="preserve">10.6. É dever do contratado orientar e treinar seus empregados sobre os deveres, requisitos e responsabilidades decorrentes da LGPD. </w:t>
      </w:r>
    </w:p>
    <w:p>
      <w:pPr>
        <w:pStyle w:val="Nvel2Red"/>
        <w:numPr>
          <w:ilvl w:val="0"/>
          <w:numId w:val="0"/>
        </w:numPr>
        <w:spacing w:lineRule="auto" w:line="240" w:before="0" w:after="0"/>
        <w:ind w:left="0" w:right="0" w:hanging="0"/>
        <w:jc w:val="both"/>
        <w:rPr>
          <w:rFonts w:ascii="Verdana" w:hAnsi="Verdana"/>
          <w:sz w:val="18"/>
          <w:szCs w:val="18"/>
        </w:rPr>
      </w:pPr>
      <w:r>
        <w:rPr>
          <w:rFonts w:ascii="Verdana" w:hAnsi="Verdana"/>
          <w:i w:val="false"/>
          <w:iCs w:val="false"/>
          <w:color w:val="auto"/>
          <w:sz w:val="18"/>
          <w:szCs w:val="18"/>
        </w:rPr>
        <w:t>10.7. O Contratado deverá exigir de suboperadores e subcontratados o cumprimento dos deveres da presente cláusula, permanecendo integralmente responsável por garantir sua observância.</w:t>
      </w:r>
    </w:p>
    <w:p>
      <w:pPr>
        <w:pStyle w:val="Nvel2Red"/>
        <w:numPr>
          <w:ilvl w:val="0"/>
          <w:numId w:val="0"/>
        </w:numPr>
        <w:spacing w:lineRule="auto" w:line="240" w:before="0" w:after="0"/>
        <w:ind w:left="0" w:right="0" w:hanging="0"/>
        <w:jc w:val="both"/>
        <w:rPr>
          <w:rFonts w:ascii="Verdana" w:hAnsi="Verdana"/>
          <w:sz w:val="18"/>
          <w:szCs w:val="18"/>
        </w:rPr>
      </w:pPr>
      <w:r>
        <w:rPr>
          <w:rFonts w:ascii="Verdana" w:hAnsi="Verdana"/>
          <w:i w:val="false"/>
          <w:iCs w:val="false"/>
          <w:color w:val="auto"/>
          <w:sz w:val="18"/>
          <w:szCs w:val="18"/>
        </w:rPr>
        <w:t xml:space="preserve">10.8. O Contratante poderá realizar diligência para aferir o cumprimento dessa cláusula, devendo o Contratado atender prontamente eventuais pedidos de comprovação formulados. </w:t>
      </w:r>
    </w:p>
    <w:p>
      <w:pPr>
        <w:pStyle w:val="Nvel2Red"/>
        <w:numPr>
          <w:ilvl w:val="0"/>
          <w:numId w:val="0"/>
        </w:numPr>
        <w:spacing w:lineRule="auto" w:line="240" w:before="0" w:after="0"/>
        <w:ind w:left="0" w:right="0" w:hanging="0"/>
        <w:jc w:val="both"/>
        <w:rPr>
          <w:rFonts w:ascii="Verdana" w:hAnsi="Verdana"/>
          <w:sz w:val="18"/>
          <w:szCs w:val="18"/>
        </w:rPr>
      </w:pPr>
      <w:r>
        <w:rPr>
          <w:rFonts w:ascii="Verdana" w:hAnsi="Verdana"/>
          <w:i w:val="false"/>
          <w:iCs w:val="false"/>
          <w:color w:val="auto"/>
          <w:sz w:val="18"/>
          <w:szCs w:val="18"/>
        </w:rPr>
        <w:t xml:space="preserve">10.9. O Contratado deverá prestar, no prazo fixado pelo Contratante, prorrogável justificadamente, quaisquer informações acerca dos dados pessoais para cumprimento da LGPD, inclusive quanto a eventual descarte realizado. </w:t>
      </w:r>
    </w:p>
    <w:p>
      <w:pPr>
        <w:pStyle w:val="Nvel2Red"/>
        <w:numPr>
          <w:ilvl w:val="0"/>
          <w:numId w:val="0"/>
        </w:numPr>
        <w:spacing w:lineRule="auto" w:line="240" w:before="0" w:after="0"/>
        <w:ind w:left="0" w:right="0" w:hanging="0"/>
        <w:jc w:val="both"/>
        <w:rPr/>
      </w:pPr>
      <w:r>
        <w:rPr>
          <w:rFonts w:ascii="Verdana" w:hAnsi="Verdana"/>
          <w:i w:val="false"/>
          <w:iCs w:val="false"/>
          <w:color w:val="auto"/>
          <w:sz w:val="18"/>
          <w:szCs w:val="18"/>
        </w:rPr>
        <w:t>10.10. Bancos de dados formados a partir de contratos administrativos, notadamente aqueles que se proponham a armazenar dados pessoais, devem ser mantidos em ambiente virtual controlado, com registro individual rastreável de tratamentos realizados (</w:t>
      </w:r>
      <w:hyperlink r:id="rId5">
        <w:r>
          <w:rPr>
            <w:rStyle w:val="LinkdaInternet"/>
            <w:rFonts w:ascii="Verdana" w:hAnsi="Verdana"/>
            <w:i w:val="false"/>
            <w:iCs w:val="false"/>
            <w:color w:val="auto"/>
            <w:sz w:val="18"/>
            <w:szCs w:val="18"/>
          </w:rPr>
          <w:t>LGPD, art. 37</w:t>
        </w:r>
      </w:hyperlink>
      <w:r>
        <w:rPr>
          <w:rFonts w:ascii="Verdana" w:hAnsi="Verdana"/>
          <w:i w:val="false"/>
          <w:iCs w:val="false"/>
          <w:color w:val="auto"/>
          <w:sz w:val="18"/>
          <w:szCs w:val="18"/>
        </w:rPr>
        <w:t>), com cada acesso, data, horário e registro da finalidade, para efeito de responsabilização, em caso de eventuais omissões, desvios ou abusos.</w:t>
      </w:r>
    </w:p>
    <w:p>
      <w:pPr>
        <w:pStyle w:val="Nvel3R"/>
        <w:numPr>
          <w:ilvl w:val="0"/>
          <w:numId w:val="0"/>
        </w:numPr>
        <w:spacing w:lineRule="auto" w:line="240" w:before="0" w:after="0"/>
        <w:ind w:left="0" w:right="0" w:hanging="0"/>
        <w:jc w:val="both"/>
        <w:rPr>
          <w:rFonts w:ascii="Verdana" w:hAnsi="Verdana"/>
          <w:sz w:val="18"/>
          <w:szCs w:val="18"/>
        </w:rPr>
      </w:pPr>
      <w:r>
        <w:rPr>
          <w:rFonts w:ascii="Verdana" w:hAnsi="Verdana"/>
          <w:i w:val="false"/>
          <w:iCs w:val="false"/>
          <w:color w:val="auto"/>
          <w:sz w:val="18"/>
          <w:szCs w:val="18"/>
        </w:rPr>
        <w:t>10.10.1. Os referidos bancos de dados devem ser desenvolvidos em formato interoperável, a fim de garantir a reutilização desses dados pela Administração nas hipóteses previstas na LGPD.</w:t>
      </w:r>
    </w:p>
    <w:p>
      <w:pPr>
        <w:pStyle w:val="Nvel2Red"/>
        <w:numPr>
          <w:ilvl w:val="0"/>
          <w:numId w:val="0"/>
        </w:numPr>
        <w:spacing w:lineRule="auto" w:line="240" w:before="0" w:after="0"/>
        <w:ind w:left="0" w:right="0" w:hanging="0"/>
        <w:jc w:val="both"/>
        <w:rPr>
          <w:rFonts w:ascii="Verdana" w:hAnsi="Verdana"/>
          <w:sz w:val="18"/>
          <w:szCs w:val="18"/>
        </w:rPr>
      </w:pPr>
      <w:r>
        <w:rPr>
          <w:rFonts w:ascii="Verdana" w:hAnsi="Verdana"/>
          <w:i w:val="false"/>
          <w:iCs w:val="false"/>
          <w:color w:val="auto"/>
          <w:sz w:val="18"/>
          <w:szCs w:val="18"/>
        </w:rPr>
        <w:t>10.11. O contrato está sujeito a ser alterado nos procedimentos pertinentes ao tratamento de dados pessoais, quando indicado pela autoridade competente, em especial a ANPD por meio de opiniões técnicas ou recomendações, editadas na forma da LGPD.</w:t>
      </w:r>
    </w:p>
    <w:p>
      <w:pPr>
        <w:pStyle w:val="Nvel2Red"/>
        <w:numPr>
          <w:ilvl w:val="0"/>
          <w:numId w:val="0"/>
        </w:numPr>
        <w:spacing w:lineRule="auto" w:line="240" w:before="0" w:after="0"/>
        <w:ind w:left="4969" w:right="0" w:hanging="0"/>
        <w:jc w:val="both"/>
        <w:rPr>
          <w:rFonts w:ascii="Verdana" w:hAnsi="Verdana"/>
          <w:i w:val="false"/>
          <w:i w:val="false"/>
          <w:iCs w:val="false"/>
          <w:color w:val="auto"/>
          <w:sz w:val="18"/>
          <w:szCs w:val="18"/>
        </w:rPr>
      </w:pPr>
      <w:r>
        <w:rPr>
          <w:rFonts w:ascii="Verdana" w:hAnsi="Verdana"/>
          <w:i w:val="false"/>
          <w:iCs w:val="false"/>
          <w:color w:val="auto"/>
          <w:sz w:val="18"/>
          <w:szCs w:val="18"/>
        </w:rPr>
      </w:r>
    </w:p>
    <w:p>
      <w:pPr>
        <w:pStyle w:val="Nivel01"/>
        <w:numPr>
          <w:ilvl w:val="0"/>
          <w:numId w:val="0"/>
        </w:numPr>
        <w:spacing w:lineRule="auto" w:line="240" w:before="0" w:after="0"/>
        <w:ind w:left="0" w:right="0" w:hanging="0"/>
        <w:jc w:val="both"/>
        <w:rPr>
          <w:rFonts w:ascii="Verdana" w:hAnsi="Verdana"/>
          <w:sz w:val="18"/>
          <w:szCs w:val="18"/>
        </w:rPr>
      </w:pPr>
      <w:r>
        <w:rPr>
          <w:rFonts w:ascii="Verdana" w:hAnsi="Verdana"/>
          <w:i w:val="false"/>
          <w:iCs w:val="false"/>
          <w:sz w:val="18"/>
          <w:szCs w:val="18"/>
        </w:rPr>
        <w:t>CLÁUSULA DÉCIMA PRIMEIRA – GARANTIA DE EXECUÇÃO</w:t>
      </w:r>
    </w:p>
    <w:p>
      <w:pPr>
        <w:pStyle w:val="Normal"/>
        <w:numPr>
          <w:ilvl w:val="0"/>
          <w:numId w:val="0"/>
        </w:numPr>
        <w:spacing w:lineRule="auto" w:line="240" w:before="0" w:after="0"/>
        <w:ind w:left="0" w:right="0" w:hanging="0"/>
        <w:jc w:val="both"/>
        <w:rPr>
          <w:i w:val="false"/>
          <w:i w:val="false"/>
          <w:iCs w:val="false"/>
        </w:rPr>
      </w:pPr>
      <w:r>
        <w:rPr>
          <w:rFonts w:ascii="Verdana" w:hAnsi="Verdana"/>
          <w:sz w:val="18"/>
          <w:szCs w:val="18"/>
        </w:rPr>
      </w:r>
    </w:p>
    <w:p>
      <w:pPr>
        <w:pStyle w:val="Nivel2"/>
        <w:numPr>
          <w:ilvl w:val="0"/>
          <w:numId w:val="0"/>
        </w:numPr>
        <w:spacing w:lineRule="auto" w:line="240" w:before="0" w:after="0"/>
        <w:ind w:left="0" w:right="0" w:hanging="0"/>
        <w:jc w:val="both"/>
        <w:rPr>
          <w:rFonts w:ascii="Verdana" w:hAnsi="Verdana"/>
          <w:sz w:val="18"/>
          <w:szCs w:val="18"/>
        </w:rPr>
      </w:pPr>
      <w:r>
        <w:rPr>
          <w:rFonts w:ascii="Verdana" w:hAnsi="Verdana"/>
          <w:i w:val="false"/>
          <w:iCs w:val="false"/>
          <w:color w:val="auto"/>
          <w:sz w:val="18"/>
          <w:szCs w:val="18"/>
        </w:rPr>
        <w:t>Não haverá exigência de garantia contratual da execução.</w:t>
      </w:r>
    </w:p>
    <w:p>
      <w:pPr>
        <w:pStyle w:val="Ou"/>
        <w:spacing w:lineRule="auto" w:line="240" w:before="0" w:after="0"/>
        <w:ind w:left="0" w:right="0" w:hanging="0"/>
        <w:contextualSpacing/>
        <w:jc w:val="both"/>
        <w:rPr>
          <w:rFonts w:ascii="Verdana" w:hAnsi="Verdana"/>
          <w:sz w:val="18"/>
          <w:szCs w:val="18"/>
        </w:rPr>
      </w:pPr>
      <w:r>
        <w:rPr>
          <w:rFonts w:ascii="Verdana" w:hAnsi="Verdana"/>
          <w:sz w:val="18"/>
          <w:szCs w:val="18"/>
        </w:rPr>
      </w:r>
    </w:p>
    <w:p>
      <w:pPr>
        <w:pStyle w:val="Nivel01"/>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CLÁUSULA DÉCIMA SEGUNDA – INFRAÇÕES E SANÇÕES ADMINISTRATIVAS</w:t>
      </w:r>
    </w:p>
    <w:p>
      <w:pPr>
        <w:pStyle w:val="Normal"/>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r>
    </w:p>
    <w:p>
      <w:pPr>
        <w:pStyle w:val="Nivel2"/>
        <w:numPr>
          <w:ilvl w:val="0"/>
          <w:numId w:val="0"/>
        </w:numPr>
        <w:spacing w:lineRule="auto" w:line="240" w:before="0" w:after="0"/>
        <w:ind w:left="0" w:right="0" w:hanging="0"/>
        <w:jc w:val="both"/>
        <w:rPr/>
      </w:pPr>
      <w:r>
        <w:rPr>
          <w:rFonts w:ascii="Verdana" w:hAnsi="Verdana"/>
          <w:sz w:val="18"/>
          <w:szCs w:val="18"/>
        </w:rPr>
        <w:t xml:space="preserve">12.1. Comete infração administrativa, nos termos da </w:t>
      </w:r>
      <w:hyperlink r:id="rId6">
        <w:r>
          <w:rPr>
            <w:rStyle w:val="LinkdaInternet"/>
            <w:rFonts w:ascii="Verdana" w:hAnsi="Verdana"/>
            <w:sz w:val="18"/>
            <w:szCs w:val="18"/>
          </w:rPr>
          <w:t>Lei nº 14.133, de 2021</w:t>
        </w:r>
      </w:hyperlink>
      <w:r>
        <w:rPr>
          <w:rFonts w:ascii="Verdana" w:hAnsi="Verdana"/>
          <w:sz w:val="18"/>
          <w:szCs w:val="18"/>
        </w:rPr>
        <w:t>, o contratado que:</w:t>
      </w:r>
    </w:p>
    <w:p>
      <w:pPr>
        <w:pStyle w:val="Normal"/>
        <w:numPr>
          <w:ilvl w:val="0"/>
          <w:numId w:val="0"/>
        </w:numPr>
        <w:suppressAutoHyphens w:val="true"/>
        <w:spacing w:lineRule="auto" w:line="240" w:before="0" w:after="0"/>
        <w:ind w:left="0" w:right="0" w:hanging="0"/>
        <w:jc w:val="both"/>
        <w:rPr>
          <w:rFonts w:ascii="Verdana" w:hAnsi="Verdana"/>
          <w:sz w:val="18"/>
          <w:szCs w:val="18"/>
        </w:rPr>
      </w:pPr>
      <w:r>
        <w:rPr>
          <w:rFonts w:eastAsia="Arial" w:cs="Arial" w:ascii="Verdana" w:hAnsi="Verdana"/>
          <w:sz w:val="18"/>
          <w:szCs w:val="18"/>
        </w:rPr>
        <w:t>a) der causa à inexecução parcial do contrato;</w:t>
      </w:r>
    </w:p>
    <w:p>
      <w:pPr>
        <w:pStyle w:val="Normal"/>
        <w:numPr>
          <w:ilvl w:val="0"/>
          <w:numId w:val="0"/>
        </w:numPr>
        <w:suppressAutoHyphens w:val="true"/>
        <w:spacing w:lineRule="auto" w:line="240" w:before="0" w:after="0"/>
        <w:ind w:left="0" w:right="0" w:hanging="0"/>
        <w:jc w:val="both"/>
        <w:rPr>
          <w:rFonts w:ascii="Verdana" w:hAnsi="Verdana"/>
          <w:sz w:val="18"/>
          <w:szCs w:val="18"/>
        </w:rPr>
      </w:pPr>
      <w:r>
        <w:rPr>
          <w:rFonts w:eastAsia="Arial" w:cs="Arial" w:ascii="Verdana" w:hAnsi="Verdana"/>
          <w:sz w:val="18"/>
          <w:szCs w:val="18"/>
        </w:rPr>
        <w:t>b) der causa à inexecução parcial do contrato que cause grave dano à Administração ou ao funcionamento dos serviços públicos ou ao interesse coletivo;</w:t>
      </w:r>
    </w:p>
    <w:p>
      <w:pPr>
        <w:pStyle w:val="Normal"/>
        <w:numPr>
          <w:ilvl w:val="0"/>
          <w:numId w:val="0"/>
        </w:numPr>
        <w:suppressAutoHyphens w:val="true"/>
        <w:spacing w:lineRule="auto" w:line="240" w:before="0" w:after="0"/>
        <w:ind w:left="0" w:right="0" w:hanging="0"/>
        <w:jc w:val="both"/>
        <w:rPr>
          <w:rFonts w:ascii="Verdana" w:hAnsi="Verdana"/>
          <w:sz w:val="18"/>
          <w:szCs w:val="18"/>
        </w:rPr>
      </w:pPr>
      <w:r>
        <w:rPr>
          <w:rFonts w:eastAsia="Arial" w:cs="Arial" w:ascii="Verdana" w:hAnsi="Verdana"/>
          <w:sz w:val="18"/>
          <w:szCs w:val="18"/>
        </w:rPr>
        <w:t>c) der causa à inexecução total do contrato;</w:t>
      </w:r>
    </w:p>
    <w:p>
      <w:pPr>
        <w:pStyle w:val="Normal"/>
        <w:numPr>
          <w:ilvl w:val="0"/>
          <w:numId w:val="0"/>
        </w:numPr>
        <w:suppressAutoHyphens w:val="true"/>
        <w:spacing w:lineRule="auto" w:line="240" w:before="0" w:after="0"/>
        <w:ind w:left="0" w:right="0" w:hanging="0"/>
        <w:jc w:val="both"/>
        <w:rPr>
          <w:rFonts w:ascii="Verdana" w:hAnsi="Verdana"/>
          <w:sz w:val="18"/>
          <w:szCs w:val="18"/>
        </w:rPr>
      </w:pPr>
      <w:r>
        <w:rPr>
          <w:rFonts w:eastAsia="Arial" w:cs="Arial" w:ascii="Verdana" w:hAnsi="Verdana"/>
          <w:sz w:val="18"/>
          <w:szCs w:val="18"/>
        </w:rPr>
        <w:t>d) ensejar o retardamento da execução ou da entrega do objeto da contratação sem motivo justificado;</w:t>
      </w:r>
    </w:p>
    <w:p>
      <w:pPr>
        <w:pStyle w:val="Normal"/>
        <w:numPr>
          <w:ilvl w:val="0"/>
          <w:numId w:val="0"/>
        </w:numPr>
        <w:suppressAutoHyphens w:val="true"/>
        <w:spacing w:lineRule="auto" w:line="240" w:before="0" w:after="0"/>
        <w:ind w:left="0" w:right="0" w:hanging="0"/>
        <w:jc w:val="both"/>
        <w:rPr>
          <w:rFonts w:ascii="Verdana" w:hAnsi="Verdana"/>
          <w:sz w:val="18"/>
          <w:szCs w:val="18"/>
        </w:rPr>
      </w:pPr>
      <w:r>
        <w:rPr>
          <w:rFonts w:eastAsia="Arial" w:cs="Arial" w:ascii="Verdana" w:hAnsi="Verdana"/>
          <w:sz w:val="18"/>
          <w:szCs w:val="18"/>
        </w:rPr>
        <w:t>e) apresentar documentação falsa ou prestar declaração falsa durante a execução do contrato;</w:t>
      </w:r>
    </w:p>
    <w:p>
      <w:pPr>
        <w:pStyle w:val="Normal"/>
        <w:numPr>
          <w:ilvl w:val="0"/>
          <w:numId w:val="0"/>
        </w:numPr>
        <w:suppressAutoHyphens w:val="true"/>
        <w:spacing w:lineRule="auto" w:line="240" w:before="0" w:after="0"/>
        <w:ind w:left="0" w:right="0" w:hanging="0"/>
        <w:jc w:val="both"/>
        <w:rPr>
          <w:rFonts w:ascii="Verdana" w:hAnsi="Verdana"/>
          <w:sz w:val="18"/>
          <w:szCs w:val="18"/>
        </w:rPr>
      </w:pPr>
      <w:r>
        <w:rPr>
          <w:rFonts w:eastAsia="Arial" w:cs="Arial" w:ascii="Verdana" w:hAnsi="Verdana"/>
          <w:sz w:val="18"/>
          <w:szCs w:val="18"/>
        </w:rPr>
        <w:t>f) praticar ato fraudulento na execução do contrato;</w:t>
      </w:r>
    </w:p>
    <w:p>
      <w:pPr>
        <w:pStyle w:val="Normal"/>
        <w:numPr>
          <w:ilvl w:val="0"/>
          <w:numId w:val="0"/>
        </w:numPr>
        <w:suppressAutoHyphens w:val="true"/>
        <w:spacing w:lineRule="auto" w:line="240" w:before="0" w:after="0"/>
        <w:ind w:left="0" w:right="0" w:hanging="0"/>
        <w:jc w:val="both"/>
        <w:rPr>
          <w:rFonts w:ascii="Verdana" w:hAnsi="Verdana"/>
          <w:sz w:val="18"/>
          <w:szCs w:val="18"/>
        </w:rPr>
      </w:pPr>
      <w:r>
        <w:rPr>
          <w:rFonts w:eastAsia="Arial" w:cs="Arial" w:ascii="Verdana" w:hAnsi="Verdana"/>
          <w:sz w:val="18"/>
          <w:szCs w:val="18"/>
        </w:rPr>
        <w:t>g) comportar-se de modo inidôneo ou cometer fraude de qualquer natureza;</w:t>
      </w:r>
    </w:p>
    <w:p>
      <w:pPr>
        <w:pStyle w:val="Normal"/>
        <w:numPr>
          <w:ilvl w:val="0"/>
          <w:numId w:val="0"/>
        </w:numPr>
        <w:suppressAutoHyphens w:val="true"/>
        <w:spacing w:lineRule="auto" w:line="240" w:before="0" w:after="0"/>
        <w:ind w:left="0" w:right="0" w:hanging="0"/>
        <w:jc w:val="both"/>
        <w:rPr>
          <w:rFonts w:ascii="Verdana" w:hAnsi="Verdana"/>
          <w:sz w:val="18"/>
          <w:szCs w:val="18"/>
        </w:rPr>
      </w:pPr>
      <w:r>
        <w:rPr>
          <w:rFonts w:eastAsia="Arial" w:cs="Arial" w:ascii="Verdana" w:hAnsi="Verdana"/>
          <w:sz w:val="18"/>
          <w:szCs w:val="18"/>
        </w:rPr>
        <w:t>h) praticar ato lesivo previsto no art. 5º da Lei nº 12.846, de 1º de agosto de 2013.</w:t>
      </w:r>
    </w:p>
    <w:p>
      <w:pPr>
        <w:pStyle w:val="Nivel2"/>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12.2. Serão aplicadas ao contratado que incorrer nas infrações acima descritas as seguintes sanções:</w:t>
      </w:r>
    </w:p>
    <w:p>
      <w:pPr>
        <w:pStyle w:val="Normal"/>
        <w:numPr>
          <w:ilvl w:val="0"/>
          <w:numId w:val="0"/>
        </w:numPr>
        <w:suppressAutoHyphens w:val="true"/>
        <w:spacing w:lineRule="auto" w:line="240" w:before="0" w:after="0"/>
        <w:ind w:left="0" w:right="0" w:hanging="0"/>
        <w:contextualSpacing/>
        <w:jc w:val="both"/>
        <w:rPr/>
      </w:pPr>
      <w:r>
        <w:rPr>
          <w:rFonts w:eastAsia="Arial" w:cs="Arial" w:ascii="Verdana" w:hAnsi="Verdana"/>
          <w:b/>
          <w:bCs/>
          <w:sz w:val="18"/>
          <w:szCs w:val="18"/>
        </w:rPr>
        <w:t>a) Advertência</w:t>
      </w:r>
      <w:r>
        <w:rPr>
          <w:rFonts w:eastAsia="Arial" w:cs="Arial" w:ascii="Verdana" w:hAnsi="Verdana"/>
          <w:sz w:val="18"/>
          <w:szCs w:val="18"/>
        </w:rPr>
        <w:t>, quando o contratado der causa à inexecução parcial do contrato, sempre que não se justificar a imposição de penalidade mais grave (</w:t>
      </w:r>
      <w:r>
        <w:fldChar w:fldCharType="begin"/>
      </w:r>
      <w:r>
        <w:rPr>
          <w:rStyle w:val="LinkdaInternet"/>
          <w:sz w:val="18"/>
          <w:szCs w:val="18"/>
          <w:rFonts w:eastAsia="Arial" w:cs="Arial" w:ascii="Verdana" w:hAnsi="Verdana"/>
        </w:rPr>
        <w:instrText> HYPERLINK "http://www.planalto.gov.br/ccivil_03/_ato2019-2022/2021/lei/L14133.htm" \l "art156§2"</w:instrText>
      </w:r>
      <w:r>
        <w:rPr>
          <w:rStyle w:val="LinkdaInternet"/>
          <w:sz w:val="18"/>
          <w:szCs w:val="18"/>
          <w:rFonts w:eastAsia="Arial" w:cs="Arial" w:ascii="Verdana" w:hAnsi="Verdana"/>
        </w:rPr>
        <w:fldChar w:fldCharType="separate"/>
      </w:r>
      <w:r>
        <w:rPr>
          <w:rStyle w:val="LinkdaInternet"/>
          <w:rFonts w:eastAsia="Arial" w:cs="Arial" w:ascii="Verdana" w:hAnsi="Verdana"/>
          <w:sz w:val="18"/>
          <w:szCs w:val="18"/>
        </w:rPr>
        <w:t xml:space="preserve">art. 156, §2º, da </w:t>
      </w:r>
      <w:r>
        <w:rPr>
          <w:rStyle w:val="LinkdaInternet"/>
          <w:sz w:val="18"/>
          <w:szCs w:val="18"/>
          <w:rFonts w:eastAsia="Arial" w:cs="Arial" w:ascii="Verdana" w:hAnsi="Verdana"/>
        </w:rPr>
        <w:fldChar w:fldCharType="end"/>
      </w:r>
      <w:bookmarkStart w:id="2" w:name="_Hlk114504069"/>
      <w:r>
        <w:rPr>
          <w:rStyle w:val="LinkdaInternet"/>
          <w:rFonts w:eastAsia="Arial" w:cs="Arial" w:ascii="Verdana" w:hAnsi="Verdana"/>
          <w:sz w:val="18"/>
          <w:szCs w:val="18"/>
        </w:rPr>
        <w:t>Lei nº 14.133, de 2021</w:t>
      </w:r>
      <w:bookmarkEnd w:id="2"/>
      <w:r>
        <w:rPr>
          <w:rFonts w:eastAsia="Arial" w:cs="Arial" w:ascii="Verdana" w:hAnsi="Verdana"/>
          <w:sz w:val="18"/>
          <w:szCs w:val="18"/>
        </w:rPr>
        <w:t>);</w:t>
      </w:r>
    </w:p>
    <w:p>
      <w:pPr>
        <w:pStyle w:val="Normal"/>
        <w:numPr>
          <w:ilvl w:val="0"/>
          <w:numId w:val="0"/>
        </w:numPr>
        <w:suppressAutoHyphens w:val="true"/>
        <w:spacing w:lineRule="auto" w:line="240" w:before="0" w:after="0"/>
        <w:ind w:left="0" w:right="0" w:hanging="0"/>
        <w:contextualSpacing/>
        <w:jc w:val="both"/>
        <w:rPr/>
      </w:pPr>
      <w:r>
        <w:rPr>
          <w:rFonts w:eastAsia="Arial" w:cs="Arial" w:ascii="Verdana" w:hAnsi="Verdana"/>
          <w:b/>
          <w:bCs/>
          <w:sz w:val="18"/>
          <w:szCs w:val="18"/>
        </w:rPr>
        <w:t>b) Impedimento de licitar e contratar</w:t>
      </w:r>
      <w:r>
        <w:rPr>
          <w:rFonts w:eastAsia="Arial" w:cs="Arial" w:ascii="Verdana" w:hAnsi="Verdana"/>
          <w:sz w:val="18"/>
          <w:szCs w:val="18"/>
        </w:rPr>
        <w:t>, quando praticadas as condutas descritas nas alíneas “b”, “c” e “d” do subitem acima deste Contrato, sempre que não se justificar a imposição de penalidade mais grave (</w:t>
      </w:r>
      <w:r>
        <w:fldChar w:fldCharType="begin"/>
      </w:r>
      <w:r>
        <w:rPr>
          <w:rStyle w:val="LinkdaInternet"/>
          <w:sz w:val="18"/>
          <w:szCs w:val="18"/>
          <w:rFonts w:eastAsia="Arial" w:cs="Arial" w:ascii="Verdana" w:hAnsi="Verdana"/>
        </w:rPr>
        <w:instrText> HYPERLINK "http://www.planalto.gov.br/ccivil_03/_ato2019-2022/2021/lei/L14133.htm" \l "art156§4"</w:instrText>
      </w:r>
      <w:r>
        <w:rPr>
          <w:rStyle w:val="LinkdaInternet"/>
          <w:sz w:val="18"/>
          <w:szCs w:val="18"/>
          <w:rFonts w:eastAsia="Arial" w:cs="Arial" w:ascii="Verdana" w:hAnsi="Verdana"/>
        </w:rPr>
        <w:fldChar w:fldCharType="separate"/>
      </w:r>
      <w:r>
        <w:rPr>
          <w:rStyle w:val="LinkdaInternet"/>
          <w:rFonts w:eastAsia="Arial" w:cs="Arial" w:ascii="Verdana" w:hAnsi="Verdana"/>
          <w:sz w:val="18"/>
          <w:szCs w:val="18"/>
        </w:rPr>
        <w:t>art. 156, § 4º, da Lei nº 14.133, de 2021</w:t>
      </w:r>
      <w:r>
        <w:rPr>
          <w:rStyle w:val="LinkdaInternet"/>
          <w:sz w:val="18"/>
          <w:szCs w:val="18"/>
          <w:rFonts w:eastAsia="Arial" w:cs="Arial" w:ascii="Verdana" w:hAnsi="Verdana"/>
        </w:rPr>
        <w:fldChar w:fldCharType="end"/>
      </w:r>
      <w:r>
        <w:rPr>
          <w:rFonts w:eastAsia="Arial" w:cs="Arial" w:ascii="Verdana" w:hAnsi="Verdana"/>
          <w:sz w:val="18"/>
          <w:szCs w:val="18"/>
        </w:rPr>
        <w:t>);</w:t>
      </w:r>
    </w:p>
    <w:p>
      <w:pPr>
        <w:pStyle w:val="Normal"/>
        <w:numPr>
          <w:ilvl w:val="0"/>
          <w:numId w:val="0"/>
        </w:numPr>
        <w:suppressAutoHyphens w:val="true"/>
        <w:spacing w:lineRule="auto" w:line="240" w:before="0" w:after="0"/>
        <w:ind w:left="0" w:right="0" w:hanging="0"/>
        <w:contextualSpacing/>
        <w:jc w:val="both"/>
        <w:rPr/>
      </w:pPr>
      <w:r>
        <w:rPr>
          <w:rFonts w:eastAsia="Arial" w:cs="Arial" w:ascii="Verdana" w:hAnsi="Verdana"/>
          <w:b/>
          <w:bCs/>
          <w:sz w:val="18"/>
          <w:szCs w:val="18"/>
        </w:rPr>
        <w:t>c) Declaração de inidoneidade para licitar e contratar</w:t>
      </w:r>
      <w:r>
        <w:rPr>
          <w:rFonts w:eastAsia="Arial" w:cs="Arial" w:ascii="Verdana" w:hAnsi="Verdana"/>
          <w:sz w:val="18"/>
          <w:szCs w:val="18"/>
        </w:rPr>
        <w:t>, quando praticadas as condutas descritas nas alíneas “e”, “f”, “g” e “h” do subitem acima deste Contrato, bem como nas alíneas “b”, “c” e “d”, que justifiquem a imposição de penalidade mais grave (</w:t>
      </w:r>
      <w:r>
        <w:fldChar w:fldCharType="begin"/>
      </w:r>
      <w:r>
        <w:rPr>
          <w:rStyle w:val="LinkdaInternet"/>
          <w:sz w:val="18"/>
          <w:szCs w:val="18"/>
          <w:rFonts w:eastAsia="Arial" w:cs="Arial" w:ascii="Verdana" w:hAnsi="Verdana"/>
        </w:rPr>
        <w:instrText> HYPERLINK "http://www.planalto.gov.br/ccivil_03/_ato2019-2022/2021/lei/L14133.htm" \l "art156§5"</w:instrText>
      </w:r>
      <w:r>
        <w:rPr>
          <w:rStyle w:val="LinkdaInternet"/>
          <w:sz w:val="18"/>
          <w:szCs w:val="18"/>
          <w:rFonts w:eastAsia="Arial" w:cs="Arial" w:ascii="Verdana" w:hAnsi="Verdana"/>
        </w:rPr>
        <w:fldChar w:fldCharType="separate"/>
      </w:r>
      <w:r>
        <w:rPr>
          <w:rStyle w:val="LinkdaInternet"/>
          <w:rFonts w:eastAsia="Arial" w:cs="Arial" w:ascii="Verdana" w:hAnsi="Verdana"/>
          <w:sz w:val="18"/>
          <w:szCs w:val="18"/>
        </w:rPr>
        <w:t>art. 156, §5º, da Lei nº 14.133, de 2021</w:t>
      </w:r>
      <w:r>
        <w:rPr>
          <w:rStyle w:val="LinkdaInternet"/>
          <w:sz w:val="18"/>
          <w:szCs w:val="18"/>
          <w:rFonts w:eastAsia="Arial" w:cs="Arial" w:ascii="Verdana" w:hAnsi="Verdana"/>
        </w:rPr>
        <w:fldChar w:fldCharType="end"/>
      </w:r>
      <w:r>
        <w:rPr>
          <w:rFonts w:eastAsia="Arial" w:cs="Arial" w:ascii="Verdana" w:hAnsi="Verdana"/>
          <w:sz w:val="18"/>
          <w:szCs w:val="18"/>
        </w:rPr>
        <w:t>).</w:t>
      </w:r>
    </w:p>
    <w:p>
      <w:pPr>
        <w:pStyle w:val="Normal"/>
        <w:numPr>
          <w:ilvl w:val="0"/>
          <w:numId w:val="0"/>
        </w:numPr>
        <w:suppressAutoHyphens w:val="true"/>
        <w:spacing w:lineRule="auto" w:line="240" w:before="0" w:after="0"/>
        <w:ind w:left="0" w:right="0" w:hanging="0"/>
        <w:contextualSpacing/>
        <w:jc w:val="both"/>
        <w:rPr>
          <w:rFonts w:ascii="Verdana" w:hAnsi="Verdana"/>
          <w:sz w:val="18"/>
          <w:szCs w:val="18"/>
        </w:rPr>
      </w:pPr>
      <w:r>
        <w:rPr>
          <w:rFonts w:eastAsia="Arial" w:cs="Arial" w:ascii="Verdana" w:hAnsi="Verdana"/>
          <w:b/>
          <w:bCs/>
          <w:sz w:val="18"/>
          <w:szCs w:val="18"/>
        </w:rPr>
        <w:t>d) Multa:</w:t>
      </w:r>
    </w:p>
    <w:p>
      <w:pPr>
        <w:pStyle w:val="Normal"/>
        <w:numPr>
          <w:ilvl w:val="0"/>
          <w:numId w:val="0"/>
        </w:numPr>
        <w:suppressAutoHyphens w:val="true"/>
        <w:spacing w:lineRule="auto" w:line="240" w:before="0" w:after="0"/>
        <w:ind w:left="0" w:right="0" w:hanging="0"/>
        <w:contextualSpacing/>
        <w:jc w:val="both"/>
        <w:rPr>
          <w:rFonts w:ascii="Verdana" w:hAnsi="Verdana"/>
          <w:sz w:val="18"/>
          <w:szCs w:val="18"/>
        </w:rPr>
      </w:pPr>
      <w:r>
        <w:rPr>
          <w:rFonts w:eastAsia="Arial" w:cs="Arial" w:ascii="Verdana" w:hAnsi="Verdana"/>
          <w:sz w:val="18"/>
          <w:szCs w:val="18"/>
        </w:rPr>
        <w:t xml:space="preserve">d.1) moratória de </w:t>
      </w:r>
      <w:r>
        <w:rPr>
          <w:rFonts w:eastAsia="Arial" w:cs="Arial" w:ascii="Verdana" w:hAnsi="Verdana"/>
          <w:color w:val="auto"/>
          <w:kern w:val="0"/>
          <w:sz w:val="18"/>
          <w:szCs w:val="18"/>
          <w:lang w:val="pt-BR" w:eastAsia="pt-BR" w:bidi="ar-SA"/>
        </w:rPr>
        <w:t>2</w:t>
      </w:r>
      <w:r>
        <w:rPr>
          <w:rFonts w:eastAsia="Arial" w:cs="Arial" w:ascii="Verdana" w:hAnsi="Verdana"/>
          <w:color w:val="auto"/>
          <w:sz w:val="18"/>
          <w:szCs w:val="18"/>
        </w:rPr>
        <w:t xml:space="preserve">% (dois por cento) por dia de atraso injustificado sobre o valor da parcela inadimplida, até o limite de 15 (quinze) </w:t>
      </w:r>
      <w:r>
        <w:rPr>
          <w:rFonts w:eastAsia="Arial" w:cs="Arial" w:ascii="Verdana" w:hAnsi="Verdana"/>
          <w:sz w:val="18"/>
          <w:szCs w:val="18"/>
        </w:rPr>
        <w:t>dias;</w:t>
      </w:r>
    </w:p>
    <w:p>
      <w:pPr>
        <w:pStyle w:val="Normal"/>
        <w:numPr>
          <w:ilvl w:val="0"/>
          <w:numId w:val="0"/>
        </w:numPr>
        <w:suppressAutoHyphens w:val="true"/>
        <w:spacing w:lineRule="auto" w:line="240" w:before="0" w:after="0"/>
        <w:ind w:left="0" w:right="0" w:hanging="0"/>
        <w:contextualSpacing/>
        <w:jc w:val="both"/>
        <w:rPr>
          <w:rFonts w:ascii="Verdana" w:hAnsi="Verdana"/>
          <w:sz w:val="18"/>
          <w:szCs w:val="18"/>
        </w:rPr>
      </w:pPr>
      <w:r>
        <w:rPr>
          <w:rFonts w:eastAsia="Arial" w:cs="Arial" w:ascii="Verdana" w:hAnsi="Verdana"/>
          <w:i w:val="false"/>
          <w:iCs w:val="false"/>
          <w:color w:val="auto"/>
          <w:sz w:val="18"/>
          <w:szCs w:val="18"/>
        </w:rPr>
        <w:t xml:space="preserve">d.2) moratória de </w:t>
      </w:r>
      <w:r>
        <w:rPr>
          <w:rFonts w:eastAsia="Arial" w:cs="Arial" w:ascii="Verdana" w:hAnsi="Verdana"/>
          <w:i w:val="false"/>
          <w:iCs w:val="false"/>
          <w:color w:val="auto"/>
          <w:kern w:val="0"/>
          <w:sz w:val="18"/>
          <w:szCs w:val="18"/>
          <w:lang w:val="pt-BR" w:eastAsia="pt-BR" w:bidi="ar-SA"/>
        </w:rPr>
        <w:t>0,50</w:t>
      </w:r>
      <w:r>
        <w:rPr>
          <w:rFonts w:eastAsia="Arial" w:cs="Arial" w:ascii="Verdana" w:hAnsi="Verdana"/>
          <w:i w:val="false"/>
          <w:iCs w:val="false"/>
          <w:color w:val="auto"/>
          <w:sz w:val="18"/>
          <w:szCs w:val="18"/>
        </w:rPr>
        <w:t xml:space="preserve">% (zero vírgula cinquenta por cento) por dia de atraso injustificado sobre o valor total do contrato, até o máximo de 30% (trinta por cento), pela inobservância do prazo fixado para apresentação, suplementação ou reposição da garantia. </w:t>
      </w:r>
    </w:p>
    <w:p>
      <w:pPr>
        <w:pStyle w:val="Normal"/>
        <w:numPr>
          <w:ilvl w:val="0"/>
          <w:numId w:val="0"/>
        </w:numPr>
        <w:suppressAutoHyphens w:val="true"/>
        <w:spacing w:lineRule="auto" w:line="240" w:before="0" w:after="0"/>
        <w:ind w:left="0" w:right="0" w:hanging="0"/>
        <w:contextualSpacing/>
        <w:jc w:val="both"/>
        <w:rPr/>
      </w:pPr>
      <w:r>
        <w:rPr>
          <w:rFonts w:eastAsia="Arial" w:cs="Arial" w:ascii="Verdana" w:hAnsi="Verdana"/>
          <w:i w:val="false"/>
          <w:iCs w:val="false"/>
          <w:color w:val="auto"/>
          <w:sz w:val="18"/>
          <w:szCs w:val="18"/>
        </w:rPr>
        <w:t xml:space="preserve">d.3) O atraso superior a </w:t>
      </w:r>
      <w:r>
        <w:rPr>
          <w:rFonts w:eastAsia="Arial" w:cs="Arial" w:ascii="Verdana" w:hAnsi="Verdana"/>
          <w:i w:val="false"/>
          <w:iCs w:val="false"/>
          <w:color w:val="auto"/>
          <w:kern w:val="0"/>
          <w:sz w:val="18"/>
          <w:szCs w:val="18"/>
          <w:lang w:val="pt-BR" w:eastAsia="pt-BR" w:bidi="ar-SA"/>
        </w:rPr>
        <w:t xml:space="preserve">02 meses </w:t>
      </w:r>
      <w:r>
        <w:rPr>
          <w:rFonts w:eastAsia="Arial" w:cs="Arial" w:ascii="Verdana" w:hAnsi="Verdana"/>
          <w:i w:val="false"/>
          <w:iCs w:val="false"/>
          <w:color w:val="auto"/>
          <w:sz w:val="18"/>
          <w:szCs w:val="18"/>
        </w:rPr>
        <w:t xml:space="preserve">autoriza a Administração a promover a extinção do contrato por descumprimento ou cumprimento irregular de suas cláusulas, conforme dispõe o </w:t>
      </w:r>
      <w:r>
        <w:fldChar w:fldCharType="begin"/>
      </w:r>
      <w:r>
        <w:rPr>
          <w:rStyle w:val="LinkdaInternet"/>
          <w:sz w:val="18"/>
          <w:i w:val="false"/>
          <w:szCs w:val="18"/>
          <w:iCs w:val="false"/>
          <w:rFonts w:eastAsia="Arial" w:cs="Arial" w:ascii="Verdana" w:hAnsi="Verdana"/>
          <w:color w:val="auto"/>
        </w:rPr>
        <w:instrText> HYPERLINK "http://www.planalto.gov.br/ccivil_03/_ato2019-2022/2021/lei/L14133.htm" \l "art137"</w:instrText>
      </w:r>
      <w:r>
        <w:rPr>
          <w:rStyle w:val="LinkdaInternet"/>
          <w:sz w:val="18"/>
          <w:i w:val="false"/>
          <w:szCs w:val="18"/>
          <w:iCs w:val="false"/>
          <w:rFonts w:eastAsia="Arial" w:cs="Arial" w:ascii="Verdana" w:hAnsi="Verdana"/>
          <w:color w:val="auto"/>
        </w:rPr>
        <w:fldChar w:fldCharType="separate"/>
      </w:r>
      <w:r>
        <w:rPr>
          <w:rStyle w:val="LinkdaInternet"/>
          <w:rFonts w:eastAsia="Arial" w:cs="Arial" w:ascii="Verdana" w:hAnsi="Verdana"/>
          <w:i w:val="false"/>
          <w:iCs w:val="false"/>
          <w:color w:val="auto"/>
          <w:sz w:val="18"/>
          <w:szCs w:val="18"/>
        </w:rPr>
        <w:t>inciso I do art. 137 da Lei n. 14.133, de 2021</w:t>
      </w:r>
      <w:r>
        <w:rPr>
          <w:rStyle w:val="LinkdaInternet"/>
          <w:sz w:val="18"/>
          <w:i w:val="false"/>
          <w:szCs w:val="18"/>
          <w:iCs w:val="false"/>
          <w:rFonts w:eastAsia="Arial" w:cs="Arial" w:ascii="Verdana" w:hAnsi="Verdana"/>
          <w:color w:val="auto"/>
        </w:rPr>
        <w:fldChar w:fldCharType="end"/>
      </w:r>
      <w:r>
        <w:rPr>
          <w:rFonts w:eastAsia="Arial" w:cs="Arial" w:ascii="Verdana" w:hAnsi="Verdana"/>
          <w:i w:val="false"/>
          <w:iCs w:val="false"/>
          <w:color w:val="auto"/>
          <w:sz w:val="18"/>
          <w:szCs w:val="18"/>
        </w:rPr>
        <w:t>.</w:t>
      </w:r>
    </w:p>
    <w:p>
      <w:pPr>
        <w:pStyle w:val="Normal"/>
        <w:numPr>
          <w:ilvl w:val="0"/>
          <w:numId w:val="0"/>
        </w:numPr>
        <w:suppressAutoHyphens w:val="true"/>
        <w:spacing w:lineRule="auto" w:line="240" w:before="0" w:after="0"/>
        <w:ind w:left="0" w:right="0" w:hanging="0"/>
        <w:contextualSpacing/>
        <w:jc w:val="both"/>
        <w:rPr>
          <w:rFonts w:ascii="Verdana" w:hAnsi="Verdana"/>
          <w:sz w:val="18"/>
          <w:szCs w:val="18"/>
        </w:rPr>
      </w:pPr>
      <w:r>
        <w:rPr>
          <w:rFonts w:eastAsia="Arial" w:cs="Arial" w:ascii="Verdana" w:hAnsi="Verdana"/>
          <w:sz w:val="18"/>
          <w:szCs w:val="18"/>
        </w:rPr>
        <w:t xml:space="preserve">d.4) compensatória de </w:t>
      </w:r>
      <w:r>
        <w:rPr>
          <w:rFonts w:eastAsia="Arial" w:cs="Arial" w:ascii="Verdana" w:hAnsi="Verdana"/>
          <w:color w:val="auto"/>
          <w:sz w:val="18"/>
          <w:szCs w:val="18"/>
        </w:rPr>
        <w:t>30</w:t>
      </w:r>
      <w:r>
        <w:rPr>
          <w:rFonts w:eastAsia="Arial" w:cs="Arial" w:ascii="Verdana" w:hAnsi="Verdana"/>
          <w:sz w:val="18"/>
          <w:szCs w:val="18"/>
        </w:rPr>
        <w:t>% (trinta por cento) sobre o valor total do contrato, no caso de inexecução total do objeto;</w:t>
      </w:r>
    </w:p>
    <w:p>
      <w:pPr>
        <w:pStyle w:val="Nivel2"/>
        <w:numPr>
          <w:ilvl w:val="0"/>
          <w:numId w:val="0"/>
        </w:numPr>
        <w:spacing w:lineRule="auto" w:line="240" w:before="0" w:after="0"/>
        <w:ind w:left="0" w:right="0" w:hanging="0"/>
        <w:jc w:val="both"/>
        <w:rPr/>
      </w:pPr>
      <w:r>
        <w:rPr>
          <w:rFonts w:ascii="Verdana" w:hAnsi="Verdana"/>
          <w:sz w:val="18"/>
          <w:szCs w:val="18"/>
        </w:rPr>
        <w:t>12.3. A aplicação das sanções previstas neste Contrato não exclui, em hipótese alguma, a obrigação de reparação integral do dano causado ao Contratante (</w:t>
      </w:r>
      <w:r>
        <w:fldChar w:fldCharType="begin"/>
      </w:r>
      <w:r>
        <w:rPr>
          <w:rStyle w:val="LinkdaInternet"/>
          <w:sz w:val="18"/>
          <w:szCs w:val="18"/>
          <w:rFonts w:ascii="Verdana" w:hAnsi="Verdana"/>
        </w:rPr>
        <w:instrText> HYPERLINK "http://www.planalto.gov.br/ccivil_03/_ato2019-2022/2021/lei/L14133.htm" \l "art156§9"</w:instrText>
      </w:r>
      <w:r>
        <w:rPr>
          <w:rStyle w:val="LinkdaInternet"/>
          <w:sz w:val="18"/>
          <w:szCs w:val="18"/>
          <w:rFonts w:ascii="Verdana" w:hAnsi="Verdana"/>
        </w:rPr>
        <w:fldChar w:fldCharType="separate"/>
      </w:r>
      <w:r>
        <w:rPr>
          <w:rStyle w:val="LinkdaInternet"/>
          <w:rFonts w:ascii="Verdana" w:hAnsi="Verdana"/>
          <w:sz w:val="18"/>
          <w:szCs w:val="18"/>
        </w:rPr>
        <w:t>art. 156, §9º, da Lei nº 14.133, de 2021</w:t>
      </w:r>
      <w:r>
        <w:rPr>
          <w:rStyle w:val="LinkdaInternet"/>
          <w:sz w:val="18"/>
          <w:szCs w:val="18"/>
          <w:rFonts w:ascii="Verdana" w:hAnsi="Verdana"/>
        </w:rPr>
        <w:fldChar w:fldCharType="end"/>
      </w:r>
      <w:r>
        <w:rPr>
          <w:rFonts w:ascii="Verdana" w:hAnsi="Verdana"/>
          <w:sz w:val="18"/>
          <w:szCs w:val="18"/>
        </w:rPr>
        <w:t>)</w:t>
      </w:r>
    </w:p>
    <w:p>
      <w:pPr>
        <w:pStyle w:val="Nivel2"/>
        <w:numPr>
          <w:ilvl w:val="0"/>
          <w:numId w:val="0"/>
        </w:numPr>
        <w:spacing w:lineRule="auto" w:line="240" w:before="0" w:after="0"/>
        <w:ind w:left="0" w:right="0" w:hanging="0"/>
        <w:jc w:val="both"/>
        <w:rPr/>
      </w:pPr>
      <w:r>
        <w:rPr>
          <w:rFonts w:ascii="Verdana" w:hAnsi="Verdana"/>
          <w:sz w:val="18"/>
          <w:szCs w:val="18"/>
        </w:rPr>
        <w:t>12.4. Todas as sanções previstas neste Contrato poderão ser aplicadas cumulativamente com a multa (</w:t>
      </w:r>
      <w:r>
        <w:fldChar w:fldCharType="begin"/>
      </w:r>
      <w:r>
        <w:rPr>
          <w:rStyle w:val="LinkdaInternet"/>
          <w:sz w:val="18"/>
          <w:szCs w:val="18"/>
          <w:rFonts w:ascii="Verdana" w:hAnsi="Verdana"/>
        </w:rPr>
        <w:instrText> HYPERLINK "http://www.planalto.gov.br/ccivil_03/_ato2019-2022/2021/lei/L14133.htm" \l "art156§7"</w:instrText>
      </w:r>
      <w:r>
        <w:rPr>
          <w:rStyle w:val="LinkdaInternet"/>
          <w:sz w:val="18"/>
          <w:szCs w:val="18"/>
          <w:rFonts w:ascii="Verdana" w:hAnsi="Verdana"/>
        </w:rPr>
        <w:fldChar w:fldCharType="separate"/>
      </w:r>
      <w:r>
        <w:rPr>
          <w:rStyle w:val="LinkdaInternet"/>
          <w:rFonts w:ascii="Verdana" w:hAnsi="Verdana"/>
          <w:sz w:val="18"/>
          <w:szCs w:val="18"/>
        </w:rPr>
        <w:t>art. 156, §7º, da Lei nº 14.133, de 2021</w:t>
      </w:r>
      <w:r>
        <w:rPr>
          <w:rStyle w:val="LinkdaInternet"/>
          <w:sz w:val="18"/>
          <w:szCs w:val="18"/>
          <w:rFonts w:ascii="Verdana" w:hAnsi="Verdana"/>
        </w:rPr>
        <w:fldChar w:fldCharType="end"/>
      </w:r>
      <w:r>
        <w:rPr>
          <w:rFonts w:ascii="Verdana" w:hAnsi="Verdana"/>
          <w:sz w:val="18"/>
          <w:szCs w:val="18"/>
        </w:rPr>
        <w:t>).</w:t>
      </w:r>
    </w:p>
    <w:p>
      <w:pPr>
        <w:pStyle w:val="Nivel3"/>
        <w:numPr>
          <w:ilvl w:val="0"/>
          <w:numId w:val="0"/>
        </w:numPr>
        <w:spacing w:lineRule="auto" w:line="240" w:before="0" w:after="0"/>
        <w:ind w:left="0" w:right="0" w:hanging="0"/>
        <w:jc w:val="both"/>
        <w:rPr/>
      </w:pPr>
      <w:r>
        <w:rPr>
          <w:rFonts w:ascii="Verdana" w:hAnsi="Verdana"/>
          <w:sz w:val="18"/>
          <w:szCs w:val="18"/>
        </w:rPr>
        <w:t>12.5. Antes da aplicação da multa será facultada a defesa do interessado no prazo de 15 (quinze) dias úteis, contado da data de sua intimação (</w:t>
      </w:r>
      <w:r>
        <w:fldChar w:fldCharType="begin"/>
      </w:r>
      <w:r>
        <w:rPr>
          <w:rStyle w:val="LinkdaInternet"/>
          <w:sz w:val="18"/>
          <w:szCs w:val="18"/>
          <w:rFonts w:ascii="Verdana" w:hAnsi="Verdana"/>
        </w:rPr>
        <w:instrText> HYPERLINK "http://www.planalto.gov.br/ccivil_03/_ato2019-2022/2021/lei/L14133.htm" \l "art157"</w:instrText>
      </w:r>
      <w:r>
        <w:rPr>
          <w:rStyle w:val="LinkdaInternet"/>
          <w:sz w:val="18"/>
          <w:szCs w:val="18"/>
          <w:rFonts w:ascii="Verdana" w:hAnsi="Verdana"/>
        </w:rPr>
        <w:fldChar w:fldCharType="separate"/>
      </w:r>
      <w:r>
        <w:rPr>
          <w:rStyle w:val="LinkdaInternet"/>
          <w:rFonts w:ascii="Verdana" w:hAnsi="Verdana"/>
          <w:sz w:val="18"/>
          <w:szCs w:val="18"/>
        </w:rPr>
        <w:t>art. 157, da Lei nº 14.133, de 2021</w:t>
      </w:r>
      <w:r>
        <w:rPr>
          <w:rStyle w:val="LinkdaInternet"/>
          <w:sz w:val="18"/>
          <w:szCs w:val="18"/>
          <w:rFonts w:ascii="Verdana" w:hAnsi="Verdana"/>
        </w:rPr>
        <w:fldChar w:fldCharType="end"/>
      </w:r>
      <w:r>
        <w:rPr>
          <w:rFonts w:ascii="Verdana" w:hAnsi="Verdana"/>
          <w:sz w:val="18"/>
          <w:szCs w:val="18"/>
        </w:rPr>
        <w:t>)</w:t>
      </w:r>
    </w:p>
    <w:p>
      <w:pPr>
        <w:pStyle w:val="Nivel3"/>
        <w:numPr>
          <w:ilvl w:val="0"/>
          <w:numId w:val="0"/>
        </w:numPr>
        <w:spacing w:lineRule="auto" w:line="240" w:before="0" w:after="0"/>
        <w:ind w:left="0" w:right="0" w:hanging="0"/>
        <w:jc w:val="both"/>
        <w:rPr/>
      </w:pPr>
      <w:r>
        <w:rPr>
          <w:rFonts w:ascii="Verdana" w:hAnsi="Verdana"/>
          <w:sz w:val="18"/>
          <w:szCs w:val="18"/>
        </w:rPr>
        <w:t>12.6. Se a multa aplicada e as indenizações cabíveis forem superiores ao valor do pagamento eventualmente devido pelo Contratante ao Contratado, além da perda desse valor, a diferença será descontada da garantia prestada ou será cobrada judicialmente (</w:t>
      </w:r>
      <w:r>
        <w:fldChar w:fldCharType="begin"/>
      </w:r>
      <w:r>
        <w:rPr>
          <w:rStyle w:val="LinkdaInternet"/>
          <w:sz w:val="18"/>
          <w:szCs w:val="18"/>
          <w:rFonts w:ascii="Verdana" w:hAnsi="Verdana"/>
        </w:rPr>
        <w:instrText> HYPERLINK "http://www.planalto.gov.br/ccivil_03/_ato2019-2022/2021/lei/L14133.htm" \l "art156§8"</w:instrText>
      </w:r>
      <w:r>
        <w:rPr>
          <w:rStyle w:val="LinkdaInternet"/>
          <w:sz w:val="18"/>
          <w:szCs w:val="18"/>
          <w:rFonts w:ascii="Verdana" w:hAnsi="Verdana"/>
        </w:rPr>
        <w:fldChar w:fldCharType="separate"/>
      </w:r>
      <w:r>
        <w:rPr>
          <w:rStyle w:val="LinkdaInternet"/>
          <w:rFonts w:ascii="Verdana" w:hAnsi="Verdana"/>
          <w:sz w:val="18"/>
          <w:szCs w:val="18"/>
        </w:rPr>
        <w:t>art. 156, §8º, da Lei nº 14.133, de 2021</w:t>
      </w:r>
      <w:r>
        <w:rPr>
          <w:rStyle w:val="LinkdaInternet"/>
          <w:sz w:val="18"/>
          <w:szCs w:val="18"/>
          <w:rFonts w:ascii="Verdana" w:hAnsi="Verdana"/>
        </w:rPr>
        <w:fldChar w:fldCharType="end"/>
      </w:r>
      <w:r>
        <w:rPr>
          <w:rFonts w:ascii="Verdana" w:hAnsi="Verdana"/>
          <w:sz w:val="18"/>
          <w:szCs w:val="18"/>
        </w:rPr>
        <w:t>).</w:t>
      </w:r>
    </w:p>
    <w:p>
      <w:pPr>
        <w:pStyle w:val="Nivel3"/>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12.7. Previamente ao encaminhamento à cobrança judicial, a multa poderá ser recolhida administrativamente, a contar da data do recebimento da comunicação enviada pela autoridade competente.</w:t>
      </w:r>
      <w:bookmarkStart w:id="3" w:name="_Hlk78351618"/>
      <w:bookmarkEnd w:id="3"/>
    </w:p>
    <w:p>
      <w:pPr>
        <w:pStyle w:val="Nivel2"/>
        <w:numPr>
          <w:ilvl w:val="0"/>
          <w:numId w:val="0"/>
        </w:numPr>
        <w:spacing w:lineRule="auto" w:line="240" w:before="0" w:after="0"/>
        <w:ind w:left="0" w:right="0" w:hanging="0"/>
        <w:jc w:val="both"/>
        <w:rPr/>
      </w:pPr>
      <w:r>
        <w:rPr>
          <w:rFonts w:ascii="Verdana" w:hAnsi="Verdana"/>
          <w:sz w:val="18"/>
          <w:szCs w:val="18"/>
        </w:rPr>
        <w:t xml:space="preserve">12.8. A aplicação das sanções realizar-se-á em processo administrativo que assegure o contraditório e a ampla defesa ao Contratado, observando-se o procedimento previsto no </w:t>
      </w:r>
      <w:r>
        <w:rPr>
          <w:rFonts w:ascii="Verdana" w:hAnsi="Verdana"/>
          <w:b/>
          <w:bCs/>
          <w:sz w:val="18"/>
          <w:szCs w:val="18"/>
        </w:rPr>
        <w:t xml:space="preserve">caput </w:t>
      </w:r>
      <w:r>
        <w:rPr>
          <w:rFonts w:ascii="Verdana" w:hAnsi="Verdana"/>
          <w:sz w:val="18"/>
          <w:szCs w:val="18"/>
        </w:rPr>
        <w:t xml:space="preserve">e parágrafos do </w:t>
      </w:r>
      <w:r>
        <w:fldChar w:fldCharType="begin"/>
      </w:r>
      <w:r>
        <w:rPr>
          <w:rStyle w:val="LinkdaInternet"/>
          <w:sz w:val="18"/>
          <w:szCs w:val="18"/>
          <w:rFonts w:ascii="Verdana" w:hAnsi="Verdana"/>
        </w:rPr>
        <w:instrText> HYPERLINK "http://www.planalto.gov.br/ccivil_03/_ato2019-2022/2021/lei/L14133.htm" \l "art158"</w:instrText>
      </w:r>
      <w:r>
        <w:rPr>
          <w:rStyle w:val="LinkdaInternet"/>
          <w:sz w:val="18"/>
          <w:szCs w:val="18"/>
          <w:rFonts w:ascii="Verdana" w:hAnsi="Verdana"/>
        </w:rPr>
        <w:fldChar w:fldCharType="separate"/>
      </w:r>
      <w:r>
        <w:rPr>
          <w:rStyle w:val="LinkdaInternet"/>
          <w:rFonts w:ascii="Verdana" w:hAnsi="Verdana"/>
          <w:sz w:val="18"/>
          <w:szCs w:val="18"/>
        </w:rPr>
        <w:t>art. 158 da Lei nº 14.133, de 2021</w:t>
      </w:r>
      <w:r>
        <w:rPr>
          <w:rStyle w:val="LinkdaInternet"/>
          <w:sz w:val="18"/>
          <w:szCs w:val="18"/>
          <w:rFonts w:ascii="Verdana" w:hAnsi="Verdana"/>
        </w:rPr>
        <w:fldChar w:fldCharType="end"/>
      </w:r>
      <w:r>
        <w:rPr>
          <w:rFonts w:ascii="Verdana" w:hAnsi="Verdana"/>
          <w:sz w:val="18"/>
          <w:szCs w:val="18"/>
        </w:rPr>
        <w:t>, para as penalidades de impedimento de licitar e contratar e de declaração de inidoneidade para licitar ou contratar.</w:t>
      </w:r>
    </w:p>
    <w:p>
      <w:pPr>
        <w:pStyle w:val="Nivel2"/>
        <w:numPr>
          <w:ilvl w:val="0"/>
          <w:numId w:val="0"/>
        </w:numPr>
        <w:spacing w:lineRule="auto" w:line="240" w:before="0" w:after="0"/>
        <w:ind w:left="0" w:right="0" w:hanging="0"/>
        <w:jc w:val="both"/>
        <w:rPr/>
      </w:pPr>
      <w:r>
        <w:rPr>
          <w:rFonts w:ascii="Verdana" w:hAnsi="Verdana"/>
          <w:sz w:val="18"/>
          <w:szCs w:val="18"/>
        </w:rPr>
        <w:t>12.9. Na aplicação das sanções serão considerados (</w:t>
      </w:r>
      <w:r>
        <w:fldChar w:fldCharType="begin"/>
      </w:r>
      <w:r>
        <w:rPr>
          <w:rStyle w:val="LinkdaInternet"/>
          <w:sz w:val="18"/>
          <w:szCs w:val="18"/>
          <w:rFonts w:ascii="Verdana" w:hAnsi="Verdana"/>
        </w:rPr>
        <w:instrText> HYPERLINK "http://www.planalto.gov.br/ccivil_03/_ato2019-2022/2021/lei/L14133.htm" \l "art156§1"</w:instrText>
      </w:r>
      <w:r>
        <w:rPr>
          <w:rStyle w:val="LinkdaInternet"/>
          <w:sz w:val="18"/>
          <w:szCs w:val="18"/>
          <w:rFonts w:ascii="Verdana" w:hAnsi="Verdana"/>
        </w:rPr>
        <w:fldChar w:fldCharType="separate"/>
      </w:r>
      <w:r>
        <w:rPr>
          <w:rStyle w:val="LinkdaInternet"/>
          <w:rFonts w:ascii="Verdana" w:hAnsi="Verdana"/>
          <w:sz w:val="18"/>
          <w:szCs w:val="18"/>
        </w:rPr>
        <w:t>art. 156, §1º, da Lei nº 14.133, de 2021</w:t>
      </w:r>
      <w:r>
        <w:rPr>
          <w:rStyle w:val="LinkdaInternet"/>
          <w:sz w:val="18"/>
          <w:szCs w:val="18"/>
          <w:rFonts w:ascii="Verdana" w:hAnsi="Verdana"/>
        </w:rPr>
        <w:fldChar w:fldCharType="end"/>
      </w:r>
      <w:r>
        <w:rPr>
          <w:rFonts w:ascii="Verdana" w:hAnsi="Verdana"/>
          <w:sz w:val="18"/>
          <w:szCs w:val="18"/>
        </w:rPr>
        <w:t>):</w:t>
      </w:r>
    </w:p>
    <w:p>
      <w:pPr>
        <w:pStyle w:val="Normal"/>
        <w:numPr>
          <w:ilvl w:val="0"/>
          <w:numId w:val="0"/>
        </w:numPr>
        <w:suppressAutoHyphens w:val="true"/>
        <w:spacing w:lineRule="auto" w:line="240" w:before="0" w:after="3"/>
        <w:ind w:left="0" w:right="0" w:hanging="0"/>
        <w:contextualSpacing/>
        <w:jc w:val="both"/>
        <w:rPr>
          <w:rFonts w:ascii="Verdana" w:hAnsi="Verdana"/>
          <w:sz w:val="18"/>
          <w:szCs w:val="18"/>
        </w:rPr>
      </w:pPr>
      <w:r>
        <w:rPr>
          <w:rFonts w:eastAsia="Arial" w:cs="Arial" w:ascii="Verdana" w:hAnsi="Verdana"/>
          <w:sz w:val="18"/>
          <w:szCs w:val="18"/>
        </w:rPr>
        <w:t>a) a natureza e a gravidade da infração cometida;</w:t>
      </w:r>
    </w:p>
    <w:p>
      <w:pPr>
        <w:pStyle w:val="Normal"/>
        <w:numPr>
          <w:ilvl w:val="0"/>
          <w:numId w:val="0"/>
        </w:numPr>
        <w:suppressAutoHyphens w:val="true"/>
        <w:spacing w:lineRule="auto" w:line="240" w:before="0" w:after="3"/>
        <w:ind w:left="0" w:right="0" w:hanging="0"/>
        <w:contextualSpacing/>
        <w:jc w:val="both"/>
        <w:rPr>
          <w:rFonts w:ascii="Verdana" w:hAnsi="Verdana"/>
          <w:sz w:val="18"/>
          <w:szCs w:val="18"/>
        </w:rPr>
      </w:pPr>
      <w:r>
        <w:rPr>
          <w:rFonts w:eastAsia="Arial" w:cs="Arial" w:ascii="Verdana" w:hAnsi="Verdana"/>
          <w:sz w:val="18"/>
          <w:szCs w:val="18"/>
        </w:rPr>
        <w:t>b) as peculiaridades do caso concreto;</w:t>
      </w:r>
    </w:p>
    <w:p>
      <w:pPr>
        <w:pStyle w:val="Normal"/>
        <w:numPr>
          <w:ilvl w:val="0"/>
          <w:numId w:val="0"/>
        </w:numPr>
        <w:suppressAutoHyphens w:val="true"/>
        <w:spacing w:lineRule="auto" w:line="240" w:before="0" w:after="3"/>
        <w:ind w:left="0" w:right="0" w:hanging="0"/>
        <w:contextualSpacing/>
        <w:jc w:val="both"/>
        <w:rPr>
          <w:rFonts w:ascii="Verdana" w:hAnsi="Verdana"/>
          <w:sz w:val="18"/>
          <w:szCs w:val="18"/>
        </w:rPr>
      </w:pPr>
      <w:r>
        <w:rPr>
          <w:rFonts w:eastAsia="Arial" w:cs="Arial" w:ascii="Verdana" w:hAnsi="Verdana"/>
          <w:sz w:val="18"/>
          <w:szCs w:val="18"/>
        </w:rPr>
        <w:t>c) as circunstâncias agravantes ou atenuantes;</w:t>
      </w:r>
    </w:p>
    <w:p>
      <w:pPr>
        <w:pStyle w:val="Normal"/>
        <w:numPr>
          <w:ilvl w:val="0"/>
          <w:numId w:val="0"/>
        </w:numPr>
        <w:suppressAutoHyphens w:val="true"/>
        <w:spacing w:lineRule="auto" w:line="240" w:before="0" w:after="3"/>
        <w:ind w:left="0" w:right="0" w:hanging="0"/>
        <w:contextualSpacing/>
        <w:jc w:val="both"/>
        <w:rPr>
          <w:rFonts w:ascii="Verdana" w:hAnsi="Verdana"/>
          <w:sz w:val="18"/>
          <w:szCs w:val="18"/>
        </w:rPr>
      </w:pPr>
      <w:r>
        <w:rPr>
          <w:rFonts w:eastAsia="Arial" w:cs="Arial" w:ascii="Verdana" w:hAnsi="Verdana"/>
          <w:sz w:val="18"/>
          <w:szCs w:val="18"/>
        </w:rPr>
        <w:t>d) os danos que dela provierem para o Contratante;</w:t>
      </w:r>
    </w:p>
    <w:p>
      <w:pPr>
        <w:pStyle w:val="Normal"/>
        <w:numPr>
          <w:ilvl w:val="0"/>
          <w:numId w:val="0"/>
        </w:numPr>
        <w:suppressAutoHyphens w:val="true"/>
        <w:spacing w:lineRule="auto" w:line="240" w:before="0" w:after="3"/>
        <w:ind w:left="0" w:right="0" w:hanging="0"/>
        <w:contextualSpacing/>
        <w:jc w:val="both"/>
        <w:rPr>
          <w:rFonts w:ascii="Verdana" w:hAnsi="Verdana"/>
          <w:sz w:val="18"/>
          <w:szCs w:val="18"/>
        </w:rPr>
      </w:pPr>
      <w:r>
        <w:rPr>
          <w:rFonts w:eastAsia="Arial" w:cs="Arial" w:ascii="Verdana" w:hAnsi="Verdana"/>
          <w:sz w:val="18"/>
          <w:szCs w:val="18"/>
        </w:rPr>
        <w:t>e) a implantação ou o aperfeiçoamento de programa de integridade, conforme normas e orientações dos órgãos de controle.</w:t>
      </w:r>
    </w:p>
    <w:p>
      <w:pPr>
        <w:pStyle w:val="Nivel2"/>
        <w:numPr>
          <w:ilvl w:val="0"/>
          <w:numId w:val="0"/>
        </w:numPr>
        <w:spacing w:lineRule="auto" w:line="240" w:before="0" w:after="0"/>
        <w:ind w:left="0" w:right="0" w:hanging="0"/>
        <w:jc w:val="both"/>
        <w:rPr/>
      </w:pPr>
      <w:r>
        <w:rPr>
          <w:rFonts w:ascii="Verdana" w:hAnsi="Verdana"/>
          <w:sz w:val="18"/>
          <w:szCs w:val="18"/>
        </w:rPr>
        <w:t xml:space="preserve">12.10. Os atos previstos como infrações administrativas na </w:t>
      </w:r>
      <w:hyperlink r:id="rId7">
        <w:r>
          <w:rPr>
            <w:rStyle w:val="LinkdaInternet"/>
            <w:rFonts w:ascii="Verdana" w:hAnsi="Verdana"/>
            <w:sz w:val="18"/>
            <w:szCs w:val="18"/>
          </w:rPr>
          <w:t>Lei nº 14.133, de 2021</w:t>
        </w:r>
      </w:hyperlink>
      <w:r>
        <w:rPr>
          <w:rFonts w:ascii="Verdana" w:hAnsi="Verdana"/>
          <w:sz w:val="18"/>
          <w:szCs w:val="18"/>
        </w:rPr>
        <w:t xml:space="preserve">, ou em outras leis de licitações e contratos da Administração Pública que também sejam tipificados como atos lesivos </w:t>
      </w:r>
      <w:hyperlink r:id="rId8">
        <w:r>
          <w:rPr>
            <w:rStyle w:val="LinkdaInternet"/>
            <w:rFonts w:ascii="Verdana" w:hAnsi="Verdana"/>
            <w:sz w:val="18"/>
            <w:szCs w:val="18"/>
          </w:rPr>
          <w:t>na Lei nº 12.846, de 2013</w:t>
        </w:r>
      </w:hyperlink>
      <w:r>
        <w:rPr>
          <w:rFonts w:ascii="Verdana" w:hAnsi="Verdana"/>
          <w:sz w:val="18"/>
          <w:szCs w:val="18"/>
        </w:rPr>
        <w:t xml:space="preserve">, serão apurados e julgados conjuntamente, nos mesmos autos, observados o rito procedimental e autoridade competente definidos na referida </w:t>
      </w:r>
      <w:r>
        <w:fldChar w:fldCharType="begin"/>
      </w:r>
      <w:r>
        <w:rPr>
          <w:rStyle w:val="LinkdaInternet"/>
          <w:sz w:val="18"/>
          <w:szCs w:val="18"/>
          <w:rFonts w:ascii="Verdana" w:hAnsi="Verdana"/>
        </w:rPr>
        <w:instrText> HYPERLINK "http://www.planalto.gov.br/ccivil_03/_ato2019-2022/2021/lei/L14133.htm" \l "art159"</w:instrText>
      </w:r>
      <w:r>
        <w:rPr>
          <w:rStyle w:val="LinkdaInternet"/>
          <w:sz w:val="18"/>
          <w:szCs w:val="18"/>
          <w:rFonts w:ascii="Verdana" w:hAnsi="Verdana"/>
        </w:rPr>
        <w:fldChar w:fldCharType="separate"/>
      </w:r>
      <w:r>
        <w:rPr>
          <w:rStyle w:val="LinkdaInternet"/>
          <w:rFonts w:ascii="Verdana" w:hAnsi="Verdana"/>
          <w:sz w:val="18"/>
          <w:szCs w:val="18"/>
        </w:rPr>
        <w:t>Lei (art. 159</w:t>
      </w:r>
      <w:r>
        <w:rPr>
          <w:rStyle w:val="LinkdaInternet"/>
          <w:sz w:val="18"/>
          <w:szCs w:val="18"/>
          <w:rFonts w:ascii="Verdana" w:hAnsi="Verdana"/>
        </w:rPr>
        <w:fldChar w:fldCharType="end"/>
      </w:r>
      <w:r>
        <w:rPr>
          <w:rFonts w:ascii="Verdana" w:hAnsi="Verdana"/>
          <w:sz w:val="18"/>
          <w:szCs w:val="18"/>
        </w:rPr>
        <w:t>).</w:t>
      </w:r>
    </w:p>
    <w:p>
      <w:pPr>
        <w:pStyle w:val="Nivel2"/>
        <w:numPr>
          <w:ilvl w:val="0"/>
          <w:numId w:val="0"/>
        </w:numPr>
        <w:spacing w:lineRule="auto" w:line="240" w:before="0" w:after="0"/>
        <w:ind w:left="0" w:right="0" w:hanging="0"/>
        <w:jc w:val="both"/>
        <w:rPr/>
      </w:pPr>
      <w:r>
        <w:rPr>
          <w:rFonts w:ascii="Verdana" w:hAnsi="Verdana"/>
          <w:sz w:val="18"/>
          <w:szCs w:val="18"/>
        </w:rPr>
        <w:t>12.11.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r>
        <w:fldChar w:fldCharType="begin"/>
      </w:r>
      <w:r>
        <w:rPr>
          <w:rStyle w:val="LinkdaInternet"/>
          <w:sz w:val="18"/>
          <w:szCs w:val="18"/>
          <w:rFonts w:ascii="Verdana" w:hAnsi="Verdana"/>
        </w:rPr>
        <w:instrText> HYPERLINK "http://www.planalto.gov.br/ccivil_03/_ato2019-2022/2021/lei/L14133.htm" \l "art160"</w:instrText>
      </w:r>
      <w:r>
        <w:rPr>
          <w:rStyle w:val="LinkdaInternet"/>
          <w:sz w:val="18"/>
          <w:szCs w:val="18"/>
          <w:rFonts w:ascii="Verdana" w:hAnsi="Verdana"/>
        </w:rPr>
        <w:fldChar w:fldCharType="separate"/>
      </w:r>
      <w:r>
        <w:rPr>
          <w:rStyle w:val="LinkdaInternet"/>
          <w:rFonts w:ascii="Verdana" w:hAnsi="Verdana"/>
          <w:sz w:val="18"/>
          <w:szCs w:val="18"/>
        </w:rPr>
        <w:t>art. 160, da Lei nº 14.133, de 2021</w:t>
      </w:r>
      <w:r>
        <w:rPr>
          <w:rStyle w:val="LinkdaInternet"/>
          <w:sz w:val="18"/>
          <w:szCs w:val="18"/>
          <w:rFonts w:ascii="Verdana" w:hAnsi="Verdana"/>
        </w:rPr>
        <w:fldChar w:fldCharType="end"/>
      </w:r>
      <w:r>
        <w:rPr>
          <w:rFonts w:ascii="Verdana" w:hAnsi="Verdana"/>
          <w:sz w:val="18"/>
          <w:szCs w:val="18"/>
        </w:rPr>
        <w:t>)</w:t>
      </w:r>
    </w:p>
    <w:p>
      <w:pPr>
        <w:pStyle w:val="Nivel2"/>
        <w:numPr>
          <w:ilvl w:val="0"/>
          <w:numId w:val="0"/>
        </w:numPr>
        <w:spacing w:lineRule="auto" w:line="240" w:before="0" w:after="3"/>
        <w:ind w:left="0" w:right="0" w:hanging="0"/>
        <w:jc w:val="both"/>
        <w:rPr/>
      </w:pPr>
      <w:r>
        <w:rPr>
          <w:rFonts w:ascii="Verdana" w:hAnsi="Verdana"/>
          <w:sz w:val="18"/>
          <w:szCs w:val="18"/>
        </w:rPr>
        <w:t>12.12.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fldChar w:fldCharType="begin"/>
      </w:r>
      <w:r>
        <w:rPr>
          <w:rStyle w:val="LinkdaInternet"/>
          <w:sz w:val="18"/>
          <w:szCs w:val="18"/>
          <w:rFonts w:ascii="Verdana" w:hAnsi="Verdana"/>
        </w:rPr>
        <w:instrText> HYPERLINK "http://www.planalto.gov.br/ccivil_03/_ato2019-2022/2021/lei/L14133.htm" \l "art161"</w:instrText>
      </w:r>
      <w:r>
        <w:rPr>
          <w:rStyle w:val="LinkdaInternet"/>
          <w:sz w:val="18"/>
          <w:szCs w:val="18"/>
          <w:rFonts w:ascii="Verdana" w:hAnsi="Verdana"/>
        </w:rPr>
        <w:fldChar w:fldCharType="separate"/>
      </w:r>
      <w:r>
        <w:rPr>
          <w:rStyle w:val="LinkdaInternet"/>
          <w:rFonts w:ascii="Verdana" w:hAnsi="Verdana"/>
          <w:sz w:val="18"/>
          <w:szCs w:val="18"/>
        </w:rPr>
        <w:t>Art. 161, da Lei nº 14.133, de 2021</w:t>
      </w:r>
      <w:r>
        <w:rPr>
          <w:rStyle w:val="LinkdaInternet"/>
          <w:sz w:val="18"/>
          <w:szCs w:val="18"/>
          <w:rFonts w:ascii="Verdana" w:hAnsi="Verdana"/>
        </w:rPr>
        <w:fldChar w:fldCharType="end"/>
      </w:r>
      <w:r>
        <w:rPr>
          <w:rFonts w:ascii="Verdana" w:hAnsi="Verdana"/>
          <w:sz w:val="18"/>
          <w:szCs w:val="18"/>
        </w:rPr>
        <w:t>)</w:t>
      </w:r>
    </w:p>
    <w:p>
      <w:pPr>
        <w:pStyle w:val="Nivel2"/>
        <w:numPr>
          <w:ilvl w:val="0"/>
          <w:numId w:val="0"/>
        </w:numPr>
        <w:spacing w:lineRule="auto" w:line="240" w:before="0" w:after="0"/>
        <w:ind w:left="0" w:right="0" w:hanging="0"/>
        <w:jc w:val="both"/>
        <w:rPr/>
      </w:pPr>
      <w:r>
        <w:rPr>
          <w:rFonts w:ascii="Verdana" w:hAnsi="Verdana"/>
          <w:sz w:val="18"/>
          <w:szCs w:val="18"/>
        </w:rPr>
        <w:t xml:space="preserve">12.13. As sanções de impedimento de licitar e contratar e declaração de inidoneidade para licitar ou contratar são passíveis de reabilitação na forma do </w:t>
      </w:r>
      <w:r>
        <w:fldChar w:fldCharType="begin"/>
      </w:r>
      <w:r>
        <w:rPr>
          <w:rStyle w:val="LinkdaInternet"/>
          <w:sz w:val="18"/>
          <w:szCs w:val="18"/>
          <w:rFonts w:ascii="Verdana" w:hAnsi="Verdana"/>
        </w:rPr>
        <w:instrText> HYPERLINK "http://www.planalto.gov.br/ccivil_03/_ato2019-2022/2021/lei/L14133.htm" \l "art163"</w:instrText>
      </w:r>
      <w:r>
        <w:rPr>
          <w:rStyle w:val="LinkdaInternet"/>
          <w:sz w:val="18"/>
          <w:szCs w:val="18"/>
          <w:rFonts w:ascii="Verdana" w:hAnsi="Verdana"/>
        </w:rPr>
        <w:fldChar w:fldCharType="separate"/>
      </w:r>
      <w:r>
        <w:rPr>
          <w:rStyle w:val="LinkdaInternet"/>
          <w:rFonts w:ascii="Verdana" w:hAnsi="Verdana"/>
          <w:sz w:val="18"/>
          <w:szCs w:val="18"/>
        </w:rPr>
        <w:t>art. 163 da Lei nº 14.133/21.</w:t>
      </w:r>
      <w:r>
        <w:rPr>
          <w:rStyle w:val="LinkdaInternet"/>
          <w:sz w:val="18"/>
          <w:szCs w:val="18"/>
          <w:rFonts w:ascii="Verdana" w:hAnsi="Verdana"/>
        </w:rPr>
        <w:fldChar w:fldCharType="end"/>
      </w:r>
    </w:p>
    <w:p>
      <w:pPr>
        <w:pStyle w:val="Nivel2"/>
        <w:numPr>
          <w:ilvl w:val="0"/>
          <w:numId w:val="0"/>
        </w:numPr>
        <w:spacing w:lineRule="auto" w:line="240" w:before="0" w:after="0"/>
        <w:ind w:left="0" w:right="0" w:hanging="0"/>
        <w:jc w:val="both"/>
        <w:rPr/>
      </w:pPr>
      <w:r>
        <w:rPr>
          <w:rFonts w:ascii="Verdana" w:hAnsi="Verdana"/>
          <w:sz w:val="18"/>
          <w:szCs w:val="18"/>
        </w:rPr>
        <w:t xml:space="preserve">12.14.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9">
        <w:r>
          <w:rPr>
            <w:rStyle w:val="LinkdaInternet"/>
            <w:rFonts w:ascii="Verdana" w:hAnsi="Verdana"/>
            <w:sz w:val="18"/>
            <w:szCs w:val="18"/>
          </w:rPr>
          <w:t>Instrução Normativa SEGES/ME nº 26, de 13 de abril de 2022</w:t>
        </w:r>
      </w:hyperlink>
      <w:r>
        <w:rPr>
          <w:rFonts w:ascii="Verdana" w:hAnsi="Verdana"/>
          <w:sz w:val="18"/>
          <w:szCs w:val="18"/>
        </w:rPr>
        <w:t>.</w:t>
      </w:r>
    </w:p>
    <w:p>
      <w:pPr>
        <w:pStyle w:val="Nivel2"/>
        <w:numPr>
          <w:ilvl w:val="0"/>
          <w:numId w:val="0"/>
        </w:numPr>
        <w:spacing w:lineRule="auto" w:line="240" w:before="0" w:after="0"/>
        <w:ind w:left="360" w:right="0" w:hanging="0"/>
        <w:jc w:val="both"/>
        <w:rPr>
          <w:rFonts w:ascii="Verdana" w:hAnsi="Verdana"/>
          <w:sz w:val="18"/>
          <w:szCs w:val="18"/>
        </w:rPr>
      </w:pPr>
      <w:r>
        <w:rPr>
          <w:rFonts w:ascii="Verdana" w:hAnsi="Verdana"/>
          <w:sz w:val="18"/>
          <w:szCs w:val="18"/>
        </w:rPr>
      </w:r>
    </w:p>
    <w:p>
      <w:pPr>
        <w:pStyle w:val="Nivel01"/>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CLÁUSULA DÉCIMA TERCEIRA – DA EXTINÇÃO CONTRATUAL</w:t>
      </w:r>
    </w:p>
    <w:p>
      <w:pPr>
        <w:pStyle w:val="Normal"/>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r>
    </w:p>
    <w:p>
      <w:pPr>
        <w:pStyle w:val="Nivel2"/>
        <w:numPr>
          <w:ilvl w:val="0"/>
          <w:numId w:val="0"/>
        </w:numPr>
        <w:spacing w:lineRule="auto" w:line="240" w:before="0" w:after="0"/>
        <w:ind w:left="0" w:right="0" w:hanging="0"/>
        <w:jc w:val="both"/>
        <w:rPr/>
      </w:pPr>
      <w:r>
        <w:rPr>
          <w:rFonts w:ascii="Verdana" w:hAnsi="Verdana"/>
          <w:sz w:val="18"/>
          <w:szCs w:val="18"/>
        </w:rPr>
        <w:t xml:space="preserve">13.1. O contrato pode ser extinto antes de cumpridas as obrigações nele estipuladas, ou antes do prazo nele fixado, por algum dos motivos previstos no </w:t>
      </w:r>
      <w:r>
        <w:fldChar w:fldCharType="begin"/>
      </w:r>
      <w:r>
        <w:rPr>
          <w:rStyle w:val="LinkdaInternet"/>
          <w:sz w:val="18"/>
          <w:szCs w:val="18"/>
          <w:rFonts w:ascii="Verdana" w:hAnsi="Verdana"/>
        </w:rPr>
        <w:instrText> HYPERLINK "http://www.planalto.gov.br/ccivil_03/_ato2019-2022/2021/lei/L14133.htm" \l "art137"</w:instrText>
      </w:r>
      <w:r>
        <w:rPr>
          <w:rStyle w:val="LinkdaInternet"/>
          <w:sz w:val="18"/>
          <w:szCs w:val="18"/>
          <w:rFonts w:ascii="Verdana" w:hAnsi="Verdana"/>
        </w:rPr>
        <w:fldChar w:fldCharType="separate"/>
      </w:r>
      <w:r>
        <w:rPr>
          <w:rStyle w:val="LinkdaInternet"/>
          <w:rFonts w:ascii="Verdana" w:hAnsi="Verdana"/>
          <w:sz w:val="18"/>
          <w:szCs w:val="18"/>
        </w:rPr>
        <w:t>artigo 137 da Lei nº 14.133/21</w:t>
      </w:r>
      <w:r>
        <w:rPr>
          <w:rStyle w:val="LinkdaInternet"/>
          <w:sz w:val="18"/>
          <w:szCs w:val="18"/>
          <w:rFonts w:ascii="Verdana" w:hAnsi="Verdana"/>
        </w:rPr>
        <w:fldChar w:fldCharType="end"/>
      </w:r>
      <w:r>
        <w:rPr>
          <w:rFonts w:ascii="Verdana" w:hAnsi="Verdana"/>
          <w:sz w:val="18"/>
          <w:szCs w:val="18"/>
        </w:rPr>
        <w:t xml:space="preserve">, bem como amigavelmente, </w:t>
      </w:r>
      <w:r>
        <w:rPr>
          <w:rFonts w:ascii="Verdana" w:hAnsi="Verdana"/>
          <w:color w:val="000000"/>
          <w:sz w:val="18"/>
          <w:szCs w:val="18"/>
        </w:rPr>
        <w:t>assegurados o contraditório e a ampla defesa</w:t>
      </w:r>
      <w:r>
        <w:rPr>
          <w:rFonts w:ascii="Verdana" w:hAnsi="Verdana"/>
          <w:sz w:val="18"/>
          <w:szCs w:val="18"/>
        </w:rPr>
        <w:t>.</w:t>
      </w:r>
    </w:p>
    <w:p>
      <w:pPr>
        <w:pStyle w:val="Nivel3"/>
        <w:numPr>
          <w:ilvl w:val="0"/>
          <w:numId w:val="0"/>
        </w:numPr>
        <w:spacing w:lineRule="auto" w:line="240" w:before="0" w:after="0"/>
        <w:ind w:left="0" w:right="0" w:hanging="0"/>
        <w:jc w:val="both"/>
        <w:rPr/>
      </w:pPr>
      <w:r>
        <w:rPr>
          <w:rFonts w:ascii="Verdana" w:hAnsi="Verdana"/>
          <w:sz w:val="18"/>
          <w:szCs w:val="18"/>
        </w:rPr>
        <w:t xml:space="preserve">13.1.1. Nesta hipótese, aplicam-se também os </w:t>
      </w:r>
      <w:r>
        <w:fldChar w:fldCharType="begin"/>
      </w:r>
      <w:r>
        <w:rPr>
          <w:rStyle w:val="LinkdaInternet"/>
          <w:sz w:val="18"/>
          <w:szCs w:val="18"/>
          <w:rFonts w:ascii="Verdana" w:hAnsi="Verdana"/>
        </w:rPr>
        <w:instrText> HYPERLINK "http://www.planalto.gov.br/ccivil_03/_ato2019-2022/2021/lei/L14133.htm" \l "art138"</w:instrText>
      </w:r>
      <w:r>
        <w:rPr>
          <w:rStyle w:val="LinkdaInternet"/>
          <w:sz w:val="18"/>
          <w:szCs w:val="18"/>
          <w:rFonts w:ascii="Verdana" w:hAnsi="Verdana"/>
        </w:rPr>
        <w:fldChar w:fldCharType="separate"/>
      </w:r>
      <w:r>
        <w:rPr>
          <w:rStyle w:val="LinkdaInternet"/>
          <w:rFonts w:ascii="Verdana" w:hAnsi="Verdana"/>
          <w:sz w:val="18"/>
          <w:szCs w:val="18"/>
        </w:rPr>
        <w:t>artigos 138 e 139</w:t>
      </w:r>
      <w:r>
        <w:rPr>
          <w:rStyle w:val="LinkdaInternet"/>
          <w:sz w:val="18"/>
          <w:szCs w:val="18"/>
          <w:rFonts w:ascii="Verdana" w:hAnsi="Verdana"/>
        </w:rPr>
        <w:fldChar w:fldCharType="end"/>
      </w:r>
      <w:r>
        <w:rPr>
          <w:rFonts w:ascii="Verdana" w:hAnsi="Verdana"/>
          <w:sz w:val="18"/>
          <w:szCs w:val="18"/>
        </w:rPr>
        <w:t xml:space="preserve"> da mesma Lei.</w:t>
      </w:r>
    </w:p>
    <w:p>
      <w:pPr>
        <w:pStyle w:val="Nivel3"/>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 xml:space="preserve">13.1.2. A </w:t>
      </w:r>
      <w:r>
        <w:rPr>
          <w:rFonts w:ascii="Verdana" w:hAnsi="Verdana"/>
          <w:color w:val="000000"/>
          <w:sz w:val="18"/>
          <w:szCs w:val="18"/>
        </w:rPr>
        <w:t>alteração social ou a modificação da finalidade ou da estrutura da empresa</w:t>
      </w:r>
      <w:r>
        <w:rPr>
          <w:rFonts w:ascii="Verdana" w:hAnsi="Verdana"/>
          <w:sz w:val="18"/>
          <w:szCs w:val="18"/>
        </w:rPr>
        <w:t xml:space="preserve"> não ensejará a rescisão se não </w:t>
      </w:r>
      <w:r>
        <w:rPr>
          <w:rFonts w:ascii="Verdana" w:hAnsi="Verdana"/>
          <w:color w:val="000000"/>
          <w:sz w:val="18"/>
          <w:szCs w:val="18"/>
        </w:rPr>
        <w:t>restringir sua capacidade de concluir o contrato.</w:t>
      </w:r>
    </w:p>
    <w:p>
      <w:pPr>
        <w:pStyle w:val="Nivel4"/>
        <w:numPr>
          <w:ilvl w:val="0"/>
          <w:numId w:val="0"/>
        </w:numPr>
        <w:spacing w:lineRule="auto" w:line="240" w:before="0" w:after="0"/>
        <w:ind w:left="0" w:right="0" w:hanging="0"/>
        <w:jc w:val="both"/>
        <w:rPr>
          <w:rFonts w:ascii="Verdana" w:hAnsi="Verdana"/>
          <w:sz w:val="18"/>
          <w:szCs w:val="18"/>
        </w:rPr>
      </w:pPr>
      <w:r>
        <w:rPr>
          <w:rFonts w:ascii="Verdana" w:hAnsi="Verdana"/>
          <w:color w:val="000000"/>
          <w:sz w:val="18"/>
          <w:szCs w:val="18"/>
        </w:rPr>
        <w:t xml:space="preserve">13.1.2.1. Se a operação </w:t>
      </w:r>
      <w:r>
        <w:rPr>
          <w:rFonts w:ascii="Verdana" w:hAnsi="Verdana"/>
          <w:sz w:val="18"/>
          <w:szCs w:val="18"/>
        </w:rPr>
        <w:t>implicar mudança da pessoa jurídica contratada, deverá ser formalizado termo aditivo para alteração subjetiva.</w:t>
      </w:r>
    </w:p>
    <w:p>
      <w:pPr>
        <w:pStyle w:val="Nivel2"/>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13.2. O termo de rescisão, sempre que possível, será precedido:</w:t>
      </w:r>
    </w:p>
    <w:p>
      <w:pPr>
        <w:pStyle w:val="Nivel3"/>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13.2.1. Balanço dos eventos contratuais já cumpridos ou parcialmente cumpridos;</w:t>
      </w:r>
    </w:p>
    <w:p>
      <w:pPr>
        <w:pStyle w:val="Nivel3"/>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13.2.2. Relação dos pagamentos já efetuados e ainda devidos;</w:t>
      </w:r>
    </w:p>
    <w:p>
      <w:pPr>
        <w:pStyle w:val="Nivel3"/>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13.2.3. Indenizações e multas.</w:t>
      </w:r>
    </w:p>
    <w:p>
      <w:pPr>
        <w:pStyle w:val="Nivel2"/>
        <w:numPr>
          <w:ilvl w:val="0"/>
          <w:numId w:val="0"/>
        </w:numPr>
        <w:spacing w:lineRule="auto" w:line="240" w:before="0" w:after="0"/>
        <w:ind w:left="0" w:right="0" w:hanging="0"/>
        <w:jc w:val="both"/>
        <w:rPr/>
      </w:pPr>
      <w:r>
        <w:rPr>
          <w:rFonts w:ascii="Verdana" w:hAnsi="Verdana"/>
          <w:sz w:val="18"/>
          <w:szCs w:val="18"/>
        </w:rPr>
        <w:t>13.3. A extinção do contrato não configura óbice para o reconhecimento do desequilíbrio econômico-financeiro, hipótese em que será concedida indenização por meio de termo indenizatório (</w:t>
      </w:r>
      <w:r>
        <w:fldChar w:fldCharType="begin"/>
      </w:r>
      <w:r>
        <w:rPr>
          <w:rStyle w:val="LinkdaInternet"/>
          <w:sz w:val="18"/>
          <w:szCs w:val="18"/>
          <w:rFonts w:ascii="Verdana" w:hAnsi="Verdana"/>
        </w:rPr>
        <w:instrText> HYPERLINK "http://www.planalto.gov.br/ccivil_03/_ato2019-2022/2021/lei/L14133.htm" \l "art131"</w:instrText>
      </w:r>
      <w:r>
        <w:rPr>
          <w:rStyle w:val="LinkdaInternet"/>
          <w:sz w:val="18"/>
          <w:szCs w:val="18"/>
          <w:rFonts w:ascii="Verdana" w:hAnsi="Verdana"/>
        </w:rPr>
        <w:fldChar w:fldCharType="separate"/>
      </w:r>
      <w:r>
        <w:rPr>
          <w:rStyle w:val="LinkdaInternet"/>
          <w:rFonts w:ascii="Verdana" w:hAnsi="Verdana"/>
          <w:sz w:val="18"/>
          <w:szCs w:val="18"/>
        </w:rPr>
        <w:t xml:space="preserve">art. 131, </w:t>
      </w:r>
      <w:r>
        <w:rPr>
          <w:rStyle w:val="LinkdaInternet"/>
          <w:sz w:val="18"/>
          <w:szCs w:val="18"/>
          <w:rFonts w:ascii="Verdana" w:hAnsi="Verdana"/>
        </w:rPr>
        <w:fldChar w:fldCharType="end"/>
      </w:r>
      <w:r>
        <w:rPr>
          <w:rStyle w:val="LinkdaInternet"/>
          <w:rFonts w:ascii="Verdana" w:hAnsi="Verdana"/>
          <w:i/>
          <w:iCs/>
          <w:sz w:val="18"/>
          <w:szCs w:val="18"/>
        </w:rPr>
        <w:t xml:space="preserve">caput, </w:t>
      </w:r>
      <w:r>
        <w:rPr>
          <w:rStyle w:val="LinkdaInternet"/>
          <w:rFonts w:ascii="Verdana" w:hAnsi="Verdana"/>
          <w:sz w:val="18"/>
          <w:szCs w:val="18"/>
        </w:rPr>
        <w:t>da Lei n.º 14.133, de 2021).</w:t>
      </w:r>
      <w:r>
        <w:rPr>
          <w:rFonts w:ascii="Verdana" w:hAnsi="Verdana"/>
          <w:sz w:val="18"/>
          <w:szCs w:val="18"/>
        </w:rPr>
        <w:t xml:space="preserve"> </w:t>
      </w:r>
    </w:p>
    <w:p>
      <w:pPr>
        <w:pStyle w:val="Nivel2"/>
        <w:numPr>
          <w:ilvl w:val="0"/>
          <w:numId w:val="0"/>
        </w:numPr>
        <w:spacing w:lineRule="auto" w:line="240" w:before="0" w:after="0"/>
        <w:ind w:left="4969" w:right="0" w:hanging="0"/>
        <w:jc w:val="both"/>
        <w:rPr>
          <w:rFonts w:ascii="Verdana" w:hAnsi="Verdana"/>
          <w:sz w:val="18"/>
          <w:szCs w:val="18"/>
        </w:rPr>
      </w:pPr>
      <w:r>
        <w:rPr>
          <w:rFonts w:ascii="Verdana" w:hAnsi="Verdana"/>
          <w:sz w:val="18"/>
          <w:szCs w:val="18"/>
        </w:rPr>
      </w:r>
    </w:p>
    <w:p>
      <w:pPr>
        <w:pStyle w:val="Nivel01"/>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CLÁUSULA DÉCIMA QUARTA – DOTAÇÃO ORÇAMENTÁRIA</w:t>
      </w:r>
    </w:p>
    <w:p>
      <w:pPr>
        <w:pStyle w:val="Normal"/>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r>
    </w:p>
    <w:p>
      <w:pPr>
        <w:pStyle w:val="Nivel2"/>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14.1. As despesas decorrentes da presente contratação correrão à conta de recursos específicos consignados no Orçamento Geral do Município deste exercício, na dotação abaixo discriminada:</w:t>
      </w:r>
    </w:p>
    <w:tbl>
      <w:tblPr>
        <w:tblW w:w="9638" w:type="dxa"/>
        <w:jc w:val="left"/>
        <w:tblInd w:w="0" w:type="dxa"/>
        <w:tblLayout w:type="fixed"/>
        <w:tblCellMar>
          <w:top w:w="55" w:type="dxa"/>
          <w:left w:w="55" w:type="dxa"/>
          <w:bottom w:w="55" w:type="dxa"/>
          <w:right w:w="55" w:type="dxa"/>
        </w:tblCellMar>
      </w:tblPr>
      <w:tblGrid>
        <w:gridCol w:w="9638"/>
      </w:tblGrid>
      <w:tr>
        <w:trPr/>
        <w:tc>
          <w:tcPr>
            <w:tcW w:w="9638" w:type="dxa"/>
            <w:tcBorders>
              <w:top w:val="single" w:sz="2" w:space="0" w:color="000000"/>
              <w:left w:val="single" w:sz="2" w:space="0" w:color="000000"/>
              <w:bottom w:val="single" w:sz="2" w:space="0" w:color="000000"/>
              <w:right w:val="single" w:sz="2" w:space="0" w:color="000000"/>
            </w:tcBorders>
          </w:tcPr>
          <w:p>
            <w:pPr>
              <w:pStyle w:val="Contedodatabela"/>
              <w:widowControl w:val="false"/>
              <w:spacing w:lineRule="auto" w:line="240"/>
              <w:jc w:val="center"/>
              <w:rPr>
                <w:rFonts w:ascii="Verdana" w:hAnsi="Verdana" w:eastAsia="ＭＳ 明朝" w:cs="Tahoma"/>
                <w:color w:val="auto"/>
                <w:kern w:val="0"/>
                <w:sz w:val="18"/>
                <w:szCs w:val="18"/>
                <w:lang w:val="pt-BR" w:eastAsia="pt-BR" w:bidi="ar-SA"/>
              </w:rPr>
            </w:pPr>
            <w:r>
              <w:rPr>
                <w:rFonts w:eastAsia="ＭＳ 明朝" w:cs="Tahoma" w:ascii="Verdana" w:hAnsi="Verdana"/>
                <w:color w:val="auto"/>
                <w:kern w:val="0"/>
                <w:sz w:val="18"/>
                <w:szCs w:val="18"/>
                <w:lang w:val="pt-BR" w:eastAsia="pt-BR" w:bidi="ar-SA"/>
              </w:rPr>
              <w:t>06.004.0004.0129.0004.2006.33.390.350.100.000.000.000.05000001 – 2792 – Assessoria e consultoria técnica ou jurídica</w:t>
            </w:r>
          </w:p>
        </w:tc>
      </w:tr>
    </w:tbl>
    <w:p>
      <w:pPr>
        <w:pStyle w:val="Nvel2Red"/>
        <w:numPr>
          <w:ilvl w:val="0"/>
          <w:numId w:val="0"/>
        </w:numPr>
        <w:spacing w:lineRule="auto" w:line="240" w:before="0" w:after="3"/>
        <w:ind w:left="0" w:right="0" w:hanging="0"/>
        <w:jc w:val="both"/>
        <w:rPr>
          <w:rFonts w:ascii="Verdana" w:hAnsi="Verdana"/>
          <w:sz w:val="18"/>
          <w:szCs w:val="18"/>
        </w:rPr>
      </w:pPr>
      <w:r>
        <w:rPr>
          <w:rFonts w:ascii="Verdana" w:hAnsi="Verdana"/>
          <w:i w:val="false"/>
          <w:iCs w:val="false"/>
          <w:color w:val="auto"/>
          <w:sz w:val="18"/>
          <w:szCs w:val="18"/>
        </w:rPr>
        <w:t>14.2. A dotação relativa aos exercícios financeiros subsequentes será indicada após aprovação da Lei Orçamentária respectiva e liberação dos créditos correspondentes, mediante apostilamento.</w:t>
      </w:r>
    </w:p>
    <w:p>
      <w:pPr>
        <w:pStyle w:val="Nvel2Red"/>
        <w:numPr>
          <w:ilvl w:val="0"/>
          <w:numId w:val="0"/>
        </w:numPr>
        <w:spacing w:lineRule="auto" w:line="240" w:before="0" w:after="3"/>
        <w:ind w:left="4969" w:right="0" w:hanging="0"/>
        <w:jc w:val="both"/>
        <w:rPr>
          <w:rFonts w:ascii="Verdana" w:hAnsi="Verdana"/>
          <w:i w:val="false"/>
          <w:i w:val="false"/>
          <w:iCs w:val="false"/>
          <w:color w:val="auto"/>
          <w:sz w:val="18"/>
          <w:szCs w:val="18"/>
        </w:rPr>
      </w:pPr>
      <w:r>
        <w:rPr>
          <w:rFonts w:ascii="Verdana" w:hAnsi="Verdana"/>
          <w:i w:val="false"/>
          <w:iCs w:val="false"/>
          <w:color w:val="auto"/>
          <w:sz w:val="18"/>
          <w:szCs w:val="18"/>
        </w:rPr>
      </w:r>
    </w:p>
    <w:p>
      <w:pPr>
        <w:pStyle w:val="Nivel01"/>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CLÁUSULA DÉCIMA QUINTA – DOS CASOS OMISSOS</w:t>
      </w:r>
    </w:p>
    <w:p>
      <w:pPr>
        <w:pStyle w:val="Normal"/>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r>
    </w:p>
    <w:p>
      <w:pPr>
        <w:pStyle w:val="Nivel2"/>
        <w:numPr>
          <w:ilvl w:val="0"/>
          <w:numId w:val="0"/>
        </w:numPr>
        <w:spacing w:lineRule="auto" w:line="240" w:before="0" w:after="0"/>
        <w:ind w:left="0" w:right="0" w:hanging="0"/>
        <w:jc w:val="both"/>
        <w:rPr/>
      </w:pPr>
      <w:r>
        <w:rPr>
          <w:rFonts w:ascii="Verdana" w:hAnsi="Verdana"/>
          <w:sz w:val="18"/>
          <w:szCs w:val="18"/>
        </w:rPr>
        <w:t xml:space="preserve">Os casos omissos serão decididos pelo contratante, segundo as disposições contidas na </w:t>
      </w:r>
      <w:hyperlink r:id="rId10">
        <w:r>
          <w:rPr>
            <w:rStyle w:val="LinkdaInternet"/>
            <w:rFonts w:ascii="Verdana" w:hAnsi="Verdana"/>
            <w:sz w:val="18"/>
            <w:szCs w:val="18"/>
          </w:rPr>
          <w:t>Lei nº 14.133, de 2021</w:t>
        </w:r>
      </w:hyperlink>
      <w:r>
        <w:rPr>
          <w:rFonts w:ascii="Verdana" w:hAnsi="Verdana"/>
          <w:sz w:val="18"/>
          <w:szCs w:val="18"/>
        </w:rPr>
        <w:t xml:space="preserve">, e demais normas federais aplicáveis e, subsidiariamente, segundo as disposições contidas na </w:t>
      </w:r>
      <w:hyperlink r:id="rId11">
        <w:r>
          <w:rPr>
            <w:rStyle w:val="LinkdaInternet"/>
            <w:rFonts w:ascii="Verdana" w:hAnsi="Verdana"/>
            <w:sz w:val="18"/>
            <w:szCs w:val="18"/>
          </w:rPr>
          <w:t>Lei nº 8.078, de 1990 – Código de Defesa do Consumidor</w:t>
        </w:r>
      </w:hyperlink>
      <w:r>
        <w:rPr>
          <w:rFonts w:ascii="Verdana" w:hAnsi="Verdana"/>
          <w:sz w:val="18"/>
          <w:szCs w:val="18"/>
        </w:rPr>
        <w:t xml:space="preserve"> – e normas e princípios gerais dos contratos.</w:t>
      </w:r>
    </w:p>
    <w:p>
      <w:pPr>
        <w:pStyle w:val="Nivel2"/>
        <w:numPr>
          <w:ilvl w:val="0"/>
          <w:numId w:val="0"/>
        </w:numPr>
        <w:spacing w:lineRule="auto" w:line="240" w:before="0" w:after="0"/>
        <w:ind w:left="4969" w:right="0" w:hanging="0"/>
        <w:jc w:val="both"/>
        <w:rPr>
          <w:rFonts w:ascii="Verdana" w:hAnsi="Verdana"/>
          <w:sz w:val="18"/>
          <w:szCs w:val="18"/>
        </w:rPr>
      </w:pPr>
      <w:r>
        <w:rPr>
          <w:rFonts w:ascii="Verdana" w:hAnsi="Verdana"/>
          <w:sz w:val="18"/>
          <w:szCs w:val="18"/>
        </w:rPr>
      </w:r>
    </w:p>
    <w:p>
      <w:pPr>
        <w:pStyle w:val="Nivel01"/>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CLÁUSULA DÉCIMA SEXTA – ALTERAÇÕES</w:t>
      </w:r>
    </w:p>
    <w:p>
      <w:pPr>
        <w:pStyle w:val="Normal"/>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r>
    </w:p>
    <w:p>
      <w:pPr>
        <w:pStyle w:val="Nivel2"/>
        <w:numPr>
          <w:ilvl w:val="0"/>
          <w:numId w:val="0"/>
        </w:numPr>
        <w:spacing w:lineRule="auto" w:line="240" w:before="0" w:after="0"/>
        <w:ind w:left="0" w:right="0" w:hanging="0"/>
        <w:jc w:val="both"/>
        <w:rPr/>
      </w:pPr>
      <w:r>
        <w:rPr>
          <w:rFonts w:ascii="Verdana" w:hAnsi="Verdana"/>
          <w:sz w:val="18"/>
          <w:szCs w:val="18"/>
        </w:rPr>
        <w:t xml:space="preserve">16.1. Eventuais alterações contratuais reger-se-ão pela disciplina dos </w:t>
      </w:r>
      <w:r>
        <w:fldChar w:fldCharType="begin"/>
      </w:r>
      <w:r>
        <w:rPr>
          <w:rStyle w:val="LinkdaInternet"/>
          <w:sz w:val="18"/>
          <w:szCs w:val="18"/>
          <w:rFonts w:ascii="Verdana" w:hAnsi="Verdana"/>
        </w:rPr>
        <w:instrText> HYPERLINK "http://www.planalto.gov.br/ccivil_03/_ato2019-2022/2021/lei/L14133.htm" \l "art124"</w:instrText>
      </w:r>
      <w:r>
        <w:rPr>
          <w:rStyle w:val="LinkdaInternet"/>
          <w:sz w:val="18"/>
          <w:szCs w:val="18"/>
          <w:rFonts w:ascii="Verdana" w:hAnsi="Verdana"/>
        </w:rPr>
        <w:fldChar w:fldCharType="separate"/>
      </w:r>
      <w:r>
        <w:rPr>
          <w:rStyle w:val="LinkdaInternet"/>
          <w:rFonts w:ascii="Verdana" w:hAnsi="Verdana"/>
          <w:sz w:val="18"/>
          <w:szCs w:val="18"/>
        </w:rPr>
        <w:t>arts. 124 e seguintes da Lei nº 14.133, de 2021</w:t>
      </w:r>
      <w:r>
        <w:rPr>
          <w:rStyle w:val="LinkdaInternet"/>
          <w:sz w:val="18"/>
          <w:szCs w:val="18"/>
          <w:rFonts w:ascii="Verdana" w:hAnsi="Verdana"/>
        </w:rPr>
        <w:fldChar w:fldCharType="end"/>
      </w:r>
      <w:r>
        <w:rPr>
          <w:rFonts w:ascii="Verdana" w:hAnsi="Verdana"/>
          <w:sz w:val="18"/>
          <w:szCs w:val="18"/>
        </w:rPr>
        <w:t>.</w:t>
      </w:r>
    </w:p>
    <w:p>
      <w:pPr>
        <w:pStyle w:val="Nivel2"/>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16.2. O contratado é obrigado a aceitar, nas mesmas condições contratuais, os acréscimos ou supressões que se fizerem necessários, até o limite de 25% (vinte e cinco por cento) do valor inicial atualizado do contrato.</w:t>
      </w:r>
    </w:p>
    <w:p>
      <w:pPr>
        <w:pStyle w:val="Nivel2"/>
        <w:numPr>
          <w:ilvl w:val="0"/>
          <w:numId w:val="0"/>
        </w:numPr>
        <w:spacing w:lineRule="auto" w:line="240" w:before="0" w:after="0"/>
        <w:ind w:left="0" w:right="0" w:hanging="0"/>
        <w:jc w:val="both"/>
        <w:rPr/>
      </w:pPr>
      <w:r>
        <w:rPr>
          <w:rFonts w:ascii="Verdana" w:hAnsi="Verdana"/>
          <w:sz w:val="18"/>
          <w:szCs w:val="18"/>
        </w:rPr>
        <w:t xml:space="preserve">16.3. Registros que não caracterizam alteração do contrato podem ser realizados por simples apostila, dispensada a celebração de termo aditivo, na forma do </w:t>
      </w:r>
      <w:r>
        <w:fldChar w:fldCharType="begin"/>
      </w:r>
      <w:r>
        <w:rPr>
          <w:rStyle w:val="LinkdaInternet"/>
          <w:sz w:val="18"/>
          <w:szCs w:val="18"/>
          <w:rFonts w:ascii="Verdana" w:hAnsi="Verdana"/>
        </w:rPr>
        <w:instrText> HYPERLINK "http://www.planalto.gov.br/ccivil_03/_ato2019-2022/2021/lei/L14133.htm" \l "art136"</w:instrText>
      </w:r>
      <w:r>
        <w:rPr>
          <w:rStyle w:val="LinkdaInternet"/>
          <w:sz w:val="18"/>
          <w:szCs w:val="18"/>
          <w:rFonts w:ascii="Verdana" w:hAnsi="Verdana"/>
        </w:rPr>
        <w:fldChar w:fldCharType="separate"/>
      </w:r>
      <w:r>
        <w:rPr>
          <w:rStyle w:val="LinkdaInternet"/>
          <w:rFonts w:ascii="Verdana" w:hAnsi="Verdana"/>
          <w:sz w:val="18"/>
          <w:szCs w:val="18"/>
        </w:rPr>
        <w:t>art. 136 da Lei nº 14.133, de 2021</w:t>
      </w:r>
      <w:r>
        <w:rPr>
          <w:rStyle w:val="LinkdaInternet"/>
          <w:sz w:val="18"/>
          <w:szCs w:val="18"/>
          <w:rFonts w:ascii="Verdana" w:hAnsi="Verdana"/>
        </w:rPr>
        <w:fldChar w:fldCharType="end"/>
      </w:r>
      <w:r>
        <w:rPr>
          <w:rFonts w:ascii="Verdana" w:hAnsi="Verdana"/>
          <w:sz w:val="18"/>
          <w:szCs w:val="18"/>
        </w:rPr>
        <w:t>.</w:t>
      </w:r>
    </w:p>
    <w:p>
      <w:pPr>
        <w:pStyle w:val="Nivel2"/>
        <w:numPr>
          <w:ilvl w:val="0"/>
          <w:numId w:val="0"/>
        </w:numPr>
        <w:spacing w:lineRule="auto" w:line="240" w:before="0" w:after="0"/>
        <w:ind w:left="5329" w:right="0" w:hanging="0"/>
        <w:jc w:val="both"/>
        <w:rPr>
          <w:rFonts w:ascii="Verdana" w:hAnsi="Verdana"/>
          <w:sz w:val="18"/>
          <w:szCs w:val="18"/>
        </w:rPr>
      </w:pPr>
      <w:r>
        <w:rPr>
          <w:rFonts w:ascii="Verdana" w:hAnsi="Verdana"/>
          <w:sz w:val="18"/>
          <w:szCs w:val="18"/>
        </w:rPr>
      </w:r>
    </w:p>
    <w:p>
      <w:pPr>
        <w:pStyle w:val="Nivel01"/>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r>
    </w:p>
    <w:p>
      <w:pPr>
        <w:pStyle w:val="Nivel01"/>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r>
    </w:p>
    <w:p>
      <w:pPr>
        <w:pStyle w:val="Nivel01"/>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CLÁUSULA DÉCIMA SÉTIMA – PUBLICAÇÃO</w:t>
      </w:r>
    </w:p>
    <w:p>
      <w:pPr>
        <w:pStyle w:val="Normal"/>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r>
    </w:p>
    <w:p>
      <w:pPr>
        <w:pStyle w:val="Nivel2"/>
        <w:numPr>
          <w:ilvl w:val="0"/>
          <w:numId w:val="0"/>
        </w:numPr>
        <w:spacing w:lineRule="auto" w:line="240" w:before="0" w:after="0"/>
        <w:ind w:left="0" w:right="0" w:hanging="0"/>
        <w:jc w:val="both"/>
        <w:rPr/>
      </w:pPr>
      <w:r>
        <w:rPr>
          <w:rFonts w:ascii="Verdana" w:hAnsi="Verdana"/>
          <w:sz w:val="18"/>
          <w:szCs w:val="18"/>
        </w:rPr>
        <w:t xml:space="preserve">17.1. Incumbirá ao contratante divulgar o presente instrumento no Portal Nacional de Contratações Públicas (PNCP), na forma prevista no </w:t>
      </w:r>
      <w:r>
        <w:fldChar w:fldCharType="begin"/>
      </w:r>
      <w:r>
        <w:rPr>
          <w:rStyle w:val="LinkdaInternet"/>
          <w:sz w:val="18"/>
          <w:szCs w:val="18"/>
          <w:rFonts w:ascii="Verdana" w:hAnsi="Verdana"/>
        </w:rPr>
        <w:instrText> HYPERLINK "http://www.planalto.gov.br/ccivil_03/_ato2019-2022/2021/lei/L14133.htm" \l "art94"</w:instrText>
      </w:r>
      <w:r>
        <w:rPr>
          <w:rStyle w:val="LinkdaInternet"/>
          <w:sz w:val="18"/>
          <w:szCs w:val="18"/>
          <w:rFonts w:ascii="Verdana" w:hAnsi="Verdana"/>
        </w:rPr>
        <w:fldChar w:fldCharType="separate"/>
      </w:r>
      <w:r>
        <w:rPr>
          <w:rStyle w:val="LinkdaInternet"/>
          <w:rFonts w:ascii="Verdana" w:hAnsi="Verdana"/>
          <w:sz w:val="18"/>
          <w:szCs w:val="18"/>
        </w:rPr>
        <w:t>art. 94 da Lei 14.133, de 2021</w:t>
      </w:r>
      <w:r>
        <w:rPr>
          <w:rStyle w:val="LinkdaInternet"/>
          <w:sz w:val="18"/>
          <w:szCs w:val="18"/>
          <w:rFonts w:ascii="Verdana" w:hAnsi="Verdana"/>
        </w:rPr>
        <w:fldChar w:fldCharType="end"/>
      </w:r>
      <w:r>
        <w:rPr>
          <w:rFonts w:ascii="Verdana" w:hAnsi="Verdana"/>
          <w:sz w:val="18"/>
          <w:szCs w:val="18"/>
        </w:rPr>
        <w:t xml:space="preserve">, bem como no respectivo sítio oficial na Internet, em atenção ao </w:t>
      </w:r>
      <w:r>
        <w:fldChar w:fldCharType="begin"/>
      </w:r>
      <w:r>
        <w:rPr>
          <w:rStyle w:val="LinkdaInternet"/>
          <w:sz w:val="18"/>
          <w:szCs w:val="18"/>
          <w:rFonts w:ascii="Verdana" w:hAnsi="Verdana"/>
        </w:rPr>
        <w:instrText> HYPERLINK "https://www.planalto.gov.br/ccivil_03/_ato2011-2014/2011/lei/l12527.htm" \l "art8§2"</w:instrText>
      </w:r>
      <w:r>
        <w:rPr>
          <w:rStyle w:val="LinkdaInternet"/>
          <w:sz w:val="18"/>
          <w:szCs w:val="18"/>
          <w:rFonts w:ascii="Verdana" w:hAnsi="Verdana"/>
        </w:rPr>
        <w:fldChar w:fldCharType="separate"/>
      </w:r>
      <w:r>
        <w:rPr>
          <w:rStyle w:val="LinkdaInternet"/>
          <w:rFonts w:ascii="Verdana" w:hAnsi="Verdana"/>
          <w:sz w:val="18"/>
          <w:szCs w:val="18"/>
        </w:rPr>
        <w:t>art. 8º, §2º, da Lei n. 12.527, de 2011</w:t>
      </w:r>
      <w:r>
        <w:rPr>
          <w:rStyle w:val="LinkdaInternet"/>
          <w:sz w:val="18"/>
          <w:szCs w:val="18"/>
          <w:rFonts w:ascii="Verdana" w:hAnsi="Verdana"/>
        </w:rPr>
        <w:fldChar w:fldCharType="end"/>
      </w:r>
      <w:r>
        <w:rPr>
          <w:rFonts w:ascii="Verdana" w:hAnsi="Verdana"/>
          <w:sz w:val="18"/>
          <w:szCs w:val="18"/>
        </w:rPr>
        <w:t xml:space="preserve">, c/c </w:t>
      </w:r>
      <w:r>
        <w:fldChar w:fldCharType="begin"/>
      </w:r>
      <w:r>
        <w:rPr>
          <w:rStyle w:val="LinkdaInternet"/>
          <w:sz w:val="18"/>
          <w:szCs w:val="18"/>
          <w:rFonts w:ascii="Verdana" w:hAnsi="Verdana"/>
        </w:rPr>
        <w:instrText> HYPERLINK "https://www.planalto.gov.br/ccivil_03/_ato2011-2014/2012/decreto/d7724.htm" \l "art7§3"</w:instrText>
      </w:r>
      <w:r>
        <w:rPr>
          <w:rStyle w:val="LinkdaInternet"/>
          <w:sz w:val="18"/>
          <w:szCs w:val="18"/>
          <w:rFonts w:ascii="Verdana" w:hAnsi="Verdana"/>
        </w:rPr>
        <w:fldChar w:fldCharType="separate"/>
      </w:r>
      <w:r>
        <w:rPr>
          <w:rStyle w:val="LinkdaInternet"/>
          <w:rFonts w:ascii="Verdana" w:hAnsi="Verdana"/>
          <w:sz w:val="18"/>
          <w:szCs w:val="18"/>
        </w:rPr>
        <w:t>art. 7º, §3º, inciso V, do Decreto n. 7.724, de 2012.</w:t>
      </w:r>
      <w:r>
        <w:rPr>
          <w:rStyle w:val="LinkdaInternet"/>
          <w:sz w:val="18"/>
          <w:szCs w:val="18"/>
          <w:rFonts w:ascii="Verdana" w:hAnsi="Verdana"/>
        </w:rPr>
        <w:fldChar w:fldCharType="end"/>
      </w:r>
      <w:r>
        <w:rPr>
          <w:rFonts w:ascii="Verdana" w:hAnsi="Verdana"/>
          <w:sz w:val="18"/>
          <w:szCs w:val="18"/>
        </w:rPr>
        <w:t xml:space="preserve"> </w:t>
      </w:r>
    </w:p>
    <w:p>
      <w:pPr>
        <w:pStyle w:val="Nivel2"/>
        <w:numPr>
          <w:ilvl w:val="0"/>
          <w:numId w:val="0"/>
        </w:numPr>
        <w:spacing w:lineRule="auto" w:line="240" w:before="0" w:after="0"/>
        <w:ind w:left="5329" w:right="0" w:hanging="0"/>
        <w:jc w:val="both"/>
        <w:rPr>
          <w:rFonts w:ascii="Verdana" w:hAnsi="Verdana"/>
          <w:sz w:val="18"/>
          <w:szCs w:val="18"/>
        </w:rPr>
      </w:pPr>
      <w:r>
        <w:rPr>
          <w:rFonts w:ascii="Verdana" w:hAnsi="Verdana"/>
          <w:sz w:val="18"/>
          <w:szCs w:val="18"/>
        </w:rPr>
      </w:r>
    </w:p>
    <w:p>
      <w:pPr>
        <w:pStyle w:val="Nivel01"/>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t>CLÁUSULA DÉCIMA OITAVA– FORO</w:t>
      </w:r>
    </w:p>
    <w:p>
      <w:pPr>
        <w:pStyle w:val="Normal"/>
        <w:numPr>
          <w:ilvl w:val="0"/>
          <w:numId w:val="0"/>
        </w:numPr>
        <w:spacing w:lineRule="auto" w:line="240" w:before="0" w:after="0"/>
        <w:ind w:left="0" w:right="0" w:hanging="0"/>
        <w:jc w:val="both"/>
        <w:rPr>
          <w:rFonts w:ascii="Verdana" w:hAnsi="Verdana"/>
          <w:sz w:val="18"/>
          <w:szCs w:val="18"/>
        </w:rPr>
      </w:pPr>
      <w:r>
        <w:rPr>
          <w:rFonts w:ascii="Verdana" w:hAnsi="Verdana"/>
          <w:sz w:val="18"/>
          <w:szCs w:val="18"/>
        </w:rPr>
      </w:r>
    </w:p>
    <w:p>
      <w:pPr>
        <w:pStyle w:val="Nivel2"/>
        <w:numPr>
          <w:ilvl w:val="0"/>
          <w:numId w:val="0"/>
        </w:numPr>
        <w:spacing w:lineRule="auto" w:line="240" w:before="0" w:after="0"/>
        <w:ind w:left="0" w:right="0" w:hanging="0"/>
        <w:jc w:val="both"/>
        <w:rPr/>
      </w:pPr>
      <w:r>
        <w:rPr>
          <w:rStyle w:val="LinkdaInternet"/>
          <w:rFonts w:ascii="Verdana" w:hAnsi="Verdana"/>
          <w:color w:val="000000"/>
          <w:sz w:val="18"/>
          <w:szCs w:val="18"/>
          <w:u w:val="none"/>
        </w:rPr>
        <w:t xml:space="preserve">18.1. Fica eleito o Foro de Novo Hamburgo, para dirimir os litígios que decorrerem da execução deste Termo de Contrato que não puderem ser compostos pela conciliação, conforme </w:t>
      </w:r>
      <w:r>
        <w:fldChar w:fldCharType="begin"/>
      </w:r>
      <w:r>
        <w:rPr>
          <w:rStyle w:val="LinkdaInternet"/>
          <w:sz w:val="18"/>
          <w:szCs w:val="18"/>
          <w:rFonts w:ascii="Verdana" w:hAnsi="Verdana"/>
        </w:rPr>
        <w:instrText> HYPERLINK "http://www.planalto.gov.br/ccivil_03/_ato2019-2022/2021/lei/L14133.htm" \l "art92§1"</w:instrText>
      </w:r>
      <w:r>
        <w:rPr>
          <w:rStyle w:val="LinkdaInternet"/>
          <w:sz w:val="18"/>
          <w:szCs w:val="18"/>
          <w:rFonts w:ascii="Verdana" w:hAnsi="Verdana"/>
        </w:rPr>
        <w:fldChar w:fldCharType="separate"/>
      </w:r>
      <w:r>
        <w:rPr>
          <w:rStyle w:val="LinkdaInternet"/>
          <w:rFonts w:ascii="Verdana" w:hAnsi="Verdana"/>
          <w:sz w:val="18"/>
          <w:szCs w:val="18"/>
        </w:rPr>
        <w:t>art. 92, §1º, da Lei nº 14.133/21.</w:t>
      </w:r>
      <w:r>
        <w:rPr>
          <w:rStyle w:val="LinkdaInternet"/>
          <w:sz w:val="18"/>
          <w:szCs w:val="18"/>
          <w:rFonts w:ascii="Verdana" w:hAnsi="Verdana"/>
        </w:rPr>
        <w:fldChar w:fldCharType="end"/>
      </w:r>
    </w:p>
    <w:p>
      <w:pPr>
        <w:pStyle w:val="Nivel2"/>
        <w:numPr>
          <w:ilvl w:val="0"/>
          <w:numId w:val="0"/>
        </w:numPr>
        <w:spacing w:lineRule="auto" w:line="240" w:before="0" w:after="0"/>
        <w:ind w:left="0" w:right="0" w:firstLine="567"/>
        <w:jc w:val="both"/>
        <w:rPr>
          <w:rFonts w:ascii="Verdana" w:hAnsi="Verdana" w:eastAsia="ＭＳ 明朝" w:cs="Arial"/>
          <w:i w:val="false"/>
          <w:i w:val="false"/>
          <w:iCs w:val="false"/>
          <w:color w:val="auto"/>
          <w:kern w:val="0"/>
          <w:sz w:val="18"/>
          <w:szCs w:val="18"/>
          <w:lang w:val="pt-BR" w:eastAsia="pt-BR" w:bidi="ar-SA"/>
        </w:rPr>
      </w:pPr>
      <w:r>
        <w:rPr>
          <w:rFonts w:eastAsia="ＭＳ 明朝" w:cs="Arial" w:ascii="Verdana" w:hAnsi="Verdana"/>
          <w:i w:val="false"/>
          <w:iCs w:val="false"/>
          <w:color w:val="auto"/>
          <w:kern w:val="0"/>
          <w:sz w:val="18"/>
          <w:szCs w:val="18"/>
          <w:lang w:val="pt-BR" w:eastAsia="pt-BR" w:bidi="ar-SA"/>
        </w:rPr>
      </w:r>
    </w:p>
    <w:p>
      <w:pPr>
        <w:pStyle w:val="Nivel2"/>
        <w:numPr>
          <w:ilvl w:val="0"/>
          <w:numId w:val="0"/>
        </w:numPr>
        <w:spacing w:lineRule="auto" w:line="240" w:before="0" w:after="0"/>
        <w:ind w:left="0" w:right="0" w:hanging="0"/>
        <w:jc w:val="right"/>
        <w:rPr>
          <w:rFonts w:ascii="Verdana" w:hAnsi="Verdana"/>
          <w:sz w:val="18"/>
          <w:szCs w:val="18"/>
        </w:rPr>
      </w:pPr>
      <w:r>
        <w:rPr>
          <w:rFonts w:eastAsia="ＭＳ 明朝" w:cs="Arial" w:ascii="Verdana" w:hAnsi="Verdana"/>
          <w:i w:val="false"/>
          <w:iCs w:val="false"/>
          <w:color w:val="auto"/>
          <w:kern w:val="0"/>
          <w:sz w:val="18"/>
          <w:szCs w:val="18"/>
          <w:lang w:val="pt-BR" w:eastAsia="pt-BR" w:bidi="ar-SA"/>
        </w:rPr>
        <w:t xml:space="preserve">Novo Hamburgo, </w:t>
      </w:r>
      <w:r>
        <w:rPr>
          <w:rFonts w:eastAsia="ＭＳ 明朝" w:cs="Arial" w:ascii="Verdana" w:hAnsi="Verdana"/>
          <w:i w:val="false"/>
          <w:iCs w:val="false"/>
          <w:color w:val="auto"/>
          <w:kern w:val="0"/>
          <w:sz w:val="18"/>
          <w:szCs w:val="18"/>
          <w:lang w:val="pt-BR" w:eastAsia="pt-BR" w:bidi="ar-SA"/>
        </w:rPr>
        <w:t>18</w:t>
      </w:r>
      <w:r>
        <w:rPr>
          <w:rFonts w:eastAsia="ＭＳ 明朝" w:cs="Arial" w:ascii="Verdana" w:hAnsi="Verdana"/>
          <w:i w:val="false"/>
          <w:iCs w:val="false"/>
          <w:color w:val="auto"/>
          <w:kern w:val="0"/>
          <w:sz w:val="18"/>
          <w:szCs w:val="18"/>
          <w:lang w:val="pt-BR" w:eastAsia="pt-BR" w:bidi="ar-SA"/>
        </w:rPr>
        <w:t xml:space="preserve"> de </w:t>
      </w:r>
      <w:r>
        <w:rPr>
          <w:rFonts w:eastAsia="ＭＳ 明朝" w:cs="Arial" w:ascii="Verdana" w:hAnsi="Verdana"/>
          <w:i w:val="false"/>
          <w:iCs w:val="false"/>
          <w:color w:val="auto"/>
          <w:kern w:val="0"/>
          <w:sz w:val="18"/>
          <w:szCs w:val="18"/>
          <w:lang w:val="pt-BR" w:eastAsia="pt-BR" w:bidi="ar-SA"/>
        </w:rPr>
        <w:t>julho</w:t>
      </w:r>
      <w:r>
        <w:rPr>
          <w:rFonts w:eastAsia="ＭＳ 明朝" w:cs="Arial" w:ascii="Verdana" w:hAnsi="Verdana"/>
          <w:i w:val="false"/>
          <w:iCs w:val="false"/>
          <w:color w:val="auto"/>
          <w:kern w:val="0"/>
          <w:sz w:val="18"/>
          <w:szCs w:val="18"/>
          <w:lang w:val="pt-BR" w:eastAsia="pt-BR" w:bidi="ar-SA"/>
        </w:rPr>
        <w:t xml:space="preserve"> de 2023.</w:t>
      </w:r>
    </w:p>
    <w:p>
      <w:pPr>
        <w:pStyle w:val="Standard"/>
        <w:spacing w:lineRule="auto" w:line="240"/>
        <w:jc w:val="both"/>
        <w:rPr>
          <w:rFonts w:ascii="Verdana" w:hAnsi="Verdana"/>
          <w:sz w:val="18"/>
          <w:szCs w:val="18"/>
        </w:rPr>
      </w:pPr>
      <w:r>
        <w:rPr>
          <w:rFonts w:eastAsia="Batang;바탕" w:cs="Verdana" w:ascii="Verdana" w:hAnsi="Verdana"/>
          <w:sz w:val="18"/>
          <w:szCs w:val="18"/>
        </w:rPr>
        <w:t>________________________________</w:t>
      </w:r>
    </w:p>
    <w:p>
      <w:pPr>
        <w:pStyle w:val="Standard"/>
        <w:spacing w:lineRule="auto" w:line="240"/>
        <w:jc w:val="both"/>
        <w:rPr>
          <w:rFonts w:ascii="Verdana" w:hAnsi="Verdana"/>
          <w:sz w:val="18"/>
          <w:szCs w:val="18"/>
        </w:rPr>
      </w:pPr>
      <w:r>
        <w:rPr>
          <w:rFonts w:eastAsia="Batang;바탕" w:cs="Verdana" w:ascii="Verdana" w:hAnsi="Verdana"/>
          <w:color w:val="auto"/>
          <w:kern w:val="2"/>
          <w:sz w:val="18"/>
          <w:szCs w:val="18"/>
          <w:lang w:val="pt-BR" w:eastAsia="zh-CN" w:bidi="ar-SA"/>
        </w:rPr>
        <w:t>Guilherme Alberto Weiler Gomes</w:t>
      </w:r>
      <w:r>
        <w:rPr>
          <w:rFonts w:eastAsia="Batang;바탕" w:cs="Verdana" w:ascii="Verdana" w:hAnsi="Verdana"/>
          <w:sz w:val="18"/>
          <w:szCs w:val="18"/>
        </w:rPr>
        <w:t>,</w:t>
      </w:r>
    </w:p>
    <w:p>
      <w:pPr>
        <w:pStyle w:val="Standard"/>
        <w:spacing w:lineRule="auto" w:line="240"/>
        <w:jc w:val="both"/>
        <w:rPr>
          <w:rFonts w:ascii="Verdana" w:hAnsi="Verdana"/>
          <w:sz w:val="18"/>
          <w:szCs w:val="18"/>
        </w:rPr>
      </w:pPr>
      <w:r>
        <w:rPr>
          <w:rFonts w:eastAsia="Batang;바탕" w:cs="Verdana" w:ascii="Verdana" w:hAnsi="Verdana"/>
          <w:sz w:val="18"/>
          <w:szCs w:val="18"/>
        </w:rPr>
        <w:t xml:space="preserve">Coordenador Jurídico DCL – OAB/RS </w:t>
      </w:r>
      <w:r>
        <w:rPr>
          <w:rFonts w:eastAsia="Batang;바탕" w:cs="Verdana" w:ascii="Verdana" w:hAnsi="Verdana"/>
          <w:color w:val="auto"/>
          <w:kern w:val="2"/>
          <w:sz w:val="18"/>
          <w:szCs w:val="18"/>
          <w:lang w:val="pt-BR" w:eastAsia="zh-CN" w:bidi="ar-SA"/>
        </w:rPr>
        <w:t>129.972</w:t>
      </w:r>
      <w:r>
        <w:rPr>
          <w:rFonts w:eastAsia="Batang;바탕" w:cs="Verdana" w:ascii="Verdana" w:hAnsi="Verdana"/>
          <w:sz w:val="18"/>
          <w:szCs w:val="18"/>
        </w:rPr>
        <w:t>.</w:t>
      </w:r>
    </w:p>
    <w:tbl>
      <w:tblPr>
        <w:tblW w:w="9915" w:type="dxa"/>
        <w:jc w:val="left"/>
        <w:tblInd w:w="-108" w:type="dxa"/>
        <w:tblLayout w:type="fixed"/>
        <w:tblCellMar>
          <w:top w:w="0" w:type="dxa"/>
          <w:left w:w="108" w:type="dxa"/>
          <w:bottom w:w="0" w:type="dxa"/>
          <w:right w:w="108" w:type="dxa"/>
        </w:tblCellMar>
      </w:tblPr>
      <w:tblGrid>
        <w:gridCol w:w="4968"/>
        <w:gridCol w:w="4946"/>
      </w:tblGrid>
      <w:tr>
        <w:trPr/>
        <w:tc>
          <w:tcPr>
            <w:tcW w:w="4968" w:type="dxa"/>
            <w:tcBorders/>
          </w:tcPr>
          <w:p>
            <w:pPr>
              <w:pStyle w:val="Standard"/>
              <w:widowControl w:val="false"/>
              <w:snapToGrid w:val="false"/>
              <w:spacing w:lineRule="auto" w:line="240"/>
              <w:jc w:val="both"/>
              <w:rPr>
                <w:rFonts w:ascii="Verdana" w:hAnsi="Verdana" w:eastAsia="Batang;바탕" w:cs="Verdana"/>
                <w:sz w:val="18"/>
                <w:szCs w:val="18"/>
              </w:rPr>
            </w:pPr>
            <w:r>
              <w:rPr>
                <w:rFonts w:eastAsia="Batang;바탕" w:cs="Verdana" w:ascii="Verdana" w:hAnsi="Verdana"/>
                <w:sz w:val="18"/>
                <w:szCs w:val="18"/>
              </w:rPr>
            </w:r>
          </w:p>
          <w:p>
            <w:pPr>
              <w:pStyle w:val="Standard"/>
              <w:widowControl w:val="false"/>
              <w:spacing w:lineRule="auto" w:line="240"/>
              <w:jc w:val="both"/>
              <w:rPr>
                <w:rFonts w:ascii="Verdana" w:hAnsi="Verdana" w:eastAsia="Batang;바탕" w:cs="Verdana"/>
                <w:sz w:val="18"/>
                <w:szCs w:val="18"/>
              </w:rPr>
            </w:pPr>
            <w:r>
              <w:rPr>
                <w:rFonts w:eastAsia="Batang;바탕" w:cs="Verdana" w:ascii="Verdana" w:hAnsi="Verdana"/>
                <w:sz w:val="18"/>
                <w:szCs w:val="18"/>
              </w:rPr>
            </w:r>
          </w:p>
          <w:p>
            <w:pPr>
              <w:pStyle w:val="Standard"/>
              <w:widowControl w:val="false"/>
              <w:spacing w:lineRule="auto" w:line="240"/>
              <w:jc w:val="both"/>
              <w:rPr>
                <w:rFonts w:ascii="Verdana" w:hAnsi="Verdana" w:eastAsia="Batang;바탕" w:cs="Verdana"/>
                <w:sz w:val="18"/>
                <w:szCs w:val="18"/>
              </w:rPr>
            </w:pPr>
            <w:r>
              <w:rPr>
                <w:rFonts w:eastAsia="Batang;바탕" w:cs="Verdana" w:ascii="Verdana" w:hAnsi="Verdana"/>
                <w:sz w:val="18"/>
                <w:szCs w:val="18"/>
              </w:rPr>
            </w:r>
          </w:p>
          <w:p>
            <w:pPr>
              <w:pStyle w:val="Standard"/>
              <w:widowControl w:val="false"/>
              <w:spacing w:lineRule="auto" w:line="240"/>
              <w:jc w:val="both"/>
              <w:rPr>
                <w:rFonts w:ascii="Verdana" w:hAnsi="Verdana" w:eastAsia="Batang;바탕" w:cs="Verdana"/>
                <w:sz w:val="18"/>
                <w:szCs w:val="18"/>
              </w:rPr>
            </w:pPr>
            <w:r>
              <w:rPr>
                <w:rFonts w:eastAsia="Batang;바탕" w:cs="Verdana" w:ascii="Verdana" w:hAnsi="Verdana"/>
                <w:sz w:val="18"/>
                <w:szCs w:val="18"/>
              </w:rPr>
              <w:t>TESTEMUNHAS:</w:t>
            </w:r>
          </w:p>
          <w:p>
            <w:pPr>
              <w:pStyle w:val="Standard"/>
              <w:widowControl w:val="false"/>
              <w:spacing w:lineRule="auto" w:line="240"/>
              <w:jc w:val="both"/>
              <w:rPr>
                <w:rFonts w:ascii="Verdana" w:hAnsi="Verdana" w:eastAsia="Batang;바탕" w:cs="Verdana"/>
                <w:sz w:val="18"/>
                <w:szCs w:val="18"/>
              </w:rPr>
            </w:pPr>
            <w:r>
              <w:rPr>
                <w:rFonts w:eastAsia="Batang;바탕" w:cs="Verdana" w:ascii="Verdana" w:hAnsi="Verdana"/>
                <w:sz w:val="18"/>
                <w:szCs w:val="18"/>
              </w:rPr>
            </w:r>
          </w:p>
          <w:p>
            <w:pPr>
              <w:pStyle w:val="Standard"/>
              <w:widowControl w:val="false"/>
              <w:spacing w:lineRule="auto" w:line="240"/>
              <w:jc w:val="both"/>
              <w:rPr>
                <w:rFonts w:ascii="Verdana" w:hAnsi="Verdana" w:eastAsia="Batang;바탕" w:cs="Verdana"/>
                <w:sz w:val="18"/>
                <w:szCs w:val="18"/>
              </w:rPr>
            </w:pPr>
            <w:r>
              <w:rPr>
                <w:rFonts w:eastAsia="Batang;바탕" w:cs="Verdana" w:ascii="Verdana" w:hAnsi="Verdana"/>
                <w:sz w:val="18"/>
                <w:szCs w:val="18"/>
              </w:rPr>
            </w:r>
          </w:p>
          <w:p>
            <w:pPr>
              <w:pStyle w:val="Standard"/>
              <w:widowControl w:val="false"/>
              <w:spacing w:lineRule="auto" w:line="240"/>
              <w:jc w:val="both"/>
              <w:rPr>
                <w:rFonts w:ascii="Verdana" w:hAnsi="Verdana" w:eastAsia="Batang;바탕" w:cs="Verdana"/>
                <w:sz w:val="18"/>
                <w:szCs w:val="18"/>
              </w:rPr>
            </w:pPr>
            <w:r>
              <w:rPr>
                <w:rFonts w:eastAsia="Batang;바탕" w:cs="Verdana" w:ascii="Verdana" w:hAnsi="Verdana"/>
                <w:sz w:val="18"/>
                <w:szCs w:val="18"/>
              </w:rPr>
            </w:r>
          </w:p>
          <w:p>
            <w:pPr>
              <w:pStyle w:val="Standard"/>
              <w:widowControl w:val="false"/>
              <w:spacing w:lineRule="auto" w:line="240"/>
              <w:jc w:val="both"/>
              <w:rPr>
                <w:rFonts w:ascii="Verdana" w:hAnsi="Verdana" w:eastAsia="Batang;바탕" w:cs="Verdana"/>
                <w:sz w:val="18"/>
                <w:szCs w:val="18"/>
              </w:rPr>
            </w:pPr>
            <w:r>
              <w:rPr>
                <w:rFonts w:eastAsia="Batang;바탕" w:cs="Verdana" w:ascii="Verdana" w:hAnsi="Verdana"/>
                <w:sz w:val="18"/>
                <w:szCs w:val="18"/>
              </w:rPr>
              <w:t>1. _____________________________</w:t>
            </w:r>
          </w:p>
          <w:p>
            <w:pPr>
              <w:pStyle w:val="Standard"/>
              <w:widowControl w:val="false"/>
              <w:spacing w:lineRule="auto" w:line="240"/>
              <w:jc w:val="both"/>
              <w:rPr>
                <w:rFonts w:ascii="Verdana" w:hAnsi="Verdana" w:eastAsia="Batang;바탕" w:cs="Verdana"/>
                <w:sz w:val="18"/>
                <w:szCs w:val="18"/>
              </w:rPr>
            </w:pPr>
            <w:r>
              <w:rPr>
                <w:rFonts w:eastAsia="Batang;바탕" w:cs="Verdana" w:ascii="Verdana" w:hAnsi="Verdana"/>
                <w:sz w:val="18"/>
                <w:szCs w:val="18"/>
              </w:rPr>
            </w:r>
          </w:p>
          <w:p>
            <w:pPr>
              <w:pStyle w:val="Standard"/>
              <w:widowControl w:val="false"/>
              <w:spacing w:lineRule="auto" w:line="240"/>
              <w:jc w:val="both"/>
              <w:rPr>
                <w:rFonts w:ascii="Verdana" w:hAnsi="Verdana" w:eastAsia="Batang;바탕" w:cs="Verdana"/>
                <w:sz w:val="18"/>
                <w:szCs w:val="18"/>
              </w:rPr>
            </w:pPr>
            <w:r>
              <w:rPr>
                <w:rFonts w:eastAsia="Batang;바탕" w:cs="Verdana" w:ascii="Verdana" w:hAnsi="Verdana"/>
                <w:sz w:val="18"/>
                <w:szCs w:val="18"/>
              </w:rPr>
            </w:r>
          </w:p>
          <w:p>
            <w:pPr>
              <w:pStyle w:val="Standard"/>
              <w:widowControl w:val="false"/>
              <w:spacing w:lineRule="auto" w:line="240"/>
              <w:jc w:val="both"/>
              <w:rPr>
                <w:rFonts w:ascii="Verdana" w:hAnsi="Verdana" w:eastAsia="Batang;바탕" w:cs="Verdana"/>
                <w:sz w:val="18"/>
                <w:szCs w:val="18"/>
              </w:rPr>
            </w:pPr>
            <w:r>
              <w:rPr>
                <w:rFonts w:eastAsia="Batang;바탕" w:cs="Verdana" w:ascii="Verdana" w:hAnsi="Verdana"/>
                <w:sz w:val="18"/>
                <w:szCs w:val="18"/>
              </w:rPr>
            </w:r>
          </w:p>
          <w:p>
            <w:pPr>
              <w:pStyle w:val="Standard"/>
              <w:widowControl w:val="false"/>
              <w:spacing w:lineRule="auto" w:line="240"/>
              <w:jc w:val="both"/>
              <w:rPr>
                <w:rFonts w:ascii="Verdana" w:hAnsi="Verdana" w:eastAsia="Batang;바탕" w:cs="Verdana"/>
                <w:sz w:val="18"/>
                <w:szCs w:val="18"/>
              </w:rPr>
            </w:pPr>
            <w:r>
              <w:rPr>
                <w:rFonts w:eastAsia="Batang;바탕" w:cs="Verdana" w:ascii="Verdana" w:hAnsi="Verdana"/>
                <w:sz w:val="18"/>
                <w:szCs w:val="18"/>
              </w:rPr>
            </w:r>
          </w:p>
          <w:p>
            <w:pPr>
              <w:pStyle w:val="Standard"/>
              <w:widowControl w:val="false"/>
              <w:spacing w:lineRule="auto" w:line="240"/>
              <w:jc w:val="both"/>
              <w:rPr>
                <w:rFonts w:ascii="Verdana" w:hAnsi="Verdana" w:eastAsia="Batang;바탕" w:cs="Verdana"/>
                <w:sz w:val="18"/>
                <w:szCs w:val="18"/>
              </w:rPr>
            </w:pPr>
            <w:r>
              <w:rPr>
                <w:rFonts w:eastAsia="Batang;바탕" w:cs="Verdana" w:ascii="Verdana" w:hAnsi="Verdana"/>
                <w:sz w:val="18"/>
                <w:szCs w:val="18"/>
              </w:rPr>
              <w:t>2. _____________________________</w:t>
            </w:r>
          </w:p>
          <w:p>
            <w:pPr>
              <w:pStyle w:val="Standard"/>
              <w:widowControl w:val="false"/>
              <w:spacing w:lineRule="auto" w:line="240"/>
              <w:jc w:val="both"/>
              <w:rPr>
                <w:rFonts w:ascii="Verdana" w:hAnsi="Verdana" w:cs="Verdana"/>
                <w:sz w:val="18"/>
                <w:szCs w:val="18"/>
              </w:rPr>
            </w:pPr>
            <w:r>
              <w:rPr>
                <w:rFonts w:cs="Verdana" w:ascii="Verdana" w:hAnsi="Verdana"/>
                <w:sz w:val="18"/>
                <w:szCs w:val="18"/>
              </w:rPr>
            </w:r>
          </w:p>
        </w:tc>
        <w:tc>
          <w:tcPr>
            <w:tcW w:w="4946" w:type="dxa"/>
            <w:tcBorders/>
          </w:tcPr>
          <w:p>
            <w:pPr>
              <w:pStyle w:val="Standard"/>
              <w:widowControl w:val="false"/>
              <w:spacing w:lineRule="auto" w:line="240"/>
              <w:jc w:val="right"/>
              <w:rPr>
                <w:rFonts w:ascii="Verdana" w:hAnsi="Verdana" w:cs="Verdana"/>
                <w:sz w:val="18"/>
                <w:szCs w:val="18"/>
              </w:rPr>
            </w:pPr>
            <w:r>
              <w:rPr>
                <w:rFonts w:eastAsia="Verdana" w:cs="Verdana" w:ascii="Verdana" w:hAnsi="Verdana"/>
                <w:sz w:val="18"/>
                <w:szCs w:val="18"/>
              </w:rPr>
              <w:t xml:space="preserve"> </w:t>
            </w:r>
            <w:r>
              <w:rPr>
                <w:rFonts w:eastAsia="Batang;바탕" w:cs="Verdana" w:ascii="Verdana" w:hAnsi="Verdana"/>
                <w:sz w:val="18"/>
                <w:szCs w:val="18"/>
              </w:rPr>
              <w:t xml:space="preserve">_______________________________ </w:t>
            </w:r>
          </w:p>
          <w:p>
            <w:pPr>
              <w:pStyle w:val="Standard"/>
              <w:widowControl w:val="false"/>
              <w:suppressAutoHyphens w:val="true"/>
              <w:overflowPunct w:val="true"/>
              <w:bidi w:val="0"/>
              <w:spacing w:lineRule="auto" w:line="240"/>
              <w:ind w:left="737" w:right="0" w:hanging="0"/>
              <w:jc w:val="right"/>
              <w:textAlignment w:val="baseline"/>
              <w:rPr>
                <w:rFonts w:ascii="Verdana" w:hAnsi="Verdana" w:eastAsia="Batang;바탕" w:cs="Verdana"/>
                <w:b/>
                <w:b/>
                <w:sz w:val="18"/>
                <w:szCs w:val="18"/>
              </w:rPr>
            </w:pPr>
            <w:r>
              <w:rPr>
                <w:rFonts w:eastAsia="Arial" w:cs="Arial" w:ascii="Verdana" w:hAnsi="Verdana"/>
                <w:b/>
                <w:bCs/>
                <w:color w:val="auto"/>
                <w:kern w:val="0"/>
                <w:sz w:val="18"/>
                <w:szCs w:val="18"/>
                <w:lang w:val="pt-BR" w:eastAsia="pt-BR" w:bidi="ar-SA"/>
              </w:rPr>
              <w:t>AGIPREV – CONSULTORIA GLOBAL LTDA</w:t>
            </w:r>
            <w:r>
              <w:rPr>
                <w:rFonts w:eastAsia="Batang;바탕" w:cs="Verdana" w:ascii="Verdana" w:hAnsi="Verdana"/>
                <w:b/>
                <w:sz w:val="18"/>
                <w:szCs w:val="18"/>
              </w:rPr>
              <w:t>,</w:t>
            </w:r>
          </w:p>
          <w:p>
            <w:pPr>
              <w:pStyle w:val="Standard"/>
              <w:widowControl w:val="false"/>
              <w:snapToGrid w:val="false"/>
              <w:spacing w:lineRule="auto" w:line="240"/>
              <w:jc w:val="right"/>
              <w:rPr>
                <w:rFonts w:ascii="Verdana" w:hAnsi="Verdana" w:eastAsia="Batang;바탕" w:cs="Verdana"/>
                <w:b/>
                <w:b/>
                <w:sz w:val="18"/>
                <w:szCs w:val="18"/>
              </w:rPr>
            </w:pPr>
            <w:r>
              <w:rPr>
                <w:rFonts w:eastAsia="Batang;바탕" w:cs="Verdana" w:ascii="Verdana" w:hAnsi="Verdana"/>
                <w:b/>
                <w:sz w:val="18"/>
                <w:szCs w:val="18"/>
              </w:rPr>
              <w:t>CONTRATADA.</w:t>
            </w:r>
          </w:p>
          <w:p>
            <w:pPr>
              <w:pStyle w:val="Standard"/>
              <w:widowControl w:val="false"/>
              <w:spacing w:lineRule="auto" w:line="240" w:before="0" w:after="0"/>
              <w:jc w:val="right"/>
              <w:rPr>
                <w:rFonts w:ascii="Verdana" w:hAnsi="Verdana" w:cs="Verdana"/>
                <w:sz w:val="18"/>
                <w:szCs w:val="18"/>
              </w:rPr>
            </w:pPr>
            <w:r>
              <w:rPr>
                <w:rFonts w:cs="Verdana" w:ascii="Verdana" w:hAnsi="Verdana"/>
                <w:sz w:val="18"/>
                <w:szCs w:val="18"/>
              </w:rPr>
            </w:r>
          </w:p>
          <w:p>
            <w:pPr>
              <w:pStyle w:val="Standard"/>
              <w:widowControl w:val="false"/>
              <w:spacing w:lineRule="auto" w:line="240" w:before="0" w:after="0"/>
              <w:jc w:val="right"/>
              <w:rPr>
                <w:rFonts w:ascii="Verdana" w:hAnsi="Verdana" w:cs="Verdana"/>
                <w:sz w:val="18"/>
                <w:szCs w:val="18"/>
              </w:rPr>
            </w:pPr>
            <w:r>
              <w:rPr>
                <w:rFonts w:cs="Verdana" w:ascii="Verdana" w:hAnsi="Verdana"/>
                <w:sz w:val="18"/>
                <w:szCs w:val="18"/>
              </w:rPr>
            </w:r>
          </w:p>
          <w:p>
            <w:pPr>
              <w:pStyle w:val="Normal"/>
              <w:widowControl w:val="false"/>
              <w:spacing w:lineRule="auto" w:line="240"/>
              <w:ind w:left="-468" w:right="0" w:firstLine="180"/>
              <w:jc w:val="right"/>
              <w:rPr>
                <w:rFonts w:ascii="Verdana" w:hAnsi="Verdana"/>
                <w:sz w:val="18"/>
                <w:szCs w:val="18"/>
              </w:rPr>
            </w:pPr>
            <w:r>
              <w:rPr>
                <w:rFonts w:eastAsia="Batang;바탕" w:cs="Verdana" w:ascii="Verdana" w:hAnsi="Verdana"/>
                <w:sz w:val="18"/>
                <w:szCs w:val="18"/>
              </w:rPr>
              <w:t>_______________________________</w:t>
            </w:r>
          </w:p>
          <w:p>
            <w:pPr>
              <w:pStyle w:val="Standard"/>
              <w:widowControl w:val="false"/>
              <w:spacing w:lineRule="auto" w:line="240"/>
              <w:jc w:val="right"/>
              <w:rPr>
                <w:rFonts w:ascii="Verdana" w:hAnsi="Verdana" w:eastAsia="Batang;바탕" w:cs="Verdana"/>
                <w:b/>
                <w:b/>
                <w:sz w:val="18"/>
                <w:szCs w:val="18"/>
              </w:rPr>
            </w:pPr>
            <w:r>
              <w:rPr>
                <w:rFonts w:eastAsia="Batang;바탕" w:cs="Verdana" w:ascii="Verdana" w:hAnsi="Verdana"/>
                <w:b/>
                <w:sz w:val="18"/>
                <w:szCs w:val="18"/>
              </w:rPr>
              <w:t>MUNICÍPIO DE NOVO HAMBURGO,</w:t>
            </w:r>
          </w:p>
          <w:p>
            <w:pPr>
              <w:pStyle w:val="Standard"/>
              <w:widowControl w:val="false"/>
              <w:spacing w:lineRule="auto" w:line="240"/>
              <w:jc w:val="right"/>
              <w:rPr>
                <w:rFonts w:ascii="Verdana" w:hAnsi="Verdana" w:eastAsia="Batang;바탕" w:cs="Verdana"/>
                <w:b/>
                <w:b/>
                <w:sz w:val="18"/>
                <w:szCs w:val="18"/>
              </w:rPr>
            </w:pPr>
            <w:r>
              <w:rPr>
                <w:rFonts w:eastAsia="Batang;바탕" w:cs="Verdana" w:ascii="Verdana" w:hAnsi="Verdana"/>
                <w:b/>
                <w:sz w:val="18"/>
                <w:szCs w:val="18"/>
              </w:rPr>
              <w:t xml:space="preserve">CONTRATANTE. </w:t>
            </w:r>
          </w:p>
          <w:p>
            <w:pPr>
              <w:pStyle w:val="Standard"/>
              <w:widowControl w:val="false"/>
              <w:spacing w:lineRule="auto" w:line="240"/>
              <w:jc w:val="right"/>
              <w:rPr>
                <w:rFonts w:ascii="Verdana" w:hAnsi="Verdana"/>
                <w:sz w:val="18"/>
                <w:szCs w:val="18"/>
              </w:rPr>
            </w:pPr>
            <w:r>
              <w:rPr>
                <w:rFonts w:eastAsia="Batang;바탕" w:cs="Verdana" w:ascii="Verdana" w:hAnsi="Verdana"/>
                <w:b w:val="false"/>
                <w:bCs w:val="false"/>
                <w:i w:val="false"/>
                <w:iCs w:val="false"/>
                <w:color w:val="auto"/>
                <w:kern w:val="2"/>
                <w:sz w:val="18"/>
                <w:szCs w:val="18"/>
                <w:lang w:val="pt-BR" w:eastAsia="zh-CN" w:bidi="hi-IN"/>
              </w:rPr>
              <w:t>Gilberto dos Reis</w:t>
            </w:r>
            <w:r>
              <w:rPr>
                <w:rFonts w:eastAsia="Batang;바탕" w:cs="Verdana" w:ascii="Verdana" w:hAnsi="Verdana"/>
                <w:i w:val="false"/>
                <w:iCs w:val="false"/>
                <w:sz w:val="18"/>
                <w:szCs w:val="18"/>
              </w:rPr>
              <w:t>,</w:t>
            </w:r>
          </w:p>
          <w:p>
            <w:pPr>
              <w:pStyle w:val="Standard"/>
              <w:widowControl w:val="false"/>
              <w:suppressAutoHyphens w:val="true"/>
              <w:overflowPunct w:val="true"/>
              <w:bidi w:val="0"/>
              <w:snapToGrid w:val="false"/>
              <w:spacing w:lineRule="auto" w:line="240"/>
              <w:ind w:left="0" w:right="0" w:hanging="0"/>
              <w:jc w:val="right"/>
              <w:textAlignment w:val="baseline"/>
              <w:rPr>
                <w:rFonts w:ascii="Verdana" w:hAnsi="Verdana"/>
                <w:sz w:val="18"/>
                <w:szCs w:val="18"/>
              </w:rPr>
            </w:pPr>
            <w:r>
              <w:rPr>
                <w:rFonts w:eastAsia="Batang;바탕" w:cs="Verdana" w:ascii="Verdana" w:hAnsi="Verdana"/>
                <w:b w:val="false"/>
                <w:bCs w:val="false"/>
                <w:i w:val="false"/>
                <w:iCs w:val="false"/>
                <w:sz w:val="18"/>
                <w:szCs w:val="18"/>
              </w:rPr>
              <w:t>Secretário Municipal</w:t>
            </w:r>
            <w:r>
              <w:rPr>
                <w:rFonts w:eastAsia="Verdana" w:cs="Verdana" w:ascii="Verdana" w:hAnsi="Verdana"/>
                <w:b w:val="false"/>
                <w:bCs w:val="false"/>
                <w:i w:val="false"/>
                <w:iCs w:val="false"/>
                <w:sz w:val="18"/>
                <w:szCs w:val="18"/>
              </w:rPr>
              <w:t xml:space="preserve"> </w:t>
            </w:r>
            <w:r>
              <w:rPr>
                <w:rFonts w:eastAsia="Batang;바탕" w:cs="Verdana" w:ascii="Verdana" w:hAnsi="Verdana"/>
                <w:b w:val="false"/>
                <w:bCs w:val="false"/>
                <w:i w:val="false"/>
                <w:iCs w:val="false"/>
                <w:sz w:val="18"/>
                <w:szCs w:val="18"/>
              </w:rPr>
              <w:t>d</w:t>
            </w:r>
            <w:r>
              <w:rPr>
                <w:rFonts w:eastAsia="Batang;바탕" w:cs="Verdana" w:ascii="Verdana" w:hAnsi="Verdana"/>
                <w:b w:val="false"/>
                <w:bCs w:val="false"/>
                <w:i w:val="false"/>
                <w:iCs w:val="false"/>
                <w:sz w:val="18"/>
                <w:szCs w:val="18"/>
              </w:rPr>
              <w:t>a Fazenda</w:t>
            </w:r>
            <w:r>
              <w:rPr>
                <w:rFonts w:eastAsia="Batang;바탕" w:cs="Verdana" w:ascii="Verdana" w:hAnsi="Verdana"/>
                <w:b w:val="false"/>
                <w:bCs w:val="false"/>
                <w:i w:val="false"/>
                <w:iCs w:val="false"/>
                <w:sz w:val="18"/>
                <w:szCs w:val="18"/>
              </w:rPr>
              <w:t>.</w:t>
            </w:r>
          </w:p>
          <w:p>
            <w:pPr>
              <w:pStyle w:val="Normal"/>
              <w:widowControl w:val="false"/>
              <w:spacing w:lineRule="auto" w:line="240"/>
              <w:ind w:left="-468" w:right="0" w:firstLine="180"/>
              <w:jc w:val="right"/>
              <w:rPr>
                <w:rFonts w:ascii="Verdana" w:hAnsi="Verdana" w:cs="Verdana"/>
                <w:sz w:val="18"/>
                <w:szCs w:val="18"/>
              </w:rPr>
            </w:pPr>
            <w:r>
              <w:rPr>
                <w:rFonts w:cs="Verdana" w:ascii="Verdana" w:hAnsi="Verdana"/>
                <w:sz w:val="18"/>
                <w:szCs w:val="18"/>
              </w:rPr>
            </w:r>
          </w:p>
          <w:p>
            <w:pPr>
              <w:pStyle w:val="Normal"/>
              <w:widowControl w:val="false"/>
              <w:spacing w:lineRule="auto" w:line="240"/>
              <w:ind w:left="-468" w:right="0" w:firstLine="180"/>
              <w:jc w:val="right"/>
              <w:rPr>
                <w:rFonts w:ascii="Verdana" w:hAnsi="Verdana" w:cs="Verdana"/>
                <w:sz w:val="18"/>
                <w:szCs w:val="18"/>
              </w:rPr>
            </w:pPr>
            <w:r>
              <w:rPr>
                <w:rFonts w:cs="Verdana" w:ascii="Verdana" w:hAnsi="Verdana"/>
                <w:sz w:val="18"/>
                <w:szCs w:val="18"/>
              </w:rPr>
            </w:r>
          </w:p>
          <w:p>
            <w:pPr>
              <w:pStyle w:val="Normal"/>
              <w:widowControl w:val="false"/>
              <w:spacing w:lineRule="auto" w:line="240"/>
              <w:ind w:left="-468" w:right="0" w:firstLine="180"/>
              <w:jc w:val="right"/>
              <w:rPr>
                <w:rFonts w:ascii="Verdana" w:hAnsi="Verdana"/>
                <w:sz w:val="18"/>
                <w:szCs w:val="18"/>
              </w:rPr>
            </w:pPr>
            <w:r>
              <w:rPr>
                <w:rFonts w:eastAsia="Batang;바탕" w:cs="Verdana" w:ascii="Verdana" w:hAnsi="Verdana"/>
                <w:sz w:val="18"/>
                <w:szCs w:val="18"/>
              </w:rPr>
              <w:t>_______________________________</w:t>
            </w:r>
          </w:p>
          <w:p>
            <w:pPr>
              <w:pStyle w:val="Standard"/>
              <w:widowControl w:val="false"/>
              <w:spacing w:lineRule="auto" w:line="240"/>
              <w:jc w:val="right"/>
              <w:rPr>
                <w:rFonts w:ascii="Verdana" w:hAnsi="Verdana" w:eastAsia="Batang;바탕" w:cs="Verdana"/>
                <w:b/>
                <w:b/>
                <w:sz w:val="18"/>
                <w:szCs w:val="18"/>
              </w:rPr>
            </w:pPr>
            <w:r>
              <w:rPr>
                <w:rFonts w:eastAsia="Batang;바탕" w:cs="Verdana" w:ascii="Verdana" w:hAnsi="Verdana"/>
                <w:b/>
                <w:sz w:val="18"/>
                <w:szCs w:val="18"/>
              </w:rPr>
              <w:t>MUNICÍPIO DE NOVO HAMBURGO,</w:t>
            </w:r>
          </w:p>
          <w:p>
            <w:pPr>
              <w:pStyle w:val="Standard"/>
              <w:widowControl w:val="false"/>
              <w:spacing w:lineRule="auto" w:line="240"/>
              <w:jc w:val="right"/>
              <w:rPr>
                <w:rFonts w:ascii="Verdana" w:hAnsi="Verdana" w:eastAsia="Batang;바탕" w:cs="Verdana"/>
                <w:b/>
                <w:b/>
                <w:sz w:val="18"/>
                <w:szCs w:val="18"/>
              </w:rPr>
            </w:pPr>
            <w:r>
              <w:rPr>
                <w:rFonts w:eastAsia="Batang;바탕" w:cs="Verdana" w:ascii="Verdana" w:hAnsi="Verdana"/>
                <w:b/>
                <w:sz w:val="18"/>
                <w:szCs w:val="18"/>
              </w:rPr>
              <w:t xml:space="preserve">CONTRATANTE. </w:t>
            </w:r>
          </w:p>
          <w:p>
            <w:pPr>
              <w:pStyle w:val="Standard"/>
              <w:widowControl w:val="false"/>
              <w:spacing w:lineRule="auto" w:line="240"/>
              <w:jc w:val="right"/>
              <w:rPr>
                <w:rFonts w:ascii="Verdana" w:hAnsi="Verdana"/>
                <w:sz w:val="18"/>
                <w:szCs w:val="18"/>
              </w:rPr>
            </w:pPr>
            <w:r>
              <w:rPr>
                <w:rFonts w:eastAsia="Verdana" w:cs="Verdana" w:ascii="Verdana" w:hAnsi="Verdana"/>
                <w:b w:val="false"/>
                <w:bCs w:val="false"/>
                <w:color w:val="auto"/>
                <w:kern w:val="2"/>
                <w:sz w:val="18"/>
                <w:szCs w:val="18"/>
                <w:lang w:val="pt-BR" w:eastAsia="zh-CN" w:bidi="ar-SA"/>
              </w:rPr>
              <w:t>Fauston Gustavo Saraiva</w:t>
            </w:r>
            <w:r>
              <w:rPr>
                <w:rFonts w:eastAsia="Batang;바탕" w:cs="Verdana" w:ascii="Verdana" w:hAnsi="Verdana"/>
                <w:sz w:val="18"/>
                <w:szCs w:val="18"/>
              </w:rPr>
              <w:t>,</w:t>
            </w:r>
          </w:p>
          <w:p>
            <w:pPr>
              <w:pStyle w:val="Standard"/>
              <w:widowControl w:val="false"/>
              <w:spacing w:lineRule="auto" w:line="240"/>
              <w:jc w:val="right"/>
              <w:rPr>
                <w:rFonts w:ascii="Verdana" w:hAnsi="Verdana" w:eastAsia="Batang;바탕" w:cs="Verdana"/>
                <w:sz w:val="18"/>
                <w:szCs w:val="18"/>
              </w:rPr>
            </w:pPr>
            <w:r>
              <w:rPr>
                <w:rFonts w:eastAsia="Batang;바탕" w:cs="Verdana" w:ascii="Verdana" w:hAnsi="Verdana"/>
                <w:sz w:val="18"/>
                <w:szCs w:val="18"/>
              </w:rPr>
              <w:t>Secretário Municipal de Administração.</w:t>
            </w:r>
          </w:p>
        </w:tc>
      </w:tr>
    </w:tbl>
    <w:p>
      <w:pPr>
        <w:pStyle w:val="Normal"/>
        <w:tabs>
          <w:tab w:val="clear" w:pos="708"/>
          <w:tab w:val="left" w:pos="1989" w:leader="none"/>
        </w:tabs>
        <w:bidi w:val="0"/>
        <w:spacing w:lineRule="auto" w:line="240" w:before="120" w:after="288"/>
        <w:ind w:left="0" w:right="0" w:hanging="0"/>
        <w:jc w:val="both"/>
        <w:rPr>
          <w:rFonts w:ascii="Verdana" w:hAnsi="Verdana" w:eastAsia="Verdana" w:cs="Verdana"/>
          <w:b/>
          <w:b/>
          <w:bCs/>
          <w:i w:val="false"/>
          <w:i w:val="false"/>
          <w:iCs w:val="false"/>
          <w:color w:val="000000"/>
          <w:sz w:val="18"/>
          <w:szCs w:val="18"/>
          <w:u w:val="none"/>
        </w:rPr>
      </w:pPr>
      <w:r>
        <w:rPr>
          <w:rFonts w:eastAsia="Verdana" w:cs="Verdana" w:ascii="Verdana" w:hAnsi="Verdana"/>
          <w:b/>
          <w:bCs/>
          <w:i w:val="false"/>
          <w:iCs w:val="false"/>
          <w:color w:val="000000"/>
          <w:sz w:val="18"/>
          <w:szCs w:val="18"/>
          <w:u w:val="none"/>
        </w:rPr>
      </w:r>
    </w:p>
    <w:p>
      <w:pPr>
        <w:pStyle w:val="Normal"/>
        <w:tabs>
          <w:tab w:val="clear" w:pos="708"/>
          <w:tab w:val="left" w:pos="0" w:leader="none"/>
          <w:tab w:val="left" w:pos="864" w:leader="none"/>
          <w:tab w:val="left" w:pos="1584" w:leader="none"/>
          <w:tab w:val="left" w:pos="2304" w:leader="none"/>
          <w:tab w:val="left" w:pos="3024" w:leader="none"/>
          <w:tab w:val="left" w:pos="3744" w:leader="none"/>
          <w:tab w:val="left" w:pos="4464" w:leader="none"/>
          <w:tab w:val="left" w:pos="5184" w:leader="none"/>
          <w:tab w:val="left" w:pos="5904" w:leader="none"/>
          <w:tab w:val="left" w:pos="6624" w:leader="none"/>
        </w:tabs>
        <w:bidi w:val="0"/>
        <w:spacing w:lineRule="auto" w:line="240" w:before="120" w:after="288"/>
        <w:ind w:left="0" w:right="0" w:hanging="0"/>
        <w:jc w:val="both"/>
        <w:rPr>
          <w:rFonts w:ascii="Verdana" w:hAnsi="Verdana"/>
          <w:sz w:val="18"/>
          <w:szCs w:val="18"/>
        </w:rPr>
      </w:pPr>
      <w:r>
        <w:rPr>
          <w:rFonts w:ascii="Verdana" w:hAnsi="Verdana"/>
          <w:sz w:val="18"/>
          <w:szCs w:val="18"/>
        </w:rPr>
      </w:r>
    </w:p>
    <w:sectPr>
      <w:headerReference w:type="default" r:id="rId12"/>
      <w:footerReference w:type="default" r:id="rId13"/>
      <w:type w:val="nextPage"/>
      <w:pgSz w:w="11906" w:h="16838"/>
      <w:pgMar w:left="1134" w:right="1134" w:header="709" w:top="1418" w:footer="709" w:bottom="1418"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Ecofont_Spranq_eco_Sans">
    <w:charset w:val="00"/>
    <w:family w:val="roman"/>
    <w:pitch w:val="variable"/>
  </w:font>
  <w:font w:name="Calibri">
    <w:charset w:val="00"/>
    <w:family w:val="roman"/>
    <w:pitch w:val="variable"/>
  </w:font>
  <w:font w:name="Tahoma">
    <w:charset w:val="00"/>
    <w:family w:val="roman"/>
    <w:pitch w:val="variable"/>
  </w:font>
  <w:font w:name="Arial">
    <w:charset w:val="00"/>
    <w:family w:val="roman"/>
    <w:pitch w:val="variable"/>
  </w:font>
  <w:font w:name="Verdana">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Verdana">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jc w:val="right"/>
      <w:rPr>
        <w:sz w:val="20"/>
        <w:szCs w:val="20"/>
      </w:rPr>
    </w:pPr>
    <w:r>
      <w:rPr>
        <w:sz w:val="20"/>
        <w:szCs w:val="20"/>
      </w:rPr>
      <w:drawing>
        <wp:anchor behindDoc="1" distT="0" distB="0" distL="0" distR="0" simplePos="0" locked="0" layoutInCell="0" allowOverlap="1" relativeHeight="15">
          <wp:simplePos x="0" y="0"/>
          <wp:positionH relativeFrom="column">
            <wp:posOffset>-171450</wp:posOffset>
          </wp:positionH>
          <wp:positionV relativeFrom="paragraph">
            <wp:posOffset>-270510</wp:posOffset>
          </wp:positionV>
          <wp:extent cx="5939155" cy="580390"/>
          <wp:effectExtent l="0" t="0" r="0" b="0"/>
          <wp:wrapSquare wrapText="largest"/>
          <wp:docPr id="2"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descr=""/>
                  <pic:cNvPicPr>
                    <a:picLocks noChangeAspect="1" noChangeArrowheads="1"/>
                  </pic:cNvPicPr>
                </pic:nvPicPr>
                <pic:blipFill>
                  <a:blip r:embed="rId1"/>
                  <a:srcRect l="-11" t="-143" r="-11" b="-143"/>
                  <a:stretch>
                    <a:fillRect/>
                  </a:stretch>
                </pic:blipFill>
                <pic:spPr bwMode="auto">
                  <a:xfrm>
                    <a:off x="0" y="0"/>
                    <a:ext cx="5939155" cy="580390"/>
                  </a:xfrm>
                  <a:prstGeom prst="rect">
                    <a:avLst/>
                  </a:prstGeom>
                </pic:spPr>
              </pic:pic>
            </a:graphicData>
          </a:graphic>
        </wp:anchor>
      </w:drawing>
      <w:drawing>
        <wp:anchor behindDoc="1" distT="0" distB="0" distL="0" distR="0" simplePos="0" locked="0" layoutInCell="0" allowOverlap="1" relativeHeight="22">
          <wp:simplePos x="0" y="0"/>
          <wp:positionH relativeFrom="column">
            <wp:posOffset>5767070</wp:posOffset>
          </wp:positionH>
          <wp:positionV relativeFrom="paragraph">
            <wp:posOffset>-270510</wp:posOffset>
          </wp:positionV>
          <wp:extent cx="633730" cy="633730"/>
          <wp:effectExtent l="0" t="0" r="0" b="0"/>
          <wp:wrapSquare wrapText="largest"/>
          <wp:docPr id="3"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3" descr=""/>
                  <pic:cNvPicPr>
                    <a:picLocks noChangeAspect="1" noChangeArrowheads="1"/>
                  </pic:cNvPicPr>
                </pic:nvPicPr>
                <pic:blipFill>
                  <a:blip r:embed="rId2"/>
                  <a:srcRect l="-983" t="-983" r="-983" b="-983"/>
                  <a:stretch>
                    <a:fillRect/>
                  </a:stretch>
                </pic:blipFill>
                <pic:spPr bwMode="auto">
                  <a:xfrm>
                    <a:off x="0" y="0"/>
                    <a:ext cx="633730" cy="633730"/>
                  </a:xfrm>
                  <a:prstGeom prst="rect">
                    <a:avLst/>
                  </a:prstGeom>
                </pic:spPr>
              </pic:pic>
            </a:graphicData>
          </a:graphic>
        </wp:anchor>
      </w:drawing>
      <w:fldChar w:fldCharType="begin"/>
    </w:r>
    <w:r>
      <w:rPr>
        <w:sz w:val="20"/>
        <w:szCs w:val="20"/>
      </w:rPr>
      <w:instrText> PAGE </w:instrText>
    </w:r>
    <w:r>
      <w:rPr>
        <w:sz w:val="20"/>
        <w:szCs w:val="20"/>
      </w:rPr>
      <w:fldChar w:fldCharType="separate"/>
    </w:r>
    <w:r>
      <w:rPr>
        <w:sz w:val="20"/>
        <w:szCs w:val="20"/>
      </w:rPr>
      <w:t>7</w:t>
    </w:r>
    <w:r>
      <w:rPr>
        <w:sz w:val="20"/>
        <w:szCs w:val="20"/>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drawing>
        <wp:anchor behindDoc="1" distT="0" distB="0" distL="0" distR="0" simplePos="0" locked="0" layoutInCell="0" allowOverlap="1" relativeHeight="8">
          <wp:simplePos x="0" y="0"/>
          <wp:positionH relativeFrom="column">
            <wp:posOffset>9525</wp:posOffset>
          </wp:positionH>
          <wp:positionV relativeFrom="paragraph">
            <wp:posOffset>-257175</wp:posOffset>
          </wp:positionV>
          <wp:extent cx="6120130" cy="623570"/>
          <wp:effectExtent l="0" t="0" r="0" b="0"/>
          <wp:wrapSquare wrapText="largest"/>
          <wp:docPr id="1"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2" descr=""/>
                  <pic:cNvPicPr>
                    <a:picLocks noChangeAspect="1" noChangeArrowheads="1"/>
                  </pic:cNvPicPr>
                </pic:nvPicPr>
                <pic:blipFill>
                  <a:blip r:embed="rId1"/>
                  <a:srcRect l="-11" t="-100" r="-11" b="-100"/>
                  <a:stretch>
                    <a:fillRect/>
                  </a:stretch>
                </pic:blipFill>
                <pic:spPr bwMode="auto">
                  <a:xfrm>
                    <a:off x="0" y="0"/>
                    <a:ext cx="6120130" cy="623570"/>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360" w:hanging="360"/>
      </w:pPr>
    </w:lvl>
    <w:lvl w:ilvl="1">
      <w:start w:val="1"/>
      <w:numFmt w:val="decimal"/>
      <w:lvlText w:val="%1.%2"/>
      <w:lvlJc w:val="left"/>
      <w:pPr>
        <w:tabs>
          <w:tab w:val="num" w:pos="0"/>
        </w:tabs>
        <w:ind w:left="4969" w:hanging="432"/>
      </w:pPr>
      <w:rPr>
        <w:dstrike w:val="false"/>
        <w:strike w:val="false"/>
        <w:sz w:val="20"/>
        <w:i w:val="false"/>
        <w:u w:val="none"/>
        <w:b/>
        <w:szCs w:val="20"/>
        <w:color w:val="auto"/>
      </w:rPr>
    </w:lvl>
    <w:lvl w:ilvl="2">
      <w:start w:val="1"/>
      <w:numFmt w:val="decimal"/>
      <w:lvlText w:val="%1.%2.%3"/>
      <w:lvlJc w:val="left"/>
      <w:pPr>
        <w:tabs>
          <w:tab w:val="num" w:pos="0"/>
        </w:tabs>
        <w:ind w:left="3198" w:hanging="504"/>
      </w:pPr>
      <w:rPr>
        <w:dstrike w:val="false"/>
        <w:strike w:val="false"/>
        <w:sz w:val="20"/>
        <w:i w:val="false"/>
        <w:b/>
        <w:szCs w:val="20"/>
        <w:rFonts w:ascii="Arial" w:hAnsi="Arial" w:cs="Arial"/>
        <w:color w:val="auto"/>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lvl w:ilvl="0">
      <w:start w:val="1"/>
      <w:numFmt w:val="bullet"/>
      <w:lvlText w:val=""/>
      <w:lvlJc w:val="left"/>
      <w:pPr>
        <w:tabs>
          <w:tab w:val="num" w:pos="1492"/>
        </w:tabs>
        <w:ind w:left="1492" w:hanging="360"/>
      </w:pPr>
      <w:rPr>
        <w:rFonts w:ascii="Symbol" w:hAnsi="Symbol" w:cs="Symbol" w:hint="default"/>
      </w:rPr>
    </w:lvl>
    <w:lvl w:ilvl="1">
      <w:start w:val="1"/>
      <w:numFmt w:val="decimal"/>
      <w:lvlText w:val="%1.%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3.%4"/>
      <w:lvlJc w:val="left"/>
      <w:pPr>
        <w:tabs>
          <w:tab w:val="num" w:pos="1800"/>
        </w:tabs>
        <w:ind w:left="1800" w:hanging="360"/>
      </w:pPr>
    </w:lvl>
    <w:lvl w:ilvl="4">
      <w:start w:val="1"/>
      <w:numFmt w:val="decimal"/>
      <w:lvlText w:val="%4.%5"/>
      <w:lvlJc w:val="left"/>
      <w:pPr>
        <w:tabs>
          <w:tab w:val="num" w:pos="2160"/>
        </w:tabs>
        <w:ind w:left="2160" w:hanging="360"/>
      </w:pPr>
    </w:lvl>
    <w:lvl w:ilvl="5">
      <w:start w:val="1"/>
      <w:numFmt w:val="decimal"/>
      <w:lvlText w:val="%5.%6"/>
      <w:lvlJc w:val="left"/>
      <w:pPr>
        <w:tabs>
          <w:tab w:val="num" w:pos="2520"/>
        </w:tabs>
        <w:ind w:left="2520" w:hanging="360"/>
      </w:pPr>
    </w:lvl>
    <w:lvl w:ilvl="6">
      <w:start w:val="1"/>
      <w:numFmt w:val="decimal"/>
      <w:lvlText w:val="%6.%7"/>
      <w:lvlJc w:val="left"/>
      <w:pPr>
        <w:tabs>
          <w:tab w:val="num" w:pos="2880"/>
        </w:tabs>
        <w:ind w:left="2880" w:hanging="360"/>
      </w:pPr>
    </w:lvl>
    <w:lvl w:ilvl="7">
      <w:start w:val="1"/>
      <w:numFmt w:val="decimal"/>
      <w:lvlText w:val="%7.%8"/>
      <w:lvlJc w:val="left"/>
      <w:pPr>
        <w:tabs>
          <w:tab w:val="num" w:pos="3240"/>
        </w:tabs>
        <w:ind w:left="3240" w:hanging="360"/>
      </w:pPr>
    </w:lvl>
    <w:lvl w:ilvl="8">
      <w:start w:val="1"/>
      <w:numFmt w:val="decimal"/>
      <w:lvlText w:val="%8.%9"/>
      <w:lvlJc w:val="left"/>
      <w:pPr>
        <w:tabs>
          <w:tab w:val="num" w:pos="3600"/>
        </w:tabs>
        <w:ind w:left="3600" w:hanging="360"/>
      </w:p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mirrorMargins/>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ＭＳ 明朝" w:cs="Times New Roman"/>
        <w:lang w:val="pt-BR" w:eastAsia="en-US" w:bidi="ar-SA"/>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Ecofont_Spranq_eco_Sans" w:hAnsi="Ecofont_Spranq_eco_Sans" w:eastAsia="ＭＳ 明朝" w:cs="Tahoma"/>
      <w:color w:val="auto"/>
      <w:kern w:val="0"/>
      <w:sz w:val="24"/>
      <w:szCs w:val="24"/>
      <w:lang w:val="pt-BR" w:eastAsia="pt-BR" w:bidi="ar-SA"/>
    </w:rPr>
  </w:style>
  <w:style w:type="paragraph" w:styleId="Ttulo1">
    <w:name w:val="Heading 1"/>
    <w:basedOn w:val="Normal"/>
    <w:next w:val="Normal"/>
    <w:qFormat/>
    <w:pPr>
      <w:keepNext w:val="true"/>
      <w:keepLines/>
      <w:spacing w:before="480" w:after="0"/>
      <w:outlineLvl w:val="0"/>
    </w:pPr>
    <w:rPr>
      <w:rFonts w:ascii="Calibri" w:hAnsi="Calibri" w:eastAsia="ＭＳ ゴシック" w:cs="Times New Roman"/>
      <w:b/>
      <w:bCs/>
      <w:color w:val="365F91"/>
      <w:sz w:val="28"/>
      <w:szCs w:val="28"/>
    </w:rPr>
  </w:style>
  <w:style w:type="paragraph" w:styleId="Ttulo2">
    <w:name w:val="Heading 2"/>
    <w:basedOn w:val="Normal"/>
    <w:next w:val="Normal"/>
    <w:qFormat/>
    <w:pPr>
      <w:keepNext w:val="true"/>
      <w:tabs>
        <w:tab w:val="clear" w:pos="708"/>
        <w:tab w:val="left" w:pos="1701" w:leader="none"/>
      </w:tabs>
      <w:ind w:left="0" w:right="-1" w:hanging="0"/>
      <w:jc w:val="center"/>
      <w:outlineLvl w:val="1"/>
    </w:pPr>
    <w:rPr>
      <w:rFonts w:ascii="Times New Roman" w:hAnsi="Times New Roman" w:cs="Times New Roman"/>
      <w:b/>
      <w:color w:val="000000"/>
      <w:szCs w:val="20"/>
    </w:rPr>
  </w:style>
  <w:style w:type="paragraph" w:styleId="Ttulo3">
    <w:name w:val="Heading 3"/>
    <w:basedOn w:val="Normal"/>
    <w:next w:val="Normal"/>
    <w:qFormat/>
    <w:pPr>
      <w:keepNext w:val="true"/>
      <w:keepLines/>
      <w:spacing w:lineRule="auto" w:line="259" w:before="40" w:after="0"/>
      <w:outlineLvl w:val="2"/>
    </w:pPr>
    <w:rPr>
      <w:rFonts w:ascii="Calibri" w:hAnsi="Calibri" w:eastAsia="ＭＳ ゴシック" w:cs="Times New Roman"/>
      <w:color w:val="243F60"/>
      <w:lang w:eastAsia="en-US"/>
    </w:rPr>
  </w:style>
  <w:style w:type="paragraph" w:styleId="Ttulo4">
    <w:name w:val="Heading 4"/>
    <w:basedOn w:val="Normal"/>
    <w:next w:val="Normal"/>
    <w:qFormat/>
    <w:pPr>
      <w:keepNext w:val="true"/>
      <w:keepLines/>
      <w:spacing w:before="40" w:after="0"/>
      <w:outlineLvl w:val="3"/>
    </w:pPr>
    <w:rPr>
      <w:rFonts w:ascii="Calibri" w:hAnsi="Calibri" w:eastAsia="ＭＳ ゴシック" w:cs="Times New Roman"/>
      <w:i/>
      <w:iCs/>
      <w:color w:val="365F91"/>
    </w:rPr>
  </w:style>
  <w:style w:type="paragraph" w:styleId="Ttulo6">
    <w:name w:val="Heading 6"/>
    <w:basedOn w:val="Normal"/>
    <w:next w:val="Normal"/>
    <w:qFormat/>
    <w:pPr>
      <w:keepNext w:val="true"/>
      <w:keepLines/>
      <w:spacing w:lineRule="auto" w:line="259" w:before="40" w:after="0"/>
      <w:outlineLvl w:val="5"/>
    </w:pPr>
    <w:rPr>
      <w:rFonts w:ascii="Calibri" w:hAnsi="Calibri" w:eastAsia="ＭＳ ゴシック" w:cs="Times New Roman"/>
      <w:color w:val="243F60"/>
      <w:sz w:val="22"/>
      <w:szCs w:val="22"/>
      <w:lang w:eastAsia="en-US"/>
    </w:rPr>
  </w:style>
  <w:style w:type="character" w:styleId="DefaultParagraphFont">
    <w:name w:val="Default Paragraph Font"/>
    <w:qFormat/>
    <w:rPr/>
  </w:style>
  <w:style w:type="character" w:styleId="TextodebaloChar">
    <w:name w:val="Texto de balão Char"/>
    <w:qFormat/>
    <w:rPr>
      <w:rFonts w:ascii="Tahoma" w:hAnsi="Tahoma" w:cs="Tahoma"/>
      <w:sz w:val="16"/>
      <w:szCs w:val="16"/>
    </w:rPr>
  </w:style>
  <w:style w:type="character" w:styleId="Ttulo2Char">
    <w:name w:val="Título 2 Char"/>
    <w:qFormat/>
    <w:rPr>
      <w:b/>
      <w:color w:val="000000"/>
      <w:sz w:val="24"/>
    </w:rPr>
  </w:style>
  <w:style w:type="character" w:styleId="Normalchar1">
    <w:name w:val="normal__char1"/>
    <w:qFormat/>
    <w:rPr>
      <w:rFonts w:ascii="Arial" w:hAnsi="Arial" w:cs="Arial"/>
      <w:strike w:val="false"/>
      <w:dstrike w:val="false"/>
      <w:sz w:val="24"/>
      <w:szCs w:val="24"/>
      <w:u w:val="none"/>
      <w:effect w:val="none"/>
    </w:rPr>
  </w:style>
  <w:style w:type="character" w:styleId="Applestylespan">
    <w:name w:val="apple-style-span"/>
    <w:basedOn w:val="DefaultParagraphFont"/>
    <w:qFormat/>
    <w:rPr/>
  </w:style>
  <w:style w:type="character" w:styleId="LinkdaInternet">
    <w:name w:val="Link da Internet"/>
    <w:basedOn w:val="DefaultParagraphFont"/>
    <w:rPr>
      <w:color w:val="0000FF"/>
      <w:u w:val="single"/>
    </w:rPr>
  </w:style>
  <w:style w:type="character" w:styleId="CitaoChar">
    <w:name w:val="Citação Char"/>
    <w:qFormat/>
    <w:rPr>
      <w:rFonts w:ascii="Arial" w:hAnsi="Arial" w:eastAsia="Calibri" w:cs="Tahoma"/>
      <w:i/>
      <w:iCs/>
      <w:color w:val="000000"/>
      <w:szCs w:val="24"/>
      <w:shd w:fill="FFFFCC" w:val="clear"/>
    </w:rPr>
  </w:style>
  <w:style w:type="character" w:styleId="NotaexplicativaChar">
    <w:name w:val="Nota explicativa Char"/>
    <w:basedOn w:val="CitaoChar"/>
    <w:qFormat/>
    <w:rPr>
      <w:rFonts w:ascii="Arial" w:hAnsi="Arial" w:eastAsia="Calibri" w:cs="Tahoma"/>
      <w:i/>
      <w:iCs/>
      <w:color w:val="000000"/>
      <w:szCs w:val="24"/>
      <w:shd w:fill="FFFFCC" w:val="clear"/>
    </w:rPr>
  </w:style>
  <w:style w:type="character" w:styleId="CabealhoChar">
    <w:name w:val="Cabeçalho Char"/>
    <w:qFormat/>
    <w:rPr>
      <w:rFonts w:ascii="Ecofont_Spranq_eco_Sans" w:hAnsi="Ecofont_Spranq_eco_Sans" w:cs="Tahoma"/>
      <w:sz w:val="24"/>
      <w:szCs w:val="24"/>
    </w:rPr>
  </w:style>
  <w:style w:type="character" w:styleId="RodapChar">
    <w:name w:val="Rodapé Char"/>
    <w:qFormat/>
    <w:rPr>
      <w:rFonts w:ascii="Ecofont_Spranq_eco_Sans" w:hAnsi="Ecofont_Spranq_eco_Sans" w:cs="Tahoma"/>
      <w:sz w:val="24"/>
      <w:szCs w:val="24"/>
    </w:rPr>
  </w:style>
  <w:style w:type="character" w:styleId="Annotationreference">
    <w:name w:val="annotation reference"/>
    <w:basedOn w:val="DefaultParagraphFont"/>
    <w:qFormat/>
    <w:rPr>
      <w:sz w:val="16"/>
      <w:szCs w:val="16"/>
    </w:rPr>
  </w:style>
  <w:style w:type="character" w:styleId="TextodecomentrioChar">
    <w:name w:val="Texto de comentário Char"/>
    <w:basedOn w:val="DefaultParagraphFont"/>
    <w:qFormat/>
    <w:rPr>
      <w:rFonts w:ascii="Ecofont_Spranq_eco_Sans" w:hAnsi="Ecofont_Spranq_eco_Sans" w:cs="Tahoma"/>
      <w:lang w:eastAsia="pt-BR"/>
    </w:rPr>
  </w:style>
  <w:style w:type="character" w:styleId="AssuntodocomentrioChar">
    <w:name w:val="Assunto do comentário Char"/>
    <w:basedOn w:val="TextodecomentrioChar"/>
    <w:qFormat/>
    <w:rPr>
      <w:rFonts w:ascii="Ecofont_Spranq_eco_Sans" w:hAnsi="Ecofont_Spranq_eco_Sans" w:cs="Tahoma"/>
      <w:b/>
      <w:bCs/>
      <w:lang w:eastAsia="pt-BR"/>
    </w:rPr>
  </w:style>
  <w:style w:type="character" w:styleId="Ttulo4Char">
    <w:name w:val="Título 4 Char"/>
    <w:basedOn w:val="DefaultParagraphFont"/>
    <w:qFormat/>
    <w:rPr>
      <w:rFonts w:ascii="Calibri" w:hAnsi="Calibri" w:eastAsia="ＭＳ ゴシック" w:cs="Times New Roman"/>
      <w:i/>
      <w:iCs/>
      <w:color w:val="365F91"/>
      <w:sz w:val="24"/>
      <w:szCs w:val="24"/>
      <w:lang w:eastAsia="pt-BR"/>
    </w:rPr>
  </w:style>
  <w:style w:type="character" w:styleId="TtuloChar">
    <w:name w:val="Título Char"/>
    <w:basedOn w:val="DefaultParagraphFont"/>
    <w:qFormat/>
    <w:rPr>
      <w:rFonts w:ascii="Calibri" w:hAnsi="Calibri" w:eastAsia="ＭＳ ゴシック" w:cs="Times New Roman"/>
      <w:color w:val="17365D"/>
      <w:spacing w:val="5"/>
      <w:kern w:val="2"/>
      <w:sz w:val="52"/>
      <w:szCs w:val="52"/>
      <w:lang w:eastAsia="pt-BR"/>
    </w:rPr>
  </w:style>
  <w:style w:type="character" w:styleId="Nivel01Char">
    <w:name w:val="Nivel 01 Char"/>
    <w:basedOn w:val="TtuloChar"/>
    <w:qFormat/>
    <w:rPr>
      <w:rFonts w:ascii="Arial" w:hAnsi="Arial" w:eastAsia="ＭＳ ゴシック" w:cs="Arial"/>
      <w:b/>
      <w:bCs/>
      <w:color w:val="17365D"/>
      <w:spacing w:val="5"/>
      <w:kern w:val="2"/>
      <w:sz w:val="52"/>
      <w:szCs w:val="52"/>
      <w:lang w:eastAsia="pt-BR"/>
    </w:rPr>
  </w:style>
  <w:style w:type="character" w:styleId="Ttulo1Char">
    <w:name w:val="Título 1 Char"/>
    <w:basedOn w:val="DefaultParagraphFont"/>
    <w:qFormat/>
    <w:rPr>
      <w:rFonts w:ascii="Calibri" w:hAnsi="Calibri" w:eastAsia="ＭＳ ゴシック" w:cs="Times New Roman"/>
      <w:b/>
      <w:bCs/>
      <w:color w:val="365F91"/>
      <w:sz w:val="28"/>
      <w:szCs w:val="28"/>
      <w:lang w:eastAsia="pt-BR"/>
    </w:rPr>
  </w:style>
  <w:style w:type="character" w:styleId="Nivel01TituloChar">
    <w:name w:val="Nivel_01_Titulo Char"/>
    <w:basedOn w:val="Nivel01Char"/>
    <w:qFormat/>
    <w:rPr>
      <w:rFonts w:ascii="Arial" w:hAnsi="Arial" w:eastAsia="ＭＳ ゴシック" w:cs="Times New Roman"/>
      <w:b/>
      <w:bCs/>
      <w:color w:val="000000"/>
      <w:spacing w:val="5"/>
      <w:kern w:val="2"/>
      <w:sz w:val="52"/>
      <w:szCs w:val="52"/>
      <w:lang w:eastAsia="pt-BR"/>
    </w:rPr>
  </w:style>
  <w:style w:type="character" w:styleId="QuoteChar">
    <w:name w:val="Quote Char"/>
    <w:basedOn w:val="DefaultParagraphFont"/>
    <w:qFormat/>
    <w:rPr>
      <w:rFonts w:ascii="Ecofont_Spranq_eco_Sans" w:hAnsi="Ecofont_Spranq_eco_Sans" w:eastAsia="Calibri" w:cs="Tahoma"/>
      <w:i/>
      <w:iCs/>
      <w:color w:val="000000"/>
      <w:shd w:fill="FFFFCC" w:val="clear"/>
    </w:rPr>
  </w:style>
  <w:style w:type="character" w:styleId="Normaltextrun">
    <w:name w:val="normaltextrun"/>
    <w:basedOn w:val="DefaultParagraphFont"/>
    <w:qFormat/>
    <w:rPr/>
  </w:style>
  <w:style w:type="character" w:styleId="Eop">
    <w:name w:val="eop"/>
    <w:basedOn w:val="DefaultParagraphFont"/>
    <w:qFormat/>
    <w:rPr/>
  </w:style>
  <w:style w:type="character" w:styleId="Spellingerror">
    <w:name w:val="spellingerror"/>
    <w:basedOn w:val="DefaultParagraphFont"/>
    <w:qFormat/>
    <w:rPr/>
  </w:style>
  <w:style w:type="character" w:styleId="CorpodetextoChar">
    <w:name w:val="Corpo de texto Char"/>
    <w:basedOn w:val="DefaultParagraphFont"/>
    <w:qFormat/>
    <w:rPr>
      <w:rFonts w:eastAsia="Times New Roman"/>
      <w:sz w:val="24"/>
      <w:szCs w:val="24"/>
      <w:lang w:eastAsia="pt-BR"/>
    </w:rPr>
  </w:style>
  <w:style w:type="character" w:styleId="Nivel1Char">
    <w:name w:val="Nivel1 Char"/>
    <w:basedOn w:val="Ttulo1Char"/>
    <w:qFormat/>
    <w:rPr>
      <w:rFonts w:ascii="Arial" w:hAnsi="Arial" w:eastAsia="ＭＳ ゴシック" w:cs="Arial"/>
      <w:b/>
      <w:bCs w:val="false"/>
      <w:color w:val="000000"/>
      <w:sz w:val="28"/>
      <w:szCs w:val="28"/>
      <w:lang w:eastAsia="pt-BR"/>
    </w:rPr>
  </w:style>
  <w:style w:type="character" w:styleId="Nivel4Char">
    <w:name w:val="Nivel 4 Char"/>
    <w:basedOn w:val="DefaultParagraphFont"/>
    <w:qFormat/>
    <w:rPr>
      <w:rFonts w:ascii="Arial" w:hAnsi="Arial" w:cs="Arial"/>
      <w:lang w:eastAsia="pt-BR"/>
    </w:rPr>
  </w:style>
  <w:style w:type="character" w:styleId="Cp0020corpodespachochar1">
    <w:name w:val="cp_0020corpodespacho__char1"/>
    <w:qFormat/>
    <w:rPr>
      <w:rFonts w:ascii="Times New Roman" w:hAnsi="Times New Roman" w:cs="Times New Roman"/>
      <w:strike w:val="false"/>
      <w:dstrike w:val="false"/>
      <w:sz w:val="26"/>
      <w:szCs w:val="26"/>
      <w:u w:val="none"/>
      <w:effect w:val="none"/>
    </w:rPr>
  </w:style>
  <w:style w:type="character" w:styleId="Em0020ementachar1">
    <w:name w:val="em_0020ementa__char1"/>
    <w:qFormat/>
    <w:rPr>
      <w:rFonts w:ascii="Times New Roman" w:hAnsi="Times New Roman" w:cs="Times New Roman"/>
      <w:strike w:val="false"/>
      <w:dstrike w:val="false"/>
      <w:sz w:val="28"/>
      <w:szCs w:val="28"/>
      <w:u w:val="none"/>
      <w:effect w:val="none"/>
    </w:rPr>
  </w:style>
  <w:style w:type="character" w:styleId="Strong">
    <w:name w:val="Strong"/>
    <w:basedOn w:val="DefaultParagraphFont"/>
    <w:qFormat/>
    <w:rPr>
      <w:b/>
      <w:bCs/>
    </w:rPr>
  </w:style>
  <w:style w:type="character" w:styleId="Nfase">
    <w:name w:val="Ênfase"/>
    <w:basedOn w:val="DefaultParagraphFont"/>
    <w:qFormat/>
    <w:rPr>
      <w:i/>
      <w:iCs/>
    </w:rPr>
  </w:style>
  <w:style w:type="character" w:styleId="Manoel">
    <w:name w:val="Manoel"/>
    <w:qFormat/>
    <w:rPr>
      <w:rFonts w:ascii="Arial" w:hAnsi="Arial" w:cs="Arial"/>
      <w:color w:val="7030A0"/>
      <w:sz w:val="20"/>
    </w:rPr>
  </w:style>
  <w:style w:type="character" w:styleId="GradeColoridanfase1Char">
    <w:name w:val="Grade Colorida - Ênfase 1 Char"/>
    <w:qFormat/>
    <w:rPr>
      <w:rFonts w:ascii="Arial" w:hAnsi="Arial" w:eastAsia="Calibri"/>
      <w:i/>
      <w:iCs/>
      <w:color w:val="000000"/>
      <w:szCs w:val="24"/>
      <w:shd w:fill="FFFFCC" w:val="clear"/>
    </w:rPr>
  </w:style>
  <w:style w:type="character" w:styleId="Highlight">
    <w:name w:val="highlight"/>
    <w:basedOn w:val="DefaultParagraphFont"/>
    <w:qFormat/>
    <w:rPr/>
  </w:style>
  <w:style w:type="character" w:styleId="Linkdainternetvisitado">
    <w:name w:val="Link da internet visitado"/>
    <w:basedOn w:val="DefaultParagraphFont"/>
    <w:rPr>
      <w:color w:val="800080"/>
      <w:u w:val="single"/>
    </w:rPr>
  </w:style>
  <w:style w:type="character" w:styleId="MenoPendente1">
    <w:name w:val="Menção Pendente1"/>
    <w:basedOn w:val="DefaultParagraphFont"/>
    <w:qFormat/>
    <w:rPr>
      <w:color w:val="605E5C"/>
      <w:shd w:fill="E1DFDD" w:val="clear"/>
    </w:rPr>
  </w:style>
  <w:style w:type="character" w:styleId="MenoPendente2">
    <w:name w:val="Menção Pendente2"/>
    <w:basedOn w:val="DefaultParagraphFont"/>
    <w:qFormat/>
    <w:rPr>
      <w:color w:val="605E5C"/>
      <w:shd w:fill="E1DFDD" w:val="clear"/>
    </w:rPr>
  </w:style>
  <w:style w:type="character" w:styleId="Nivel2Char">
    <w:name w:val="Nivel 2 Char"/>
    <w:basedOn w:val="DefaultParagraphFont"/>
    <w:qFormat/>
    <w:rPr>
      <w:rFonts w:ascii="Arial" w:hAnsi="Arial" w:cs="Arial"/>
      <w:color w:val="000000"/>
      <w:lang w:eastAsia="pt-BR"/>
    </w:rPr>
  </w:style>
  <w:style w:type="character" w:styleId="Nvel2OpcionalChar">
    <w:name w:val="Nível 2 Opcional Char"/>
    <w:basedOn w:val="DefaultParagraphFont"/>
    <w:qFormat/>
    <w:rPr>
      <w:rFonts w:ascii="Arial" w:hAnsi="Arial" w:eastAsia="Times New Roman" w:cs="Arial"/>
      <w:i/>
      <w:color w:val="FF0000"/>
      <w:lang w:eastAsia="pt-BR"/>
    </w:rPr>
  </w:style>
  <w:style w:type="character" w:styleId="Nvel3OpcionalChar">
    <w:name w:val="Nível 3 Opcional Char"/>
    <w:basedOn w:val="DefaultParagraphFont"/>
    <w:qFormat/>
    <w:rPr>
      <w:rFonts w:ascii="Arial" w:hAnsi="Arial" w:eastAsia="Times New Roman" w:cs="Arial"/>
      <w:i/>
      <w:iCs/>
      <w:color w:val="FF0000"/>
      <w:lang w:eastAsia="pt-BR"/>
    </w:rPr>
  </w:style>
  <w:style w:type="character" w:styleId="PlaceholderText">
    <w:name w:val="Placeholder Text"/>
    <w:basedOn w:val="DefaultParagraphFont"/>
    <w:qFormat/>
    <w:rPr>
      <w:color w:val="808080"/>
    </w:rPr>
  </w:style>
  <w:style w:type="character" w:styleId="PargrafodaListaChar">
    <w:name w:val="Parágrafo da Lista Char"/>
    <w:basedOn w:val="DefaultParagraphFont"/>
    <w:qFormat/>
    <w:rPr>
      <w:rFonts w:ascii="Ecofont_Spranq_eco_Sans" w:hAnsi="Ecofont_Spranq_eco_Sans" w:cs="Tahoma"/>
      <w:sz w:val="24"/>
      <w:szCs w:val="24"/>
      <w:lang w:eastAsia="pt-BR"/>
    </w:rPr>
  </w:style>
  <w:style w:type="character" w:styleId="Ttulo3Char">
    <w:name w:val="Título 3 Char"/>
    <w:basedOn w:val="DefaultParagraphFont"/>
    <w:qFormat/>
    <w:rPr>
      <w:rFonts w:ascii="Calibri" w:hAnsi="Calibri" w:eastAsia="ＭＳ ゴシック" w:cs="Times New Roman"/>
      <w:color w:val="243F60"/>
      <w:sz w:val="24"/>
      <w:szCs w:val="24"/>
    </w:rPr>
  </w:style>
  <w:style w:type="character" w:styleId="Ttulo6Char">
    <w:name w:val="Título 6 Char"/>
    <w:basedOn w:val="DefaultParagraphFont"/>
    <w:qFormat/>
    <w:rPr>
      <w:rFonts w:ascii="Calibri" w:hAnsi="Calibri" w:eastAsia="ＭＳ ゴシック" w:cs="Times New Roman"/>
      <w:color w:val="243F60"/>
      <w:sz w:val="22"/>
      <w:szCs w:val="22"/>
    </w:rPr>
  </w:style>
  <w:style w:type="character" w:styleId="Markedcontent">
    <w:name w:val="markedcontent"/>
    <w:basedOn w:val="DefaultParagraphFont"/>
    <w:qFormat/>
    <w:rPr/>
  </w:style>
  <w:style w:type="character" w:styleId="MenoPendente3">
    <w:name w:val="Menção Pendente3"/>
    <w:basedOn w:val="DefaultParagraphFont"/>
    <w:qFormat/>
    <w:rPr>
      <w:color w:val="605E5C"/>
      <w:shd w:fill="E1DFDD" w:val="clear"/>
    </w:rPr>
  </w:style>
  <w:style w:type="character" w:styleId="MenoPendente4">
    <w:name w:val="Menção Pendente4"/>
    <w:basedOn w:val="DefaultParagraphFont"/>
    <w:qFormat/>
    <w:rPr>
      <w:color w:val="605E5C"/>
      <w:shd w:fill="E1DFDD" w:val="clear"/>
    </w:rPr>
  </w:style>
  <w:style w:type="character" w:styleId="OuChar">
    <w:name w:val="ou Char"/>
    <w:basedOn w:val="PargrafodaListaChar"/>
    <w:qFormat/>
    <w:rPr>
      <w:rFonts w:ascii="Arial" w:hAnsi="Arial" w:eastAsia="Cambria" w:cs="Arial"/>
      <w:b/>
      <w:bCs/>
      <w:i/>
      <w:iCs/>
      <w:color w:val="FF0000"/>
      <w:sz w:val="24"/>
      <w:szCs w:val="24"/>
      <w:u w:val="single"/>
      <w:lang w:eastAsia="pt-BR"/>
    </w:rPr>
  </w:style>
  <w:style w:type="character" w:styleId="Nvel2RedChar">
    <w:name w:val="Nível 2 -Red Char"/>
    <w:basedOn w:val="Nivel2Char"/>
    <w:qFormat/>
    <w:rPr>
      <w:rFonts w:ascii="Arial" w:hAnsi="Arial" w:cs="Arial"/>
      <w:i/>
      <w:iCs/>
      <w:color w:val="FF0000"/>
      <w:lang w:eastAsia="pt-BR"/>
    </w:rPr>
  </w:style>
  <w:style w:type="character" w:styleId="Nivel3Char">
    <w:name w:val="Nivel 3 Char"/>
    <w:basedOn w:val="DefaultParagraphFont"/>
    <w:qFormat/>
    <w:rPr>
      <w:rFonts w:ascii="Arial" w:hAnsi="Arial" w:cs="Arial"/>
      <w:color w:val="000000"/>
      <w:lang w:eastAsia="pt-BR"/>
    </w:rPr>
  </w:style>
  <w:style w:type="character" w:styleId="Nvel3RChar">
    <w:name w:val="Nível 3-R Char"/>
    <w:basedOn w:val="Nivel3Char"/>
    <w:qFormat/>
    <w:rPr>
      <w:rFonts w:ascii="Arial" w:hAnsi="Arial" w:cs="Arial"/>
      <w:i/>
      <w:iCs/>
      <w:color w:val="FF0000"/>
      <w:lang w:eastAsia="pt-BR"/>
    </w:rPr>
  </w:style>
  <w:style w:type="character" w:styleId="Nvel4RChar">
    <w:name w:val="Nível 4-R Char"/>
    <w:basedOn w:val="Nivel4Char"/>
    <w:qFormat/>
    <w:rPr>
      <w:rFonts w:ascii="Arial" w:hAnsi="Arial" w:cs="Arial"/>
      <w:i/>
      <w:iCs/>
      <w:color w:val="FF0000"/>
      <w:lang w:eastAsia="pt-BR"/>
    </w:rPr>
  </w:style>
  <w:style w:type="character" w:styleId="Nvel1SemNumChar">
    <w:name w:val="Nível 1-Sem Num Char"/>
    <w:basedOn w:val="Nivel01Char"/>
    <w:qFormat/>
    <w:rPr>
      <w:rFonts w:ascii="Arial" w:hAnsi="Arial" w:eastAsia="ＭＳ ゴシック" w:cs="Arial"/>
      <w:b/>
      <w:bCs/>
      <w:color w:val="FF0000"/>
      <w:spacing w:val="5"/>
      <w:kern w:val="2"/>
      <w:sz w:val="52"/>
      <w:szCs w:val="52"/>
      <w:lang w:eastAsia="pt-BR"/>
    </w:rPr>
  </w:style>
  <w:style w:type="character" w:styleId="PrembuloChar">
    <w:name w:val="Preâmbulo Char"/>
    <w:basedOn w:val="DefaultParagraphFont"/>
    <w:qFormat/>
    <w:rPr>
      <w:rFonts w:ascii="Arial" w:hAnsi="Arial" w:eastAsia="Arial" w:cs="Arial"/>
      <w:bCs/>
      <w:lang w:eastAsia="pt-BR"/>
    </w:rPr>
  </w:style>
  <w:style w:type="character" w:styleId="UnresolvedMention">
    <w:name w:val="Unresolved Mention"/>
    <w:basedOn w:val="DefaultParagraphFont"/>
    <w:qFormat/>
    <w:rPr>
      <w:color w:val="605E5C"/>
      <w:shd w:fill="E1DFDD" w:val="clear"/>
    </w:rPr>
  </w:style>
  <w:style w:type="character" w:styleId="Smbolosdenumerao">
    <w:name w:val="Símbolos de numeração"/>
    <w:qFormat/>
    <w:rPr/>
  </w:style>
  <w:style w:type="character" w:styleId="WW8Num2z0">
    <w:name w:val="WW8Num2z0"/>
    <w:qFormat/>
    <w:rPr>
      <w:rFonts w:ascii="Verdana" w:hAnsi="Verdana" w:eastAsia="Verdana" w:cs="Verdana"/>
      <w:b/>
      <w:bCs/>
      <w:i/>
      <w:iCs/>
      <w:caps w:val="false"/>
      <w:smallCaps w:val="false"/>
      <w:color w:val="000000"/>
      <w:spacing w:val="0"/>
      <w:sz w:val="16"/>
      <w:szCs w:val="16"/>
      <w:highlight w:val="yellow"/>
      <w:lang w:val="pt-BR" w:bidi="zxx"/>
    </w:rPr>
  </w:style>
  <w:style w:type="character" w:styleId="WW8Num2z1">
    <w:name w:val="WW8Num2z1"/>
    <w:qFormat/>
    <w:rPr>
      <w:rFonts w:ascii="Verdana" w:hAnsi="Verdana" w:eastAsia="Verdana" w:cs="Verdana"/>
      <w:color w:val="000000"/>
      <w:sz w:val="18"/>
      <w:szCs w:val="18"/>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rFonts w:ascii="Verdana" w:hAnsi="Verdana" w:eastAsia="Verdana" w:cs="Verdana"/>
      <w:spacing w:val="0"/>
      <w:sz w:val="18"/>
      <w:szCs w:val="18"/>
    </w:rPr>
  </w:style>
  <w:style w:type="character" w:styleId="Fontepargpadro">
    <w:name w:val="Fonte parág. padrão"/>
    <w:qFormat/>
    <w:rPr/>
  </w:style>
  <w:style w:type="character" w:styleId="Marcas">
    <w:name w:val="Marcas"/>
    <w:qFormat/>
    <w:rPr>
      <w:rFonts w:ascii="OpenSymbol" w:hAnsi="OpenSymbol" w:eastAsia="OpenSymbol" w:cs="OpenSymbol"/>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before="280" w:after="280"/>
    </w:pPr>
    <w:rPr>
      <w:rFonts w:ascii="Times New Roman" w:hAnsi="Times New Roman" w:eastAsia="Times New Roman" w:cs="Times New Roman"/>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ListParagraph">
    <w:name w:val="List Paragraph"/>
    <w:basedOn w:val="Normal"/>
    <w:qFormat/>
    <w:pPr>
      <w:spacing w:before="0" w:after="0"/>
      <w:ind w:left="720" w:right="0" w:hanging="0"/>
      <w:contextualSpacing/>
    </w:pPr>
    <w:rPr/>
  </w:style>
  <w:style w:type="paragraph" w:styleId="NormalWeb">
    <w:name w:val="Normal (Web)"/>
    <w:basedOn w:val="Normal"/>
    <w:qFormat/>
    <w:pPr>
      <w:spacing w:before="280" w:after="280"/>
    </w:pPr>
    <w:rPr>
      <w:rFonts w:ascii="Times New Roman" w:hAnsi="Times New Roman" w:cs="Times New Roman"/>
    </w:rPr>
  </w:style>
  <w:style w:type="paragraph" w:styleId="BalloonText">
    <w:name w:val="Balloon Text"/>
    <w:basedOn w:val="Normal"/>
    <w:qFormat/>
    <w:pPr/>
    <w:rPr>
      <w:rFonts w:ascii="Tahoma" w:hAnsi="Tahoma"/>
      <w:sz w:val="16"/>
      <w:szCs w:val="16"/>
    </w:rPr>
  </w:style>
  <w:style w:type="paragraph" w:styleId="Nvel2">
    <w:name w:val="Nível 2"/>
    <w:basedOn w:val="Normal"/>
    <w:next w:val="Normal"/>
    <w:qFormat/>
    <w:pPr>
      <w:spacing w:before="0" w:after="120"/>
      <w:jc w:val="both"/>
    </w:pPr>
    <w:rPr>
      <w:rFonts w:ascii="Arial" w:hAnsi="Arial" w:cs="Times New Roman"/>
      <w:b/>
      <w:szCs w:val="20"/>
    </w:rPr>
  </w:style>
  <w:style w:type="paragraph" w:styleId="Quote">
    <w:name w:val="Quote"/>
    <w:basedOn w:val="Normal"/>
    <w:next w:val="Normal"/>
    <w:qFormat/>
    <w:pPr>
      <w:pBdr>
        <w:top w:val="single" w:sz="4" w:space="1" w:color="1F497D"/>
        <w:left w:val="single" w:sz="4" w:space="4" w:color="1F497D"/>
        <w:bottom w:val="single" w:sz="4" w:space="1" w:color="1F497D"/>
        <w:right w:val="single" w:sz="4" w:space="4" w:color="1F497D"/>
      </w:pBdr>
      <w:shd w:val="clear" w:fill="FFFFCC"/>
      <w:spacing w:before="120" w:after="0"/>
      <w:jc w:val="both"/>
    </w:pPr>
    <w:rPr>
      <w:rFonts w:ascii="Arial" w:hAnsi="Arial" w:eastAsia="Calibri"/>
      <w:i/>
      <w:iCs/>
      <w:color w:val="000000"/>
      <w:sz w:val="20"/>
      <w:lang w:eastAsia="en-US"/>
    </w:rPr>
  </w:style>
  <w:style w:type="paragraph" w:styleId="ListBullet5">
    <w:name w:val="List Bullet 5"/>
    <w:basedOn w:val="Normal"/>
    <w:qFormat/>
    <w:pPr>
      <w:numPr>
        <w:ilvl w:val="0"/>
        <w:numId w:val="2"/>
      </w:numPr>
      <w:spacing w:before="0" w:after="0"/>
      <w:contextualSpacing/>
    </w:pPr>
    <w:rPr/>
  </w:style>
  <w:style w:type="paragraph" w:styleId="Notaexplicativa">
    <w:name w:val="Nota explicativa"/>
    <w:basedOn w:val="Quote"/>
    <w:qFormat/>
    <w:pPr>
      <w:shd w:val="clear" w:fill="FFFFCC"/>
    </w:pPr>
    <w:rPr>
      <w:szCs w:val="20"/>
    </w:rPr>
  </w:style>
  <w:style w:type="paragraph" w:styleId="CabealhoeRodap">
    <w:name w:val="Cabeçalho e Rodapé"/>
    <w:basedOn w:val="Normal"/>
    <w:qFormat/>
    <w:pPr/>
    <w:rPr/>
  </w:style>
  <w:style w:type="paragraph" w:styleId="Cabealho">
    <w:name w:val="Header"/>
    <w:basedOn w:val="Normal"/>
    <w:pPr>
      <w:tabs>
        <w:tab w:val="clear" w:pos="708"/>
        <w:tab w:val="center" w:pos="4252" w:leader="none"/>
        <w:tab w:val="right" w:pos="8504" w:leader="none"/>
      </w:tabs>
    </w:pPr>
    <w:rPr/>
  </w:style>
  <w:style w:type="paragraph" w:styleId="Rodap">
    <w:name w:val="Footer"/>
    <w:basedOn w:val="Normal"/>
    <w:pPr>
      <w:tabs>
        <w:tab w:val="clear" w:pos="708"/>
        <w:tab w:val="center" w:pos="4252" w:leader="none"/>
        <w:tab w:val="right" w:pos="8504" w:leader="none"/>
      </w:tabs>
    </w:pPr>
    <w:rPr/>
  </w:style>
  <w:style w:type="paragraph" w:styleId="Annotationtext">
    <w:name w:val="annotation text"/>
    <w:basedOn w:val="Normal"/>
    <w:qFormat/>
    <w:pPr/>
    <w:rPr>
      <w:sz w:val="20"/>
      <w:szCs w:val="20"/>
    </w:rPr>
  </w:style>
  <w:style w:type="paragraph" w:styleId="Annotationsubject">
    <w:name w:val="annotation subject"/>
    <w:basedOn w:val="Annotationtext"/>
    <w:next w:val="Annotationtext"/>
    <w:qFormat/>
    <w:pPr/>
    <w:rPr>
      <w:b/>
      <w:bCs/>
    </w:rPr>
  </w:style>
  <w:style w:type="paragraph" w:styleId="Nivel01">
    <w:name w:val="Nivel 01"/>
    <w:basedOn w:val="Ttulo1"/>
    <w:next w:val="Normal"/>
    <w:qFormat/>
    <w:pPr>
      <w:tabs>
        <w:tab w:val="clear" w:pos="708"/>
        <w:tab w:val="left" w:pos="567" w:leader="none"/>
      </w:tabs>
      <w:spacing w:before="240" w:after="0"/>
      <w:jc w:val="both"/>
    </w:pPr>
    <w:rPr>
      <w:rFonts w:ascii="Arial" w:hAnsi="Arial" w:cs="Arial"/>
      <w:color w:val="auto"/>
      <w:sz w:val="20"/>
      <w:szCs w:val="20"/>
    </w:rPr>
  </w:style>
  <w:style w:type="paragraph" w:styleId="Nivel01Titulo">
    <w:name w:val="Nivel_01_Titulo"/>
    <w:basedOn w:val="Nivel01"/>
    <w:qFormat/>
    <w:pPr>
      <w:jc w:val="left"/>
    </w:pPr>
    <w:rPr>
      <w:rFonts w:cs="Times New Roman"/>
      <w:color w:val="000000"/>
      <w:spacing w:val="5"/>
      <w:kern w:val="2"/>
      <w:sz w:val="52"/>
      <w:szCs w:val="52"/>
    </w:rPr>
  </w:style>
  <w:style w:type="paragraph" w:styleId="Ttulododocumento">
    <w:name w:val="Title"/>
    <w:basedOn w:val="Normal"/>
    <w:next w:val="Normal"/>
    <w:qFormat/>
    <w:pPr>
      <w:pBdr>
        <w:bottom w:val="single" w:sz="8" w:space="4" w:color="4F81BD"/>
      </w:pBdr>
      <w:spacing w:before="0" w:after="300"/>
      <w:contextualSpacing/>
    </w:pPr>
    <w:rPr>
      <w:rFonts w:ascii="Calibri" w:hAnsi="Calibri" w:eastAsia="ＭＳ ゴシック" w:cs="Times New Roman"/>
      <w:color w:val="17365D"/>
      <w:spacing w:val="5"/>
      <w:kern w:val="2"/>
      <w:sz w:val="52"/>
      <w:szCs w:val="52"/>
    </w:rPr>
  </w:style>
  <w:style w:type="paragraph" w:styleId="PADRO">
    <w:name w:val="PADRÃO"/>
    <w:qFormat/>
    <w:pPr>
      <w:keepNext w:val="true"/>
      <w:widowControl w:val="false"/>
      <w:shd w:val="clear" w:fill="FFFFFF"/>
      <w:suppressAutoHyphens w:val="true"/>
      <w:overflowPunct w:val="true"/>
      <w:bidi w:val="0"/>
      <w:spacing w:lineRule="auto" w:line="276" w:before="119" w:after="119"/>
      <w:ind w:left="0" w:right="0"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Citao1">
    <w:name w:val="Citação1"/>
    <w:basedOn w:val="Normal"/>
    <w:next w:val="Normal"/>
    <w:qFormat/>
    <w:pPr>
      <w:pBdr>
        <w:top w:val="single" w:sz="4" w:space="1" w:color="1F497D"/>
        <w:left w:val="single" w:sz="4" w:space="4" w:color="1F497D"/>
        <w:bottom w:val="single" w:sz="4" w:space="1" w:color="1F497D"/>
        <w:right w:val="single" w:sz="4" w:space="4" w:color="1F497D"/>
      </w:pBdr>
      <w:shd w:val="clear" w:fill="FFFFCC"/>
      <w:spacing w:before="120" w:after="0"/>
      <w:jc w:val="both"/>
    </w:pPr>
    <w:rPr>
      <w:rFonts w:eastAsia="Calibri"/>
      <w:i/>
      <w:iCs/>
      <w:color w:val="000000"/>
      <w:sz w:val="20"/>
      <w:szCs w:val="20"/>
      <w:lang w:eastAsia="en-US"/>
    </w:rPr>
  </w:style>
  <w:style w:type="paragraph" w:styleId="Paragraph">
    <w:name w:val="paragraph"/>
    <w:basedOn w:val="Normal"/>
    <w:qFormat/>
    <w:pPr>
      <w:spacing w:before="280" w:after="280"/>
    </w:pPr>
    <w:rPr>
      <w:rFonts w:ascii="Times New Roman" w:hAnsi="Times New Roman" w:eastAsia="Times New Roman" w:cs="Times New Roman"/>
    </w:rPr>
  </w:style>
  <w:style w:type="paragraph" w:styleId="Nivel1">
    <w:name w:val="Nivel1"/>
    <w:basedOn w:val="Ttulo1"/>
    <w:qFormat/>
    <w:pPr>
      <w:spacing w:lineRule="auto" w:line="276"/>
      <w:ind w:left="357" w:right="0" w:hanging="357"/>
      <w:jc w:val="both"/>
    </w:pPr>
    <w:rPr>
      <w:rFonts w:ascii="Arial" w:hAnsi="Arial" w:cs="Arial"/>
      <w:bCs w:val="false"/>
      <w:color w:val="000000"/>
    </w:rPr>
  </w:style>
  <w:style w:type="paragraph" w:styleId="PargrafodaLista1">
    <w:name w:val="Parágrafo da Lista1"/>
    <w:basedOn w:val="Normal"/>
    <w:qFormat/>
    <w:pPr>
      <w:ind w:left="720" w:right="0" w:hanging="0"/>
    </w:pPr>
    <w:rPr>
      <w:rFonts w:eastAsia="Times New Roman" w:cs="Ecofont_Spranq_eco_Sans"/>
    </w:rPr>
  </w:style>
  <w:style w:type="paragraph" w:styleId="Nivel2">
    <w:name w:val="Nivel 2"/>
    <w:basedOn w:val="Normal"/>
    <w:qFormat/>
    <w:pPr>
      <w:numPr>
        <w:ilvl w:val="0"/>
        <w:numId w:val="1"/>
      </w:numPr>
      <w:spacing w:lineRule="auto" w:line="276" w:before="120" w:after="120"/>
      <w:jc w:val="both"/>
    </w:pPr>
    <w:rPr>
      <w:rFonts w:ascii="Arial" w:hAnsi="Arial" w:cs="Arial"/>
      <w:color w:val="000000"/>
      <w:sz w:val="20"/>
      <w:szCs w:val="20"/>
    </w:rPr>
  </w:style>
  <w:style w:type="paragraph" w:styleId="Nivel11">
    <w:name w:val="Nivel 1"/>
    <w:basedOn w:val="Nivel2"/>
    <w:next w:val="Nivel2"/>
    <w:qFormat/>
    <w:pPr>
      <w:numPr>
        <w:ilvl w:val="0"/>
        <w:numId w:val="0"/>
      </w:numPr>
      <w:ind w:left="360" w:right="0" w:hanging="360"/>
    </w:pPr>
    <w:rPr>
      <w:b/>
    </w:rPr>
  </w:style>
  <w:style w:type="paragraph" w:styleId="Nivel3">
    <w:name w:val="Nivel 3"/>
    <w:basedOn w:val="Normal"/>
    <w:qFormat/>
    <w:pPr>
      <w:numPr>
        <w:ilvl w:val="0"/>
        <w:numId w:val="1"/>
      </w:numPr>
      <w:spacing w:lineRule="auto" w:line="276" w:before="120" w:after="120"/>
      <w:ind w:left="425" w:right="0" w:hanging="0"/>
      <w:jc w:val="both"/>
    </w:pPr>
    <w:rPr>
      <w:rFonts w:ascii="Arial" w:hAnsi="Arial" w:cs="Arial"/>
      <w:color w:val="000000"/>
      <w:sz w:val="20"/>
      <w:szCs w:val="20"/>
    </w:rPr>
  </w:style>
  <w:style w:type="paragraph" w:styleId="Nivel4">
    <w:name w:val="Nivel 4"/>
    <w:basedOn w:val="Nivel3"/>
    <w:qFormat/>
    <w:pPr>
      <w:ind w:left="851" w:right="0" w:hanging="0"/>
    </w:pPr>
    <w:rPr>
      <w:color w:val="auto"/>
    </w:rPr>
  </w:style>
  <w:style w:type="paragraph" w:styleId="Nivel5">
    <w:name w:val="Nivel 5"/>
    <w:basedOn w:val="Nivel4"/>
    <w:qFormat/>
    <w:pPr>
      <w:ind w:left="1276" w:right="0" w:hanging="0"/>
    </w:pPr>
    <w:rPr/>
  </w:style>
  <w:style w:type="paragraph" w:styleId="Textbody">
    <w:name w:val="textbody"/>
    <w:basedOn w:val="Normal"/>
    <w:qFormat/>
    <w:pPr>
      <w:spacing w:before="280" w:after="280"/>
    </w:pPr>
    <w:rPr>
      <w:rFonts w:ascii="Times New Roman" w:hAnsi="Times New Roman" w:eastAsia="Times New Roman" w:cs="Times New Roman"/>
    </w:rPr>
  </w:style>
  <w:style w:type="paragraph" w:styleId="Em0020ementa">
    <w:name w:val="em_0020ementa"/>
    <w:basedOn w:val="Normal"/>
    <w:qFormat/>
    <w:pPr>
      <w:ind w:left="4160" w:right="0" w:hanging="0"/>
      <w:jc w:val="both"/>
    </w:pPr>
    <w:rPr>
      <w:rFonts w:ascii="Times New Roman" w:hAnsi="Times New Roman" w:eastAsia="Times New Roman" w:cs="Times New Roman"/>
      <w:sz w:val="28"/>
      <w:szCs w:val="28"/>
    </w:rPr>
  </w:style>
  <w:style w:type="paragraph" w:styleId="Revision">
    <w:name w:val="Revision"/>
    <w:qFormat/>
    <w:pPr>
      <w:widowControl/>
      <w:suppressAutoHyphens w:val="true"/>
      <w:overflowPunct w:val="true"/>
      <w:bidi w:val="0"/>
      <w:spacing w:before="0" w:after="0"/>
      <w:jc w:val="left"/>
    </w:pPr>
    <w:rPr>
      <w:rFonts w:ascii="Ecofont_Spranq_eco_Sans" w:hAnsi="Ecofont_Spranq_eco_Sans" w:eastAsia="Times New Roman" w:cs="Tahoma"/>
      <w:color w:val="auto"/>
      <w:kern w:val="0"/>
      <w:sz w:val="24"/>
      <w:szCs w:val="24"/>
      <w:lang w:val="pt-BR" w:eastAsia="pt-BR" w:bidi="ar-SA"/>
    </w:rPr>
  </w:style>
  <w:style w:type="paragraph" w:styleId="Texto1">
    <w:name w:val="texto1"/>
    <w:basedOn w:val="Normal"/>
    <w:qFormat/>
    <w:pPr>
      <w:spacing w:before="280" w:after="280"/>
    </w:pPr>
    <w:rPr>
      <w:rFonts w:ascii="Times New Roman" w:hAnsi="Times New Roman" w:eastAsia="Times New Roman" w:cs="Times New Roman"/>
    </w:rPr>
  </w:style>
  <w:style w:type="paragraph" w:styleId="GradeColoridanfase11">
    <w:name w:val="Grade Colorida - Ênfase 11"/>
    <w:basedOn w:val="Normal"/>
    <w:next w:val="Normal"/>
    <w:qFormat/>
    <w:pPr>
      <w:pBdr>
        <w:top w:val="single" w:sz="4" w:space="1" w:color="1F497D"/>
        <w:left w:val="single" w:sz="4" w:space="4" w:color="1F497D"/>
        <w:bottom w:val="single" w:sz="4" w:space="1" w:color="1F497D"/>
        <w:right w:val="single" w:sz="4" w:space="4" w:color="1F497D"/>
      </w:pBdr>
      <w:shd w:val="clear" w:fill="FFFFCC"/>
      <w:spacing w:before="120" w:after="0"/>
      <w:jc w:val="both"/>
    </w:pPr>
    <w:rPr>
      <w:rFonts w:ascii="Arial" w:hAnsi="Arial" w:eastAsia="Calibri" w:cs="Times New Roman"/>
      <w:i/>
      <w:iCs/>
      <w:color w:val="000000"/>
      <w:sz w:val="20"/>
      <w:lang w:eastAsia="en-US"/>
    </w:rPr>
  </w:style>
  <w:style w:type="paragraph" w:styleId="Xwestern">
    <w:name w:val="x_western"/>
    <w:basedOn w:val="Normal"/>
    <w:qFormat/>
    <w:pPr>
      <w:spacing w:before="280" w:after="280"/>
    </w:pPr>
    <w:rPr>
      <w:rFonts w:ascii="Times New Roman" w:hAnsi="Times New Roman" w:eastAsia="Times New Roman" w:cs="Times New Roman"/>
    </w:rPr>
  </w:style>
  <w:style w:type="paragraph" w:styleId="TCUAcitem90">
    <w:name w:val="TCU - Ac - item 9 - §§_0"/>
    <w:basedOn w:val="Normal"/>
    <w:qFormat/>
    <w:pPr>
      <w:ind w:left="0" w:right="0" w:firstLine="1134"/>
      <w:jc w:val="both"/>
    </w:pPr>
    <w:rPr>
      <w:rFonts w:ascii="Times New Roman" w:hAnsi="Times New Roman" w:eastAsia="Times New Roman" w:cs="Times New Roman"/>
      <w:szCs w:val="22"/>
      <w:lang w:eastAsia="en-US"/>
    </w:rPr>
  </w:style>
  <w:style w:type="paragraph" w:styleId="Normal1">
    <w:name w:val="Normal_1"/>
    <w:qFormat/>
    <w:pPr>
      <w:widowControl/>
      <w:suppressAutoHyphens w:val="true"/>
      <w:overflowPunct w:val="true"/>
      <w:bidi w:val="0"/>
      <w:spacing w:before="0" w:after="0"/>
      <w:jc w:val="left"/>
    </w:pPr>
    <w:rPr>
      <w:rFonts w:ascii="Times New Roman" w:hAnsi="Times New Roman" w:eastAsia="Times New Roman" w:cs="Times New Roman"/>
      <w:color w:val="auto"/>
      <w:kern w:val="0"/>
      <w:sz w:val="24"/>
      <w:szCs w:val="22"/>
      <w:lang w:val="pt-BR" w:eastAsia="en-US" w:bidi="ar-SA"/>
    </w:rPr>
  </w:style>
  <w:style w:type="paragraph" w:styleId="Tcuacitem91linha">
    <w:name w:val="tcu_-__ac_-_item_9_-_1ª_linha"/>
    <w:basedOn w:val="Normal"/>
    <w:qFormat/>
    <w:pPr>
      <w:spacing w:before="280" w:after="280"/>
    </w:pPr>
    <w:rPr>
      <w:rFonts w:ascii="Times New Roman" w:hAnsi="Times New Roman" w:eastAsia="Times New Roman" w:cs="Times New Roman"/>
    </w:rPr>
  </w:style>
  <w:style w:type="paragraph" w:styleId="Textojustificadorecuoprimeiralinha">
    <w:name w:val="texto_justificado_recuo_primeira_linha"/>
    <w:basedOn w:val="Normal"/>
    <w:qFormat/>
    <w:pPr>
      <w:spacing w:before="280" w:after="280"/>
    </w:pPr>
    <w:rPr>
      <w:rFonts w:ascii="Times New Roman" w:hAnsi="Times New Roman" w:eastAsia="Times New Roman" w:cs="Times New Roman"/>
    </w:rPr>
  </w:style>
  <w:style w:type="paragraph" w:styleId="Textojustificado">
    <w:name w:val="texto_justificado"/>
    <w:basedOn w:val="Normal"/>
    <w:qFormat/>
    <w:pPr>
      <w:spacing w:before="280" w:after="280"/>
    </w:pPr>
    <w:rPr>
      <w:rFonts w:ascii="Times New Roman" w:hAnsi="Times New Roman" w:eastAsia="Times New Roman" w:cs="Times New Roman"/>
    </w:rPr>
  </w:style>
  <w:style w:type="paragraph" w:styleId="Nvel2Opcional">
    <w:name w:val="Nível 2 Opcional"/>
    <w:basedOn w:val="Nivel2"/>
    <w:qFormat/>
    <w:pPr>
      <w:numPr>
        <w:ilvl w:val="0"/>
        <w:numId w:val="0"/>
      </w:numPr>
      <w:ind w:left="432" w:right="0" w:hanging="432"/>
    </w:pPr>
    <w:rPr>
      <w:rFonts w:eastAsia="Times New Roman"/>
      <w:i/>
      <w:color w:val="FF0000"/>
    </w:rPr>
  </w:style>
  <w:style w:type="paragraph" w:styleId="Nvel3Opcional">
    <w:name w:val="Nível 3 Opcional"/>
    <w:basedOn w:val="Nivel3"/>
    <w:qFormat/>
    <w:pPr>
      <w:numPr>
        <w:ilvl w:val="0"/>
        <w:numId w:val="0"/>
      </w:numPr>
      <w:ind w:left="1072" w:right="0" w:hanging="504"/>
    </w:pPr>
    <w:rPr>
      <w:rFonts w:eastAsia="Times New Roman"/>
      <w:i/>
      <w:iCs/>
      <w:color w:val="FF0000"/>
    </w:rPr>
  </w:style>
  <w:style w:type="paragraph"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fill="FFFFCC"/>
      <w:suppressAutoHyphens w:val="true"/>
      <w:spacing w:before="120" w:after="0"/>
      <w:jc w:val="both"/>
    </w:pPr>
    <w:rPr>
      <w:rFonts w:eastAsia="Calibri"/>
      <w:i/>
      <w:iCs/>
      <w:color w:val="000000"/>
      <w:sz w:val="20"/>
      <w:lang w:eastAsia="zh-CN"/>
    </w:rPr>
  </w:style>
  <w:style w:type="paragraph" w:styleId="Corpo">
    <w:name w:val="corpo"/>
    <w:basedOn w:val="Normal"/>
    <w:qFormat/>
    <w:pPr>
      <w:spacing w:before="280" w:after="280"/>
    </w:pPr>
    <w:rPr>
      <w:rFonts w:ascii="Times New Roman" w:hAnsi="Times New Roman" w:eastAsia="Times New Roman" w:cs="Times New Roman"/>
    </w:rPr>
  </w:style>
  <w:style w:type="paragraph" w:styleId="Itemnivel2">
    <w:name w:val="item_nivel2"/>
    <w:basedOn w:val="Normal"/>
    <w:qFormat/>
    <w:pPr>
      <w:spacing w:before="280" w:after="280"/>
    </w:pPr>
    <w:rPr>
      <w:rFonts w:ascii="Times New Roman" w:hAnsi="Times New Roman" w:eastAsia="Times New Roman" w:cs="Times New Roman"/>
    </w:rPr>
  </w:style>
  <w:style w:type="paragraph" w:styleId="Itemnivel1">
    <w:name w:val="item_nivel1"/>
    <w:basedOn w:val="Normal"/>
    <w:qFormat/>
    <w:pPr>
      <w:spacing w:before="280" w:after="280"/>
    </w:pPr>
    <w:rPr>
      <w:rFonts w:ascii="Times New Roman" w:hAnsi="Times New Roman" w:eastAsia="Times New Roman" w:cs="Times New Roman"/>
    </w:rPr>
  </w:style>
  <w:style w:type="paragraph" w:styleId="Itemalinealetra">
    <w:name w:val="item_alinea_letra"/>
    <w:basedOn w:val="Normal"/>
    <w:qFormat/>
    <w:pPr>
      <w:spacing w:before="280" w:after="280"/>
    </w:pPr>
    <w:rPr>
      <w:rFonts w:ascii="Times New Roman" w:hAnsi="Times New Roman" w:eastAsia="Times New Roman" w:cs="Times New Roman"/>
    </w:rPr>
  </w:style>
  <w:style w:type="paragraph" w:styleId="Standard">
    <w:name w:val="Standard"/>
    <w:qFormat/>
    <w:pPr>
      <w:widowControl/>
      <w:suppressAutoHyphens w:val="true"/>
      <w:overflowPunct w:val="true"/>
      <w:bidi w:val="0"/>
      <w:spacing w:before="0" w:after="0"/>
      <w:jc w:val="left"/>
    </w:pPr>
    <w:rPr>
      <w:rFonts w:ascii="Liberation Serif" w:hAnsi="Liberation Serif" w:eastAsia="NSimSun" w:cs="Lucida Sans"/>
      <w:color w:val="auto"/>
      <w:kern w:val="2"/>
      <w:sz w:val="24"/>
      <w:szCs w:val="24"/>
      <w:lang w:val="pt-BR" w:eastAsia="zh-CN" w:bidi="hi-IN"/>
    </w:rPr>
  </w:style>
  <w:style w:type="paragraph" w:styleId="Textbody1">
    <w:name w:val="Text body"/>
    <w:basedOn w:val="Standard"/>
    <w:qFormat/>
    <w:pPr>
      <w:spacing w:lineRule="auto" w:line="276" w:before="0" w:after="140"/>
    </w:pPr>
    <w:rPr/>
  </w:style>
  <w:style w:type="paragraph" w:styleId="Ou">
    <w:name w:val="ou"/>
    <w:basedOn w:val="ListParagraph"/>
    <w:qFormat/>
    <w:pPr>
      <w:spacing w:lineRule="auto" w:line="259" w:before="60" w:after="60"/>
      <w:ind w:left="0" w:right="0" w:hanging="0"/>
      <w:contextualSpacing/>
      <w:jc w:val="center"/>
    </w:pPr>
    <w:rPr>
      <w:rFonts w:ascii="Arial" w:hAnsi="Arial" w:eastAsia="Cambria" w:cs="Arial"/>
      <w:b/>
      <w:bCs/>
      <w:i/>
      <w:iCs/>
      <w:color w:val="FF0000"/>
      <w:u w:val="single"/>
    </w:rPr>
  </w:style>
  <w:style w:type="paragraph" w:styleId="Douparagraph">
    <w:name w:val="dou-paragraph"/>
    <w:basedOn w:val="Normal"/>
    <w:qFormat/>
    <w:pPr>
      <w:spacing w:before="280" w:after="280"/>
    </w:pPr>
    <w:rPr>
      <w:rFonts w:ascii="Times New Roman" w:hAnsi="Times New Roman" w:eastAsia="Times New Roman" w:cs="Times New Roman"/>
    </w:rPr>
  </w:style>
  <w:style w:type="paragraph" w:styleId="Nvel2Red">
    <w:name w:val="Nível 2 -Red"/>
    <w:basedOn w:val="Nivel2"/>
    <w:qFormat/>
    <w:pPr/>
    <w:rPr>
      <w:i/>
      <w:iCs/>
      <w:color w:val="FF0000"/>
    </w:rPr>
  </w:style>
  <w:style w:type="paragraph" w:styleId="Nvel3R">
    <w:name w:val="Nível 3-R"/>
    <w:basedOn w:val="Nivel3"/>
    <w:qFormat/>
    <w:pPr/>
    <w:rPr>
      <w:i/>
      <w:iCs/>
      <w:color w:val="FF0000"/>
    </w:rPr>
  </w:style>
  <w:style w:type="paragraph" w:styleId="Nvel4R">
    <w:name w:val="Nível 4-R"/>
    <w:basedOn w:val="Nivel4"/>
    <w:qFormat/>
    <w:pPr>
      <w:ind w:left="2491" w:right="0" w:hanging="648"/>
    </w:pPr>
    <w:rPr>
      <w:i/>
      <w:iCs/>
      <w:color w:val="FF0000"/>
    </w:rPr>
  </w:style>
  <w:style w:type="paragraph" w:styleId="Nvel1SemNum">
    <w:name w:val="Nível 1-Sem Num"/>
    <w:basedOn w:val="Nivel01"/>
    <w:qFormat/>
    <w:pPr>
      <w:ind w:left="357" w:right="0" w:hanging="0"/>
      <w:outlineLvl w:val="1"/>
    </w:pPr>
    <w:rPr>
      <w:color w:val="FF0000"/>
    </w:rPr>
  </w:style>
  <w:style w:type="paragraph" w:styleId="Citao2">
    <w:name w:val="citação 2"/>
    <w:basedOn w:val="Quote"/>
    <w:qFormat/>
    <w:pPr>
      <w:shd w:val="clear" w:fill="FFFFCC"/>
      <w:overflowPunct w:val="false"/>
    </w:pPr>
    <w:rPr>
      <w:szCs w:val="20"/>
    </w:rPr>
  </w:style>
  <w:style w:type="paragraph" w:styleId="Prembulo">
    <w:name w:val="Preâmbulo"/>
    <w:basedOn w:val="Normal"/>
    <w:qFormat/>
    <w:pPr>
      <w:spacing w:lineRule="auto" w:line="360" w:before="480" w:after="120"/>
      <w:ind w:left="4253" w:right="-17" w:hanging="0"/>
      <w:jc w:val="both"/>
    </w:pPr>
    <w:rPr>
      <w:rFonts w:ascii="Arial" w:hAnsi="Arial" w:eastAsia="Arial" w:cs="Arial"/>
      <w:bCs/>
      <w:sz w:val="20"/>
      <w:szCs w:val="20"/>
    </w:rPr>
  </w:style>
  <w:style w:type="paragraph" w:styleId="Contedodatabela">
    <w:name w:val="Conteúdo da tabela"/>
    <w:basedOn w:val="Normal"/>
    <w:qFormat/>
    <w:pPr>
      <w:widowControl w:val="false"/>
      <w:suppressLineNumbers/>
    </w:pPr>
    <w:rPr/>
  </w:style>
  <w:style w:type="paragraph" w:styleId="Corpodetexto21">
    <w:name w:val="Corpo de texto 21"/>
    <w:basedOn w:val="Standard"/>
    <w:qFormat/>
    <w:pPr>
      <w:suppressAutoHyphens w:val="true"/>
    </w:pPr>
    <w:rPr>
      <w:rFonts w:ascii="Tahoma" w:hAnsi="Tahoma" w:cs="Tahoma"/>
      <w:szCs w:val="20"/>
    </w:rPr>
  </w:style>
  <w:style w:type="numbering" w:styleId="NoList">
    <w:name w:val="No List"/>
    <w:qFormat/>
  </w:style>
  <w:style w:type="numbering" w:styleId="Estilo1">
    <w:name w:val="Estilo1"/>
    <w:qFormat/>
  </w:style>
  <w:style w:type="numbering" w:styleId="Estilo2">
    <w:name w:val="Estilo2"/>
    <w:qFormat/>
  </w:style>
  <w:style w:type="numbering" w:styleId="Estilo3">
    <w:name w:val="Estilo3"/>
    <w:qFormat/>
  </w:style>
  <w:style w:type="numbering" w:styleId="Estilo4">
    <w:name w:val="Estilo4"/>
    <w:qFormat/>
  </w:style>
  <w:style w:type="numbering" w:styleId="Estilo5">
    <w:name w:val="Estilo5"/>
    <w:qFormat/>
  </w:style>
  <w:style w:type="numbering" w:styleId="Estilo6">
    <w:name w:val="Estilo6"/>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lanalto.gov.br/ccivil_03/_ato2019-2022/2021/lei/L14133.htm" TargetMode="External"/><Relationship Id="rId3" Type="http://schemas.openxmlformats.org/officeDocument/2006/relationships/hyperlink" Target="https://www.planalto.gov.br/ccivil_03/leis/l8078compilado.htm" TargetMode="External"/><Relationship Id="rId4" Type="http://schemas.openxmlformats.org/officeDocument/2006/relationships/hyperlink" Target="https://www.planalto.gov.br/ccivil_03/_ato2015-2018/2018/lei/l13709.htm" TargetMode="External"/><Relationship Id="rId5" Type="http://schemas.openxmlformats.org/officeDocument/2006/relationships/hyperlink" Target="https://www.planalto.gov.br/ccivil_03/_ato2015-2018/2018/lei/l13709.htm" TargetMode="External"/><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8" Type="http://schemas.openxmlformats.org/officeDocument/2006/relationships/hyperlink" Target="https://www.planalto.gov.br/ccivil_03/_ato2011-2014/2013/lei/l12846.htm" TargetMode="External"/><Relationship Id="rId9" Type="http://schemas.openxmlformats.org/officeDocument/2006/relationships/hyperlink" Target="https://www.gov.br/compras/pt-br/acesso-a-informacao/legislacao/instrucoes-normativas/instrucao-normativa-seges-me-no-26-de-13-de-abril-de-2022" TargetMode="External"/><Relationship Id="rId10"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leis/l8078compilado.htm" TargetMode="External"/><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
</Relationships>
</file>

<file path=word/_rels/footer1.xml.rels><?xml version="1.0" encoding="UTF-8"?>
<Relationships xmlns="http://schemas.openxmlformats.org/package/2006/relationships"><Relationship Id="rId1" Type="http://schemas.openxmlformats.org/officeDocument/2006/relationships/image" Target="media/image2.jpeg"/><Relationship Id="rId2" Type="http://schemas.openxmlformats.org/officeDocument/2006/relationships/image" Target="media/image3.png"/>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Normal</Template>
  <TotalTime>1747</TotalTime>
  <Application>LibreOffice/7.0.0.3$Windows_X86_64 LibreOffice_project/8061b3e9204bef6b321a21033174034a5e2ea88e</Application>
  <Pages>7</Pages>
  <Words>4082</Words>
  <Characters>23269</Characters>
  <CharactersWithSpaces>27231</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2022-12-21T15:49:00Z</dcterms:created>
  <dc:creator/>
  <dc:description/>
  <dc:language>pt-BR</dc:language>
  <cp:lastModifiedBy/>
  <cp:lastPrinted>2023-06-22T14:11:05Z</cp:lastPrinted>
  <dcterms:modified xsi:type="dcterms:W3CDTF">2023-07-18T16:35:26Z</dcterms:modified>
  <cp:revision>36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0x01010046D1D902F9AFB0458A156704A0C1878F</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MediaServiceImageTags">
    <vt:lpwstr/>
  </property>
  <property fmtid="{D5CDD505-2E9C-101B-9397-08002B2CF9AE}" pid="8" name="ScaleCrop">
    <vt:bool>0</vt:bool>
  </property>
  <property fmtid="{D5CDD505-2E9C-101B-9397-08002B2CF9AE}" pid="9" name="ShareDoc">
    <vt:bool>0</vt:bool>
  </property>
</Properties>
</file>