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28669" w14:textId="77777777" w:rsidR="005B513C" w:rsidRPr="00097D8D" w:rsidRDefault="005B513C" w:rsidP="00097D8D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97D8D">
        <w:rPr>
          <w:rFonts w:ascii="Arial" w:hAnsi="Arial" w:cs="Arial"/>
          <w:b/>
          <w:sz w:val="24"/>
          <w:szCs w:val="24"/>
        </w:rPr>
        <w:t xml:space="preserve">PARECER </w:t>
      </w:r>
      <w:r w:rsidRPr="00097D8D">
        <w:rPr>
          <w:rFonts w:ascii="Arial" w:hAnsi="Arial" w:cs="Arial"/>
          <w:b/>
          <w:sz w:val="24"/>
          <w:szCs w:val="24"/>
        </w:rPr>
        <w:t>JURÍDICO – RECURSO ADMINISTRATIVO – EDITAL N° 077/20225</w:t>
      </w:r>
    </w:p>
    <w:p w14:paraId="5AF1C40F" w14:textId="573029E8" w:rsidR="005B513C" w:rsidRPr="00097D8D" w:rsidRDefault="005B513C" w:rsidP="00097D8D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97D8D">
        <w:rPr>
          <w:rFonts w:ascii="Arial" w:hAnsi="Arial" w:cs="Arial"/>
          <w:b/>
          <w:sz w:val="24"/>
          <w:szCs w:val="24"/>
        </w:rPr>
        <w:t>OBJETO: PERMISSÃO PARA PRESTAÇÃO DE SERVIÇOS DE COMERCIALIZAÇÃO DE BEBIDAS CURANTE A 42ª. EDIÇÃO DO FESTIVAL DE KERB - 2025</w:t>
      </w:r>
    </w:p>
    <w:p w14:paraId="07FB6CD6" w14:textId="77777777" w:rsidR="005B513C" w:rsidRPr="00097D8D" w:rsidRDefault="005B513C" w:rsidP="00097D8D">
      <w:pPr>
        <w:spacing w:after="120" w:line="360" w:lineRule="auto"/>
        <w:ind w:left="708" w:firstLine="2"/>
        <w:jc w:val="both"/>
        <w:rPr>
          <w:rFonts w:ascii="Arial" w:hAnsi="Arial" w:cs="Arial"/>
          <w:b/>
          <w:sz w:val="24"/>
          <w:szCs w:val="24"/>
        </w:rPr>
      </w:pPr>
      <w:r w:rsidRPr="00097D8D">
        <w:rPr>
          <w:rFonts w:ascii="Arial" w:eastAsia="Batang" w:hAnsi="Arial" w:cs="Arial"/>
          <w:b/>
          <w:bCs/>
          <w:sz w:val="24"/>
          <w:szCs w:val="24"/>
        </w:rPr>
        <w:t xml:space="preserve">O JULGAMENTO DAS HABILITAÇOES E PROPOSTAS FINANCEIRAS DEVE OBSERVAR, ESTRITAMENTE AS EXIGÊNCIAS DO EDITAL, SEM EXCESSOS DE FORMALISMOS QUE INVIABILIZEM O MAIOR </w:t>
      </w:r>
      <w:proofErr w:type="gramStart"/>
      <w:r w:rsidRPr="00097D8D">
        <w:rPr>
          <w:rFonts w:ascii="Arial" w:eastAsia="Batang" w:hAnsi="Arial" w:cs="Arial"/>
          <w:b/>
          <w:bCs/>
          <w:sz w:val="24"/>
          <w:szCs w:val="24"/>
        </w:rPr>
        <w:t>NUMERO</w:t>
      </w:r>
      <w:proofErr w:type="gramEnd"/>
      <w:r w:rsidRPr="00097D8D">
        <w:rPr>
          <w:rFonts w:ascii="Arial" w:eastAsia="Batang" w:hAnsi="Arial" w:cs="Arial"/>
          <w:b/>
          <w:bCs/>
          <w:sz w:val="24"/>
          <w:szCs w:val="24"/>
        </w:rPr>
        <w:t xml:space="preserve"> DE PARTICPANTES, E A ESCOLHA DA PROPOSTA MAIS VANTAJOSA AO MUNICÍPIO SALVO SE A EXIGÊNCIA NÃO ESTEJA DE ACORDO COM A NORMA LEGAL</w:t>
      </w:r>
    </w:p>
    <w:p w14:paraId="538B0B1C" w14:textId="700EADCE" w:rsidR="005B513C" w:rsidRPr="00097D8D" w:rsidRDefault="005B513C" w:rsidP="00097D8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97D8D">
        <w:rPr>
          <w:rFonts w:ascii="Arial" w:hAnsi="Arial" w:cs="Arial"/>
          <w:b/>
          <w:bCs/>
          <w:sz w:val="24"/>
          <w:szCs w:val="24"/>
        </w:rPr>
        <w:tab/>
        <w:t xml:space="preserve"> </w:t>
      </w:r>
      <w:r w:rsidR="00097D8D">
        <w:rPr>
          <w:rFonts w:ascii="Arial" w:hAnsi="Arial" w:cs="Arial"/>
          <w:b/>
          <w:bCs/>
          <w:sz w:val="24"/>
          <w:szCs w:val="24"/>
        </w:rPr>
        <w:t xml:space="preserve"> </w:t>
      </w:r>
      <w:r w:rsidR="00097D8D">
        <w:rPr>
          <w:rFonts w:ascii="Arial" w:hAnsi="Arial" w:cs="Arial"/>
          <w:b/>
          <w:bCs/>
          <w:sz w:val="24"/>
          <w:szCs w:val="24"/>
        </w:rPr>
        <w:tab/>
      </w:r>
      <w:r w:rsidRPr="00097D8D">
        <w:rPr>
          <w:rFonts w:ascii="Arial" w:hAnsi="Arial" w:cs="Arial"/>
          <w:bCs/>
          <w:sz w:val="24"/>
          <w:szCs w:val="24"/>
        </w:rPr>
        <w:t xml:space="preserve">Submete-nos a </w:t>
      </w:r>
      <w:r w:rsidRPr="00097D8D">
        <w:rPr>
          <w:rFonts w:ascii="Arial" w:hAnsi="Arial" w:cs="Arial"/>
          <w:bCs/>
          <w:sz w:val="24"/>
          <w:szCs w:val="24"/>
        </w:rPr>
        <w:t>Agente de Contratação</w:t>
      </w:r>
      <w:r w:rsidRPr="00097D8D">
        <w:rPr>
          <w:rFonts w:ascii="Arial" w:hAnsi="Arial" w:cs="Arial"/>
          <w:bCs/>
          <w:sz w:val="24"/>
          <w:szCs w:val="24"/>
        </w:rPr>
        <w:t xml:space="preserve">, para parecer jurídico, o recurso administrativo interposto pela empresa </w:t>
      </w:r>
      <w:r w:rsidRPr="00097D8D">
        <w:rPr>
          <w:rFonts w:ascii="Arial" w:hAnsi="Arial" w:cs="Arial"/>
          <w:bCs/>
          <w:sz w:val="24"/>
          <w:szCs w:val="24"/>
        </w:rPr>
        <w:t>CIA DO CHOPP DISTRIBUIDORA DE BEBIDAS LTDA</w:t>
      </w:r>
      <w:r w:rsidRPr="00097D8D">
        <w:rPr>
          <w:rFonts w:ascii="Arial" w:hAnsi="Arial" w:cs="Arial"/>
          <w:bCs/>
          <w:sz w:val="24"/>
          <w:szCs w:val="24"/>
        </w:rPr>
        <w:t xml:space="preserve">, contra </w:t>
      </w:r>
      <w:r w:rsidRPr="00097D8D">
        <w:rPr>
          <w:rFonts w:ascii="Arial" w:hAnsi="Arial" w:cs="Arial"/>
          <w:bCs/>
          <w:sz w:val="24"/>
          <w:szCs w:val="24"/>
        </w:rPr>
        <w:t>su</w:t>
      </w:r>
      <w:r w:rsidRPr="00097D8D">
        <w:rPr>
          <w:rFonts w:ascii="Arial" w:hAnsi="Arial" w:cs="Arial"/>
          <w:bCs/>
          <w:sz w:val="24"/>
          <w:szCs w:val="24"/>
        </w:rPr>
        <w:t xml:space="preserve">a decisão </w:t>
      </w:r>
      <w:r w:rsidRPr="00097D8D">
        <w:rPr>
          <w:rFonts w:ascii="Arial" w:hAnsi="Arial" w:cs="Arial"/>
          <w:bCs/>
          <w:sz w:val="24"/>
          <w:szCs w:val="24"/>
        </w:rPr>
        <w:t>e da respectiva equipe de apoio</w:t>
      </w:r>
      <w:r w:rsidRPr="00097D8D">
        <w:rPr>
          <w:rFonts w:ascii="Arial" w:hAnsi="Arial" w:cs="Arial"/>
          <w:bCs/>
          <w:sz w:val="24"/>
          <w:szCs w:val="24"/>
        </w:rPr>
        <w:t xml:space="preserve"> que </w:t>
      </w:r>
      <w:r w:rsidRPr="00097D8D">
        <w:rPr>
          <w:rFonts w:ascii="Arial" w:hAnsi="Arial" w:cs="Arial"/>
          <w:bCs/>
          <w:sz w:val="24"/>
          <w:szCs w:val="24"/>
        </w:rPr>
        <w:t>a ina</w:t>
      </w:r>
      <w:r w:rsidRPr="00097D8D">
        <w:rPr>
          <w:rFonts w:ascii="Arial" w:hAnsi="Arial" w:cs="Arial"/>
          <w:bCs/>
          <w:sz w:val="24"/>
          <w:szCs w:val="24"/>
        </w:rPr>
        <w:t xml:space="preserve">bilitou a </w:t>
      </w:r>
      <w:r w:rsidRPr="00097D8D">
        <w:rPr>
          <w:rFonts w:ascii="Arial" w:hAnsi="Arial" w:cs="Arial"/>
          <w:bCs/>
          <w:sz w:val="24"/>
          <w:szCs w:val="24"/>
        </w:rPr>
        <w:t>recorrente</w:t>
      </w:r>
      <w:r w:rsidRPr="00097D8D">
        <w:rPr>
          <w:rFonts w:ascii="Arial" w:hAnsi="Arial" w:cs="Arial"/>
          <w:bCs/>
          <w:sz w:val="24"/>
          <w:szCs w:val="24"/>
        </w:rPr>
        <w:t xml:space="preserve">, sob o argumento de não haver </w:t>
      </w:r>
      <w:r w:rsidRPr="00097D8D">
        <w:rPr>
          <w:rFonts w:ascii="Arial" w:hAnsi="Arial" w:cs="Arial"/>
          <w:bCs/>
          <w:sz w:val="24"/>
          <w:szCs w:val="24"/>
        </w:rPr>
        <w:t>cumprido o disposto no item 6, alínea “n” do edital, que determina</w:t>
      </w:r>
      <w:r w:rsidR="00572D29" w:rsidRPr="00097D8D">
        <w:rPr>
          <w:rFonts w:ascii="Arial" w:hAnsi="Arial" w:cs="Arial"/>
          <w:bCs/>
          <w:sz w:val="24"/>
          <w:szCs w:val="24"/>
        </w:rPr>
        <w:t xml:space="preserve">, como condição de habilitação, a comprovação de participação em evento </w:t>
      </w:r>
      <w:proofErr w:type="spellStart"/>
      <w:r w:rsidR="00572D29" w:rsidRPr="00097D8D">
        <w:rPr>
          <w:rFonts w:ascii="Arial" w:hAnsi="Arial" w:cs="Arial"/>
          <w:bCs/>
          <w:sz w:val="24"/>
          <w:szCs w:val="24"/>
        </w:rPr>
        <w:t>publico</w:t>
      </w:r>
      <w:proofErr w:type="spellEnd"/>
      <w:r w:rsidR="00572D29" w:rsidRPr="00097D8D">
        <w:rPr>
          <w:rFonts w:ascii="Arial" w:hAnsi="Arial" w:cs="Arial"/>
          <w:bCs/>
          <w:sz w:val="24"/>
          <w:szCs w:val="24"/>
        </w:rPr>
        <w:t xml:space="preserve"> com presença mínima de 50.000 pessoas durante o período do evento,  “</w:t>
      </w:r>
      <w:proofErr w:type="spellStart"/>
      <w:r w:rsidR="00572D29" w:rsidRPr="00097D8D">
        <w:rPr>
          <w:rFonts w:ascii="Arial" w:hAnsi="Arial" w:cs="Arial"/>
          <w:bCs/>
          <w:sz w:val="24"/>
          <w:szCs w:val="24"/>
        </w:rPr>
        <w:t>ambasado</w:t>
      </w:r>
      <w:proofErr w:type="spellEnd"/>
      <w:r w:rsidR="00572D29" w:rsidRPr="00097D8D">
        <w:rPr>
          <w:rFonts w:ascii="Arial" w:hAnsi="Arial" w:cs="Arial"/>
          <w:bCs/>
          <w:sz w:val="24"/>
          <w:szCs w:val="24"/>
        </w:rPr>
        <w:t xml:space="preserve"> com matérias de jornais, revistas, borderôs, etc..”</w:t>
      </w:r>
      <w:r w:rsidRPr="00097D8D">
        <w:rPr>
          <w:rFonts w:ascii="Arial" w:hAnsi="Arial" w:cs="Arial"/>
          <w:bCs/>
          <w:sz w:val="24"/>
          <w:szCs w:val="24"/>
        </w:rPr>
        <w:t>.</w:t>
      </w:r>
    </w:p>
    <w:p w14:paraId="723746D4" w14:textId="3F62641B" w:rsidR="00C34D5F" w:rsidRPr="00097D8D" w:rsidRDefault="005B513C" w:rsidP="00097D8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97D8D">
        <w:rPr>
          <w:rFonts w:ascii="Arial" w:hAnsi="Arial" w:cs="Arial"/>
          <w:bCs/>
          <w:sz w:val="24"/>
          <w:szCs w:val="24"/>
        </w:rPr>
        <w:tab/>
      </w:r>
      <w:r w:rsidRPr="00097D8D">
        <w:rPr>
          <w:rFonts w:ascii="Arial" w:hAnsi="Arial" w:cs="Arial"/>
          <w:bCs/>
          <w:sz w:val="24"/>
          <w:szCs w:val="24"/>
        </w:rPr>
        <w:tab/>
      </w:r>
      <w:r w:rsidR="00572D29" w:rsidRPr="00097D8D">
        <w:rPr>
          <w:rFonts w:ascii="Arial" w:hAnsi="Arial" w:cs="Arial"/>
          <w:bCs/>
          <w:sz w:val="24"/>
          <w:szCs w:val="24"/>
        </w:rPr>
        <w:t>A recorrente, em suas razões de recurso sustenta, sumariamente, que: a) que o termo “</w:t>
      </w:r>
      <w:proofErr w:type="spellStart"/>
      <w:r w:rsidR="00572D29" w:rsidRPr="00097D8D">
        <w:rPr>
          <w:rFonts w:ascii="Arial" w:hAnsi="Arial" w:cs="Arial"/>
          <w:bCs/>
          <w:sz w:val="24"/>
          <w:szCs w:val="24"/>
        </w:rPr>
        <w:t>etc</w:t>
      </w:r>
      <w:proofErr w:type="spellEnd"/>
      <w:r w:rsidR="00572D29" w:rsidRPr="00097D8D">
        <w:rPr>
          <w:rFonts w:ascii="Arial" w:hAnsi="Arial" w:cs="Arial"/>
          <w:bCs/>
          <w:sz w:val="24"/>
          <w:szCs w:val="24"/>
        </w:rPr>
        <w:t>” constante da alínea “</w:t>
      </w:r>
      <w:r w:rsidR="008B6626" w:rsidRPr="00097D8D">
        <w:rPr>
          <w:rFonts w:ascii="Arial" w:hAnsi="Arial" w:cs="Arial"/>
          <w:bCs/>
          <w:sz w:val="24"/>
          <w:szCs w:val="24"/>
        </w:rPr>
        <w:t>n</w:t>
      </w:r>
      <w:r w:rsidR="00572D29" w:rsidRPr="00097D8D">
        <w:rPr>
          <w:rFonts w:ascii="Arial" w:hAnsi="Arial" w:cs="Arial"/>
          <w:bCs/>
          <w:sz w:val="24"/>
          <w:szCs w:val="24"/>
        </w:rPr>
        <w:t>” do item 6 do edital significa “entre outras coisas”,  no sentido de que a prova da capacidade técnica poderia ser comprovada, além do próprio atestado, mediante diligência</w:t>
      </w:r>
      <w:r w:rsidR="005508CF" w:rsidRPr="00097D8D">
        <w:rPr>
          <w:rFonts w:ascii="Arial" w:hAnsi="Arial" w:cs="Arial"/>
          <w:bCs/>
          <w:sz w:val="24"/>
          <w:szCs w:val="24"/>
        </w:rPr>
        <w:t xml:space="preserve"> ao órgão municipal que emitiu o Atestado de capacidade técnica; b) o atestado de capacidade técnica emitido pelo próprio Município de Estância Velha goza de presunção de veracidade; c) de que a exigência de comprovação complementar ao Atestado de Capacidade técnica constitui-se em excesso de formalismo e fere os princípios da economicidade</w:t>
      </w:r>
      <w:r w:rsidR="00C34D5F" w:rsidRPr="00097D8D">
        <w:rPr>
          <w:rFonts w:ascii="Arial" w:hAnsi="Arial" w:cs="Arial"/>
          <w:bCs/>
          <w:sz w:val="24"/>
          <w:szCs w:val="24"/>
        </w:rPr>
        <w:t>, legalidade</w:t>
      </w:r>
      <w:r w:rsidR="005508CF" w:rsidRPr="00097D8D">
        <w:rPr>
          <w:rFonts w:ascii="Arial" w:hAnsi="Arial" w:cs="Arial"/>
          <w:bCs/>
          <w:sz w:val="24"/>
          <w:szCs w:val="24"/>
        </w:rPr>
        <w:t xml:space="preserve"> e da competitividade; </w:t>
      </w:r>
      <w:r w:rsidR="00C34D5F" w:rsidRPr="00097D8D">
        <w:rPr>
          <w:rFonts w:ascii="Arial" w:hAnsi="Arial" w:cs="Arial"/>
          <w:bCs/>
          <w:sz w:val="24"/>
          <w:szCs w:val="24"/>
        </w:rPr>
        <w:t>d) que o Município teria invertido a fase da licitação, sem motivação, em afronta ao disposto no art. 17 da Lei Federal n° 14.133/2021.</w:t>
      </w:r>
    </w:p>
    <w:p w14:paraId="183601F3" w14:textId="61264BA7" w:rsidR="005B513C" w:rsidRPr="00097D8D" w:rsidRDefault="00C34D5F" w:rsidP="00097D8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97D8D">
        <w:rPr>
          <w:rFonts w:ascii="Arial" w:hAnsi="Arial" w:cs="Arial"/>
          <w:bCs/>
          <w:sz w:val="24"/>
          <w:szCs w:val="24"/>
        </w:rPr>
        <w:t xml:space="preserve"> </w:t>
      </w:r>
      <w:r w:rsidRPr="00097D8D">
        <w:rPr>
          <w:rFonts w:ascii="Arial" w:hAnsi="Arial" w:cs="Arial"/>
          <w:bCs/>
          <w:sz w:val="24"/>
          <w:szCs w:val="24"/>
        </w:rPr>
        <w:tab/>
      </w:r>
      <w:r w:rsidR="00097D8D">
        <w:rPr>
          <w:rFonts w:ascii="Arial" w:hAnsi="Arial" w:cs="Arial"/>
          <w:bCs/>
          <w:sz w:val="24"/>
          <w:szCs w:val="24"/>
        </w:rPr>
        <w:t xml:space="preserve"> </w:t>
      </w:r>
      <w:r w:rsidR="00097D8D">
        <w:rPr>
          <w:rFonts w:ascii="Arial" w:hAnsi="Arial" w:cs="Arial"/>
          <w:bCs/>
          <w:sz w:val="24"/>
          <w:szCs w:val="24"/>
        </w:rPr>
        <w:tab/>
      </w:r>
      <w:r w:rsidRPr="00097D8D">
        <w:rPr>
          <w:rFonts w:ascii="Arial" w:hAnsi="Arial" w:cs="Arial"/>
          <w:bCs/>
          <w:sz w:val="24"/>
          <w:szCs w:val="24"/>
        </w:rPr>
        <w:t>O re</w:t>
      </w:r>
      <w:r w:rsidR="005B513C" w:rsidRPr="00097D8D">
        <w:rPr>
          <w:rFonts w:ascii="Arial" w:hAnsi="Arial" w:cs="Arial"/>
          <w:bCs/>
          <w:sz w:val="24"/>
          <w:szCs w:val="24"/>
        </w:rPr>
        <w:t xml:space="preserve">curso foi franqueado à </w:t>
      </w:r>
      <w:r w:rsidRPr="00097D8D">
        <w:rPr>
          <w:rFonts w:ascii="Arial" w:hAnsi="Arial" w:cs="Arial"/>
          <w:bCs/>
          <w:sz w:val="24"/>
          <w:szCs w:val="24"/>
        </w:rPr>
        <w:t xml:space="preserve">empresa </w:t>
      </w:r>
      <w:r w:rsidRPr="00097D8D">
        <w:rPr>
          <w:rFonts w:ascii="Arial" w:hAnsi="Arial" w:cs="Arial"/>
          <w:bCs/>
          <w:sz w:val="24"/>
          <w:szCs w:val="24"/>
        </w:rPr>
        <w:t>J.E. ARNECKE - ME</w:t>
      </w:r>
      <w:r w:rsidRPr="00097D8D">
        <w:rPr>
          <w:rFonts w:ascii="Arial" w:hAnsi="Arial" w:cs="Arial"/>
          <w:bCs/>
          <w:sz w:val="24"/>
          <w:szCs w:val="24"/>
        </w:rPr>
        <w:t xml:space="preserve"> para suas contrarrazões. Essa, em sumária síntese arguiu que: a) a recorrente teria afrontado o disposto em edital, o qual deve ser observado, em face à </w:t>
      </w:r>
      <w:r w:rsidRPr="00097D8D">
        <w:rPr>
          <w:rFonts w:ascii="Arial" w:hAnsi="Arial" w:cs="Arial"/>
          <w:bCs/>
          <w:sz w:val="24"/>
          <w:szCs w:val="24"/>
        </w:rPr>
        <w:lastRenderedPageBreak/>
        <w:t>observância aos princípios da vinculação ao edital, da legalidade, isonomia e transparência do procedimento licitatório</w:t>
      </w:r>
      <w:r w:rsidR="00583A5A" w:rsidRPr="00097D8D">
        <w:rPr>
          <w:rFonts w:ascii="Arial" w:hAnsi="Arial" w:cs="Arial"/>
          <w:bCs/>
          <w:sz w:val="24"/>
          <w:szCs w:val="24"/>
        </w:rPr>
        <w:t xml:space="preserve">; b) a redação do item 6 alínea “c” do edital está redigido de forma clara ao dispor que o atestado de capacidade técnica deve vir “embasado com”, o que indicaria a obrigatoriedade do acompanhamento de matérias de jornais, </w:t>
      </w:r>
      <w:r w:rsidR="00D118D5" w:rsidRPr="00097D8D">
        <w:rPr>
          <w:rFonts w:ascii="Arial" w:hAnsi="Arial" w:cs="Arial"/>
          <w:bCs/>
          <w:sz w:val="24"/>
          <w:szCs w:val="24"/>
        </w:rPr>
        <w:t>revistas, borderôs, etc.; c) há impossibilidade de efetuar diligência em face de ausência de juntada de documento exigido em edital.</w:t>
      </w:r>
    </w:p>
    <w:p w14:paraId="6AF57368" w14:textId="77777777" w:rsidR="005B513C" w:rsidRPr="00097D8D" w:rsidRDefault="005B513C" w:rsidP="00097D8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97D8D">
        <w:rPr>
          <w:rFonts w:ascii="Arial" w:hAnsi="Arial" w:cs="Arial"/>
          <w:bCs/>
          <w:sz w:val="24"/>
          <w:szCs w:val="24"/>
        </w:rPr>
        <w:t xml:space="preserve"> </w:t>
      </w:r>
      <w:r w:rsidRPr="00097D8D">
        <w:rPr>
          <w:rFonts w:ascii="Arial" w:hAnsi="Arial" w:cs="Arial"/>
          <w:bCs/>
          <w:sz w:val="24"/>
          <w:szCs w:val="24"/>
        </w:rPr>
        <w:tab/>
      </w:r>
      <w:r w:rsidRPr="00097D8D">
        <w:rPr>
          <w:rFonts w:ascii="Arial" w:hAnsi="Arial" w:cs="Arial"/>
          <w:bCs/>
          <w:sz w:val="24"/>
          <w:szCs w:val="24"/>
        </w:rPr>
        <w:tab/>
        <w:t>É o breve relatório.</w:t>
      </w:r>
    </w:p>
    <w:p w14:paraId="2EAD5DB7" w14:textId="46A972A7" w:rsidR="00084F72" w:rsidRPr="00097D8D" w:rsidRDefault="00D118D5" w:rsidP="00097D8D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097D8D">
        <w:rPr>
          <w:rFonts w:ascii="Arial" w:eastAsia="Calibri" w:hAnsi="Arial" w:cs="Arial"/>
          <w:sz w:val="24"/>
          <w:szCs w:val="24"/>
        </w:rPr>
        <w:t xml:space="preserve"> </w:t>
      </w:r>
      <w:r w:rsidRPr="00097D8D">
        <w:rPr>
          <w:rFonts w:ascii="Arial" w:eastAsia="Calibri" w:hAnsi="Arial" w:cs="Arial"/>
          <w:sz w:val="24"/>
          <w:szCs w:val="24"/>
        </w:rPr>
        <w:tab/>
      </w:r>
      <w:r w:rsidR="00084F72" w:rsidRPr="00097D8D">
        <w:rPr>
          <w:rFonts w:ascii="Arial" w:eastAsia="Calibri" w:hAnsi="Arial" w:cs="Arial"/>
          <w:sz w:val="24"/>
          <w:szCs w:val="24"/>
        </w:rPr>
        <w:t xml:space="preserve">Inicialmente, cumpre destacar que compete a essa assessoria jurídica terceirizada, única e exclusivamente, prestar consultoria, sendo este parecer meramente OPINATIVO, sob o prisma estritamente jurídico, não lhe cabendo adentrar em aspectos relativos </w:t>
      </w:r>
      <w:r w:rsidRPr="00097D8D">
        <w:rPr>
          <w:rFonts w:ascii="Arial" w:eastAsia="Calibri" w:hAnsi="Arial" w:cs="Arial"/>
          <w:sz w:val="24"/>
          <w:szCs w:val="24"/>
        </w:rPr>
        <w:t>à</w:t>
      </w:r>
      <w:r w:rsidR="00084F72" w:rsidRPr="00097D8D">
        <w:rPr>
          <w:rFonts w:ascii="Arial" w:eastAsia="Calibri" w:hAnsi="Arial" w:cs="Arial"/>
          <w:sz w:val="24"/>
          <w:szCs w:val="24"/>
        </w:rPr>
        <w:t xml:space="preserve"> conveniência e oportunidade da prática dos atos administrativos, que estão reservados à esfera discricionária do administrador público legalmente competente, tampouco examinar questões de natureza eminentemente técnica, administrativa e/ou financeira, salvo hipóteses teratológicas.</w:t>
      </w:r>
    </w:p>
    <w:p w14:paraId="4BF10DD2" w14:textId="218EB1A9" w:rsidR="00084F72" w:rsidRPr="00097D8D" w:rsidRDefault="00D118D5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ab/>
        <w:t xml:space="preserve">Da análise mais acurada e aprofundada do edital, em cotejamento com as razões de recurso e contrarrazões, </w:t>
      </w:r>
      <w:r w:rsidR="008B6626" w:rsidRPr="00097D8D">
        <w:rPr>
          <w:rFonts w:ascii="Arial" w:hAnsi="Arial" w:cs="Arial"/>
          <w:sz w:val="24"/>
          <w:szCs w:val="24"/>
        </w:rPr>
        <w:t>entendemos que assiste razão à recorrente em merecer ser habilitada para os fins a que se destina o edital, à luz e fundamentos legais, doutrinários e jurisprudenciais lançados na presente manifestação jurídica.</w:t>
      </w:r>
    </w:p>
    <w:p w14:paraId="73CEFECE" w14:textId="3BC81D8A" w:rsidR="008B6626" w:rsidRPr="00097D8D" w:rsidRDefault="008B6626" w:rsidP="00097D8D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ab/>
        <w:t xml:space="preserve">A decisão da agente de contratação e da equipe de apoio, quando da realização do recebimento das propostas e análise da documentação de habilitação, devidamente acompanhada pelo signatário, entendeu que, naquele momento, a decisão mais adequada seria a inabilitação da recorrente, face à não juntada de </w:t>
      </w:r>
      <w:r w:rsidRPr="00097D8D">
        <w:rPr>
          <w:rFonts w:ascii="Arial" w:hAnsi="Arial" w:cs="Arial"/>
          <w:bCs/>
          <w:sz w:val="24"/>
          <w:szCs w:val="24"/>
        </w:rPr>
        <w:t>matérias de jornais, revistas, borderôs</w:t>
      </w:r>
      <w:r w:rsidRPr="00097D8D">
        <w:rPr>
          <w:rFonts w:ascii="Arial" w:hAnsi="Arial" w:cs="Arial"/>
          <w:bCs/>
          <w:sz w:val="24"/>
          <w:szCs w:val="24"/>
        </w:rPr>
        <w:t xml:space="preserve"> ou outros documentos, juntamente com o atestado de capacidade técnica operacional, na forma disposta na parte final do item 6, alínea “n” do edital, assim redigido:</w:t>
      </w:r>
    </w:p>
    <w:p w14:paraId="60BD3F78" w14:textId="3208DF85" w:rsidR="008B6626" w:rsidRPr="00097D8D" w:rsidRDefault="00AE79F7" w:rsidP="00097D8D">
      <w:pPr>
        <w:spacing w:after="120" w:line="360" w:lineRule="auto"/>
        <w:ind w:left="1418"/>
        <w:jc w:val="both"/>
        <w:rPr>
          <w:rFonts w:ascii="Arial" w:hAnsi="Arial" w:cs="Arial"/>
          <w:i/>
          <w:iCs/>
          <w:sz w:val="24"/>
          <w:szCs w:val="24"/>
        </w:rPr>
      </w:pPr>
      <w:r w:rsidRPr="00097D8D">
        <w:rPr>
          <w:rFonts w:ascii="Arial" w:hAnsi="Arial" w:cs="Arial"/>
          <w:bCs/>
          <w:i/>
          <w:iCs/>
          <w:sz w:val="24"/>
          <w:szCs w:val="24"/>
        </w:rPr>
        <w:t>“A</w:t>
      </w:r>
      <w:r w:rsidR="008B6626" w:rsidRPr="00097D8D">
        <w:rPr>
          <w:rFonts w:ascii="Arial" w:hAnsi="Arial" w:cs="Arial"/>
          <w:bCs/>
          <w:i/>
          <w:iCs/>
          <w:sz w:val="24"/>
          <w:szCs w:val="24"/>
        </w:rPr>
        <w:t>testado operacional 2: Apresenta pelo</w:t>
      </w:r>
      <w:r w:rsidRPr="00097D8D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8B6626" w:rsidRPr="00097D8D">
        <w:rPr>
          <w:rFonts w:ascii="Arial" w:hAnsi="Arial" w:cs="Arial"/>
          <w:bCs/>
          <w:i/>
          <w:iCs/>
          <w:sz w:val="24"/>
          <w:szCs w:val="24"/>
        </w:rPr>
        <w:t>menos 01 rela</w:t>
      </w:r>
      <w:r w:rsidRPr="00097D8D">
        <w:rPr>
          <w:rFonts w:ascii="Arial" w:hAnsi="Arial" w:cs="Arial"/>
          <w:bCs/>
          <w:i/>
          <w:iCs/>
          <w:sz w:val="24"/>
          <w:szCs w:val="24"/>
        </w:rPr>
        <w:t>t</w:t>
      </w:r>
      <w:r w:rsidR="008B6626" w:rsidRPr="00097D8D">
        <w:rPr>
          <w:rFonts w:ascii="Arial" w:hAnsi="Arial" w:cs="Arial"/>
          <w:bCs/>
          <w:i/>
          <w:iCs/>
          <w:sz w:val="24"/>
          <w:szCs w:val="24"/>
        </w:rPr>
        <w:t xml:space="preserve">ório de algum evento em </w:t>
      </w:r>
      <w:r w:rsidRPr="00097D8D">
        <w:rPr>
          <w:rFonts w:ascii="Arial" w:hAnsi="Arial" w:cs="Arial"/>
          <w:bCs/>
          <w:i/>
          <w:iCs/>
          <w:sz w:val="24"/>
          <w:szCs w:val="24"/>
        </w:rPr>
        <w:t>q</w:t>
      </w:r>
      <w:r w:rsidR="008B6626" w:rsidRPr="00097D8D">
        <w:rPr>
          <w:rFonts w:ascii="Arial" w:hAnsi="Arial" w:cs="Arial"/>
          <w:bCs/>
          <w:i/>
          <w:iCs/>
          <w:sz w:val="24"/>
          <w:szCs w:val="24"/>
        </w:rPr>
        <w:t>ue a permissionária tenha participado com um público de no mínimo 50.000 pessoas durante o perí</w:t>
      </w:r>
      <w:r w:rsidRPr="00097D8D">
        <w:rPr>
          <w:rFonts w:ascii="Arial" w:hAnsi="Arial" w:cs="Arial"/>
          <w:bCs/>
          <w:i/>
          <w:iCs/>
          <w:sz w:val="24"/>
          <w:szCs w:val="24"/>
        </w:rPr>
        <w:t>o</w:t>
      </w:r>
      <w:r w:rsidR="008B6626" w:rsidRPr="00097D8D">
        <w:rPr>
          <w:rFonts w:ascii="Arial" w:hAnsi="Arial" w:cs="Arial"/>
          <w:bCs/>
          <w:i/>
          <w:iCs/>
          <w:sz w:val="24"/>
          <w:szCs w:val="24"/>
        </w:rPr>
        <w:t>do do evento. Embasado</w:t>
      </w:r>
      <w:r w:rsidRPr="00097D8D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8B6626" w:rsidRPr="00097D8D">
        <w:rPr>
          <w:rFonts w:ascii="Arial" w:hAnsi="Arial" w:cs="Arial"/>
          <w:bCs/>
          <w:i/>
          <w:iCs/>
          <w:sz w:val="24"/>
          <w:szCs w:val="24"/>
        </w:rPr>
        <w:t xml:space="preserve">com </w:t>
      </w:r>
      <w:r w:rsidRPr="00097D8D">
        <w:rPr>
          <w:rFonts w:ascii="Arial" w:hAnsi="Arial" w:cs="Arial"/>
          <w:bCs/>
          <w:i/>
          <w:iCs/>
          <w:sz w:val="24"/>
          <w:szCs w:val="24"/>
        </w:rPr>
        <w:t>m</w:t>
      </w:r>
      <w:r w:rsidR="008B6626" w:rsidRPr="00097D8D">
        <w:rPr>
          <w:rFonts w:ascii="Arial" w:hAnsi="Arial" w:cs="Arial"/>
          <w:bCs/>
          <w:i/>
          <w:iCs/>
          <w:sz w:val="24"/>
          <w:szCs w:val="24"/>
        </w:rPr>
        <w:t xml:space="preserve">atérias de jornais, revisas, </w:t>
      </w:r>
      <w:proofErr w:type="gramStart"/>
      <w:r w:rsidR="008B6626" w:rsidRPr="00097D8D">
        <w:rPr>
          <w:rFonts w:ascii="Arial" w:hAnsi="Arial" w:cs="Arial"/>
          <w:bCs/>
          <w:i/>
          <w:iCs/>
          <w:sz w:val="24"/>
          <w:szCs w:val="24"/>
        </w:rPr>
        <w:t>borderôs, etc.</w:t>
      </w:r>
      <w:proofErr w:type="gramEnd"/>
      <w:r w:rsidRPr="00097D8D">
        <w:rPr>
          <w:rFonts w:ascii="Arial" w:hAnsi="Arial" w:cs="Arial"/>
          <w:bCs/>
          <w:i/>
          <w:iCs/>
          <w:sz w:val="24"/>
          <w:szCs w:val="24"/>
        </w:rPr>
        <w:t>”</w:t>
      </w:r>
    </w:p>
    <w:p w14:paraId="5E0DB287" w14:textId="77777777" w:rsidR="00FA0A77" w:rsidRPr="00097D8D" w:rsidRDefault="00AE79F7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lastRenderedPageBreak/>
        <w:t xml:space="preserve"> </w:t>
      </w:r>
      <w:r w:rsidRPr="00097D8D">
        <w:rPr>
          <w:rFonts w:ascii="Arial" w:hAnsi="Arial" w:cs="Arial"/>
          <w:sz w:val="24"/>
          <w:szCs w:val="24"/>
        </w:rPr>
        <w:tab/>
        <w:t>Contudo, à luz das razões jurídicas adiante dispostas</w:t>
      </w:r>
      <w:r w:rsidR="00FA0A77" w:rsidRPr="00097D8D">
        <w:rPr>
          <w:rFonts w:ascii="Arial" w:hAnsi="Arial" w:cs="Arial"/>
          <w:sz w:val="24"/>
          <w:szCs w:val="24"/>
        </w:rPr>
        <w:t xml:space="preserve"> e numa </w:t>
      </w:r>
      <w:proofErr w:type="spellStart"/>
      <w:proofErr w:type="gramStart"/>
      <w:r w:rsidR="00FA0A77" w:rsidRPr="00097D8D">
        <w:rPr>
          <w:rFonts w:ascii="Arial" w:hAnsi="Arial" w:cs="Arial"/>
          <w:sz w:val="24"/>
          <w:szCs w:val="24"/>
        </w:rPr>
        <w:t>analise</w:t>
      </w:r>
      <w:proofErr w:type="spellEnd"/>
      <w:proofErr w:type="gramEnd"/>
      <w:r w:rsidR="00FA0A77" w:rsidRPr="00097D8D">
        <w:rPr>
          <w:rFonts w:ascii="Arial" w:hAnsi="Arial" w:cs="Arial"/>
          <w:sz w:val="24"/>
          <w:szCs w:val="24"/>
        </w:rPr>
        <w:t xml:space="preserve"> mais acurada sobre a matéria </w:t>
      </w:r>
      <w:r w:rsidRPr="00097D8D">
        <w:rPr>
          <w:rFonts w:ascii="Arial" w:hAnsi="Arial" w:cs="Arial"/>
          <w:sz w:val="24"/>
          <w:szCs w:val="24"/>
        </w:rPr>
        <w:t xml:space="preserve">entendemos viável a </w:t>
      </w:r>
      <w:r w:rsidR="00FA0A77" w:rsidRPr="00097D8D">
        <w:rPr>
          <w:rFonts w:ascii="Arial" w:hAnsi="Arial" w:cs="Arial"/>
          <w:sz w:val="24"/>
          <w:szCs w:val="24"/>
        </w:rPr>
        <w:t>reconsideração da agente de contratação e da equipe de apoio, a fim de habilitar a recorrente, possibilitando-a de participar da fase de lances já que apresentou proposta econômica.</w:t>
      </w:r>
    </w:p>
    <w:p w14:paraId="6A87E3CE" w14:textId="4783A5F3" w:rsidR="00FA0A77" w:rsidRPr="00097D8D" w:rsidRDefault="00FA0A77" w:rsidP="00097D8D">
      <w:pPr>
        <w:spacing w:after="12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ab/>
        <w:t xml:space="preserve">Cumpre ainda esclarecer à recorrente que o edital em apreço não se fundamenta na Lei Federal n° 14.133/2021 e sim na Lei Federal n° 8987/95 que tem como regra geral a primeira fase de habilitação e a segunda, a fase de propostas, </w:t>
      </w:r>
      <w:r w:rsidR="007417CA" w:rsidRPr="00097D8D">
        <w:rPr>
          <w:rFonts w:ascii="Arial" w:hAnsi="Arial" w:cs="Arial"/>
          <w:sz w:val="24"/>
          <w:szCs w:val="24"/>
        </w:rPr>
        <w:t>sem prejuízo à inversão de fase, à</w:t>
      </w:r>
      <w:r w:rsidRPr="00097D8D">
        <w:rPr>
          <w:rFonts w:ascii="Arial" w:hAnsi="Arial" w:cs="Arial"/>
          <w:sz w:val="24"/>
          <w:szCs w:val="24"/>
        </w:rPr>
        <w:t xml:space="preserve"> luz do disposto em seu </w:t>
      </w:r>
      <w:proofErr w:type="gramStart"/>
      <w:r w:rsidRPr="00097D8D">
        <w:rPr>
          <w:rFonts w:ascii="Arial" w:hAnsi="Arial" w:cs="Arial"/>
          <w:sz w:val="24"/>
          <w:szCs w:val="24"/>
        </w:rPr>
        <w:t>art. ,</w:t>
      </w:r>
      <w:proofErr w:type="gramEnd"/>
      <w:r w:rsidRPr="00097D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7D8D">
        <w:rPr>
          <w:rFonts w:ascii="Arial" w:hAnsi="Arial" w:cs="Arial"/>
          <w:i/>
          <w:iCs/>
          <w:sz w:val="24"/>
          <w:szCs w:val="24"/>
        </w:rPr>
        <w:t>verbis</w:t>
      </w:r>
      <w:proofErr w:type="spellEnd"/>
      <w:r w:rsidRPr="00097D8D">
        <w:rPr>
          <w:rFonts w:ascii="Arial" w:hAnsi="Arial" w:cs="Arial"/>
          <w:i/>
          <w:iCs/>
          <w:sz w:val="24"/>
          <w:szCs w:val="24"/>
        </w:rPr>
        <w:t>:</w:t>
      </w:r>
    </w:p>
    <w:p w14:paraId="2EF7D7FD" w14:textId="77777777" w:rsidR="007417CA" w:rsidRPr="00097D8D" w:rsidRDefault="007417CA" w:rsidP="00097D8D">
      <w:pPr>
        <w:spacing w:after="120" w:line="360" w:lineRule="auto"/>
        <w:ind w:left="709"/>
        <w:jc w:val="both"/>
        <w:rPr>
          <w:rFonts w:ascii="Arial" w:hAnsi="Arial" w:cs="Arial"/>
          <w:i/>
          <w:iCs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> </w:t>
      </w:r>
      <w:r w:rsidRPr="00097D8D">
        <w:rPr>
          <w:rFonts w:ascii="Arial" w:hAnsi="Arial" w:cs="Arial"/>
          <w:i/>
          <w:iCs/>
          <w:sz w:val="24"/>
          <w:szCs w:val="24"/>
        </w:rPr>
        <w:t>Art. 18-A. O edital poderá prever a inversão da ordem das fases de habilitação e julgamento, hipótese em que:   </w:t>
      </w:r>
    </w:p>
    <w:p w14:paraId="3E8A2E14" w14:textId="43B77527" w:rsidR="007417CA" w:rsidRPr="00097D8D" w:rsidRDefault="007417CA" w:rsidP="00097D8D">
      <w:pPr>
        <w:spacing w:after="120" w:line="360" w:lineRule="auto"/>
        <w:ind w:left="709"/>
        <w:jc w:val="both"/>
        <w:rPr>
          <w:rFonts w:ascii="Arial" w:hAnsi="Arial" w:cs="Arial"/>
          <w:i/>
          <w:iCs/>
          <w:sz w:val="24"/>
          <w:szCs w:val="24"/>
        </w:rPr>
      </w:pPr>
      <w:r w:rsidRPr="00097D8D">
        <w:rPr>
          <w:rFonts w:ascii="Arial" w:hAnsi="Arial" w:cs="Arial"/>
          <w:i/>
          <w:iCs/>
          <w:sz w:val="24"/>
          <w:szCs w:val="24"/>
        </w:rPr>
        <w:t>...</w:t>
      </w:r>
    </w:p>
    <w:p w14:paraId="1F78DC59" w14:textId="7F6A728D" w:rsidR="007417CA" w:rsidRPr="00097D8D" w:rsidRDefault="007417CA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ab/>
        <w:t>A administração municipal optou pela regra geral da Lei 8987/95. Portanto, não há qualquer ilegalidade, porquanto, equivocadamente invocada a lei 14.133/21 no aspecto de inversão de fase, pela recorrente, embora seja adotada, complementarmente, em relação às regras gerais.</w:t>
      </w:r>
    </w:p>
    <w:p w14:paraId="51D920E5" w14:textId="6E9C32F2" w:rsidR="007417CA" w:rsidRPr="00097D8D" w:rsidRDefault="007417CA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ab/>
        <w:t xml:space="preserve">Também sem razão a recorrente em possibilidade de </w:t>
      </w:r>
      <w:proofErr w:type="gramStart"/>
      <w:r w:rsidRPr="00097D8D">
        <w:rPr>
          <w:rFonts w:ascii="Arial" w:hAnsi="Arial" w:cs="Arial"/>
          <w:sz w:val="24"/>
          <w:szCs w:val="24"/>
        </w:rPr>
        <w:t>diligencia</w:t>
      </w:r>
      <w:proofErr w:type="gramEnd"/>
      <w:r w:rsidRPr="00097D8D">
        <w:rPr>
          <w:rFonts w:ascii="Arial" w:hAnsi="Arial" w:cs="Arial"/>
          <w:sz w:val="24"/>
          <w:szCs w:val="24"/>
        </w:rPr>
        <w:t xml:space="preserve"> em relação à documentação não anexada. Contudo, a diligência pode ser realizada em face do atestado de capacidade técnica operacional acostado.</w:t>
      </w:r>
    </w:p>
    <w:p w14:paraId="0FEC0204" w14:textId="77777777" w:rsidR="00174CEE" w:rsidRPr="00097D8D" w:rsidRDefault="007417CA" w:rsidP="00097D8D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ab/>
        <w:t xml:space="preserve">No que tange à disposição editalícia do termo </w:t>
      </w:r>
      <w:proofErr w:type="gramStart"/>
      <w:r w:rsidRPr="00097D8D">
        <w:rPr>
          <w:rFonts w:ascii="Arial" w:hAnsi="Arial" w:cs="Arial"/>
          <w:sz w:val="24"/>
          <w:szCs w:val="24"/>
        </w:rPr>
        <w:t xml:space="preserve">“ </w:t>
      </w:r>
      <w:r w:rsidRPr="00097D8D">
        <w:rPr>
          <w:rFonts w:ascii="Arial" w:hAnsi="Arial" w:cs="Arial"/>
          <w:bCs/>
          <w:i/>
          <w:iCs/>
          <w:sz w:val="24"/>
          <w:szCs w:val="24"/>
        </w:rPr>
        <w:t>Embasado</w:t>
      </w:r>
      <w:proofErr w:type="gramEnd"/>
      <w:r w:rsidRPr="00097D8D">
        <w:rPr>
          <w:rFonts w:ascii="Arial" w:hAnsi="Arial" w:cs="Arial"/>
          <w:bCs/>
          <w:i/>
          <w:iCs/>
          <w:sz w:val="24"/>
          <w:szCs w:val="24"/>
        </w:rPr>
        <w:t xml:space="preserve"> com matérias de jornais, revisas, </w:t>
      </w:r>
      <w:proofErr w:type="gramStart"/>
      <w:r w:rsidRPr="00097D8D">
        <w:rPr>
          <w:rFonts w:ascii="Arial" w:hAnsi="Arial" w:cs="Arial"/>
          <w:bCs/>
          <w:i/>
          <w:iCs/>
          <w:sz w:val="24"/>
          <w:szCs w:val="24"/>
        </w:rPr>
        <w:t>borderôs, etc.</w:t>
      </w:r>
      <w:proofErr w:type="gramEnd"/>
      <w:r w:rsidRPr="00097D8D">
        <w:rPr>
          <w:rFonts w:ascii="Arial" w:hAnsi="Arial" w:cs="Arial"/>
          <w:bCs/>
          <w:i/>
          <w:iCs/>
          <w:sz w:val="24"/>
          <w:szCs w:val="24"/>
        </w:rPr>
        <w:t>”</w:t>
      </w:r>
      <w:r w:rsidRPr="00097D8D">
        <w:rPr>
          <w:rFonts w:ascii="Arial" w:hAnsi="Arial" w:cs="Arial"/>
          <w:bCs/>
          <w:i/>
          <w:iCs/>
          <w:sz w:val="24"/>
          <w:szCs w:val="24"/>
        </w:rPr>
        <w:t xml:space="preserve">, </w:t>
      </w:r>
      <w:r w:rsidRPr="00097D8D">
        <w:rPr>
          <w:rFonts w:ascii="Arial" w:hAnsi="Arial" w:cs="Arial"/>
          <w:bCs/>
          <w:sz w:val="24"/>
          <w:szCs w:val="24"/>
        </w:rPr>
        <w:t xml:space="preserve">não é sinônimo de obrigatoriedade de juntada de tais documentos. Ainda se assim fosse, não nos parece argumento legal para a inabilitação da recorrente, forte o disposto no </w:t>
      </w:r>
      <w:r w:rsidR="00174CEE" w:rsidRPr="00097D8D">
        <w:rPr>
          <w:rFonts w:ascii="Arial" w:hAnsi="Arial" w:cs="Arial"/>
          <w:bCs/>
          <w:sz w:val="24"/>
          <w:szCs w:val="24"/>
        </w:rPr>
        <w:t xml:space="preserve">caput do </w:t>
      </w:r>
      <w:r w:rsidRPr="00097D8D">
        <w:rPr>
          <w:rFonts w:ascii="Arial" w:hAnsi="Arial" w:cs="Arial"/>
          <w:bCs/>
          <w:sz w:val="24"/>
          <w:szCs w:val="24"/>
        </w:rPr>
        <w:t>art.</w:t>
      </w:r>
      <w:r w:rsidR="00174CEE" w:rsidRPr="00097D8D">
        <w:rPr>
          <w:rFonts w:ascii="Arial" w:hAnsi="Arial" w:cs="Arial"/>
          <w:bCs/>
          <w:sz w:val="24"/>
          <w:szCs w:val="24"/>
        </w:rPr>
        <w:t xml:space="preserve"> 67 da NLLC, assim disposto:</w:t>
      </w:r>
    </w:p>
    <w:p w14:paraId="77B040B1" w14:textId="2D48B72F" w:rsidR="007417CA" w:rsidRPr="00097D8D" w:rsidRDefault="00174CEE" w:rsidP="00097D8D">
      <w:pPr>
        <w:spacing w:after="120" w:line="240" w:lineRule="auto"/>
        <w:ind w:left="1134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097D8D">
        <w:rPr>
          <w:rFonts w:ascii="Arial" w:hAnsi="Arial" w:cs="Arial"/>
          <w:bCs/>
          <w:i/>
          <w:iCs/>
          <w:sz w:val="24"/>
          <w:szCs w:val="24"/>
        </w:rPr>
        <w:t xml:space="preserve">Art. 67. A documentação relativa à qualificação técnico-profissional e técnico-operacional </w:t>
      </w:r>
      <w:r w:rsidRPr="00097D8D">
        <w:rPr>
          <w:rFonts w:ascii="Arial" w:hAnsi="Arial" w:cs="Arial"/>
          <w:b/>
          <w:i/>
          <w:iCs/>
          <w:sz w:val="24"/>
          <w:szCs w:val="24"/>
        </w:rPr>
        <w:t>será restrita a:</w:t>
      </w:r>
      <w:r w:rsidR="007417CA" w:rsidRPr="00097D8D">
        <w:rPr>
          <w:rFonts w:ascii="Arial" w:hAnsi="Arial" w:cs="Arial"/>
          <w:bCs/>
          <w:i/>
          <w:iCs/>
          <w:sz w:val="24"/>
          <w:szCs w:val="24"/>
        </w:rPr>
        <w:t xml:space="preserve"> </w:t>
      </w:r>
    </w:p>
    <w:p w14:paraId="34E19222" w14:textId="77777777" w:rsidR="00174CEE" w:rsidRPr="00174CEE" w:rsidRDefault="00174CEE" w:rsidP="00097D8D">
      <w:pPr>
        <w:spacing w:after="120" w:line="240" w:lineRule="auto"/>
        <w:ind w:left="1134"/>
        <w:jc w:val="both"/>
        <w:rPr>
          <w:rFonts w:ascii="Arial" w:hAnsi="Arial" w:cs="Arial"/>
          <w:i/>
          <w:iCs/>
          <w:sz w:val="24"/>
          <w:szCs w:val="24"/>
        </w:rPr>
      </w:pPr>
      <w:r w:rsidRPr="00174CEE">
        <w:rPr>
          <w:rFonts w:ascii="Arial" w:hAnsi="Arial" w:cs="Arial"/>
          <w:i/>
          <w:iCs/>
          <w:sz w:val="24"/>
          <w:szCs w:val="24"/>
        </w:rPr>
        <w:t xml:space="preserve">I - </w:t>
      </w:r>
      <w:proofErr w:type="gramStart"/>
      <w:r w:rsidRPr="00174CEE">
        <w:rPr>
          <w:rFonts w:ascii="Arial" w:hAnsi="Arial" w:cs="Arial"/>
          <w:i/>
          <w:iCs/>
          <w:sz w:val="24"/>
          <w:szCs w:val="24"/>
        </w:rPr>
        <w:t>apresentação</w:t>
      </w:r>
      <w:proofErr w:type="gramEnd"/>
      <w:r w:rsidRPr="00174CEE">
        <w:rPr>
          <w:rFonts w:ascii="Arial" w:hAnsi="Arial" w:cs="Arial"/>
          <w:i/>
          <w:iCs/>
          <w:sz w:val="24"/>
          <w:szCs w:val="24"/>
        </w:rPr>
        <w:t xml:space="preserve"> de profissional, devidamente registrado no conselho profissional competente, quando for o caso, detentor de atestado de responsabilidade técnica por execução de obra ou serviço de características semelhantes, para fins de contratação;</w:t>
      </w:r>
    </w:p>
    <w:p w14:paraId="4CAFE9E8" w14:textId="77777777" w:rsidR="00174CEE" w:rsidRPr="00174CEE" w:rsidRDefault="00174CEE" w:rsidP="00097D8D">
      <w:pPr>
        <w:spacing w:after="120" w:line="240" w:lineRule="auto"/>
        <w:ind w:left="1134"/>
        <w:jc w:val="both"/>
        <w:rPr>
          <w:rFonts w:ascii="Arial" w:hAnsi="Arial" w:cs="Arial"/>
          <w:i/>
          <w:iCs/>
          <w:sz w:val="24"/>
          <w:szCs w:val="24"/>
        </w:rPr>
      </w:pPr>
      <w:bookmarkStart w:id="0" w:name="art67ii"/>
      <w:bookmarkEnd w:id="0"/>
      <w:r w:rsidRPr="00174CEE">
        <w:rPr>
          <w:rFonts w:ascii="Arial" w:hAnsi="Arial" w:cs="Arial"/>
          <w:i/>
          <w:iCs/>
          <w:sz w:val="24"/>
          <w:szCs w:val="24"/>
        </w:rPr>
        <w:t>II - certidões ou atestados, regularmente emitidos pelo conselho profissional competente, quando for o caso, que demonstrem capacidade operacional na execução de serviços similares de complexidade tecnológica e operacional equivalente ou superior, bem como documentos comprobatórios emitidos na forma do </w:t>
      </w:r>
      <w:hyperlink r:id="rId4" w:anchor="art88%C2%A73" w:history="1">
        <w:r w:rsidRPr="00174CEE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</w:rPr>
          <w:t>§ 3º do art. 88 desta Lei;</w:t>
        </w:r>
      </w:hyperlink>
    </w:p>
    <w:p w14:paraId="13AD5508" w14:textId="77777777" w:rsidR="00174CEE" w:rsidRPr="00174CEE" w:rsidRDefault="00174CEE" w:rsidP="00097D8D">
      <w:pPr>
        <w:spacing w:after="120" w:line="240" w:lineRule="auto"/>
        <w:ind w:left="1134"/>
        <w:jc w:val="both"/>
        <w:rPr>
          <w:rFonts w:ascii="Arial" w:hAnsi="Arial" w:cs="Arial"/>
          <w:i/>
          <w:iCs/>
          <w:sz w:val="24"/>
          <w:szCs w:val="24"/>
        </w:rPr>
      </w:pPr>
      <w:bookmarkStart w:id="1" w:name="art67iii"/>
      <w:bookmarkEnd w:id="1"/>
      <w:r w:rsidRPr="00174CEE">
        <w:rPr>
          <w:rFonts w:ascii="Arial" w:hAnsi="Arial" w:cs="Arial"/>
          <w:i/>
          <w:iCs/>
          <w:sz w:val="24"/>
          <w:szCs w:val="24"/>
        </w:rPr>
        <w:lastRenderedPageBreak/>
        <w:t>III - indicação do pessoal técnico, das instalações e do aparelhamento adequados e disponíveis para a realização do objeto da licitação, bem como da qualificação de cada membro da equipe técnica que se responsabilizará pelos trabalhos;</w:t>
      </w:r>
    </w:p>
    <w:p w14:paraId="7BA3CF05" w14:textId="77777777" w:rsidR="00174CEE" w:rsidRPr="00174CEE" w:rsidRDefault="00174CEE" w:rsidP="00097D8D">
      <w:pPr>
        <w:spacing w:after="120" w:line="240" w:lineRule="auto"/>
        <w:ind w:left="1134"/>
        <w:jc w:val="both"/>
        <w:rPr>
          <w:rFonts w:ascii="Arial" w:hAnsi="Arial" w:cs="Arial"/>
          <w:i/>
          <w:iCs/>
          <w:sz w:val="24"/>
          <w:szCs w:val="24"/>
        </w:rPr>
      </w:pPr>
      <w:bookmarkStart w:id="2" w:name="art67iv"/>
      <w:bookmarkEnd w:id="2"/>
      <w:r w:rsidRPr="00174CEE">
        <w:rPr>
          <w:rFonts w:ascii="Arial" w:hAnsi="Arial" w:cs="Arial"/>
          <w:i/>
          <w:iCs/>
          <w:sz w:val="24"/>
          <w:szCs w:val="24"/>
        </w:rPr>
        <w:t xml:space="preserve">IV - </w:t>
      </w:r>
      <w:proofErr w:type="gramStart"/>
      <w:r w:rsidRPr="00174CEE">
        <w:rPr>
          <w:rFonts w:ascii="Arial" w:hAnsi="Arial" w:cs="Arial"/>
          <w:i/>
          <w:iCs/>
          <w:sz w:val="24"/>
          <w:szCs w:val="24"/>
        </w:rPr>
        <w:t>prova</w:t>
      </w:r>
      <w:proofErr w:type="gramEnd"/>
      <w:r w:rsidRPr="00174CEE">
        <w:rPr>
          <w:rFonts w:ascii="Arial" w:hAnsi="Arial" w:cs="Arial"/>
          <w:i/>
          <w:iCs/>
          <w:sz w:val="24"/>
          <w:szCs w:val="24"/>
        </w:rPr>
        <w:t xml:space="preserve"> do atendimento de requisitos previstos em lei especial, quando for o caso;</w:t>
      </w:r>
    </w:p>
    <w:p w14:paraId="5649FF15" w14:textId="77777777" w:rsidR="00174CEE" w:rsidRPr="00174CEE" w:rsidRDefault="00174CEE" w:rsidP="00097D8D">
      <w:pPr>
        <w:spacing w:after="120" w:line="240" w:lineRule="auto"/>
        <w:ind w:left="1134"/>
        <w:jc w:val="both"/>
        <w:rPr>
          <w:rFonts w:ascii="Arial" w:hAnsi="Arial" w:cs="Arial"/>
          <w:i/>
          <w:iCs/>
          <w:sz w:val="24"/>
          <w:szCs w:val="24"/>
        </w:rPr>
      </w:pPr>
      <w:bookmarkStart w:id="3" w:name="art67v"/>
      <w:bookmarkEnd w:id="3"/>
      <w:r w:rsidRPr="00174CEE">
        <w:rPr>
          <w:rFonts w:ascii="Arial" w:hAnsi="Arial" w:cs="Arial"/>
          <w:i/>
          <w:iCs/>
          <w:sz w:val="24"/>
          <w:szCs w:val="24"/>
        </w:rPr>
        <w:t xml:space="preserve">V - </w:t>
      </w:r>
      <w:proofErr w:type="gramStart"/>
      <w:r w:rsidRPr="00174CEE">
        <w:rPr>
          <w:rFonts w:ascii="Arial" w:hAnsi="Arial" w:cs="Arial"/>
          <w:i/>
          <w:iCs/>
          <w:sz w:val="24"/>
          <w:szCs w:val="24"/>
        </w:rPr>
        <w:t>registro ou inscrição</w:t>
      </w:r>
      <w:proofErr w:type="gramEnd"/>
      <w:r w:rsidRPr="00174CEE">
        <w:rPr>
          <w:rFonts w:ascii="Arial" w:hAnsi="Arial" w:cs="Arial"/>
          <w:i/>
          <w:iCs/>
          <w:sz w:val="24"/>
          <w:szCs w:val="24"/>
        </w:rPr>
        <w:t xml:space="preserve"> na entidade profissional competente, quando for o caso;</w:t>
      </w:r>
    </w:p>
    <w:p w14:paraId="6FCBA3AA" w14:textId="77777777" w:rsidR="00174CEE" w:rsidRPr="00174CEE" w:rsidRDefault="00174CEE" w:rsidP="00097D8D">
      <w:pPr>
        <w:spacing w:after="120" w:line="240" w:lineRule="auto"/>
        <w:ind w:left="1134"/>
        <w:jc w:val="both"/>
        <w:rPr>
          <w:rFonts w:ascii="Arial" w:hAnsi="Arial" w:cs="Arial"/>
          <w:i/>
          <w:iCs/>
          <w:sz w:val="24"/>
          <w:szCs w:val="24"/>
        </w:rPr>
      </w:pPr>
      <w:bookmarkStart w:id="4" w:name="art67vi"/>
      <w:bookmarkEnd w:id="4"/>
      <w:r w:rsidRPr="00174CEE">
        <w:rPr>
          <w:rFonts w:ascii="Arial" w:hAnsi="Arial" w:cs="Arial"/>
          <w:i/>
          <w:iCs/>
          <w:sz w:val="24"/>
          <w:szCs w:val="24"/>
        </w:rPr>
        <w:t xml:space="preserve">VI - </w:t>
      </w:r>
      <w:proofErr w:type="gramStart"/>
      <w:r w:rsidRPr="00174CEE">
        <w:rPr>
          <w:rFonts w:ascii="Arial" w:hAnsi="Arial" w:cs="Arial"/>
          <w:i/>
          <w:iCs/>
          <w:sz w:val="24"/>
          <w:szCs w:val="24"/>
        </w:rPr>
        <w:t>declaração</w:t>
      </w:r>
      <w:proofErr w:type="gramEnd"/>
      <w:r w:rsidRPr="00174CEE">
        <w:rPr>
          <w:rFonts w:ascii="Arial" w:hAnsi="Arial" w:cs="Arial"/>
          <w:i/>
          <w:iCs/>
          <w:sz w:val="24"/>
          <w:szCs w:val="24"/>
        </w:rPr>
        <w:t xml:space="preserve"> de que o licitante tomou conhecimento de todas as informações e das condições locais para o cumprimento das obrigações objeto da licitação.</w:t>
      </w:r>
    </w:p>
    <w:p w14:paraId="018D1E0B" w14:textId="3298E19B" w:rsidR="00174CEE" w:rsidRPr="00097D8D" w:rsidRDefault="00174CEE" w:rsidP="00097D8D">
      <w:pPr>
        <w:spacing w:after="120"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ab/>
      </w:r>
      <w:r w:rsidRPr="00097D8D">
        <w:rPr>
          <w:rFonts w:ascii="Arial" w:hAnsi="Arial" w:cs="Arial"/>
          <w:b/>
          <w:bCs/>
          <w:sz w:val="24"/>
          <w:szCs w:val="24"/>
        </w:rPr>
        <w:t>Consoante disposto no caput do art. 67 da NLLC, ao descrever restritivamente as provas e documentos para a</w:t>
      </w:r>
      <w:r w:rsidRPr="00097D8D">
        <w:rPr>
          <w:rFonts w:ascii="Arial" w:hAnsi="Arial" w:cs="Arial"/>
          <w:b/>
          <w:bCs/>
          <w:sz w:val="24"/>
          <w:szCs w:val="24"/>
        </w:rPr>
        <w:t xml:space="preserve"> qualificação técnico-profissional e técnico-</w:t>
      </w:r>
      <w:proofErr w:type="gramStart"/>
      <w:r w:rsidRPr="00097D8D">
        <w:rPr>
          <w:rFonts w:ascii="Arial" w:hAnsi="Arial" w:cs="Arial"/>
          <w:b/>
          <w:bCs/>
          <w:sz w:val="24"/>
          <w:szCs w:val="24"/>
        </w:rPr>
        <w:t>operacional </w:t>
      </w:r>
      <w:r w:rsidRPr="00097D8D">
        <w:rPr>
          <w:rFonts w:ascii="Arial" w:hAnsi="Arial" w:cs="Arial"/>
          <w:b/>
          <w:bCs/>
          <w:sz w:val="24"/>
          <w:szCs w:val="24"/>
        </w:rPr>
        <w:t>,</w:t>
      </w:r>
      <w:proofErr w:type="gramEnd"/>
      <w:r w:rsidRPr="00097D8D">
        <w:rPr>
          <w:rFonts w:ascii="Arial" w:hAnsi="Arial" w:cs="Arial"/>
          <w:b/>
          <w:bCs/>
          <w:sz w:val="24"/>
          <w:szCs w:val="24"/>
        </w:rPr>
        <w:t xml:space="preserve"> não há amparo legal para a inabilitação de empresa pela ausência de juntada de documento que não os descritos nos incisos do referido texto legal. Logo, pela habilitação da empresa recorrente, ainda que o atestado de capacidade técnica operacional não tenha demonstrado </w:t>
      </w:r>
      <w:proofErr w:type="gramStart"/>
      <w:r w:rsidRPr="00097D8D">
        <w:rPr>
          <w:rFonts w:ascii="Arial" w:hAnsi="Arial" w:cs="Arial"/>
          <w:b/>
          <w:bCs/>
          <w:sz w:val="24"/>
          <w:szCs w:val="24"/>
        </w:rPr>
        <w:t xml:space="preserve">estar  </w:t>
      </w:r>
      <w:r w:rsidRPr="00097D8D">
        <w:rPr>
          <w:rFonts w:ascii="Arial" w:hAnsi="Arial" w:cs="Arial"/>
          <w:b/>
          <w:bCs/>
          <w:sz w:val="24"/>
          <w:szCs w:val="24"/>
        </w:rPr>
        <w:t>“</w:t>
      </w:r>
      <w:proofErr w:type="gramEnd"/>
      <w:r w:rsidRPr="00097D8D">
        <w:rPr>
          <w:rFonts w:ascii="Arial" w:hAnsi="Arial" w:cs="Arial"/>
          <w:b/>
          <w:bCs/>
          <w:i/>
          <w:iCs/>
          <w:sz w:val="24"/>
          <w:szCs w:val="24"/>
        </w:rPr>
        <w:t>Embasado com matérias de jornais, revisas, borderôs, etc.”</w:t>
      </w:r>
      <w:r w:rsidRPr="00097D8D">
        <w:rPr>
          <w:rFonts w:ascii="Arial" w:hAnsi="Arial" w:cs="Arial"/>
          <w:b/>
          <w:bCs/>
          <w:i/>
          <w:iCs/>
          <w:sz w:val="24"/>
          <w:szCs w:val="24"/>
        </w:rPr>
        <w:t>.</w:t>
      </w:r>
    </w:p>
    <w:p w14:paraId="096F9B36" w14:textId="290A5480" w:rsidR="00084F72" w:rsidRPr="00097D8D" w:rsidRDefault="00174CEE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097D8D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097D8D">
        <w:rPr>
          <w:rFonts w:ascii="Arial" w:hAnsi="Arial" w:cs="Arial"/>
          <w:sz w:val="24"/>
          <w:szCs w:val="24"/>
        </w:rPr>
        <w:t>Nessa senda o</w:t>
      </w:r>
      <w:r w:rsidR="00084F72" w:rsidRPr="00097D8D">
        <w:rPr>
          <w:rFonts w:ascii="Arial" w:hAnsi="Arial" w:cs="Arial"/>
          <w:sz w:val="24"/>
          <w:szCs w:val="24"/>
        </w:rPr>
        <w:t xml:space="preserve"> </w:t>
      </w:r>
      <w:r w:rsidR="00084F72"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Tribunal de Contas da União (TCU)</w:t>
      </w:r>
      <w:r w:rsidR="00084F72" w:rsidRPr="00097D8D">
        <w:rPr>
          <w:rFonts w:ascii="Arial" w:hAnsi="Arial" w:cs="Arial"/>
          <w:b/>
          <w:bCs/>
          <w:sz w:val="24"/>
          <w:szCs w:val="24"/>
        </w:rPr>
        <w:t xml:space="preserve"> </w:t>
      </w:r>
      <w:r w:rsidR="00084F72" w:rsidRPr="00097D8D">
        <w:rPr>
          <w:rFonts w:ascii="Arial" w:hAnsi="Arial" w:cs="Arial"/>
          <w:sz w:val="24"/>
          <w:szCs w:val="24"/>
        </w:rPr>
        <w:t>já se posicionou contra</w:t>
      </w:r>
      <w:r w:rsidR="00084F72" w:rsidRPr="00097D8D">
        <w:rPr>
          <w:rFonts w:ascii="Arial" w:hAnsi="Arial" w:cs="Arial"/>
          <w:b/>
          <w:bCs/>
          <w:sz w:val="24"/>
          <w:szCs w:val="24"/>
        </w:rPr>
        <w:t xml:space="preserve"> </w:t>
      </w:r>
      <w:r w:rsidR="00084F72"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o apego desproporcional ao formalismo na fase de julgamento das propostas</w:t>
      </w:r>
      <w:r w:rsidR="00084F72" w:rsidRPr="00097D8D">
        <w:rPr>
          <w:rFonts w:ascii="Arial" w:hAnsi="Arial" w:cs="Arial"/>
          <w:sz w:val="24"/>
          <w:szCs w:val="24"/>
        </w:rPr>
        <w:t>, pois isso pode comprometer a seleção da proposta mais vantajosa para a Administração.</w:t>
      </w:r>
    </w:p>
    <w:p w14:paraId="7AF25AD6" w14:textId="77777777" w:rsidR="00084F72" w:rsidRPr="00097D8D" w:rsidRDefault="00084F72" w:rsidP="00097D8D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7D8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97D8D">
        <w:rPr>
          <w:rFonts w:ascii="Arial" w:hAnsi="Arial" w:cs="Arial"/>
          <w:b/>
          <w:bCs/>
          <w:sz w:val="24"/>
          <w:szCs w:val="24"/>
        </w:rPr>
        <w:tab/>
      </w:r>
      <w:r w:rsidRPr="00097D8D">
        <w:rPr>
          <w:rFonts w:ascii="Arial" w:hAnsi="Arial" w:cs="Arial"/>
          <w:sz w:val="24"/>
          <w:szCs w:val="24"/>
        </w:rPr>
        <w:t>O</w:t>
      </w:r>
      <w:r w:rsidRPr="00097D8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Acórdão TCU nº 3.081/2012 – Plenário</w:t>
      </w:r>
      <w:r w:rsidRPr="00097D8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>reconhece que</w:t>
      </w:r>
      <w:r w:rsidRPr="00097D8D">
        <w:rPr>
          <w:rFonts w:ascii="Arial" w:hAnsi="Arial" w:cs="Arial"/>
          <w:b/>
          <w:bCs/>
          <w:sz w:val="24"/>
          <w:szCs w:val="24"/>
        </w:rPr>
        <w:t>:</w:t>
      </w:r>
    </w:p>
    <w:p w14:paraId="3E93B868" w14:textId="77777777" w:rsidR="00084F72" w:rsidRPr="00097D8D" w:rsidRDefault="00084F72" w:rsidP="00097D8D">
      <w:pPr>
        <w:spacing w:after="120" w:line="360" w:lineRule="auto"/>
        <w:ind w:left="709"/>
        <w:jc w:val="both"/>
        <w:rPr>
          <w:rStyle w:val="nfase"/>
          <w:rFonts w:ascii="Arial" w:hAnsi="Arial" w:cs="Arial"/>
          <w:b/>
          <w:bCs/>
          <w:sz w:val="24"/>
          <w:szCs w:val="24"/>
        </w:rPr>
      </w:pPr>
      <w:r w:rsidRPr="00097D8D">
        <w:rPr>
          <w:rStyle w:val="nfase"/>
          <w:rFonts w:ascii="Arial" w:hAnsi="Arial" w:cs="Arial"/>
          <w:b/>
          <w:bCs/>
          <w:sz w:val="24"/>
          <w:szCs w:val="24"/>
        </w:rPr>
        <w:t>“A desclassificação de propostas deve se dar apenas quando houver efetivo comprometimento da análise da vantajosidade e da exequibilidade, evitando-se decisões que possam restringir indevidamente a competitividade.”</w:t>
      </w:r>
    </w:p>
    <w:p w14:paraId="24B83C98" w14:textId="307CC2E8" w:rsidR="00084F72" w:rsidRPr="00097D8D" w:rsidRDefault="00084F72" w:rsidP="00097D8D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ab/>
        <w:t xml:space="preserve">Consoante alhures já amplamente demonstrado, a ausência de </w:t>
      </w:r>
      <w:r w:rsidR="00174CEE" w:rsidRPr="00097D8D">
        <w:rPr>
          <w:rFonts w:ascii="Arial" w:hAnsi="Arial" w:cs="Arial"/>
          <w:sz w:val="24"/>
          <w:szCs w:val="24"/>
        </w:rPr>
        <w:t>“</w:t>
      </w:r>
      <w:r w:rsidR="00174CEE" w:rsidRPr="00097D8D">
        <w:rPr>
          <w:rFonts w:ascii="Arial" w:hAnsi="Arial" w:cs="Arial"/>
          <w:bCs/>
          <w:i/>
          <w:iCs/>
          <w:sz w:val="24"/>
          <w:szCs w:val="24"/>
        </w:rPr>
        <w:t>matérias de jornais, revisas, borderôs</w:t>
      </w:r>
      <w:r w:rsidR="00174CEE" w:rsidRPr="00097D8D">
        <w:rPr>
          <w:rFonts w:ascii="Arial" w:hAnsi="Arial" w:cs="Arial"/>
          <w:b/>
          <w:i/>
          <w:iCs/>
          <w:sz w:val="24"/>
          <w:szCs w:val="24"/>
        </w:rPr>
        <w:t>,.”,</w:t>
      </w:r>
      <w:r w:rsidRPr="00097D8D">
        <w:rPr>
          <w:rFonts w:ascii="Arial" w:hAnsi="Arial" w:cs="Arial"/>
          <w:b/>
          <w:sz w:val="24"/>
          <w:szCs w:val="24"/>
        </w:rPr>
        <w:t xml:space="preserve"> </w:t>
      </w:r>
      <w:r w:rsidRPr="00097D8D">
        <w:rPr>
          <w:rStyle w:val="Forte"/>
          <w:rFonts w:ascii="Arial" w:hAnsi="Arial" w:cs="Arial"/>
          <w:b w:val="0"/>
          <w:sz w:val="24"/>
          <w:szCs w:val="24"/>
        </w:rPr>
        <w:t xml:space="preserve">não compromete </w:t>
      </w:r>
      <w:r w:rsidR="00174CEE" w:rsidRPr="00097D8D">
        <w:rPr>
          <w:rStyle w:val="Forte"/>
          <w:rFonts w:ascii="Arial" w:hAnsi="Arial" w:cs="Arial"/>
          <w:b w:val="0"/>
          <w:sz w:val="24"/>
          <w:szCs w:val="24"/>
        </w:rPr>
        <w:t>o atestado de capacidade técnica operacional,</w:t>
      </w:r>
      <w:r w:rsidRPr="00097D8D">
        <w:rPr>
          <w:rStyle w:val="Forte"/>
          <w:rFonts w:ascii="Arial" w:hAnsi="Arial" w:cs="Arial"/>
          <w:b w:val="0"/>
          <w:sz w:val="24"/>
          <w:szCs w:val="24"/>
        </w:rPr>
        <w:t xml:space="preserve"> nem afeta a entrega do objeto da presente licitação</w:t>
      </w:r>
      <w:r w:rsidRPr="00097D8D">
        <w:rPr>
          <w:rFonts w:ascii="Arial" w:hAnsi="Arial" w:cs="Arial"/>
          <w:b/>
          <w:sz w:val="24"/>
          <w:szCs w:val="24"/>
        </w:rPr>
        <w:t xml:space="preserve">, </w:t>
      </w:r>
      <w:r w:rsidRPr="00097D8D">
        <w:rPr>
          <w:rFonts w:ascii="Arial" w:hAnsi="Arial" w:cs="Arial"/>
          <w:bCs/>
          <w:sz w:val="24"/>
          <w:szCs w:val="24"/>
        </w:rPr>
        <w:t>e sua exigência</w:t>
      </w:r>
      <w:r w:rsidRPr="00097D8D">
        <w:rPr>
          <w:rFonts w:ascii="Arial" w:hAnsi="Arial" w:cs="Arial"/>
          <w:b/>
          <w:sz w:val="24"/>
          <w:szCs w:val="24"/>
        </w:rPr>
        <w:t xml:space="preserve"> </w:t>
      </w:r>
      <w:r w:rsidRPr="00097D8D">
        <w:rPr>
          <w:rStyle w:val="Forte"/>
          <w:rFonts w:ascii="Arial" w:hAnsi="Arial" w:cs="Arial"/>
          <w:b w:val="0"/>
          <w:sz w:val="24"/>
          <w:szCs w:val="24"/>
        </w:rPr>
        <w:t>dever</w:t>
      </w:r>
      <w:r w:rsidR="00174CEE" w:rsidRPr="00097D8D">
        <w:rPr>
          <w:rStyle w:val="Forte"/>
          <w:rFonts w:ascii="Arial" w:hAnsi="Arial" w:cs="Arial"/>
          <w:b w:val="0"/>
          <w:sz w:val="24"/>
          <w:szCs w:val="24"/>
        </w:rPr>
        <w:t>á</w:t>
      </w:r>
      <w:r w:rsidRPr="00097D8D">
        <w:rPr>
          <w:rStyle w:val="Forte"/>
          <w:rFonts w:ascii="Arial" w:hAnsi="Arial" w:cs="Arial"/>
          <w:b w:val="0"/>
          <w:sz w:val="24"/>
          <w:szCs w:val="24"/>
        </w:rPr>
        <w:t xml:space="preserve"> ser interpretada à luz do princípio da proporcionalidade</w:t>
      </w:r>
      <w:r w:rsidRPr="00097D8D">
        <w:rPr>
          <w:rFonts w:ascii="Arial" w:hAnsi="Arial" w:cs="Arial"/>
          <w:b/>
          <w:sz w:val="24"/>
          <w:szCs w:val="24"/>
        </w:rPr>
        <w:t xml:space="preserve">, </w:t>
      </w:r>
      <w:r w:rsidRPr="00097D8D">
        <w:rPr>
          <w:rFonts w:ascii="Arial" w:hAnsi="Arial" w:cs="Arial"/>
          <w:bCs/>
          <w:sz w:val="24"/>
          <w:szCs w:val="24"/>
        </w:rPr>
        <w:t>conforme determina o artigo</w:t>
      </w:r>
      <w:r w:rsidRPr="00097D8D">
        <w:rPr>
          <w:rFonts w:ascii="Arial" w:hAnsi="Arial" w:cs="Arial"/>
          <w:b/>
          <w:sz w:val="24"/>
          <w:szCs w:val="24"/>
        </w:rPr>
        <w:t xml:space="preserve"> </w:t>
      </w:r>
      <w:r w:rsidRPr="00097D8D">
        <w:rPr>
          <w:rStyle w:val="Forte"/>
          <w:rFonts w:ascii="Arial" w:hAnsi="Arial" w:cs="Arial"/>
          <w:b w:val="0"/>
          <w:sz w:val="24"/>
          <w:szCs w:val="24"/>
        </w:rPr>
        <w:t>5º da Lei nº 14.133/21</w:t>
      </w:r>
      <w:r w:rsidRPr="00097D8D">
        <w:rPr>
          <w:rFonts w:ascii="Arial" w:hAnsi="Arial" w:cs="Arial"/>
          <w:b/>
          <w:sz w:val="24"/>
          <w:szCs w:val="24"/>
        </w:rPr>
        <w:t>.</w:t>
      </w:r>
    </w:p>
    <w:p w14:paraId="2F7F8C1E" w14:textId="3D4DF92D" w:rsidR="00084F72" w:rsidRPr="00097D8D" w:rsidRDefault="00084F72" w:rsidP="00097D8D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ab/>
        <w:t>A</w:t>
      </w:r>
      <w:r w:rsidRPr="00097D8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Lei nº 14.133/21</w:t>
      </w:r>
      <w:r w:rsidRPr="00097D8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>orienta que a interpretação das normas licitatórias</w:t>
      </w:r>
      <w:r w:rsidRPr="00097D8D">
        <w:rPr>
          <w:rFonts w:ascii="Arial" w:hAnsi="Arial" w:cs="Arial"/>
          <w:b/>
          <w:bCs/>
          <w:sz w:val="24"/>
          <w:szCs w:val="24"/>
        </w:rPr>
        <w:t xml:space="preserve"> deve 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priorizar o interesse público e a obtenção do melhor resultado para a 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lastRenderedPageBreak/>
        <w:t>Administração</w:t>
      </w:r>
      <w:r w:rsidRPr="00097D8D">
        <w:rPr>
          <w:rFonts w:ascii="Arial" w:hAnsi="Arial" w:cs="Arial"/>
          <w:b/>
          <w:bCs/>
          <w:sz w:val="24"/>
          <w:szCs w:val="24"/>
        </w:rPr>
        <w:t xml:space="preserve">. </w:t>
      </w:r>
      <w:r w:rsidRPr="00097D8D">
        <w:rPr>
          <w:rFonts w:ascii="Arial" w:hAnsi="Arial" w:cs="Arial"/>
          <w:sz w:val="24"/>
          <w:szCs w:val="24"/>
        </w:rPr>
        <w:t>O</w:t>
      </w:r>
      <w:r w:rsidRPr="00097D8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artigo 12, inciso VI</w:t>
      </w:r>
      <w:r w:rsidRPr="00097D8D">
        <w:rPr>
          <w:rFonts w:ascii="Arial" w:hAnsi="Arial" w:cs="Arial"/>
          <w:b/>
          <w:bCs/>
          <w:sz w:val="24"/>
          <w:szCs w:val="24"/>
        </w:rPr>
        <w:t xml:space="preserve">, </w:t>
      </w:r>
      <w:r w:rsidRPr="00097D8D">
        <w:rPr>
          <w:rFonts w:ascii="Arial" w:hAnsi="Arial" w:cs="Arial"/>
          <w:sz w:val="24"/>
          <w:szCs w:val="24"/>
        </w:rPr>
        <w:t>reforça que a licitação deve</w:t>
      </w:r>
      <w:r w:rsidRPr="00097D8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“assegurar a seleção da proposta apta a gerar o resultado de maior vantagem para a Administração Pública”</w:t>
      </w:r>
      <w:r w:rsidRPr="00097D8D">
        <w:rPr>
          <w:rFonts w:ascii="Arial" w:hAnsi="Arial" w:cs="Arial"/>
          <w:b/>
          <w:bCs/>
          <w:sz w:val="24"/>
          <w:szCs w:val="24"/>
        </w:rPr>
        <w:t>.</w:t>
      </w:r>
    </w:p>
    <w:p w14:paraId="692D14B0" w14:textId="4E1A2424" w:rsidR="00084F72" w:rsidRPr="00097D8D" w:rsidRDefault="00084F72" w:rsidP="00097D8D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ab/>
        <w:t xml:space="preserve">Já o disposto no artigo 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53 da Lei nº 14.133/21</w:t>
      </w:r>
      <w:r w:rsidRPr="00097D8D">
        <w:rPr>
          <w:rFonts w:ascii="Arial" w:hAnsi="Arial" w:cs="Arial"/>
          <w:sz w:val="24"/>
          <w:szCs w:val="24"/>
        </w:rPr>
        <w:t xml:space="preserve"> prevê que a Administração 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tem o dever de justificar suas decisões com base na vantajosidade da contratação</w:t>
      </w:r>
      <w:r w:rsidRPr="00097D8D">
        <w:rPr>
          <w:rFonts w:ascii="Arial" w:hAnsi="Arial" w:cs="Arial"/>
          <w:b/>
          <w:bCs/>
          <w:sz w:val="24"/>
          <w:szCs w:val="24"/>
        </w:rPr>
        <w:t xml:space="preserve">. </w:t>
      </w:r>
      <w:r w:rsidRPr="00097D8D">
        <w:rPr>
          <w:rFonts w:ascii="Arial" w:hAnsi="Arial" w:cs="Arial"/>
          <w:sz w:val="24"/>
          <w:szCs w:val="24"/>
        </w:rPr>
        <w:t>No presente caso,</w:t>
      </w:r>
      <w:r w:rsidR="00174CEE" w:rsidRPr="00097D8D">
        <w:rPr>
          <w:rFonts w:ascii="Arial" w:hAnsi="Arial" w:cs="Arial"/>
          <w:sz w:val="24"/>
          <w:szCs w:val="24"/>
        </w:rPr>
        <w:t xml:space="preserve"> temos que</w:t>
      </w:r>
      <w:r w:rsidRPr="00097D8D">
        <w:rPr>
          <w:rFonts w:ascii="Arial" w:hAnsi="Arial" w:cs="Arial"/>
          <w:sz w:val="24"/>
          <w:szCs w:val="24"/>
        </w:rPr>
        <w:t xml:space="preserve"> a decisão de </w:t>
      </w:r>
      <w:r w:rsidR="00174CEE" w:rsidRPr="00097D8D">
        <w:rPr>
          <w:rFonts w:ascii="Arial" w:hAnsi="Arial" w:cs="Arial"/>
          <w:sz w:val="24"/>
          <w:szCs w:val="24"/>
        </w:rPr>
        <w:t>inabilitação afronta textualmente o caput do art. 67 da NLLC antes invocado</w:t>
      </w:r>
      <w:r w:rsidRPr="00097D8D">
        <w:rPr>
          <w:rFonts w:ascii="Arial" w:hAnsi="Arial" w:cs="Arial"/>
          <w:b/>
          <w:bCs/>
          <w:sz w:val="24"/>
          <w:szCs w:val="24"/>
        </w:rPr>
        <w:t>.</w:t>
      </w:r>
    </w:p>
    <w:p w14:paraId="17D475BF" w14:textId="77777777" w:rsidR="00084F72" w:rsidRPr="00097D8D" w:rsidRDefault="00084F72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ab/>
        <w:t xml:space="preserve">Ainda, o 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artigo 71, § 1º, da Lei nº 14.133/21</w:t>
      </w:r>
      <w:r w:rsidRPr="00097D8D">
        <w:rPr>
          <w:rFonts w:ascii="Arial" w:hAnsi="Arial" w:cs="Arial"/>
          <w:sz w:val="24"/>
          <w:szCs w:val="24"/>
        </w:rPr>
        <w:t xml:space="preserve"> dispõe que </w:t>
      </w:r>
      <w:r w:rsidRPr="00097D8D">
        <w:rPr>
          <w:rStyle w:val="Forte"/>
          <w:rFonts w:ascii="Arial" w:hAnsi="Arial" w:cs="Arial"/>
          <w:sz w:val="24"/>
          <w:szCs w:val="24"/>
        </w:rPr>
        <w:t>“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o gestor público deverá atuar para evitar a desclassificação de propostas por formalidades que não comprometam o objeto licitado</w:t>
      </w:r>
      <w:r w:rsidRPr="00097D8D">
        <w:rPr>
          <w:rStyle w:val="Forte"/>
          <w:rFonts w:ascii="Arial" w:hAnsi="Arial" w:cs="Arial"/>
          <w:sz w:val="24"/>
          <w:szCs w:val="24"/>
        </w:rPr>
        <w:t>”</w:t>
      </w:r>
      <w:r w:rsidRPr="00097D8D">
        <w:rPr>
          <w:rFonts w:ascii="Arial" w:hAnsi="Arial" w:cs="Arial"/>
          <w:sz w:val="24"/>
          <w:szCs w:val="24"/>
        </w:rPr>
        <w:t>, reforçando a necessidade de flexibilização quando não houver prejuízo ao contrato.</w:t>
      </w:r>
    </w:p>
    <w:p w14:paraId="4CB5D86F" w14:textId="13E4473A" w:rsidR="00084F72" w:rsidRPr="00097D8D" w:rsidRDefault="00084F72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ab/>
        <w:t>Além disso, reitera-se que a exigência d</w:t>
      </w:r>
      <w:r w:rsidR="00174CEE" w:rsidRPr="00097D8D">
        <w:rPr>
          <w:rFonts w:ascii="Arial" w:hAnsi="Arial" w:cs="Arial"/>
          <w:sz w:val="24"/>
          <w:szCs w:val="24"/>
        </w:rPr>
        <w:t xml:space="preserve">e exibição de </w:t>
      </w:r>
      <w:r w:rsidR="00174CEE" w:rsidRPr="00097D8D">
        <w:rPr>
          <w:rFonts w:ascii="Arial" w:hAnsi="Arial" w:cs="Arial"/>
          <w:sz w:val="24"/>
          <w:szCs w:val="24"/>
        </w:rPr>
        <w:t>“</w:t>
      </w:r>
      <w:r w:rsidR="00174CEE" w:rsidRPr="00097D8D">
        <w:rPr>
          <w:rFonts w:ascii="Arial" w:hAnsi="Arial" w:cs="Arial"/>
          <w:bCs/>
          <w:i/>
          <w:iCs/>
          <w:sz w:val="24"/>
          <w:szCs w:val="24"/>
        </w:rPr>
        <w:t>matérias de jornais, revisas, borderôs, etc.”,</w:t>
      </w: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não está prevista expressamente como critério</w:t>
      </w:r>
      <w:r w:rsidR="00897B03"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de inabilitação, tanto na</w:t>
      </w:r>
      <w:r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Lei nº 14.133/21</w:t>
      </w:r>
      <w:r w:rsidR="00897B03" w:rsidRPr="00097D8D">
        <w:rPr>
          <w:rStyle w:val="Forte"/>
          <w:rFonts w:ascii="Arial" w:hAnsi="Arial" w:cs="Arial"/>
          <w:b w:val="0"/>
          <w:bCs w:val="0"/>
          <w:sz w:val="24"/>
          <w:szCs w:val="24"/>
        </w:rPr>
        <w:t>, quanto na Lei n° 8987/95</w:t>
      </w:r>
      <w:r w:rsidRPr="00097D8D">
        <w:rPr>
          <w:rFonts w:ascii="Arial" w:hAnsi="Arial" w:cs="Arial"/>
          <w:sz w:val="24"/>
          <w:szCs w:val="24"/>
        </w:rPr>
        <w:t>, sendo um critério formal que não pode impedir a</w:t>
      </w:r>
      <w:r w:rsidR="00897B03" w:rsidRPr="00097D8D">
        <w:rPr>
          <w:rFonts w:ascii="Arial" w:hAnsi="Arial" w:cs="Arial"/>
          <w:sz w:val="24"/>
          <w:szCs w:val="24"/>
        </w:rPr>
        <w:t xml:space="preserve"> habilitação da recorrente</w:t>
      </w:r>
      <w:r w:rsidRPr="00097D8D">
        <w:rPr>
          <w:rFonts w:ascii="Arial" w:hAnsi="Arial" w:cs="Arial"/>
          <w:sz w:val="24"/>
          <w:szCs w:val="24"/>
        </w:rPr>
        <w:t>.</w:t>
      </w:r>
    </w:p>
    <w:p w14:paraId="048EC643" w14:textId="618A28CF" w:rsidR="001375E4" w:rsidRPr="00097D8D" w:rsidRDefault="001375E4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097D8D">
        <w:rPr>
          <w:rFonts w:ascii="Arial" w:hAnsi="Arial" w:cs="Arial"/>
          <w:sz w:val="24"/>
          <w:szCs w:val="24"/>
          <w:shd w:val="clear" w:color="auto" w:fill="FFFFFF"/>
        </w:rPr>
        <w:tab/>
      </w:r>
      <w:r w:rsidR="00FA0439" w:rsidRPr="00097D8D">
        <w:rPr>
          <w:rFonts w:ascii="Arial" w:hAnsi="Arial" w:cs="Arial"/>
          <w:sz w:val="24"/>
          <w:szCs w:val="24"/>
          <w:shd w:val="clear" w:color="auto" w:fill="FFFFFF"/>
        </w:rPr>
        <w:t>R</w:t>
      </w:r>
      <w:r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ecomendamos à </w:t>
      </w:r>
      <w:r w:rsidR="00FA0439"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agente de contratação e da equipe de apoio </w:t>
      </w:r>
      <w:r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para que </w:t>
      </w:r>
      <w:r w:rsidR="00FA0439"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diligencie junto à secretaria de turismo sobre </w:t>
      </w:r>
      <w:r w:rsidRPr="00097D8D">
        <w:rPr>
          <w:rFonts w:ascii="Arial" w:hAnsi="Arial" w:cs="Arial"/>
          <w:sz w:val="24"/>
          <w:szCs w:val="24"/>
          <w:shd w:val="clear" w:color="auto" w:fill="FFFFFF"/>
        </w:rPr>
        <w:t>a confirmação d</w:t>
      </w:r>
      <w:r w:rsidR="0069550A"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o atestado emitido, no que tange ao número mínimo dede pessoas exigido no item 6 do edital, a fim de assegurar-se da efetiva </w:t>
      </w:r>
      <w:r w:rsidRPr="00097D8D">
        <w:rPr>
          <w:rFonts w:ascii="Arial" w:hAnsi="Arial" w:cs="Arial"/>
          <w:sz w:val="24"/>
          <w:szCs w:val="24"/>
          <w:shd w:val="clear" w:color="auto" w:fill="FFFFFF"/>
        </w:rPr>
        <w:t>capacidade técnica</w:t>
      </w:r>
      <w:r w:rsidR="0069550A" w:rsidRPr="00097D8D">
        <w:rPr>
          <w:rFonts w:ascii="Arial" w:hAnsi="Arial" w:cs="Arial"/>
          <w:sz w:val="24"/>
          <w:szCs w:val="24"/>
          <w:shd w:val="clear" w:color="auto" w:fill="FFFFFF"/>
        </w:rPr>
        <w:t>, com dados disponíveis junto à secretaria, relativo ao evento atestado</w:t>
      </w:r>
      <w:r w:rsidRPr="00097D8D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458B75A" w14:textId="042BB862" w:rsidR="001375E4" w:rsidRPr="00097D8D" w:rsidRDefault="001375E4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  <w:shd w:val="clear" w:color="auto" w:fill="FFFFFF"/>
        </w:rPr>
        <w:tab/>
        <w:t xml:space="preserve">Nossa recomendação vem amparada </w:t>
      </w:r>
      <w:r w:rsidR="0069550A"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na própria </w:t>
      </w:r>
      <w:r w:rsidRPr="00097D8D">
        <w:rPr>
          <w:rFonts w:ascii="Arial" w:hAnsi="Arial" w:cs="Arial"/>
          <w:sz w:val="24"/>
          <w:szCs w:val="24"/>
        </w:rPr>
        <w:t xml:space="preserve">Lei </w:t>
      </w:r>
      <w:r w:rsidR="000E3116" w:rsidRPr="00097D8D">
        <w:rPr>
          <w:rFonts w:ascii="Arial" w:hAnsi="Arial" w:cs="Arial"/>
          <w:sz w:val="24"/>
          <w:szCs w:val="24"/>
        </w:rPr>
        <w:t>de licitações</w:t>
      </w:r>
      <w:r w:rsidRPr="00097D8D">
        <w:rPr>
          <w:rFonts w:ascii="Arial" w:hAnsi="Arial" w:cs="Arial"/>
          <w:sz w:val="24"/>
          <w:szCs w:val="24"/>
        </w:rPr>
        <w:t>, vez que a licitação é o procedimento administrativo que objetiva assegurar o princípio da isonomia e selecionar a proposta mais vantajosa para a Administração. A busca desse fim não autoriza violação de direitos e garantias individuais e deve respeitar os princípios norteadores do sistema jurídico.</w:t>
      </w:r>
    </w:p>
    <w:p w14:paraId="0A7EEEAF" w14:textId="77777777" w:rsidR="001375E4" w:rsidRPr="00097D8D" w:rsidRDefault="001375E4" w:rsidP="00097D8D">
      <w:pPr>
        <w:pStyle w:val="NormalWeb"/>
        <w:spacing w:after="120" w:line="360" w:lineRule="auto"/>
        <w:jc w:val="both"/>
        <w:rPr>
          <w:rFonts w:ascii="Arial" w:hAnsi="Arial" w:cs="Arial"/>
        </w:rPr>
      </w:pPr>
      <w:r w:rsidRPr="00097D8D">
        <w:rPr>
          <w:rFonts w:ascii="Arial" w:hAnsi="Arial" w:cs="Arial"/>
        </w:rPr>
        <w:t xml:space="preserve"> </w:t>
      </w:r>
      <w:r w:rsidRPr="00097D8D">
        <w:rPr>
          <w:rFonts w:ascii="Arial" w:hAnsi="Arial" w:cs="Arial"/>
        </w:rPr>
        <w:tab/>
        <w:t xml:space="preserve">O princípio da isonomia revela-se em dois momentos: quando são fixados os critérios de diferenciação que a Administração adotará para escolher o contratante e na verificação concreta de quem preenche as exigências diferenciadoras. Assim é que será inválida a discriminação incompatível com os fins e valores estipulados no ordenamento jurídico. </w:t>
      </w:r>
    </w:p>
    <w:p w14:paraId="42977422" w14:textId="77777777" w:rsidR="001375E4" w:rsidRPr="00097D8D" w:rsidRDefault="001375E4" w:rsidP="00097D8D">
      <w:pPr>
        <w:pStyle w:val="NormalWeb"/>
        <w:spacing w:after="120" w:line="360" w:lineRule="auto"/>
        <w:jc w:val="both"/>
        <w:rPr>
          <w:rFonts w:ascii="Arial" w:hAnsi="Arial" w:cs="Arial"/>
        </w:rPr>
      </w:pPr>
      <w:r w:rsidRPr="00097D8D">
        <w:rPr>
          <w:rFonts w:ascii="Arial" w:hAnsi="Arial" w:cs="Arial"/>
        </w:rPr>
        <w:tab/>
        <w:t xml:space="preserve">Marçal </w:t>
      </w:r>
      <w:proofErr w:type="spellStart"/>
      <w:r w:rsidRPr="00097D8D">
        <w:rPr>
          <w:rFonts w:ascii="Arial" w:hAnsi="Arial" w:cs="Arial"/>
        </w:rPr>
        <w:t>Justen</w:t>
      </w:r>
      <w:proofErr w:type="spellEnd"/>
      <w:r w:rsidRPr="00097D8D">
        <w:rPr>
          <w:rFonts w:ascii="Arial" w:hAnsi="Arial" w:cs="Arial"/>
        </w:rPr>
        <w:t xml:space="preserve"> Filho, na obra Comentários à lei de licitações e contratos administrativos, 5. ed., São Paulo: Dialética, 1998, p. 56, assevera:</w:t>
      </w:r>
    </w:p>
    <w:p w14:paraId="474F1DE8" w14:textId="77777777" w:rsidR="001375E4" w:rsidRPr="00097D8D" w:rsidRDefault="001375E4" w:rsidP="00097D8D">
      <w:pPr>
        <w:pStyle w:val="NormalWeb"/>
        <w:spacing w:after="120" w:line="240" w:lineRule="auto"/>
        <w:ind w:left="567"/>
        <w:jc w:val="both"/>
        <w:rPr>
          <w:rFonts w:ascii="Arial" w:hAnsi="Arial" w:cs="Arial"/>
          <w:i/>
        </w:rPr>
      </w:pPr>
      <w:r w:rsidRPr="00097D8D">
        <w:rPr>
          <w:rFonts w:ascii="Arial" w:hAnsi="Arial" w:cs="Arial"/>
          <w:i/>
        </w:rPr>
        <w:lastRenderedPageBreak/>
        <w:t>"Não se pretende negar que a isonomia é valor essencial, norteador da licitação. Mas é necessário, assegurado tratamento idêntico e equivalente a todos os licitantes, possibilitar a seleção da proposta mais vantajosa. Não é cabível excluir propostas vantajosas ou potencialmente satisfatórias apenas por apresentarem defeitos irrelevantes ou porque o princípio da isonomia' imporia tratamento de extremo rigor. A isonomia não obriga adoção de formalismo irracional. Atende-se ao princípio da isonomia quando se assegura que todos os licitantes poderão ser beneficiados por idêntico tratamento menos severo. Não se infringe a isonomia quando se permite a todos os licitantes, em igualdade de condições, a correção de defeitos em suas propostas. A vedação à discriminação injustificada não importa proibição de superar defeitos menores, irregularidades irrelevantes e outros problemas que surgem na atividade diária de seleção de propostas.</w:t>
      </w:r>
    </w:p>
    <w:p w14:paraId="413B3A27" w14:textId="77777777" w:rsidR="001375E4" w:rsidRPr="00097D8D" w:rsidRDefault="001375E4" w:rsidP="00097D8D">
      <w:pPr>
        <w:pStyle w:val="NormalWeb"/>
        <w:spacing w:after="120" w:line="360" w:lineRule="auto"/>
        <w:jc w:val="both"/>
        <w:rPr>
          <w:rFonts w:ascii="Arial" w:hAnsi="Arial" w:cs="Arial"/>
        </w:rPr>
      </w:pPr>
      <w:r w:rsidRPr="00097D8D">
        <w:rPr>
          <w:rFonts w:ascii="Arial" w:hAnsi="Arial" w:cs="Arial"/>
        </w:rPr>
        <w:t xml:space="preserve"> </w:t>
      </w:r>
      <w:r w:rsidRPr="00097D8D">
        <w:rPr>
          <w:rFonts w:ascii="Arial" w:hAnsi="Arial" w:cs="Arial"/>
        </w:rPr>
        <w:tab/>
        <w:t xml:space="preserve">Não se está aqui a estimular a inobservância das normas licitatórias necessárias para se garantir um procedimento uniforme. Há sim que se exigir a comprovação da capacidade técnica necessária para atender ao escopo contratual. Isto porque os procedimentos judiciais e administrativos não comportam formalismos que impedem a ampla competitividade. Cabe aqui, por analogia, a aplicação do princípio da instrumentalidade das formas, segundo o qual o ato processual não constitui um fim em si mesmo e, por isto, somente há de se declarar a invalidade quando não atingir o objetivo para o qual existe. </w:t>
      </w:r>
    </w:p>
    <w:p w14:paraId="1832C116" w14:textId="77777777" w:rsidR="001375E4" w:rsidRPr="00097D8D" w:rsidRDefault="001375E4" w:rsidP="00097D8D">
      <w:pPr>
        <w:pStyle w:val="NormalWeb"/>
        <w:spacing w:after="120" w:line="360" w:lineRule="auto"/>
        <w:jc w:val="both"/>
        <w:rPr>
          <w:rFonts w:ascii="Arial" w:hAnsi="Arial" w:cs="Arial"/>
        </w:rPr>
      </w:pPr>
      <w:r w:rsidRPr="00097D8D">
        <w:rPr>
          <w:rFonts w:ascii="Arial" w:hAnsi="Arial" w:cs="Arial"/>
        </w:rPr>
        <w:tab/>
        <w:t>A respeito, ensinam Antônio Carlos de Araújo Cintra, Ada Pellegrini Grinover e Cândido Rangel Dinamarco em Teoria geral do processo, 15 ed., São Paulo: Malheiros Editores, 1999, p. 342:</w:t>
      </w:r>
    </w:p>
    <w:p w14:paraId="6E263771" w14:textId="77777777" w:rsidR="001375E4" w:rsidRPr="00097D8D" w:rsidRDefault="001375E4" w:rsidP="00097D8D">
      <w:pPr>
        <w:pStyle w:val="NormalWeb"/>
        <w:spacing w:after="120" w:line="240" w:lineRule="auto"/>
        <w:ind w:left="709"/>
        <w:jc w:val="both"/>
        <w:rPr>
          <w:rFonts w:ascii="Arial" w:hAnsi="Arial" w:cs="Arial"/>
          <w:i/>
        </w:rPr>
      </w:pPr>
      <w:r w:rsidRPr="00097D8D">
        <w:rPr>
          <w:rFonts w:ascii="Arial" w:hAnsi="Arial" w:cs="Arial"/>
          <w:i/>
        </w:rPr>
        <w:t xml:space="preserve">"O princípio da instrumentalidade das formas, de que já se falou, quer que só sejam anulados os atos imperfeitos se o objetivo não tiver sido atingido (o que interessa, afinal, é o objetivo do ato, não o ato em si mesmo). Várias são as suas manifestações na lei processual, pode-se dizer que esse princípio coincide com a regra contida no brocardo pás de </w:t>
      </w:r>
      <w:proofErr w:type="spellStart"/>
      <w:r w:rsidRPr="00097D8D">
        <w:rPr>
          <w:rFonts w:ascii="Arial" w:hAnsi="Arial" w:cs="Arial"/>
          <w:i/>
        </w:rPr>
        <w:t>nullitésansgrief</w:t>
      </w:r>
      <w:proofErr w:type="spellEnd"/>
      <w:r w:rsidRPr="00097D8D">
        <w:rPr>
          <w:rFonts w:ascii="Arial" w:hAnsi="Arial" w:cs="Arial"/>
          <w:i/>
        </w:rPr>
        <w:t>."</w:t>
      </w:r>
    </w:p>
    <w:p w14:paraId="4B29CAB5" w14:textId="77777777" w:rsidR="001375E4" w:rsidRPr="00097D8D" w:rsidRDefault="001375E4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</w:rPr>
        <w:tab/>
        <w:t>Em casos análogos Tribunais pátrios que assim tem entendido: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4"/>
      </w:tblGrid>
      <w:tr w:rsidR="001375E4" w:rsidRPr="00097D8D" w14:paraId="7D6812AD" w14:textId="77777777" w:rsidTr="00B16050">
        <w:trPr>
          <w:trHeight w:val="15"/>
          <w:tblCellSpacing w:w="0" w:type="dxa"/>
        </w:trPr>
        <w:tc>
          <w:tcPr>
            <w:tcW w:w="0" w:type="auto"/>
            <w:vAlign w:val="center"/>
          </w:tcPr>
          <w:p w14:paraId="1D5267E2" w14:textId="77777777" w:rsidR="001375E4" w:rsidRPr="00097D8D" w:rsidRDefault="001375E4" w:rsidP="00097D8D">
            <w:pPr>
              <w:spacing w:after="120" w:line="240" w:lineRule="auto"/>
              <w:ind w:left="85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7D8D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 ADMINISTRATIVO. PREGÃO ELETRÔNICO. EXCESSO DE FORMALISMO. </w:t>
            </w:r>
            <w:r w:rsidRPr="00097D8D">
              <w:rPr>
                <w:rFonts w:ascii="Arial" w:hAnsi="Arial" w:cs="Arial"/>
                <w:i/>
                <w:sz w:val="24"/>
                <w:szCs w:val="24"/>
              </w:rPr>
              <w:t>Podendo as exigências fáticas editalícias serem comprovadas por meio idôneo diverso do expressamente previsto, não se admite a inabilitação de empresa concorrente, eis que o excesso de formalismo pode prejudicar os objetivos constitucionais da licitação</w:t>
            </w:r>
            <w:bookmarkStart w:id="5" w:name="LPHit3"/>
            <w:bookmarkEnd w:id="5"/>
            <w:r w:rsidRPr="00097D8D">
              <w:rPr>
                <w:rFonts w:ascii="Arial" w:hAnsi="Arial" w:cs="Arial"/>
                <w:i/>
                <w:sz w:val="24"/>
                <w:szCs w:val="24"/>
              </w:rPr>
              <w:t xml:space="preserve"> e desatender o interesse público. Caso em que </w:t>
            </w:r>
            <w:proofErr w:type="gramStart"/>
            <w:r w:rsidRPr="00097D8D">
              <w:rPr>
                <w:rFonts w:ascii="Arial" w:hAnsi="Arial" w:cs="Arial"/>
                <w:i/>
                <w:sz w:val="24"/>
                <w:szCs w:val="24"/>
              </w:rPr>
              <w:t>realizou-se</w:t>
            </w:r>
            <w:proofErr w:type="gramEnd"/>
            <w:r w:rsidRPr="00097D8D">
              <w:rPr>
                <w:rFonts w:ascii="Arial" w:hAnsi="Arial" w:cs="Arial"/>
                <w:i/>
                <w:sz w:val="24"/>
                <w:szCs w:val="24"/>
              </w:rPr>
              <w:t xml:space="preserve"> Pregão Eletrônico para a locação de equipamentos médicos (bombas </w:t>
            </w:r>
            <w:proofErr w:type="spellStart"/>
            <w:r w:rsidRPr="00097D8D">
              <w:rPr>
                <w:rFonts w:ascii="Arial" w:hAnsi="Arial" w:cs="Arial"/>
                <w:i/>
                <w:sz w:val="24"/>
                <w:szCs w:val="24"/>
              </w:rPr>
              <w:t>infusoras</w:t>
            </w:r>
            <w:proofErr w:type="spellEnd"/>
            <w:r w:rsidRPr="00097D8D">
              <w:rPr>
                <w:rFonts w:ascii="Arial" w:hAnsi="Arial" w:cs="Arial"/>
                <w:i/>
                <w:sz w:val="24"/>
                <w:szCs w:val="24"/>
              </w:rPr>
              <w:t xml:space="preserve">) destinados ao Hospital de Clínicas da Universidade Federal do Paraná, exigindo-se das empresas participantes do certame a apresentação de certificado de conformidade com a finalidade de comprovar a qualidade </w:t>
            </w:r>
            <w:r w:rsidRPr="00097D8D">
              <w:rPr>
                <w:rFonts w:ascii="Arial" w:hAnsi="Arial" w:cs="Arial"/>
                <w:i/>
                <w:sz w:val="24"/>
                <w:szCs w:val="24"/>
              </w:rPr>
              <w:lastRenderedPageBreak/>
              <w:t xml:space="preserve">e segurança dos produtos por elas oferecidos. Embora a empresa vencedora da licitação não tenha apresentado o certificado de conformidade, demonstrou através da apresentação de Relatório de Qualidade para Análise da Qualidade e da Certificação do Equipamento - RAQCE e de Resoluções da ANVISA, concedendo registro aos seus produtos, que </w:t>
            </w:r>
            <w:proofErr w:type="gramStart"/>
            <w:r w:rsidRPr="00097D8D">
              <w:rPr>
                <w:rFonts w:ascii="Arial" w:hAnsi="Arial" w:cs="Arial"/>
                <w:i/>
                <w:sz w:val="24"/>
                <w:szCs w:val="24"/>
              </w:rPr>
              <w:t>estes tem</w:t>
            </w:r>
            <w:proofErr w:type="gramEnd"/>
            <w:r w:rsidRPr="00097D8D">
              <w:rPr>
                <w:rFonts w:ascii="Arial" w:hAnsi="Arial" w:cs="Arial"/>
                <w:i/>
                <w:sz w:val="24"/>
                <w:szCs w:val="24"/>
              </w:rPr>
              <w:t xml:space="preserve"> respaldo da ANVISA para serem comercializados, presumindo-se, assim, que oferecem a qualidade e a segurança necessárias para a sua utilização. A alteração do resultado do pregão eletrônico poderá trazer prejuízos ao hospital, já que o preço ofertado pela empresa vencedora é muito inferior ao constante da proposta da impetrante, bem como porque poderá prejudicar o tratamento e o atendimento dos pacientes do Hospital de Clínicas. Apelações e remessa oficial conhecidas e provida. </w:t>
            </w:r>
            <w:r w:rsidRPr="00097D8D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(TRF 4ª R.; APL-MS 2005.70.00.033895-3; PR; Terceira Turma; Rel. Des. Fed. Carlos Eduardo Thompson Flores Lenz; </w:t>
            </w:r>
            <w:proofErr w:type="spellStart"/>
            <w:r w:rsidRPr="00097D8D">
              <w:rPr>
                <w:rFonts w:ascii="Arial" w:hAnsi="Arial" w:cs="Arial"/>
                <w:i/>
                <w:iCs/>
                <w:sz w:val="24"/>
                <w:szCs w:val="24"/>
              </w:rPr>
              <w:t>Julg</w:t>
            </w:r>
            <w:proofErr w:type="spellEnd"/>
            <w:r w:rsidRPr="00097D8D">
              <w:rPr>
                <w:rFonts w:ascii="Arial" w:hAnsi="Arial" w:cs="Arial"/>
                <w:i/>
                <w:iCs/>
                <w:sz w:val="24"/>
                <w:szCs w:val="24"/>
              </w:rPr>
              <w:t>. 21/08/2007; DEJF 12/09/2007; Pág. 235)</w:t>
            </w:r>
            <w:r w:rsidRPr="00097D8D">
              <w:rPr>
                <w:rFonts w:ascii="Arial" w:hAnsi="Arial" w:cs="Arial"/>
                <w:i/>
                <w:sz w:val="24"/>
                <w:szCs w:val="24"/>
              </w:rPr>
              <w:t xml:space="preserve"> (Publicado no DVD Magister nº 18 - Repositório Autorizado do TST nº 31/2007).</w:t>
            </w:r>
          </w:p>
        </w:tc>
      </w:tr>
      <w:tr w:rsidR="001375E4" w:rsidRPr="00097D8D" w14:paraId="7B8326E5" w14:textId="77777777" w:rsidTr="00B16050">
        <w:trPr>
          <w:trHeight w:val="15"/>
          <w:tblCellSpacing w:w="0" w:type="dxa"/>
        </w:trPr>
        <w:tc>
          <w:tcPr>
            <w:tcW w:w="0" w:type="auto"/>
            <w:vAlign w:val="center"/>
          </w:tcPr>
          <w:p w14:paraId="1CA1854A" w14:textId="77777777" w:rsidR="001375E4" w:rsidRPr="00097D8D" w:rsidRDefault="001375E4" w:rsidP="00097D8D">
            <w:pPr>
              <w:spacing w:after="120" w:line="360" w:lineRule="auto"/>
              <w:ind w:left="2126" w:hanging="2126"/>
              <w:jc w:val="both"/>
              <w:rPr>
                <w:rFonts w:ascii="Arial" w:hAnsi="Arial" w:cs="Arial"/>
                <w:b/>
                <w:bCs/>
                <w:i/>
                <w:sz w:val="24"/>
                <w:szCs w:val="24"/>
                <w:shd w:val="clear" w:color="auto" w:fill="000080"/>
              </w:rPr>
            </w:pPr>
          </w:p>
        </w:tc>
      </w:tr>
    </w:tbl>
    <w:p w14:paraId="7178162D" w14:textId="60533BCB" w:rsidR="001375E4" w:rsidRPr="00097D8D" w:rsidRDefault="00097D8D" w:rsidP="00097D8D">
      <w:pPr>
        <w:spacing w:after="120" w:line="360" w:lineRule="auto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 </w:t>
      </w:r>
      <w:r>
        <w:rPr>
          <w:rFonts w:ascii="Arial" w:eastAsia="Batang" w:hAnsi="Arial" w:cs="Arial"/>
          <w:sz w:val="24"/>
          <w:szCs w:val="24"/>
        </w:rPr>
        <w:tab/>
      </w:r>
      <w:r w:rsidR="001375E4" w:rsidRPr="00097D8D">
        <w:rPr>
          <w:rFonts w:ascii="Arial" w:eastAsia="Batang" w:hAnsi="Arial" w:cs="Arial"/>
          <w:sz w:val="24"/>
          <w:szCs w:val="24"/>
        </w:rPr>
        <w:t xml:space="preserve">Nos processos </w:t>
      </w:r>
      <w:proofErr w:type="gramStart"/>
      <w:r w:rsidR="001375E4" w:rsidRPr="00097D8D">
        <w:rPr>
          <w:rFonts w:ascii="Arial" w:eastAsia="Batang" w:hAnsi="Arial" w:cs="Arial"/>
          <w:sz w:val="24"/>
          <w:szCs w:val="24"/>
        </w:rPr>
        <w:t>licitatórios  não</w:t>
      </w:r>
      <w:proofErr w:type="gramEnd"/>
      <w:r w:rsidR="001375E4" w:rsidRPr="00097D8D">
        <w:rPr>
          <w:rFonts w:ascii="Arial" w:eastAsia="Batang" w:hAnsi="Arial" w:cs="Arial"/>
          <w:sz w:val="24"/>
          <w:szCs w:val="24"/>
        </w:rPr>
        <w:t xml:space="preserve"> pode ser exageradamente formalista, de forma a inabilitar ou desclassificar empresas por pequenas nuances que não possam ser solvidas por meio de diligências legais pela </w:t>
      </w:r>
      <w:r w:rsidR="000E3116" w:rsidRPr="00097D8D">
        <w:rPr>
          <w:rFonts w:ascii="Arial" w:eastAsia="Batang" w:hAnsi="Arial" w:cs="Arial"/>
          <w:sz w:val="24"/>
          <w:szCs w:val="24"/>
        </w:rPr>
        <w:t>agente de contratação</w:t>
      </w:r>
      <w:r w:rsidR="001375E4" w:rsidRPr="00097D8D">
        <w:rPr>
          <w:rFonts w:ascii="Arial" w:eastAsia="Batang" w:hAnsi="Arial" w:cs="Arial"/>
          <w:sz w:val="24"/>
          <w:szCs w:val="24"/>
        </w:rPr>
        <w:t>.</w:t>
      </w:r>
    </w:p>
    <w:p w14:paraId="26F7A746" w14:textId="2B32A886" w:rsidR="001375E4" w:rsidRPr="00097D8D" w:rsidRDefault="001375E4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097D8D">
        <w:rPr>
          <w:rFonts w:ascii="Arial" w:hAnsi="Arial" w:cs="Arial"/>
          <w:sz w:val="24"/>
          <w:szCs w:val="24"/>
          <w:shd w:val="clear" w:color="auto" w:fill="FFFFFF"/>
        </w:rPr>
        <w:tab/>
        <w:t xml:space="preserve">Diante </w:t>
      </w:r>
      <w:r w:rsidR="00D37034" w:rsidRPr="00097D8D">
        <w:rPr>
          <w:rFonts w:ascii="Arial" w:hAnsi="Arial" w:cs="Arial"/>
          <w:sz w:val="24"/>
          <w:szCs w:val="24"/>
          <w:shd w:val="clear" w:color="auto" w:fill="FFFFFF"/>
        </w:rPr>
        <w:t>dos argumentos jurídicos e fáticos supra expostos</w:t>
      </w:r>
      <w:r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, recomendamos à </w:t>
      </w:r>
      <w:r w:rsidR="00A5391A" w:rsidRPr="00097D8D">
        <w:rPr>
          <w:rFonts w:ascii="Arial" w:eastAsia="Batang" w:hAnsi="Arial" w:cs="Arial"/>
          <w:sz w:val="24"/>
          <w:szCs w:val="24"/>
        </w:rPr>
        <w:t>agente de contratação</w:t>
      </w:r>
      <w:r w:rsidR="00A5391A"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r w:rsidRPr="00097D8D">
        <w:rPr>
          <w:rFonts w:ascii="Arial" w:hAnsi="Arial" w:cs="Arial"/>
          <w:sz w:val="24"/>
          <w:szCs w:val="24"/>
          <w:shd w:val="clear" w:color="auto" w:fill="FFFFFF"/>
        </w:rPr>
        <w:t>realização de di</w:t>
      </w:r>
      <w:r w:rsidRPr="00097D8D">
        <w:rPr>
          <w:rFonts w:ascii="Arial" w:hAnsi="Arial" w:cs="Arial"/>
          <w:sz w:val="24"/>
          <w:szCs w:val="24"/>
        </w:rPr>
        <w:t xml:space="preserve">ligência junto </w:t>
      </w:r>
      <w:r w:rsidR="00A5391A" w:rsidRPr="00097D8D">
        <w:rPr>
          <w:rFonts w:ascii="Arial" w:hAnsi="Arial" w:cs="Arial"/>
          <w:sz w:val="24"/>
          <w:szCs w:val="24"/>
        </w:rPr>
        <w:t>à Secretaria de Turismo</w:t>
      </w:r>
      <w:r w:rsidRPr="00097D8D">
        <w:rPr>
          <w:rFonts w:ascii="Arial" w:hAnsi="Arial" w:cs="Arial"/>
          <w:sz w:val="24"/>
          <w:szCs w:val="24"/>
        </w:rPr>
        <w:t xml:space="preserve"> </w:t>
      </w:r>
      <w:r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a fim de </w:t>
      </w:r>
      <w:r w:rsidR="00A5391A" w:rsidRPr="00097D8D">
        <w:rPr>
          <w:rFonts w:ascii="Arial" w:hAnsi="Arial" w:cs="Arial"/>
          <w:sz w:val="24"/>
          <w:szCs w:val="24"/>
          <w:shd w:val="clear" w:color="auto" w:fill="FFFFFF"/>
        </w:rPr>
        <w:t>assegurar-se do número mínimo de pessoas exigido no edital</w:t>
      </w:r>
      <w:r w:rsidRPr="00097D8D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A5391A"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 Se se confirmar</w:t>
      </w:r>
      <w:r w:rsidR="003E67C0"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 o número constante do mesmo</w:t>
      </w:r>
      <w:r w:rsidR="00A5391A" w:rsidRPr="00097D8D">
        <w:rPr>
          <w:rFonts w:ascii="Arial" w:hAnsi="Arial" w:cs="Arial"/>
          <w:sz w:val="24"/>
          <w:szCs w:val="24"/>
          <w:shd w:val="clear" w:color="auto" w:fill="FFFFFF"/>
        </w:rPr>
        <w:t>, opinamos pel</w:t>
      </w:r>
      <w:r w:rsidR="00996BCB" w:rsidRPr="00097D8D">
        <w:rPr>
          <w:rFonts w:ascii="Arial" w:hAnsi="Arial" w:cs="Arial"/>
          <w:sz w:val="24"/>
          <w:szCs w:val="24"/>
          <w:shd w:val="clear" w:color="auto" w:fill="FFFFFF"/>
        </w:rPr>
        <w:t xml:space="preserve">o provimento do recurso por entender que a exigência de documentos de capacidade técnica não previstos no art. 64 da NLLC </w:t>
      </w:r>
      <w:r w:rsidR="00D37034" w:rsidRPr="00097D8D">
        <w:rPr>
          <w:rFonts w:ascii="Arial" w:hAnsi="Arial" w:cs="Arial"/>
          <w:sz w:val="24"/>
          <w:szCs w:val="24"/>
          <w:shd w:val="clear" w:color="auto" w:fill="FFFFFF"/>
        </w:rPr>
        <w:t>não é capaz de inabilitar a empresa</w:t>
      </w:r>
      <w:r w:rsidR="003E67C0" w:rsidRPr="00097D8D">
        <w:rPr>
          <w:rFonts w:ascii="Arial" w:hAnsi="Arial" w:cs="Arial"/>
          <w:sz w:val="24"/>
          <w:szCs w:val="24"/>
          <w:shd w:val="clear" w:color="auto" w:fill="FFFFFF"/>
        </w:rPr>
        <w:t>, devendo prosseguir a licitação com a fase de lances das empresas habilitadas</w:t>
      </w:r>
      <w:r w:rsidR="00D37034" w:rsidRPr="00097D8D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6CA41780" w14:textId="77777777" w:rsidR="001375E4" w:rsidRPr="00097D8D" w:rsidRDefault="001375E4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ab/>
      </w:r>
      <w:r w:rsidRPr="00097D8D">
        <w:rPr>
          <w:rFonts w:ascii="Arial" w:hAnsi="Arial" w:cs="Arial"/>
          <w:sz w:val="24"/>
          <w:szCs w:val="24"/>
        </w:rPr>
        <w:tab/>
      </w:r>
      <w:r w:rsidRPr="00097D8D">
        <w:rPr>
          <w:rFonts w:ascii="Arial" w:hAnsi="Arial" w:cs="Arial"/>
          <w:sz w:val="24"/>
          <w:szCs w:val="24"/>
        </w:rPr>
        <w:tab/>
        <w:t>É o parecer.</w:t>
      </w:r>
    </w:p>
    <w:p w14:paraId="6E2682A8" w14:textId="346C7C3E" w:rsidR="001375E4" w:rsidRPr="00097D8D" w:rsidRDefault="001375E4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ab/>
      </w:r>
      <w:r w:rsidRPr="00097D8D">
        <w:rPr>
          <w:rFonts w:ascii="Arial" w:hAnsi="Arial" w:cs="Arial"/>
          <w:sz w:val="24"/>
          <w:szCs w:val="24"/>
        </w:rPr>
        <w:tab/>
      </w:r>
      <w:r w:rsidRPr="00097D8D">
        <w:rPr>
          <w:rFonts w:ascii="Arial" w:hAnsi="Arial" w:cs="Arial"/>
          <w:sz w:val="24"/>
          <w:szCs w:val="24"/>
        </w:rPr>
        <w:tab/>
        <w:t xml:space="preserve">Estância Velha, </w:t>
      </w:r>
      <w:r w:rsidR="00097D8D" w:rsidRPr="00097D8D">
        <w:rPr>
          <w:rFonts w:ascii="Arial" w:hAnsi="Arial" w:cs="Arial"/>
          <w:sz w:val="24"/>
          <w:szCs w:val="24"/>
        </w:rPr>
        <w:t>2</w:t>
      </w:r>
      <w:r w:rsidRPr="00097D8D">
        <w:rPr>
          <w:rFonts w:ascii="Arial" w:hAnsi="Arial" w:cs="Arial"/>
          <w:sz w:val="24"/>
          <w:szCs w:val="24"/>
        </w:rPr>
        <w:t xml:space="preserve">4 de </w:t>
      </w:r>
      <w:r w:rsidR="00097D8D" w:rsidRPr="00097D8D">
        <w:rPr>
          <w:rFonts w:ascii="Arial" w:hAnsi="Arial" w:cs="Arial"/>
          <w:sz w:val="24"/>
          <w:szCs w:val="24"/>
        </w:rPr>
        <w:t>abril</w:t>
      </w:r>
      <w:r w:rsidRPr="00097D8D">
        <w:rPr>
          <w:rFonts w:ascii="Arial" w:hAnsi="Arial" w:cs="Arial"/>
          <w:sz w:val="24"/>
          <w:szCs w:val="24"/>
        </w:rPr>
        <w:t xml:space="preserve"> de 202</w:t>
      </w:r>
      <w:r w:rsidR="00097D8D" w:rsidRPr="00097D8D">
        <w:rPr>
          <w:rFonts w:ascii="Arial" w:hAnsi="Arial" w:cs="Arial"/>
          <w:sz w:val="24"/>
          <w:szCs w:val="24"/>
        </w:rPr>
        <w:t>5</w:t>
      </w:r>
    </w:p>
    <w:p w14:paraId="566F5C4B" w14:textId="77777777" w:rsidR="001375E4" w:rsidRPr="00097D8D" w:rsidRDefault="001375E4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9348D6E" w14:textId="77777777" w:rsidR="001375E4" w:rsidRPr="00097D8D" w:rsidRDefault="001375E4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ab/>
      </w:r>
      <w:r w:rsidRPr="00097D8D">
        <w:rPr>
          <w:rFonts w:ascii="Arial" w:hAnsi="Arial" w:cs="Arial"/>
          <w:sz w:val="24"/>
          <w:szCs w:val="24"/>
        </w:rPr>
        <w:tab/>
      </w:r>
      <w:r w:rsidRPr="00097D8D">
        <w:rPr>
          <w:rFonts w:ascii="Arial" w:hAnsi="Arial" w:cs="Arial"/>
          <w:sz w:val="24"/>
          <w:szCs w:val="24"/>
        </w:rPr>
        <w:tab/>
        <w:t>César Luís Baumgratz</w:t>
      </w:r>
    </w:p>
    <w:p w14:paraId="402262D1" w14:textId="77777777" w:rsidR="001375E4" w:rsidRPr="00097D8D" w:rsidRDefault="001375E4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ab/>
      </w:r>
      <w:r w:rsidRPr="00097D8D">
        <w:rPr>
          <w:rFonts w:ascii="Arial" w:hAnsi="Arial" w:cs="Arial"/>
          <w:sz w:val="24"/>
          <w:szCs w:val="24"/>
        </w:rPr>
        <w:tab/>
      </w:r>
      <w:r w:rsidRPr="00097D8D">
        <w:rPr>
          <w:rFonts w:ascii="Arial" w:hAnsi="Arial" w:cs="Arial"/>
          <w:sz w:val="24"/>
          <w:szCs w:val="24"/>
        </w:rPr>
        <w:tab/>
        <w:t>OAB/RS N° 22.147</w:t>
      </w:r>
    </w:p>
    <w:p w14:paraId="3D9126EA" w14:textId="77777777" w:rsidR="001375E4" w:rsidRPr="00097D8D" w:rsidRDefault="001375E4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8C16785" w14:textId="77777777" w:rsidR="00084F72" w:rsidRPr="00097D8D" w:rsidRDefault="00084F72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C89FE7B" w14:textId="378D37CA" w:rsidR="00084F72" w:rsidRPr="00097D8D" w:rsidRDefault="00084F72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97D8D">
        <w:rPr>
          <w:rFonts w:ascii="Arial" w:hAnsi="Arial" w:cs="Arial"/>
          <w:sz w:val="24"/>
          <w:szCs w:val="24"/>
        </w:rPr>
        <w:t> </w:t>
      </w:r>
      <w:bookmarkStart w:id="6" w:name="art18"/>
      <w:bookmarkEnd w:id="6"/>
    </w:p>
    <w:p w14:paraId="4DCA8BA0" w14:textId="77777777" w:rsidR="00084F72" w:rsidRPr="00097D8D" w:rsidRDefault="00084F72" w:rsidP="00097D8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084F72" w:rsidRPr="00097D8D" w:rsidSect="00CF4905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F72"/>
    <w:rsid w:val="00084F72"/>
    <w:rsid w:val="00097D8D"/>
    <w:rsid w:val="000E3116"/>
    <w:rsid w:val="001375E4"/>
    <w:rsid w:val="00174CEE"/>
    <w:rsid w:val="003E67C0"/>
    <w:rsid w:val="005508CF"/>
    <w:rsid w:val="00572D29"/>
    <w:rsid w:val="00583A5A"/>
    <w:rsid w:val="005B513C"/>
    <w:rsid w:val="0069550A"/>
    <w:rsid w:val="007417CA"/>
    <w:rsid w:val="00897B03"/>
    <w:rsid w:val="008B6626"/>
    <w:rsid w:val="00996BCB"/>
    <w:rsid w:val="00A5391A"/>
    <w:rsid w:val="00AE79F7"/>
    <w:rsid w:val="00B52FE3"/>
    <w:rsid w:val="00C34D5F"/>
    <w:rsid w:val="00CF4905"/>
    <w:rsid w:val="00D118D5"/>
    <w:rsid w:val="00D37034"/>
    <w:rsid w:val="00DE6D4C"/>
    <w:rsid w:val="00EC2835"/>
    <w:rsid w:val="00FA0439"/>
    <w:rsid w:val="00FA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63A3F"/>
  <w15:chartTrackingRefBased/>
  <w15:docId w15:val="{069A669C-141B-423D-B58D-A7AE37CEB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84F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084F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4F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4F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4F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4F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4F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4F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4F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4F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4F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4F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4F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4F7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4F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4F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4F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4F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4F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4F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4F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4F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4F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4F7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4F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4F7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4F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4F7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4F7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84F72"/>
    <w:rPr>
      <w:rFonts w:ascii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084F72"/>
    <w:rPr>
      <w:b/>
      <w:bCs/>
    </w:rPr>
  </w:style>
  <w:style w:type="character" w:styleId="nfase">
    <w:name w:val="Emphasis"/>
    <w:basedOn w:val="Fontepargpadro"/>
    <w:uiPriority w:val="20"/>
    <w:qFormat/>
    <w:rsid w:val="00084F72"/>
    <w:rPr>
      <w:i/>
      <w:iCs/>
    </w:rPr>
  </w:style>
  <w:style w:type="character" w:styleId="Hyperlink">
    <w:name w:val="Hyperlink"/>
    <w:basedOn w:val="Fontepargpadro"/>
    <w:uiPriority w:val="99"/>
    <w:unhideWhenUsed/>
    <w:rsid w:val="00174CEE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74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4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lanalto.gov.br/ccivil_03/_ato2019-2022/2021/lei/l14133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8</Pages>
  <Words>2423</Words>
  <Characters>13085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Baumgratz</dc:creator>
  <cp:keywords/>
  <dc:description/>
  <cp:lastModifiedBy>Cesar Baumgratz</cp:lastModifiedBy>
  <cp:revision>10</cp:revision>
  <dcterms:created xsi:type="dcterms:W3CDTF">2025-04-24T17:10:00Z</dcterms:created>
  <dcterms:modified xsi:type="dcterms:W3CDTF">2025-04-24T20:21:00Z</dcterms:modified>
</cp:coreProperties>
</file>