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2334"/>
        <w:gridCol w:w="6200"/>
      </w:tblGrid>
      <w:tr w:rsidR="00C05F63" w:rsidRPr="00941F3F" w:rsidTr="00AC2BB9">
        <w:trPr>
          <w:tblCellSpacing w:w="0" w:type="dxa"/>
        </w:trPr>
        <w:tc>
          <w:tcPr>
            <w:tcW w:w="23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BB9" w:rsidRPr="00941F3F" w:rsidRDefault="00AC2BB9" w:rsidP="00D747B7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2BB9" w:rsidRPr="00941F3F" w:rsidRDefault="00AC2BB9" w:rsidP="00A65711">
            <w:pPr>
              <w:spacing w:after="0" w:line="36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505DBB" w:rsidRPr="00941F3F" w:rsidRDefault="00505DBB" w:rsidP="00A65711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PARECER JURÍDICO</w:t>
      </w:r>
    </w:p>
    <w:p w:rsidR="00505DBB" w:rsidRPr="00941F3F" w:rsidRDefault="00505DBB" w:rsidP="00A65711">
      <w:pPr>
        <w:spacing w:line="360" w:lineRule="auto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ab/>
        <w:t>Requisitante: Agente de Contratações</w:t>
      </w:r>
      <w:r w:rsidRPr="00941F3F">
        <w:rPr>
          <w:rFonts w:ascii="Arial" w:hAnsi="Arial" w:cs="Arial"/>
          <w:color w:val="000000" w:themeColor="text1"/>
        </w:rPr>
        <w:tab/>
      </w:r>
    </w:p>
    <w:p w:rsidR="00A65711" w:rsidRPr="00B72AD8" w:rsidRDefault="00A65711" w:rsidP="00D5742C">
      <w:pPr>
        <w:spacing w:line="360" w:lineRule="auto"/>
        <w:ind w:left="3402"/>
        <w:jc w:val="both"/>
        <w:rPr>
          <w:rFonts w:ascii="Arial" w:hAnsi="Arial" w:cs="Arial"/>
          <w:b/>
          <w:color w:val="000000" w:themeColor="text1"/>
        </w:rPr>
      </w:pPr>
    </w:p>
    <w:p w:rsidR="00905EA5" w:rsidRPr="00905EA5" w:rsidRDefault="00905EA5" w:rsidP="00905EA5">
      <w:pPr>
        <w:ind w:left="3261"/>
        <w:jc w:val="both"/>
        <w:rPr>
          <w:rFonts w:ascii="Arial" w:eastAsia="Times New Roman" w:hAnsi="Arial" w:cs="Arial"/>
          <w:b/>
          <w:lang w:eastAsia="pt-BR"/>
        </w:rPr>
      </w:pPr>
      <w:r w:rsidRPr="00905EA5">
        <w:rPr>
          <w:rFonts w:ascii="Arial" w:eastAsia="Times New Roman" w:hAnsi="Arial" w:cs="Arial"/>
          <w:b/>
          <w:color w:val="000000" w:themeColor="text1"/>
          <w:lang w:eastAsia="pt-BR"/>
        </w:rPr>
        <w:t xml:space="preserve">PREGÃO ELETRÔNICO </w:t>
      </w:r>
      <w:r w:rsidRPr="00905EA5">
        <w:rPr>
          <w:rFonts w:ascii="Arial" w:hAnsi="Arial" w:cs="Arial"/>
          <w:b/>
          <w:color w:val="000000" w:themeColor="text1"/>
        </w:rPr>
        <w:t xml:space="preserve">PARA </w:t>
      </w:r>
      <w:r w:rsidRPr="00905EA5">
        <w:rPr>
          <w:rFonts w:ascii="Arial" w:hAnsi="Arial" w:cs="Arial"/>
          <w:b/>
          <w:color w:val="222222"/>
          <w:shd w:val="clear" w:color="auto" w:fill="FFFFFF"/>
        </w:rPr>
        <w:t>CONTRATAÇÃO</w:t>
      </w:r>
      <w:proofErr w:type="gramStart"/>
      <w:r w:rsidRPr="00905EA5">
        <w:rPr>
          <w:rFonts w:ascii="Arial" w:hAnsi="Arial" w:cs="Arial"/>
          <w:b/>
          <w:color w:val="222222"/>
          <w:shd w:val="clear" w:color="auto" w:fill="FFFFFF"/>
        </w:rPr>
        <w:t xml:space="preserve">  </w:t>
      </w:r>
      <w:proofErr w:type="gramEnd"/>
      <w:r w:rsidRPr="00905EA5">
        <w:rPr>
          <w:rFonts w:ascii="Arial" w:hAnsi="Arial" w:cs="Arial"/>
          <w:b/>
          <w:color w:val="222222"/>
          <w:shd w:val="clear" w:color="auto" w:fill="FFFFFF"/>
        </w:rPr>
        <w:t xml:space="preserve">DE </w:t>
      </w:r>
      <w:r w:rsidRPr="00905EA5">
        <w:rPr>
          <w:rFonts w:ascii="Arial" w:eastAsia="Times New Roman" w:hAnsi="Arial" w:cs="Arial"/>
          <w:b/>
          <w:lang w:eastAsia="pt-BR"/>
        </w:rPr>
        <w:t xml:space="preserve"> EXAMES LABORATORIAIS PARA DIAGNÓSTICOS DE EMERGÊNCIA ORIUNDOS DO PRONTO ATENDIMENTO MAIS VIDA, CONFORME ESPECIFICAÇÕES DETALHADAS NO TERMO DE REFERÊNCIA (ANEXO I).</w:t>
      </w:r>
    </w:p>
    <w:p w:rsidR="0076602B" w:rsidRPr="00905EA5" w:rsidRDefault="0076602B" w:rsidP="00905EA5">
      <w:pPr>
        <w:spacing w:after="0" w:line="360" w:lineRule="auto"/>
        <w:ind w:left="3402"/>
        <w:jc w:val="both"/>
        <w:rPr>
          <w:rFonts w:ascii="Arial" w:hAnsi="Arial" w:cs="Arial"/>
          <w:b/>
          <w:color w:val="000000" w:themeColor="text1"/>
        </w:rPr>
      </w:pPr>
    </w:p>
    <w:p w:rsidR="00DC714C" w:rsidRPr="00941F3F" w:rsidRDefault="00505DBB" w:rsidP="00905EA5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05EA5">
        <w:rPr>
          <w:rFonts w:ascii="Arial" w:hAnsi="Arial" w:cs="Arial"/>
          <w:color w:val="000000" w:themeColor="text1"/>
        </w:rPr>
        <w:t xml:space="preserve"> </w:t>
      </w:r>
      <w:r w:rsidRPr="00905EA5">
        <w:rPr>
          <w:rFonts w:ascii="Arial" w:hAnsi="Arial" w:cs="Arial"/>
          <w:color w:val="000000" w:themeColor="text1"/>
        </w:rPr>
        <w:tab/>
        <w:t xml:space="preserve">Trata-se de análise jurídica para </w:t>
      </w:r>
      <w:r w:rsidR="00E266D7" w:rsidRPr="00905EA5">
        <w:rPr>
          <w:rFonts w:ascii="Arial" w:hAnsi="Arial" w:cs="Arial"/>
          <w:color w:val="222222"/>
          <w:shd w:val="clear" w:color="auto" w:fill="FFFFFF"/>
        </w:rPr>
        <w:t xml:space="preserve">contratação </w:t>
      </w:r>
      <w:r w:rsidR="0076602B" w:rsidRPr="00905EA5">
        <w:rPr>
          <w:rFonts w:ascii="Arial" w:hAnsi="Arial" w:cs="Arial"/>
          <w:color w:val="222222"/>
          <w:shd w:val="clear" w:color="auto" w:fill="FFFFFF"/>
        </w:rPr>
        <w:t>de empresa</w:t>
      </w:r>
      <w:proofErr w:type="gramStart"/>
      <w:r w:rsidR="0076602B" w:rsidRPr="00905EA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05EA5" w:rsidRPr="00905EA5">
        <w:rPr>
          <w:rFonts w:ascii="Arial" w:eastAsia="Times New Roman" w:hAnsi="Arial" w:cs="Arial"/>
          <w:lang w:eastAsia="pt-BR"/>
        </w:rPr>
        <w:t xml:space="preserve"> </w:t>
      </w:r>
      <w:proofErr w:type="gramEnd"/>
      <w:r w:rsidR="00905EA5" w:rsidRPr="00905EA5">
        <w:rPr>
          <w:rFonts w:ascii="Arial" w:eastAsia="Times New Roman" w:hAnsi="Arial" w:cs="Arial"/>
          <w:lang w:eastAsia="pt-BR"/>
        </w:rPr>
        <w:t>especializada para a realização de exames laboratoriais para diagnósticos de emergência oriundos do Pronto Atendimento Mais Vida, conforme especificações detalhadas no Termo de Referência (Anexo I)</w:t>
      </w:r>
      <w:r w:rsidR="00941F3F" w:rsidRPr="00905EA5">
        <w:rPr>
          <w:rFonts w:ascii="Arial" w:hAnsi="Arial" w:cs="Arial"/>
          <w:color w:val="222222"/>
          <w:shd w:val="clear" w:color="auto" w:fill="FFFFFF"/>
        </w:rPr>
        <w:t xml:space="preserve">, </w:t>
      </w:r>
      <w:r w:rsidRPr="00905EA5">
        <w:rPr>
          <w:rFonts w:ascii="Arial" w:hAnsi="Arial" w:cs="Arial"/>
          <w:color w:val="000000" w:themeColor="text1"/>
        </w:rPr>
        <w:t xml:space="preserve">por meio de licitação na </w:t>
      </w:r>
      <w:r w:rsidR="002B03F9" w:rsidRPr="00905EA5">
        <w:rPr>
          <w:rFonts w:ascii="Arial" w:hAnsi="Arial" w:cs="Arial"/>
          <w:color w:val="000000" w:themeColor="text1"/>
        </w:rPr>
        <w:t xml:space="preserve">modalidade </w:t>
      </w:r>
      <w:r w:rsidR="00063616" w:rsidRPr="00905EA5">
        <w:rPr>
          <w:rFonts w:ascii="Arial" w:hAnsi="Arial" w:cs="Arial"/>
          <w:color w:val="000000" w:themeColor="text1"/>
        </w:rPr>
        <w:t>Pregão</w:t>
      </w:r>
      <w:r w:rsidRPr="00905EA5">
        <w:rPr>
          <w:rFonts w:ascii="Arial" w:hAnsi="Arial" w:cs="Arial"/>
          <w:color w:val="000000" w:themeColor="text1"/>
        </w:rPr>
        <w:t>, na forma eletrônica, com fulcro na Nova Lei de Licitações e Contratos – Lei nº 14.133/2021.</w:t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Assim, vieram os autos contendo: a requisição do objeto e apresentação das justificativas das necessidades de contratação, a autorização para instauração do procedimento</w:t>
      </w:r>
      <w:proofErr w:type="gramStart"/>
      <w:r w:rsidRPr="00941F3F">
        <w:rPr>
          <w:rFonts w:ascii="Arial" w:hAnsi="Arial" w:cs="Arial"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color w:val="000000" w:themeColor="text1"/>
        </w:rPr>
        <w:t>a previsão de dotação orçamentária, o termo de referência, a portaria de designação do pr</w:t>
      </w:r>
      <w:r w:rsidR="00FA0A72" w:rsidRPr="00941F3F">
        <w:rPr>
          <w:rFonts w:ascii="Arial" w:hAnsi="Arial" w:cs="Arial"/>
          <w:color w:val="000000" w:themeColor="text1"/>
        </w:rPr>
        <w:t xml:space="preserve">egoeiro e da equipe de apoio e </w:t>
      </w:r>
      <w:r w:rsidRPr="00941F3F">
        <w:rPr>
          <w:rFonts w:ascii="Arial" w:hAnsi="Arial" w:cs="Arial"/>
          <w:color w:val="000000" w:themeColor="text1"/>
        </w:rPr>
        <w:t xml:space="preserve"> a minuta do Edital.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1.  Da Fase Preparatória.</w:t>
      </w:r>
      <w:proofErr w:type="gramStart"/>
      <w:r w:rsidRPr="00941F3F">
        <w:rPr>
          <w:rFonts w:ascii="Arial" w:hAnsi="Arial" w:cs="Arial"/>
          <w:color w:val="000000" w:themeColor="text1"/>
        </w:rPr>
        <w:tab/>
      </w:r>
      <w:proofErr w:type="gramEnd"/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O artigo 18 e incisos da Lei nº 14.133/2021 estabelece todos os elementos que devem ser compreendidos nos autos do processo de contratação pública, senão vejamos:</w:t>
      </w:r>
      <w:proofErr w:type="gramStart"/>
      <w:r w:rsidRPr="00941F3F">
        <w:rPr>
          <w:rFonts w:ascii="Arial" w:hAnsi="Arial" w:cs="Arial"/>
          <w:color w:val="000000" w:themeColor="text1"/>
        </w:rPr>
        <w:tab/>
      </w:r>
      <w:proofErr w:type="gramEnd"/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Art. 18. A fase preparatória do processo licitatório é caracterizada pelo planejamento e deve compatibilizar-se com o plano de contratações anual de que trata o inciso VII do caput do art. 12 desta Lei, sempre que elaborado, e com as leis orçamentárias, bem como abordar todas as considerações técnicas, mercadológicas e de gestão que podem interferir na contratação, compreendidos:</w:t>
      </w:r>
      <w:proofErr w:type="gramStart"/>
      <w:r w:rsidRPr="00941F3F">
        <w:rPr>
          <w:rFonts w:ascii="Arial" w:hAnsi="Arial" w:cs="Arial"/>
          <w:i/>
          <w:color w:val="000000" w:themeColor="text1"/>
        </w:rPr>
        <w:tab/>
      </w:r>
      <w:proofErr w:type="gramEnd"/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descrição da necessidade da contratação fundamentada em estudo técnico preliminar que caracterize o interesse público envolvido;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lastRenderedPageBreak/>
        <w:t>II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definição do objeto para o atendimento da necessidade, por meio de termo de referência, anteprojeto, projeto básico ou projeto executivo, conforme o caso;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III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definição das condições de execução e pagamento, das garantias exigidas e ofertadas e das condições de recebimento;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IV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 orçamento estimado, com as composições dos preços utilizados para sua formação;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elaboração do edital de licitação;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     - a elaboração de minuta de contrato, quando necessária, que constará obrigatoriamente como anexo do edital de licitação;</w:t>
      </w:r>
      <w:proofErr w:type="gramStart"/>
      <w:r w:rsidRPr="00941F3F">
        <w:rPr>
          <w:rFonts w:ascii="Arial" w:hAnsi="Arial" w:cs="Arial"/>
          <w:i/>
          <w:color w:val="000000" w:themeColor="text1"/>
        </w:rPr>
        <w:tab/>
      </w:r>
      <w:proofErr w:type="gramEnd"/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 regime de fornecimento de bens, de prestação de serviços ou de execução de obras e serviços de engenharia, observados os potenciais de economia de escala;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VIII     - a modalidade de licitação, o critério de julgamento, o modo de disputa e a adequação e eficiência da forma de combinação desses parâmetros, para os fins de seleção da proposta apta a gerar o resultado de contratação mais vantajoso para a Administração Pública, considerado todo o ciclo de vida do objeto;</w:t>
      </w:r>
      <w:proofErr w:type="gramStart"/>
      <w:r w:rsidRPr="00941F3F">
        <w:rPr>
          <w:rFonts w:ascii="Arial" w:hAnsi="Arial" w:cs="Arial"/>
          <w:i/>
          <w:color w:val="000000" w:themeColor="text1"/>
        </w:rPr>
        <w:tab/>
      </w:r>
      <w:proofErr w:type="gramEnd"/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IX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motivação circunstanciada das condições do edital, tais como justificativa de exigências de qualificação técnica, mediante indicação das parcelas de maior relevância técnica ou valor significativo do objeto, e de qualificação econômico-financeira, justificativa dos critérios de pontuação e julgamento das propostas técnicas, nas licitações com julgamento por melhor técnica ou técnica e preço, e justificativa das regras pertinentes à participação de empresas em consórcio;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análise dos riscos que possam comprometer o sucesso da licitação e a boa execução contratual;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motivação sobre o momento da divulgação do orçamento da licitação, observado o art. 24 desta Lei.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Analisando os documentos que compõe a instrução do processo de contratação, constata-se a presença da definição do objeto e das justificativas para a sua contratação, a autorização da Autoridade Competente para a instauração do processo de contratação,</w:t>
      </w:r>
      <w:proofErr w:type="gramStart"/>
      <w:r w:rsidRPr="00941F3F">
        <w:rPr>
          <w:rFonts w:ascii="Arial" w:hAnsi="Arial" w:cs="Arial"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color w:val="000000" w:themeColor="text1"/>
        </w:rPr>
        <w:t xml:space="preserve">a previsão de dotação orçamentária, o termo de referência, </w:t>
      </w:r>
      <w:r w:rsidRPr="00941F3F">
        <w:rPr>
          <w:rFonts w:ascii="Arial" w:hAnsi="Arial" w:cs="Arial"/>
          <w:color w:val="000000" w:themeColor="text1"/>
        </w:rPr>
        <w:lastRenderedPageBreak/>
        <w:t>a portaria de designação d</w:t>
      </w:r>
      <w:r w:rsidR="00377125" w:rsidRPr="00941F3F">
        <w:rPr>
          <w:rFonts w:ascii="Arial" w:hAnsi="Arial" w:cs="Arial"/>
          <w:color w:val="000000" w:themeColor="text1"/>
        </w:rPr>
        <w:t xml:space="preserve">a pregoeira e </w:t>
      </w:r>
      <w:r w:rsidRPr="00941F3F">
        <w:rPr>
          <w:rFonts w:ascii="Arial" w:hAnsi="Arial" w:cs="Arial"/>
          <w:color w:val="000000" w:themeColor="text1"/>
        </w:rPr>
        <w:t xml:space="preserve"> equipe de    apoio, bem como a minuta do Edital.</w:t>
      </w:r>
      <w:r w:rsidRPr="00941F3F">
        <w:rPr>
          <w:rFonts w:ascii="Arial" w:hAnsi="Arial" w:cs="Arial"/>
          <w:color w:val="000000" w:themeColor="text1"/>
        </w:rPr>
        <w:tab/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Desta forma, é possível aferir claramente que os autos do processo encontram-se devidamente instruído, atendendo as exigências mínimas legais.</w:t>
      </w:r>
      <w:proofErr w:type="gramStart"/>
      <w:r w:rsidRPr="00941F3F">
        <w:rPr>
          <w:rFonts w:ascii="Arial" w:hAnsi="Arial" w:cs="Arial"/>
          <w:color w:val="000000" w:themeColor="text1"/>
        </w:rPr>
        <w:tab/>
      </w:r>
      <w:proofErr w:type="gramEnd"/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Seguindo a análise, verifica-se que o termo de referência</w:t>
      </w:r>
      <w:proofErr w:type="gramStart"/>
      <w:r w:rsidRPr="00941F3F">
        <w:rPr>
          <w:rFonts w:ascii="Arial" w:hAnsi="Arial" w:cs="Arial"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color w:val="000000" w:themeColor="text1"/>
        </w:rPr>
        <w:t>contem os seguintes itens: definição do objeto, justificativa e objetivo da licitação, classificação dos objetos comuns, prazo de entrega e condições de execução, condições de pagamento, dotação orçamentária, deveres da Contratante e da Contratada, fiscalização do contrato, revisão de preços, extinção do contrato e sanções aplicáveis, contendo, por conseguinte, todos os elementos exigidos pelo inciso XIII do artigo 6º da Lei nº 14.133/2021, que assim determina: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Art. 6º Para os fins desta Lei</w:t>
      </w:r>
      <w:proofErr w:type="gramStart"/>
      <w:r w:rsidRPr="00941F3F">
        <w:rPr>
          <w:rFonts w:ascii="Arial" w:hAnsi="Arial" w:cs="Arial"/>
          <w:i/>
          <w:color w:val="000000" w:themeColor="text1"/>
        </w:rPr>
        <w:t>, consideram-se</w:t>
      </w:r>
      <w:proofErr w:type="gramEnd"/>
      <w:r w:rsidRPr="00941F3F">
        <w:rPr>
          <w:rFonts w:ascii="Arial" w:hAnsi="Arial" w:cs="Arial"/>
          <w:i/>
          <w:color w:val="000000" w:themeColor="text1"/>
        </w:rPr>
        <w:t>: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XXIII - termo de referência: documento necessário para a contratação de bens e serviços, que deve conter os seguintes parâmetros e elementos descritivos: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a) definição do objeto, incluídos sua natureza, os quantitativos, o prazo do contrato e, se for o caso, a possibilidade de sua prorrogação;</w:t>
      </w:r>
      <w:proofErr w:type="gramStart"/>
      <w:r w:rsidRPr="00941F3F">
        <w:rPr>
          <w:rFonts w:ascii="Arial" w:hAnsi="Arial" w:cs="Arial"/>
          <w:i/>
          <w:color w:val="000000" w:themeColor="text1"/>
        </w:rPr>
        <w:tab/>
      </w:r>
      <w:proofErr w:type="gramEnd"/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b)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fundamentação da contratação, que consiste na referência aos estudos técnicos preliminares correspondentes ou, quando não for possível divulgar esses estudos, no extrato das partes que não contiverem informações sigilosas;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c)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i/>
          <w:color w:val="000000" w:themeColor="text1"/>
        </w:rPr>
        <w:t>descrição da solução como um todo, considerado todo o ciclo de vida do objeto;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d)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i/>
          <w:color w:val="000000" w:themeColor="text1"/>
        </w:rPr>
        <w:t>requisitos da contratação;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e)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i/>
          <w:color w:val="000000" w:themeColor="text1"/>
        </w:rPr>
        <w:t>modelo de execução do objeto, que consiste na definição de como o contrato deverá produzir os resultados pretendidos desde o seu início até o seu encerramento;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f)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i/>
          <w:color w:val="000000" w:themeColor="text1"/>
        </w:rPr>
        <w:t>modelo de gestão do contrato, que descreve como a execução do objeto será acompanhada e fiscalizada pelo órgão ou entidade;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g)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i/>
          <w:color w:val="000000" w:themeColor="text1"/>
        </w:rPr>
        <w:t>critérios de medição e de pagamento;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h)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i/>
          <w:color w:val="000000" w:themeColor="text1"/>
        </w:rPr>
        <w:t>forma e critérios de seleção do fornecedor;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lastRenderedPageBreak/>
        <w:t>i)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estimativas do valor da contratação, acompanhadas dos preços unitários referenciais, das memórias de cálculo e dos documentos que lhe dão suporte, com os parâmetros utilizados para a obtenção dos preços e para os respectivos cálculos, que devem constar de documento separado e classificado;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j)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i/>
          <w:color w:val="000000" w:themeColor="text1"/>
        </w:rPr>
        <w:t>adequação orçamentária;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DC714C" w:rsidRPr="00941F3F" w:rsidRDefault="00DC714C" w:rsidP="00A65711">
      <w:pPr>
        <w:spacing w:line="360" w:lineRule="auto"/>
        <w:ind w:firstLine="708"/>
        <w:jc w:val="both"/>
        <w:rPr>
          <w:rStyle w:val="Forte"/>
          <w:rFonts w:ascii="Arial" w:hAnsi="Arial" w:cs="Arial"/>
          <w:b w:val="0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Ressalto ainda que</w:t>
      </w:r>
      <w:proofErr w:type="gramStart"/>
      <w:r w:rsidRPr="00941F3F">
        <w:rPr>
          <w:rFonts w:ascii="Arial" w:hAnsi="Arial" w:cs="Arial"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color w:val="000000" w:themeColor="text1"/>
        </w:rPr>
        <w:t xml:space="preserve">o estudo técnico preliminar fica dispensado nos termos do inciso do Artigo 3º do </w:t>
      </w:r>
      <w:r w:rsidRPr="00941F3F">
        <w:rPr>
          <w:rStyle w:val="Forte"/>
          <w:rFonts w:ascii="Arial" w:hAnsi="Arial" w:cs="Arial"/>
          <w:b w:val="0"/>
          <w:color w:val="000000" w:themeColor="text1"/>
        </w:rPr>
        <w:t>Decreto nº 33, de 25 de Abril de 2023, abaixo transcrito:</w:t>
      </w:r>
    </w:p>
    <w:p w:rsidR="00DC714C" w:rsidRPr="00941F3F" w:rsidRDefault="00DC714C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proofErr w:type="gramStart"/>
      <w:r w:rsidRPr="00941F3F">
        <w:rPr>
          <w:rFonts w:ascii="Arial" w:hAnsi="Arial" w:cs="Arial"/>
          <w:i/>
          <w:color w:val="000000" w:themeColor="text1"/>
        </w:rPr>
        <w:t>“Art. 3º A elaboração do Estudo Técnico Preliminar - ETP será facultativa nos seguintes casos:</w:t>
      </w:r>
    </w:p>
    <w:p w:rsidR="00DC714C" w:rsidRPr="00941F3F" w:rsidRDefault="00DC714C" w:rsidP="00A65711">
      <w:pPr>
        <w:spacing w:line="360" w:lineRule="auto"/>
        <w:jc w:val="both"/>
        <w:rPr>
          <w:rStyle w:val="Forte"/>
          <w:rFonts w:ascii="Arial" w:hAnsi="Arial" w:cs="Arial"/>
          <w:i/>
          <w:color w:val="000000" w:themeColor="text1"/>
        </w:rPr>
      </w:pPr>
      <w:proofErr w:type="gramEnd"/>
      <w:r w:rsidRPr="00941F3F">
        <w:rPr>
          <w:rFonts w:ascii="Arial" w:hAnsi="Arial" w:cs="Arial"/>
          <w:i/>
          <w:color w:val="000000" w:themeColor="text1"/>
        </w:rPr>
        <w:t>(</w:t>
      </w:r>
      <w:proofErr w:type="gramStart"/>
      <w:r w:rsidRPr="00941F3F">
        <w:rPr>
          <w:rFonts w:ascii="Arial" w:hAnsi="Arial" w:cs="Arial"/>
          <w:i/>
          <w:color w:val="000000" w:themeColor="text1"/>
        </w:rPr>
        <w:t>.....</w:t>
      </w:r>
      <w:proofErr w:type="gramEnd"/>
      <w:r w:rsidRPr="00941F3F">
        <w:rPr>
          <w:rFonts w:ascii="Arial" w:hAnsi="Arial" w:cs="Arial"/>
          <w:i/>
          <w:color w:val="000000" w:themeColor="text1"/>
        </w:rPr>
        <w:t>)</w:t>
      </w:r>
    </w:p>
    <w:p w:rsidR="00DC714C" w:rsidRPr="00941F3F" w:rsidRDefault="00DC714C" w:rsidP="00A6571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 -  contratação/aquisição de bens e serviços comuns, aqueles cujos padrões de desempenho e qualidade podem ser objetivamente definidos pelo edital, por meio de especificações usuais de mercado, segundo critérios de conveniência e oportunidade</w:t>
      </w:r>
      <w:r w:rsidRPr="00941F3F">
        <w:rPr>
          <w:rFonts w:ascii="Arial" w:hAnsi="Arial" w:cs="Arial"/>
          <w:color w:val="000000" w:themeColor="text1"/>
        </w:rPr>
        <w:t>.</w:t>
      </w:r>
      <w:proofErr w:type="gramStart"/>
      <w:r w:rsidRPr="00941F3F">
        <w:rPr>
          <w:rFonts w:ascii="Arial" w:hAnsi="Arial" w:cs="Arial"/>
          <w:color w:val="000000" w:themeColor="text1"/>
        </w:rPr>
        <w:t>”</w:t>
      </w:r>
      <w:proofErr w:type="gramEnd"/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 xml:space="preserve"> </w:t>
      </w:r>
      <w:r w:rsidRPr="00941F3F">
        <w:rPr>
          <w:rFonts w:ascii="Arial" w:hAnsi="Arial" w:cs="Arial"/>
          <w:color w:val="000000" w:themeColor="text1"/>
        </w:rPr>
        <w:tab/>
        <w:t>Desta forma, é possível aferir que a fase preparatória do certame encontra-se em consonância com as exigências mínimas exigidas pela NLLC para fins de contratação nesta nova sistemática de licitações públicas.</w:t>
      </w:r>
      <w:proofErr w:type="gramStart"/>
      <w:r w:rsidRPr="00941F3F">
        <w:rPr>
          <w:rFonts w:ascii="Arial" w:hAnsi="Arial" w:cs="Arial"/>
          <w:color w:val="000000" w:themeColor="text1"/>
        </w:rPr>
        <w:tab/>
      </w:r>
      <w:proofErr w:type="gramEnd"/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2.  Da Minuta do Edital</w:t>
      </w:r>
      <w:r w:rsidRPr="00941F3F">
        <w:rPr>
          <w:rFonts w:ascii="Arial" w:hAnsi="Arial" w:cs="Arial"/>
          <w:b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Conforme já informado ao norte, a elaboração da minuta do edital é um dos elementos que devem ser observados na fase interna da licitação pública, tendo aquele sido submetido à análise jurídica contendo dois anexos, quais sejam: o termo de referência e a minuta do contrato. Ademais, a minuta do Edital veio com os seguintes itens descriminados: sessão pública, definição do objeto, recursos orçamentários, condições de participação, encaminhamento e elementos da proposta, formulação dos lances, aceitabilidade e classificação da proposta, habilitação, recurso, adjudicação e homologação do certame, pedido de esclarecimentos e impugnação ao edital, disposições finais e foro de ju</w:t>
      </w:r>
      <w:r w:rsidR="00377125" w:rsidRPr="00941F3F">
        <w:rPr>
          <w:rFonts w:ascii="Arial" w:hAnsi="Arial" w:cs="Arial"/>
          <w:color w:val="000000" w:themeColor="text1"/>
        </w:rPr>
        <w:t>lgamento.</w:t>
      </w:r>
      <w:proofErr w:type="gramStart"/>
      <w:r w:rsidR="00377125" w:rsidRPr="00941F3F">
        <w:rPr>
          <w:rFonts w:ascii="Arial" w:hAnsi="Arial" w:cs="Arial"/>
          <w:color w:val="000000" w:themeColor="text1"/>
        </w:rPr>
        <w:tab/>
      </w:r>
      <w:proofErr w:type="gramEnd"/>
    </w:p>
    <w:p w:rsidR="00377125" w:rsidRPr="00941F3F" w:rsidRDefault="00377125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E</w:t>
      </w:r>
      <w:r w:rsidRPr="00941F3F">
        <w:rPr>
          <w:rFonts w:ascii="Arial" w:hAnsi="Arial" w:cs="Arial"/>
          <w:color w:val="000000" w:themeColor="text1"/>
          <w:spacing w:val="-9"/>
        </w:rPr>
        <w:t xml:space="preserve"> </w:t>
      </w:r>
      <w:r w:rsidRPr="00941F3F">
        <w:rPr>
          <w:rFonts w:ascii="Arial" w:hAnsi="Arial" w:cs="Arial"/>
          <w:color w:val="000000" w:themeColor="text1"/>
        </w:rPr>
        <w:t>ainda,</w:t>
      </w:r>
      <w:r w:rsidRPr="00941F3F">
        <w:rPr>
          <w:rFonts w:ascii="Arial" w:hAnsi="Arial" w:cs="Arial"/>
          <w:color w:val="000000" w:themeColor="text1"/>
          <w:spacing w:val="-9"/>
        </w:rPr>
        <w:t xml:space="preserve"> </w:t>
      </w:r>
      <w:r w:rsidRPr="00941F3F">
        <w:rPr>
          <w:rFonts w:ascii="Arial" w:hAnsi="Arial" w:cs="Arial"/>
          <w:color w:val="000000" w:themeColor="text1"/>
        </w:rPr>
        <w:t>a</w:t>
      </w:r>
      <w:r w:rsidRPr="00941F3F">
        <w:rPr>
          <w:rFonts w:ascii="Arial" w:hAnsi="Arial" w:cs="Arial"/>
          <w:color w:val="000000" w:themeColor="text1"/>
          <w:spacing w:val="-8"/>
        </w:rPr>
        <w:t xml:space="preserve"> </w:t>
      </w:r>
      <w:r w:rsidRPr="00941F3F">
        <w:rPr>
          <w:rFonts w:ascii="Arial" w:hAnsi="Arial" w:cs="Arial"/>
          <w:color w:val="000000" w:themeColor="text1"/>
        </w:rPr>
        <w:t>minuta</w:t>
      </w:r>
      <w:r w:rsidRPr="00941F3F">
        <w:rPr>
          <w:rFonts w:ascii="Arial" w:hAnsi="Arial" w:cs="Arial"/>
          <w:color w:val="000000" w:themeColor="text1"/>
          <w:spacing w:val="-8"/>
        </w:rPr>
        <w:t xml:space="preserve"> </w:t>
      </w:r>
      <w:r w:rsidRPr="00941F3F">
        <w:rPr>
          <w:rFonts w:ascii="Arial" w:hAnsi="Arial" w:cs="Arial"/>
          <w:color w:val="000000" w:themeColor="text1"/>
        </w:rPr>
        <w:t>do</w:t>
      </w:r>
      <w:r w:rsidRPr="00941F3F">
        <w:rPr>
          <w:rFonts w:ascii="Arial" w:hAnsi="Arial" w:cs="Arial"/>
          <w:color w:val="000000" w:themeColor="text1"/>
          <w:spacing w:val="-9"/>
        </w:rPr>
        <w:t xml:space="preserve"> </w:t>
      </w:r>
      <w:r w:rsidRPr="00941F3F">
        <w:rPr>
          <w:rFonts w:ascii="Arial" w:hAnsi="Arial" w:cs="Arial"/>
          <w:color w:val="000000" w:themeColor="text1"/>
        </w:rPr>
        <w:t>Edital</w:t>
      </w:r>
      <w:r w:rsidRPr="00941F3F">
        <w:rPr>
          <w:rFonts w:ascii="Arial" w:hAnsi="Arial" w:cs="Arial"/>
          <w:color w:val="000000" w:themeColor="text1"/>
          <w:spacing w:val="-8"/>
        </w:rPr>
        <w:t xml:space="preserve"> </w:t>
      </w:r>
      <w:r w:rsidRPr="00941F3F">
        <w:rPr>
          <w:rFonts w:ascii="Arial" w:hAnsi="Arial" w:cs="Arial"/>
          <w:color w:val="000000" w:themeColor="text1"/>
        </w:rPr>
        <w:t>de</w:t>
      </w:r>
      <w:r w:rsidRPr="00941F3F">
        <w:rPr>
          <w:rFonts w:ascii="Arial" w:hAnsi="Arial" w:cs="Arial"/>
          <w:color w:val="000000" w:themeColor="text1"/>
          <w:spacing w:val="-8"/>
        </w:rPr>
        <w:t xml:space="preserve"> </w:t>
      </w:r>
      <w:r w:rsidRPr="00941F3F">
        <w:rPr>
          <w:rFonts w:ascii="Arial" w:hAnsi="Arial" w:cs="Arial"/>
          <w:color w:val="000000" w:themeColor="text1"/>
        </w:rPr>
        <w:t>forma</w:t>
      </w:r>
      <w:r w:rsidRPr="00941F3F">
        <w:rPr>
          <w:rFonts w:ascii="Arial" w:hAnsi="Arial" w:cs="Arial"/>
          <w:color w:val="000000" w:themeColor="text1"/>
          <w:spacing w:val="-8"/>
        </w:rPr>
        <w:t xml:space="preserve"> </w:t>
      </w:r>
      <w:r w:rsidRPr="00941F3F">
        <w:rPr>
          <w:rFonts w:ascii="Arial" w:hAnsi="Arial" w:cs="Arial"/>
          <w:color w:val="000000" w:themeColor="text1"/>
        </w:rPr>
        <w:t>bastante</w:t>
      </w:r>
      <w:r w:rsidRPr="00941F3F">
        <w:rPr>
          <w:rFonts w:ascii="Arial" w:hAnsi="Arial" w:cs="Arial"/>
          <w:color w:val="000000" w:themeColor="text1"/>
          <w:spacing w:val="-9"/>
        </w:rPr>
        <w:t xml:space="preserve"> </w:t>
      </w:r>
      <w:r w:rsidRPr="00941F3F">
        <w:rPr>
          <w:rFonts w:ascii="Arial" w:hAnsi="Arial" w:cs="Arial"/>
          <w:color w:val="000000" w:themeColor="text1"/>
        </w:rPr>
        <w:t>acertada,</w:t>
      </w:r>
      <w:r w:rsidRPr="00941F3F">
        <w:rPr>
          <w:rFonts w:ascii="Arial" w:hAnsi="Arial" w:cs="Arial"/>
          <w:color w:val="000000" w:themeColor="text1"/>
          <w:spacing w:val="-9"/>
        </w:rPr>
        <w:t xml:space="preserve"> </w:t>
      </w:r>
      <w:r w:rsidRPr="00941F3F">
        <w:rPr>
          <w:rFonts w:ascii="Arial" w:hAnsi="Arial" w:cs="Arial"/>
          <w:color w:val="000000" w:themeColor="text1"/>
        </w:rPr>
        <w:t>preconiza</w:t>
      </w:r>
      <w:r w:rsidRPr="00941F3F">
        <w:rPr>
          <w:rFonts w:ascii="Arial" w:hAnsi="Arial" w:cs="Arial"/>
          <w:color w:val="000000" w:themeColor="text1"/>
          <w:spacing w:val="-8"/>
        </w:rPr>
        <w:t xml:space="preserve"> </w:t>
      </w:r>
      <w:r w:rsidRPr="00941F3F">
        <w:rPr>
          <w:rFonts w:ascii="Arial" w:hAnsi="Arial" w:cs="Arial"/>
          <w:color w:val="000000" w:themeColor="text1"/>
        </w:rPr>
        <w:t>as</w:t>
      </w:r>
      <w:r w:rsidRPr="00941F3F">
        <w:rPr>
          <w:rFonts w:ascii="Arial" w:hAnsi="Arial" w:cs="Arial"/>
          <w:color w:val="000000" w:themeColor="text1"/>
          <w:spacing w:val="-11"/>
        </w:rPr>
        <w:t xml:space="preserve"> </w:t>
      </w:r>
      <w:r w:rsidRPr="00941F3F">
        <w:rPr>
          <w:rFonts w:ascii="Arial" w:hAnsi="Arial" w:cs="Arial"/>
          <w:color w:val="000000" w:themeColor="text1"/>
        </w:rPr>
        <w:t>prerrogativas</w:t>
      </w:r>
      <w:r w:rsidRPr="00941F3F">
        <w:rPr>
          <w:rFonts w:ascii="Arial" w:hAnsi="Arial" w:cs="Arial"/>
          <w:color w:val="000000" w:themeColor="text1"/>
          <w:spacing w:val="-58"/>
        </w:rPr>
        <w:t xml:space="preserve"> </w:t>
      </w:r>
      <w:r w:rsidRPr="00941F3F">
        <w:rPr>
          <w:rFonts w:ascii="Arial" w:hAnsi="Arial" w:cs="Arial"/>
          <w:color w:val="000000" w:themeColor="text1"/>
        </w:rPr>
        <w:t>das microempresas, empresas de pequeno porte e microempreendedores individuais nos</w:t>
      </w:r>
      <w:r w:rsidRPr="00941F3F">
        <w:rPr>
          <w:rFonts w:ascii="Arial" w:hAnsi="Arial" w:cs="Arial"/>
          <w:color w:val="000000" w:themeColor="text1"/>
          <w:spacing w:val="1"/>
        </w:rPr>
        <w:t xml:space="preserve"> </w:t>
      </w:r>
      <w:r w:rsidRPr="00941F3F">
        <w:rPr>
          <w:rFonts w:ascii="Arial" w:hAnsi="Arial" w:cs="Arial"/>
          <w:color w:val="000000" w:themeColor="text1"/>
        </w:rPr>
        <w:t xml:space="preserve">termos constantes na Lei Complementar </w:t>
      </w:r>
      <w:r w:rsidRPr="00941F3F">
        <w:rPr>
          <w:rFonts w:ascii="Arial" w:hAnsi="Arial" w:cs="Arial"/>
          <w:color w:val="000000" w:themeColor="text1"/>
        </w:rPr>
        <w:lastRenderedPageBreak/>
        <w:t>Federal nº 123/2006 e suas alterações, para fins</w:t>
      </w:r>
      <w:r w:rsidRPr="00941F3F">
        <w:rPr>
          <w:rFonts w:ascii="Arial" w:hAnsi="Arial" w:cs="Arial"/>
          <w:color w:val="000000" w:themeColor="text1"/>
          <w:spacing w:val="-57"/>
        </w:rPr>
        <w:t xml:space="preserve"> </w:t>
      </w:r>
      <w:r w:rsidRPr="00941F3F">
        <w:rPr>
          <w:rFonts w:ascii="Arial" w:hAnsi="Arial" w:cs="Arial"/>
          <w:color w:val="000000" w:themeColor="text1"/>
        </w:rPr>
        <w:t>de regência</w:t>
      </w:r>
      <w:r w:rsidRPr="00941F3F">
        <w:rPr>
          <w:rFonts w:ascii="Arial" w:hAnsi="Arial" w:cs="Arial"/>
          <w:color w:val="000000" w:themeColor="text1"/>
          <w:spacing w:val="1"/>
        </w:rPr>
        <w:t xml:space="preserve"> </w:t>
      </w:r>
      <w:r w:rsidRPr="00941F3F">
        <w:rPr>
          <w:rFonts w:ascii="Arial" w:hAnsi="Arial" w:cs="Arial"/>
          <w:color w:val="000000" w:themeColor="text1"/>
        </w:rPr>
        <w:t>da</w:t>
      </w:r>
      <w:r w:rsidRPr="00941F3F">
        <w:rPr>
          <w:rFonts w:ascii="Arial" w:hAnsi="Arial" w:cs="Arial"/>
          <w:color w:val="000000" w:themeColor="text1"/>
          <w:spacing w:val="1"/>
        </w:rPr>
        <w:t xml:space="preserve"> </w:t>
      </w:r>
      <w:r w:rsidRPr="00941F3F">
        <w:rPr>
          <w:rFonts w:ascii="Arial" w:hAnsi="Arial" w:cs="Arial"/>
          <w:color w:val="000000" w:themeColor="text1"/>
        </w:rPr>
        <w:t xml:space="preserve">contratação em </w:t>
      </w:r>
      <w:proofErr w:type="gramStart"/>
      <w:r w:rsidRPr="00941F3F">
        <w:rPr>
          <w:rFonts w:ascii="Arial" w:hAnsi="Arial" w:cs="Arial"/>
          <w:color w:val="000000" w:themeColor="text1"/>
        </w:rPr>
        <w:t>comento</w:t>
      </w:r>
      <w:proofErr w:type="gramEnd"/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Diante do apresentado, afere-se que os itens da minuta do Edital estão definidos de forma clara e com a devida observância do determinado no artigo 25 da Lei nº 14.133/2021.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3.  Da Minuta do Contrato</w:t>
      </w:r>
      <w:r w:rsidRPr="00941F3F">
        <w:rPr>
          <w:rFonts w:ascii="Arial" w:hAnsi="Arial" w:cs="Arial"/>
          <w:b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O artigo 92 e incisos da NLLC</w:t>
      </w:r>
      <w:proofErr w:type="gramStart"/>
      <w:r w:rsidRPr="00941F3F">
        <w:rPr>
          <w:rFonts w:ascii="Arial" w:hAnsi="Arial" w:cs="Arial"/>
          <w:color w:val="000000" w:themeColor="text1"/>
        </w:rPr>
        <w:t>, estabelece</w:t>
      </w:r>
      <w:proofErr w:type="gramEnd"/>
      <w:r w:rsidRPr="00941F3F">
        <w:rPr>
          <w:rFonts w:ascii="Arial" w:hAnsi="Arial" w:cs="Arial"/>
          <w:color w:val="000000" w:themeColor="text1"/>
        </w:rPr>
        <w:t xml:space="preserve"> as cláusulas que são necessárias nos contratos administrativos, conforme abaixo:</w:t>
      </w:r>
      <w:r w:rsidRPr="00941F3F">
        <w:rPr>
          <w:rFonts w:ascii="Arial" w:hAnsi="Arial" w:cs="Arial"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Art. 92. São necessárias em todo contrato cláusulas que estabeleçam: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 objeto e seus elementos característicos;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vinculação ao edital de licitação e à proposta do licitante vencedor ou ao ato que tiver autorizado a contratação direta e à respectiva proposta;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III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legislação aplicável à execução do contrato, inclusive quanto aos casos omissos;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IV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 regime de execução ou a forma de fornecimento;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 preço e as condições de pagamento, os critérios, a data-base e a periodicidade do reajustamento de preços e os critérios de atualização monetária entre a data do adimplemento das obrigações e a do efetivo pagamento;</w:t>
      </w:r>
      <w:r w:rsidRPr="00941F3F">
        <w:rPr>
          <w:rFonts w:ascii="Arial" w:hAnsi="Arial" w:cs="Arial"/>
          <w:i/>
          <w:color w:val="000000" w:themeColor="text1"/>
        </w:rPr>
        <w:tab/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os critérios e a periodicidade da medição, quando for o caso, e o prazo para liquidação e para pagamento;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os prazos de início das etapas de execução, conclusão, entrega, observação e recebimento definitivo,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VIII     - o crédito pelo qual correrá a despesa, com a indicação da classificação funcional programática e da categoria econômica;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IX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matriz de risco,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 prazo para resposta ao pedido de repactuação de preços,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lastRenderedPageBreak/>
        <w:t>XI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 prazo para resposta ao pedido de restabelecimento do equilíbrio econômico-financeiro,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XII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as garantias oferecidas para assegurar sua plena execução, quando exigidas, inclusive as que forem oferecidas pelo contratado no caso de antecipação de valores a título de pagamento;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XIII     - o prazo de garantia mínima do objeto, observados os prazos mínimos estabelecidos nesta Lei e nas normas técnicas aplicáveis, e as condições de manutenção e assistência técnica, quando for o caso; XIV - os direitos e as responsabilidades das partes, as penalidades cabíveis e os valores das multas e suas bases de cálculo;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XV     - as condições de importação e a data e a taxa de câmbio para conversão, quando for o caso;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XVI      - a obrigação do contratado de manter, durante toda a execução do contrato, em compatibilidade com as obrigações por ele assumidas, todas as condições exigidas para a habilitação na licitação, ou para a qualificação, na contratação direta;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XVII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a obrigação de o contratado cumprir as exigências de reserva de cargos prevista em lei, bem como em outras normas específicas, para pessoa com deficiência, para reabilitado da Previdência Social e para aprendiz;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XVIII      - o modelo de gestão do contrato, observados os requisitos definidos em regulamento;</w:t>
      </w:r>
      <w:proofErr w:type="gramStart"/>
      <w:r w:rsidRPr="00941F3F">
        <w:rPr>
          <w:rFonts w:ascii="Arial" w:hAnsi="Arial" w:cs="Arial"/>
          <w:i/>
          <w:color w:val="000000" w:themeColor="text1"/>
        </w:rPr>
        <w:tab/>
      </w:r>
      <w:proofErr w:type="gramEnd"/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i/>
          <w:color w:val="000000" w:themeColor="text1"/>
        </w:rPr>
      </w:pPr>
      <w:r w:rsidRPr="00941F3F">
        <w:rPr>
          <w:rFonts w:ascii="Arial" w:hAnsi="Arial" w:cs="Arial"/>
          <w:i/>
          <w:color w:val="000000" w:themeColor="text1"/>
        </w:rPr>
        <w:t>XIX</w:t>
      </w:r>
      <w:proofErr w:type="gramStart"/>
      <w:r w:rsidRPr="00941F3F">
        <w:rPr>
          <w:rFonts w:ascii="Arial" w:hAnsi="Arial" w:cs="Arial"/>
          <w:i/>
          <w:color w:val="000000" w:themeColor="text1"/>
        </w:rPr>
        <w:t xml:space="preserve">    </w:t>
      </w:r>
      <w:proofErr w:type="gramEnd"/>
      <w:r w:rsidRPr="00941F3F">
        <w:rPr>
          <w:rFonts w:ascii="Arial" w:hAnsi="Arial" w:cs="Arial"/>
          <w:i/>
          <w:color w:val="000000" w:themeColor="text1"/>
        </w:rPr>
        <w:t>- os casos de extinção.</w:t>
      </w:r>
    </w:p>
    <w:p w:rsidR="00505DBB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 xml:space="preserve">Portanto, a minuta do contrato encontra-se com as cláusulas mínimas devidamente </w:t>
      </w:r>
      <w:r w:rsidR="00FA0A72" w:rsidRPr="00941F3F">
        <w:rPr>
          <w:rFonts w:ascii="Arial" w:hAnsi="Arial" w:cs="Arial"/>
          <w:color w:val="000000" w:themeColor="text1"/>
        </w:rPr>
        <w:t>amparadas na Lei nº 14.133/2021.</w:t>
      </w:r>
    </w:p>
    <w:p w:rsidR="00377125" w:rsidRPr="00941F3F" w:rsidRDefault="00505DBB" w:rsidP="00A65711">
      <w:pPr>
        <w:pStyle w:val="Corpodetexto"/>
        <w:spacing w:line="360" w:lineRule="auto"/>
        <w:ind w:left="100" w:right="261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41F3F">
        <w:rPr>
          <w:rFonts w:ascii="Arial" w:hAnsi="Arial" w:cs="Arial"/>
          <w:color w:val="000000" w:themeColor="text1"/>
          <w:sz w:val="22"/>
          <w:szCs w:val="22"/>
        </w:rPr>
        <w:t>De mais a mais, a minuta do Edital do processo licitatório estabelece a modalidade de licitação para a contratação do objeto como sendo</w:t>
      </w:r>
      <w:proofErr w:type="gramStart"/>
      <w:r w:rsidRPr="00941F3F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gramEnd"/>
      <w:r w:rsidR="00377125" w:rsidRPr="00941F3F">
        <w:rPr>
          <w:rFonts w:ascii="Arial" w:hAnsi="Arial" w:cs="Arial"/>
          <w:color w:val="000000" w:themeColor="text1"/>
          <w:sz w:val="22"/>
          <w:szCs w:val="22"/>
        </w:rPr>
        <w:t>pregão</w:t>
      </w:r>
      <w:r w:rsidRPr="00941F3F">
        <w:rPr>
          <w:rFonts w:ascii="Arial" w:hAnsi="Arial" w:cs="Arial"/>
          <w:color w:val="000000" w:themeColor="text1"/>
          <w:sz w:val="22"/>
          <w:szCs w:val="22"/>
        </w:rPr>
        <w:t xml:space="preserve">,  em sua forma eletrônica,  atendendo o disposto </w:t>
      </w:r>
      <w:r w:rsidR="00377125" w:rsidRPr="00941F3F">
        <w:rPr>
          <w:rFonts w:ascii="Arial" w:hAnsi="Arial" w:cs="Arial"/>
          <w:color w:val="000000" w:themeColor="text1"/>
          <w:sz w:val="22"/>
          <w:szCs w:val="22"/>
        </w:rPr>
        <w:t>, atendendo o disposto nos incisos XIII e XLI, do</w:t>
      </w:r>
      <w:r w:rsidR="00377125" w:rsidRPr="00941F3F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377125" w:rsidRPr="00941F3F">
        <w:rPr>
          <w:rFonts w:ascii="Arial" w:hAnsi="Arial" w:cs="Arial"/>
          <w:color w:val="000000" w:themeColor="text1"/>
          <w:sz w:val="22"/>
          <w:szCs w:val="22"/>
        </w:rPr>
        <w:t>artigo</w:t>
      </w:r>
      <w:r w:rsidR="00377125" w:rsidRPr="00941F3F">
        <w:rPr>
          <w:rFonts w:ascii="Arial" w:hAnsi="Arial" w:cs="Arial"/>
          <w:color w:val="000000" w:themeColor="text1"/>
          <w:spacing w:val="-1"/>
          <w:sz w:val="22"/>
          <w:szCs w:val="22"/>
        </w:rPr>
        <w:t xml:space="preserve"> </w:t>
      </w:r>
      <w:r w:rsidR="00377125" w:rsidRPr="00941F3F">
        <w:rPr>
          <w:rFonts w:ascii="Arial" w:hAnsi="Arial" w:cs="Arial"/>
          <w:color w:val="000000" w:themeColor="text1"/>
          <w:sz w:val="22"/>
          <w:szCs w:val="22"/>
        </w:rPr>
        <w:t>6º</w:t>
      </w:r>
      <w:r w:rsidR="00377125" w:rsidRPr="00941F3F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377125" w:rsidRPr="00941F3F">
        <w:rPr>
          <w:rFonts w:ascii="Arial" w:hAnsi="Arial" w:cs="Arial"/>
          <w:color w:val="000000" w:themeColor="text1"/>
          <w:sz w:val="22"/>
          <w:szCs w:val="22"/>
        </w:rPr>
        <w:t>da</w:t>
      </w:r>
      <w:r w:rsidR="00377125" w:rsidRPr="00941F3F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377125" w:rsidRPr="00941F3F">
        <w:rPr>
          <w:rFonts w:ascii="Arial" w:hAnsi="Arial" w:cs="Arial"/>
          <w:color w:val="000000" w:themeColor="text1"/>
          <w:sz w:val="22"/>
          <w:szCs w:val="22"/>
        </w:rPr>
        <w:t>Lei nº</w:t>
      </w:r>
      <w:r w:rsidR="00377125" w:rsidRPr="00941F3F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="00377125" w:rsidRPr="00941F3F">
        <w:rPr>
          <w:rFonts w:ascii="Arial" w:hAnsi="Arial" w:cs="Arial"/>
          <w:color w:val="000000" w:themeColor="text1"/>
          <w:sz w:val="22"/>
          <w:szCs w:val="22"/>
        </w:rPr>
        <w:t>14.133/2021.</w:t>
      </w: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05DBB" w:rsidRPr="00941F3F" w:rsidRDefault="00505DBB" w:rsidP="00A65711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941F3F">
        <w:rPr>
          <w:rFonts w:ascii="Arial" w:hAnsi="Arial" w:cs="Arial"/>
          <w:b/>
          <w:color w:val="000000" w:themeColor="text1"/>
        </w:rPr>
        <w:t>4.  Da Conclusão</w:t>
      </w:r>
    </w:p>
    <w:p w:rsidR="00F23E0F" w:rsidRPr="00941F3F" w:rsidRDefault="00505DBB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lastRenderedPageBreak/>
        <w:t xml:space="preserve">Ante a todo o exposto, e com fundamento no artigo 53 da Lei nº 14.133/2021, especialmente quanto às minutas apresentadas, verifica-se a devida obediência aos ditames da NLLC, razão pela qual </w:t>
      </w:r>
      <w:proofErr w:type="gramStart"/>
      <w:r w:rsidRPr="00941F3F">
        <w:rPr>
          <w:rFonts w:ascii="Arial" w:hAnsi="Arial" w:cs="Arial"/>
          <w:color w:val="000000" w:themeColor="text1"/>
        </w:rPr>
        <w:t>conclui-se</w:t>
      </w:r>
      <w:proofErr w:type="gramEnd"/>
      <w:r w:rsidRPr="00941F3F">
        <w:rPr>
          <w:rFonts w:ascii="Arial" w:hAnsi="Arial" w:cs="Arial"/>
          <w:color w:val="000000" w:themeColor="text1"/>
        </w:rPr>
        <w:t xml:space="preserve"> pela devida aprovação e opina-se pelo prosseguimento do processo, recomendando-se a observância das publicações e do prazos mínimo</w:t>
      </w:r>
      <w:r w:rsidR="00377125" w:rsidRPr="00941F3F">
        <w:rPr>
          <w:rFonts w:ascii="Arial" w:hAnsi="Arial" w:cs="Arial"/>
          <w:color w:val="000000" w:themeColor="text1"/>
        </w:rPr>
        <w:t>s</w:t>
      </w:r>
      <w:r w:rsidRPr="00941F3F">
        <w:rPr>
          <w:rFonts w:ascii="Arial" w:hAnsi="Arial" w:cs="Arial"/>
          <w:color w:val="000000" w:themeColor="text1"/>
        </w:rPr>
        <w:t xml:space="preserve"> determinado</w:t>
      </w:r>
      <w:r w:rsidR="00377125" w:rsidRPr="00941F3F">
        <w:rPr>
          <w:rFonts w:ascii="Arial" w:hAnsi="Arial" w:cs="Arial"/>
          <w:color w:val="000000" w:themeColor="text1"/>
        </w:rPr>
        <w:t>s</w:t>
      </w:r>
      <w:r w:rsidRPr="00941F3F">
        <w:rPr>
          <w:rFonts w:ascii="Arial" w:hAnsi="Arial" w:cs="Arial"/>
          <w:color w:val="000000" w:themeColor="text1"/>
        </w:rPr>
        <w:t xml:space="preserve"> pelo artigo 55, da Lei nº14.133/2021.</w:t>
      </w:r>
    </w:p>
    <w:p w:rsidR="00D747B7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 xml:space="preserve">Ivoti, </w:t>
      </w:r>
      <w:r w:rsidR="00905EA5">
        <w:rPr>
          <w:rFonts w:ascii="Arial" w:hAnsi="Arial" w:cs="Arial"/>
          <w:color w:val="000000" w:themeColor="text1"/>
        </w:rPr>
        <w:t xml:space="preserve">15 </w:t>
      </w:r>
      <w:bookmarkStart w:id="0" w:name="_GoBack"/>
      <w:bookmarkEnd w:id="0"/>
      <w:r w:rsidR="00D878B2" w:rsidRPr="00941F3F">
        <w:rPr>
          <w:rFonts w:ascii="Arial" w:hAnsi="Arial" w:cs="Arial"/>
          <w:color w:val="000000" w:themeColor="text1"/>
        </w:rPr>
        <w:t xml:space="preserve"> de </w:t>
      </w:r>
      <w:r w:rsidR="004037B3">
        <w:rPr>
          <w:rFonts w:ascii="Arial" w:hAnsi="Arial" w:cs="Arial"/>
          <w:color w:val="000000" w:themeColor="text1"/>
        </w:rPr>
        <w:t>maio</w:t>
      </w:r>
      <w:r w:rsidR="00207EC0" w:rsidRPr="00941F3F">
        <w:rPr>
          <w:rFonts w:ascii="Arial" w:hAnsi="Arial" w:cs="Arial"/>
          <w:color w:val="000000" w:themeColor="text1"/>
        </w:rPr>
        <w:t xml:space="preserve"> </w:t>
      </w:r>
      <w:r w:rsidR="00D747B7" w:rsidRPr="00941F3F">
        <w:rPr>
          <w:rFonts w:ascii="Arial" w:hAnsi="Arial" w:cs="Arial"/>
          <w:color w:val="000000" w:themeColor="text1"/>
        </w:rPr>
        <w:t xml:space="preserve"> de 2024</w:t>
      </w:r>
      <w:r w:rsidR="00051AEE" w:rsidRPr="00941F3F">
        <w:rPr>
          <w:rFonts w:ascii="Arial" w:hAnsi="Arial" w:cs="Arial"/>
          <w:color w:val="000000" w:themeColor="text1"/>
        </w:rPr>
        <w:t>.</w:t>
      </w:r>
    </w:p>
    <w:p w:rsidR="00207EC0" w:rsidRPr="00941F3F" w:rsidRDefault="00361BC9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noProof/>
          <w:color w:val="000000" w:themeColor="text1"/>
          <w:lang w:eastAsia="pt-BR"/>
        </w:rPr>
        <w:drawing>
          <wp:inline distT="0" distB="0" distL="0" distR="0" wp14:anchorId="35A95874" wp14:editId="3CB32AC4">
            <wp:extent cx="2508735" cy="1285875"/>
            <wp:effectExtent l="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08439" cy="128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A72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 xml:space="preserve">Tomás Baumgarten </w:t>
      </w:r>
      <w:proofErr w:type="spellStart"/>
      <w:r w:rsidRPr="00941F3F">
        <w:rPr>
          <w:rFonts w:ascii="Arial" w:hAnsi="Arial" w:cs="Arial"/>
          <w:color w:val="000000" w:themeColor="text1"/>
        </w:rPr>
        <w:t>Rost</w:t>
      </w:r>
      <w:proofErr w:type="spellEnd"/>
    </w:p>
    <w:p w:rsidR="00FA0A72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Procurador Jurídico</w:t>
      </w:r>
    </w:p>
    <w:p w:rsidR="00FA0A72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PGM-Ivoti</w:t>
      </w:r>
    </w:p>
    <w:p w:rsidR="00FA0A72" w:rsidRPr="00941F3F" w:rsidRDefault="00FA0A72" w:rsidP="00A65711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41F3F">
        <w:rPr>
          <w:rFonts w:ascii="Arial" w:hAnsi="Arial" w:cs="Arial"/>
          <w:color w:val="000000" w:themeColor="text1"/>
        </w:rPr>
        <w:t>OAB/RS 059666</w:t>
      </w:r>
    </w:p>
    <w:sectPr w:rsidR="00FA0A72" w:rsidRPr="00941F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807" w:rsidRDefault="005C1807" w:rsidP="00D747B7">
      <w:pPr>
        <w:spacing w:after="0" w:line="240" w:lineRule="auto"/>
      </w:pPr>
      <w:r>
        <w:separator/>
      </w:r>
    </w:p>
  </w:endnote>
  <w:endnote w:type="continuationSeparator" w:id="0">
    <w:p w:rsidR="005C1807" w:rsidRDefault="005C1807" w:rsidP="00D74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F63" w:rsidRDefault="00C05F6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F63" w:rsidRDefault="00C05F6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F63" w:rsidRDefault="00C05F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807" w:rsidRDefault="005C1807" w:rsidP="00D747B7">
      <w:pPr>
        <w:spacing w:after="0" w:line="240" w:lineRule="auto"/>
      </w:pPr>
      <w:r>
        <w:separator/>
      </w:r>
    </w:p>
  </w:footnote>
  <w:footnote w:type="continuationSeparator" w:id="0">
    <w:p w:rsidR="005C1807" w:rsidRDefault="005C1807" w:rsidP="00D74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F63" w:rsidRDefault="00C05F6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7B7" w:rsidRDefault="00D747B7" w:rsidP="00D747B7">
    <w:pPr>
      <w:pStyle w:val="Cabealho"/>
      <w:rPr>
        <w:rFonts w:ascii="Arial" w:hAnsi="Arial" w:cs="Arial"/>
      </w:rPr>
    </w:pPr>
    <w:r>
      <w:object w:dxaOrig="645" w:dyaOrig="655">
        <v:shape id="ole_rId1" o:spid="_x0000_i1025" style="width:57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PBrush" ShapeID="ole_rId1" DrawAspect="Content" ObjectID="_1778653651" r:id="rId2"/>
      </w:object>
    </w:r>
    <w:r>
      <w:rPr>
        <w:rFonts w:ascii="Arial" w:hAnsi="Arial" w:cs="Arial"/>
      </w:rPr>
      <w:t>MUNICÍPIO DE IVOTI ESTADO DO RIO GRANDE DO SUL</w:t>
    </w:r>
  </w:p>
  <w:p w:rsidR="00D747B7" w:rsidRDefault="00D747B7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F63" w:rsidRDefault="00C05F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BB"/>
    <w:rsid w:val="00051AEE"/>
    <w:rsid w:val="000605AD"/>
    <w:rsid w:val="00063616"/>
    <w:rsid w:val="00112484"/>
    <w:rsid w:val="001633B5"/>
    <w:rsid w:val="001B5B3B"/>
    <w:rsid w:val="001C797A"/>
    <w:rsid w:val="001D3E3F"/>
    <w:rsid w:val="00207EC0"/>
    <w:rsid w:val="002655D8"/>
    <w:rsid w:val="002B03F9"/>
    <w:rsid w:val="002B1FDF"/>
    <w:rsid w:val="002C478F"/>
    <w:rsid w:val="00361BC9"/>
    <w:rsid w:val="00377125"/>
    <w:rsid w:val="00386011"/>
    <w:rsid w:val="003A26FB"/>
    <w:rsid w:val="003C144C"/>
    <w:rsid w:val="003F7C83"/>
    <w:rsid w:val="004037B3"/>
    <w:rsid w:val="0043403C"/>
    <w:rsid w:val="00477F33"/>
    <w:rsid w:val="00492985"/>
    <w:rsid w:val="00505DBB"/>
    <w:rsid w:val="00527E63"/>
    <w:rsid w:val="005970B3"/>
    <w:rsid w:val="005C1807"/>
    <w:rsid w:val="005F360B"/>
    <w:rsid w:val="00666979"/>
    <w:rsid w:val="007039E8"/>
    <w:rsid w:val="007117BD"/>
    <w:rsid w:val="007209C3"/>
    <w:rsid w:val="00724BA9"/>
    <w:rsid w:val="007517CB"/>
    <w:rsid w:val="0076192B"/>
    <w:rsid w:val="0076602B"/>
    <w:rsid w:val="00766088"/>
    <w:rsid w:val="007B5581"/>
    <w:rsid w:val="00816E0B"/>
    <w:rsid w:val="008313E4"/>
    <w:rsid w:val="008367AC"/>
    <w:rsid w:val="008D0921"/>
    <w:rsid w:val="00905EA5"/>
    <w:rsid w:val="00941F3F"/>
    <w:rsid w:val="00A65711"/>
    <w:rsid w:val="00A92A28"/>
    <w:rsid w:val="00AC2BB9"/>
    <w:rsid w:val="00B25C05"/>
    <w:rsid w:val="00B30598"/>
    <w:rsid w:val="00B40EA8"/>
    <w:rsid w:val="00B72AD8"/>
    <w:rsid w:val="00BD129D"/>
    <w:rsid w:val="00C05F63"/>
    <w:rsid w:val="00C31BD0"/>
    <w:rsid w:val="00C54293"/>
    <w:rsid w:val="00CB5995"/>
    <w:rsid w:val="00D5742C"/>
    <w:rsid w:val="00D644F4"/>
    <w:rsid w:val="00D74403"/>
    <w:rsid w:val="00D747B7"/>
    <w:rsid w:val="00D878B2"/>
    <w:rsid w:val="00DB0E10"/>
    <w:rsid w:val="00DC714C"/>
    <w:rsid w:val="00DE253F"/>
    <w:rsid w:val="00E266D7"/>
    <w:rsid w:val="00E51381"/>
    <w:rsid w:val="00EB4D38"/>
    <w:rsid w:val="00EC0543"/>
    <w:rsid w:val="00F14E1B"/>
    <w:rsid w:val="00F23E0F"/>
    <w:rsid w:val="00F45C3D"/>
    <w:rsid w:val="00F86D58"/>
    <w:rsid w:val="00F872B6"/>
    <w:rsid w:val="00FA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4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3771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77125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2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2BB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C714C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D747B7"/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747B7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1">
    <w:name w:val="Cabeçalho Char1"/>
    <w:basedOn w:val="Fontepargpadro"/>
    <w:uiPriority w:val="99"/>
    <w:semiHidden/>
    <w:rsid w:val="00D747B7"/>
  </w:style>
  <w:style w:type="paragraph" w:styleId="Rodap">
    <w:name w:val="footer"/>
    <w:basedOn w:val="Normal"/>
    <w:link w:val="RodapChar"/>
    <w:uiPriority w:val="99"/>
    <w:unhideWhenUsed/>
    <w:rsid w:val="00D74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47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4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3771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77125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2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2BB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C714C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D747B7"/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747B7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1">
    <w:name w:val="Cabeçalho Char1"/>
    <w:basedOn w:val="Fontepargpadro"/>
    <w:uiPriority w:val="99"/>
    <w:semiHidden/>
    <w:rsid w:val="00D747B7"/>
  </w:style>
  <w:style w:type="paragraph" w:styleId="Rodap">
    <w:name w:val="footer"/>
    <w:basedOn w:val="Normal"/>
    <w:link w:val="RodapChar"/>
    <w:uiPriority w:val="99"/>
    <w:unhideWhenUsed/>
    <w:rsid w:val="00D74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4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5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8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4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1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3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1770</Words>
  <Characters>9563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pmi</dc:creator>
  <cp:lastModifiedBy>pmi</cp:lastModifiedBy>
  <cp:revision>2</cp:revision>
  <cp:lastPrinted>2023-07-11T16:31:00Z</cp:lastPrinted>
  <dcterms:created xsi:type="dcterms:W3CDTF">2024-05-31T12:41:00Z</dcterms:created>
  <dcterms:modified xsi:type="dcterms:W3CDTF">2024-05-31T12:41:00Z</dcterms:modified>
</cp:coreProperties>
</file>