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Look w:val="04A0"/>
      </w:tblPr>
      <w:tblGrid>
        <w:gridCol w:w="2334"/>
        <w:gridCol w:w="6200"/>
      </w:tblGrid>
      <w:tr w:rsidR="00C05F63" w:rsidRPr="00941F3F" w:rsidTr="00AC2BB9">
        <w:trPr>
          <w:tblCellSpacing w:w="0" w:type="dxa"/>
        </w:trPr>
        <w:tc>
          <w:tcPr>
            <w:tcW w:w="23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BB9" w:rsidRPr="00941F3F" w:rsidRDefault="00AC2BB9" w:rsidP="00D747B7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BB9" w:rsidRPr="00941F3F" w:rsidRDefault="00AC2BB9" w:rsidP="00A65711">
            <w:pPr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505DBB" w:rsidRPr="00941F3F" w:rsidRDefault="00505DBB" w:rsidP="00A65711">
      <w:pPr>
        <w:spacing w:line="360" w:lineRule="auto"/>
        <w:jc w:val="center"/>
        <w:rPr>
          <w:rFonts w:ascii="Arial" w:hAnsi="Arial" w:cs="Arial"/>
          <w:b/>
          <w:color w:val="000000" w:themeColor="text1"/>
        </w:rPr>
      </w:pPr>
      <w:r w:rsidRPr="00941F3F">
        <w:rPr>
          <w:rFonts w:ascii="Arial" w:hAnsi="Arial" w:cs="Arial"/>
          <w:b/>
          <w:color w:val="000000" w:themeColor="text1"/>
        </w:rPr>
        <w:t>PARECER JURÍDICO</w:t>
      </w:r>
    </w:p>
    <w:p w:rsidR="00505DBB" w:rsidRPr="00941F3F" w:rsidRDefault="00505DBB" w:rsidP="00A65711">
      <w:pPr>
        <w:spacing w:line="360" w:lineRule="auto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ab/>
        <w:t>Requisitante: Agente de Contratações</w:t>
      </w:r>
      <w:r w:rsidRPr="00941F3F">
        <w:rPr>
          <w:rFonts w:ascii="Arial" w:hAnsi="Arial" w:cs="Arial"/>
          <w:color w:val="000000" w:themeColor="text1"/>
        </w:rPr>
        <w:tab/>
      </w:r>
    </w:p>
    <w:p w:rsidR="00A65711" w:rsidRPr="00B72AD8" w:rsidRDefault="00A65711" w:rsidP="00D5742C">
      <w:pPr>
        <w:spacing w:line="360" w:lineRule="auto"/>
        <w:ind w:left="3402"/>
        <w:jc w:val="both"/>
        <w:rPr>
          <w:rFonts w:ascii="Arial" w:hAnsi="Arial" w:cs="Arial"/>
          <w:b/>
          <w:color w:val="000000" w:themeColor="text1"/>
        </w:rPr>
      </w:pPr>
    </w:p>
    <w:p w:rsidR="00905EA5" w:rsidRPr="00075582" w:rsidRDefault="00075582" w:rsidP="00905EA5">
      <w:pPr>
        <w:ind w:left="3261"/>
        <w:jc w:val="both"/>
        <w:rPr>
          <w:rFonts w:ascii="Arial" w:eastAsia="Times New Roman" w:hAnsi="Arial" w:cs="Arial"/>
          <w:b/>
          <w:lang w:eastAsia="pt-BR"/>
        </w:rPr>
      </w:pPr>
      <w:r w:rsidRPr="00075582">
        <w:rPr>
          <w:rFonts w:ascii="Arial" w:eastAsia="Times New Roman" w:hAnsi="Arial" w:cs="Arial"/>
          <w:b/>
          <w:color w:val="000000" w:themeColor="text1"/>
          <w:lang w:eastAsia="pt-BR"/>
        </w:rPr>
        <w:t xml:space="preserve">PREGÃO ELETRÔNICO </w:t>
      </w:r>
      <w:r w:rsidRPr="00075582">
        <w:rPr>
          <w:rFonts w:ascii="Arial" w:hAnsi="Arial" w:cs="Arial"/>
          <w:b/>
          <w:color w:val="000000" w:themeColor="text1"/>
        </w:rPr>
        <w:t>PARA</w:t>
      </w:r>
      <w:r w:rsidRPr="00075582">
        <w:rPr>
          <w:rFonts w:ascii="Arial" w:hAnsi="Arial" w:cs="Arial"/>
          <w:b/>
          <w:color w:val="222222"/>
          <w:shd w:val="clear" w:color="auto" w:fill="FFFFFF"/>
        </w:rPr>
        <w:t xml:space="preserve"> AQUISIÇÃO DE COMBUSTÍVEIS PARA OS VEÍCULOS E EQUIPAMENTOS DO MUNICÍPIO DE IVOTI</w:t>
      </w:r>
      <w:r w:rsidRPr="00075582">
        <w:rPr>
          <w:rFonts w:ascii="Arial" w:eastAsia="Times New Roman" w:hAnsi="Arial" w:cs="Arial"/>
          <w:b/>
          <w:lang w:eastAsia="pt-BR"/>
        </w:rPr>
        <w:t>, CONFORME ESPECIFICAÇÕES DETALHADAS NO TERMO DE REFERÊNCIA (ANEXO I).</w:t>
      </w:r>
    </w:p>
    <w:p w:rsidR="0076602B" w:rsidRPr="00905EA5" w:rsidRDefault="0076602B" w:rsidP="00905EA5">
      <w:pPr>
        <w:spacing w:after="0" w:line="360" w:lineRule="auto"/>
        <w:ind w:left="3402"/>
        <w:jc w:val="both"/>
        <w:rPr>
          <w:rFonts w:ascii="Arial" w:hAnsi="Arial" w:cs="Arial"/>
          <w:b/>
          <w:color w:val="000000" w:themeColor="text1"/>
        </w:rPr>
      </w:pPr>
    </w:p>
    <w:p w:rsidR="00DC714C" w:rsidRPr="00941F3F" w:rsidRDefault="00505DBB" w:rsidP="00905EA5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05EA5">
        <w:rPr>
          <w:rFonts w:ascii="Arial" w:hAnsi="Arial" w:cs="Arial"/>
          <w:color w:val="000000" w:themeColor="text1"/>
        </w:rPr>
        <w:tab/>
        <w:t>Trata-se de análise jurídica para</w:t>
      </w:r>
      <w:r w:rsidR="00075582">
        <w:rPr>
          <w:rFonts w:ascii="Arial" w:hAnsi="Arial" w:cs="Arial"/>
          <w:color w:val="222222"/>
          <w:shd w:val="clear" w:color="auto" w:fill="FFFFFF"/>
        </w:rPr>
        <w:t xml:space="preserve">aquisição de combustíveis para os veículos e equipamentos do Município de Ivoti e/ou locados, </w:t>
      </w:r>
      <w:r w:rsidR="00905EA5" w:rsidRPr="00905EA5">
        <w:rPr>
          <w:rFonts w:ascii="Arial" w:eastAsia="Times New Roman" w:hAnsi="Arial" w:cs="Arial"/>
          <w:lang w:eastAsia="pt-BR"/>
        </w:rPr>
        <w:t>conforme especificações detalhadas no Termo de Referência (Anexo I)</w:t>
      </w:r>
      <w:r w:rsidR="00941F3F" w:rsidRPr="00905EA5">
        <w:rPr>
          <w:rFonts w:ascii="Arial" w:hAnsi="Arial" w:cs="Arial"/>
          <w:color w:val="222222"/>
          <w:shd w:val="clear" w:color="auto" w:fill="FFFFFF"/>
        </w:rPr>
        <w:t xml:space="preserve">, </w:t>
      </w:r>
      <w:r w:rsidRPr="00905EA5">
        <w:rPr>
          <w:rFonts w:ascii="Arial" w:hAnsi="Arial" w:cs="Arial"/>
          <w:color w:val="000000" w:themeColor="text1"/>
        </w:rPr>
        <w:t xml:space="preserve">por meio de licitação na </w:t>
      </w:r>
      <w:r w:rsidR="002B03F9" w:rsidRPr="00905EA5">
        <w:rPr>
          <w:rFonts w:ascii="Arial" w:hAnsi="Arial" w:cs="Arial"/>
          <w:color w:val="000000" w:themeColor="text1"/>
        </w:rPr>
        <w:t xml:space="preserve">modalidade </w:t>
      </w:r>
      <w:r w:rsidR="00063616" w:rsidRPr="00905EA5">
        <w:rPr>
          <w:rFonts w:ascii="Arial" w:hAnsi="Arial" w:cs="Arial"/>
          <w:color w:val="000000" w:themeColor="text1"/>
        </w:rPr>
        <w:t>Pregão</w:t>
      </w:r>
      <w:r w:rsidRPr="00905EA5">
        <w:rPr>
          <w:rFonts w:ascii="Arial" w:hAnsi="Arial" w:cs="Arial"/>
          <w:color w:val="000000" w:themeColor="text1"/>
        </w:rPr>
        <w:t>, na forma eletrônica, com fulcro na Nova Lei de Licitações e Contratos – Lei nº 14.133/2021.</w:t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Assim, vieram os autos contendo: a requisição do objeto e apresentação das justificativas das necessidades de contratação, a autorização para instauração do procedimentoa previsão de dotação orçamentária, o termo de referência, a portaria de designação do pr</w:t>
      </w:r>
      <w:r w:rsidR="00FA0A72" w:rsidRPr="00941F3F">
        <w:rPr>
          <w:rFonts w:ascii="Arial" w:hAnsi="Arial" w:cs="Arial"/>
          <w:color w:val="000000" w:themeColor="text1"/>
        </w:rPr>
        <w:t xml:space="preserve">egoeiro e da equipe de apoio e </w:t>
      </w:r>
      <w:r w:rsidRPr="00941F3F">
        <w:rPr>
          <w:rFonts w:ascii="Arial" w:hAnsi="Arial" w:cs="Arial"/>
          <w:color w:val="000000" w:themeColor="text1"/>
        </w:rPr>
        <w:t xml:space="preserve"> a minuta do Edital.</w:t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b/>
          <w:color w:val="000000" w:themeColor="text1"/>
        </w:rPr>
        <w:t>1.  Da Fase Preparatória.</w:t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O artigo 18 e incisos da Lei nº 14.133/2021 estabelece todos os elementos que devem ser compreendidos nos autos do processo de contratação pública, senão vejamos:</w:t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Art. 18. A fase preparatória do processo licitatório é caracterizada pelo planejamento e deve compatibilizar-se com o plano de contratações anual de que trata o inciso VII do caput do art. 12 desta Lei, sempre que elaborado, e com as leis orçamentárias, bem como abordar todas as considerações técnicas, mercadológicas e de gestão que podem interferir na contratação, compreendidos: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I- a descrição da necessidade da contratação fundamentada em estudo técnico preliminar que caracterize o interesse público envolvido;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lastRenderedPageBreak/>
        <w:t>II- a definição do objeto para o atendimento da necessidade, por meio de termo de referência, anteprojeto, projeto básico ou projeto executivo, conforme o caso;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III- a definição das condições de execução e pagamento, das garantias exigidas e ofertadas e das condições de recebimento;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IV- o orçamento estimado, com as composições dos preços utilizados para sua formação;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V- a elaboração do edital de licitação;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     - a elaboração de minuta de contrato, quando necessária, que constará obrigatoriamente como anexo do edital de licitação;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VII- o regime de fornecimento de bens, de prestação de serviços ou de execução de obras e serviços de engenharia, observados os potenciais de economia de escala;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VIII     - a modalidade de licitação, o critério de julgamento, o modo de disputa e a adequação e eficiência da forma de combinação desses parâmetros, para os fins de seleção da proposta apta a gerar o resultado de contratação mais vantajoso para a Administração Pública, considerado todo o ciclo de vida do objeto;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IX- a motivação circunstanciada das condições do edital, tais como justificativa de exigências de qualificação técnica, mediante indicação das parcelas de maior relevância técnica ou valor significativo do objeto, e de qualificação econômico-financeira, justificativa dos critérios de pontuação e julgamento das propostas técnicas, nas licitações com julgamento por melhor técnica ou técnica e preço, e justificativa das regras pertinentes à participação de empresas em consórcio;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X- a análise dos riscos que possam comprometer o sucesso da licitação e a boa execução contratual;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XI- a motivação sobre o momento da divulgação do orçamento da licitação, observado o art. 24 desta Lei.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Analisando os documentos que compõe a instrução do processo de contratação, constata-se a presença da definição do objeto e das justificativas para a sua contratação, a autorização da Autoridade Competente para a instauração do processo de contratação,a previsão de dotação orçamentária, o termo de referência, a portaria de designação d</w:t>
      </w:r>
      <w:r w:rsidR="00377125" w:rsidRPr="00941F3F">
        <w:rPr>
          <w:rFonts w:ascii="Arial" w:hAnsi="Arial" w:cs="Arial"/>
          <w:color w:val="000000" w:themeColor="text1"/>
        </w:rPr>
        <w:t xml:space="preserve">a pregoeira e </w:t>
      </w:r>
      <w:r w:rsidRPr="00941F3F">
        <w:rPr>
          <w:rFonts w:ascii="Arial" w:hAnsi="Arial" w:cs="Arial"/>
          <w:color w:val="000000" w:themeColor="text1"/>
        </w:rPr>
        <w:t xml:space="preserve"> equipe de    apoio, bem como a minuta do Edital.</w:t>
      </w:r>
      <w:r w:rsidRPr="00941F3F">
        <w:rPr>
          <w:rFonts w:ascii="Arial" w:hAnsi="Arial" w:cs="Arial"/>
          <w:color w:val="000000" w:themeColor="text1"/>
        </w:rPr>
        <w:tab/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Desta forma, é possível aferir claramente que os autos do processo encontram-se devidamente instruído, atendendo as exigências mínimas legais.</w:t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Seguindo a análise, verifica-se que o termo de referênciacontem os seguintes itens: definição do objeto, justificativa e objetivo da licitação, classificação dos objetos comuns, prazo de entrega e condições de execução, condições de pagamento, dotação orçamentária, deveres da Contratante e da Contratada, fiscalização do contrato, revisão de preços, extinção do contrato e sanções aplicáveis, contendo, por conseguinte, todos os elementos exigidos pelo inciso XIII do artigo 6º da Lei nº 14.133/2021, que assim determina:</w:t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Art. 6º Para os fins desta Lei, consideram-se: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XXIII - termo de referência: documento necessário para a contratação de bens e serviços, que deve conter os seguintes parâmetros e elementos descritivos: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a) definição do objeto, incluídos sua natureza, os quantitativos, o prazo do contrato e, se for o caso, a possibilidade de sua prorrogação;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b)fundamentação da contratação, que consiste na referência aos estudos técnicos preliminares correspondentes ou, quando não for possível divulgar esses estudos, no extrato das partes que não contiverem informações sigilosas;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c)descrição da solução como um todo, considerado todo o ciclo de vida do objeto;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d)requisitos da contratação;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e)modelo de execução do objeto, que consiste na definição de como o contrato deverá produzir os resultados pretendidos desde o seu início até o seu encerramento;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f)modelo de gestão do contrato, que descreve como a execução do objeto será acompanhada e fiscalizada pelo órgão ou entidade;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g)critérios de medição e de pagamento;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h)forma e critérios de seleção do fornecedor;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i)estimativas do valor da contratação, acompanhadas dos preços unitários referenciais, das memórias de cálculo e dos documentos que lhe dão suporte, com os parâmetros utilizados para a obtenção dos preços e para os respectivos cálculos, que devem constar de documento separado e classificado;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j)adequação orçamentária;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DC714C" w:rsidRPr="00941F3F" w:rsidRDefault="00DC714C" w:rsidP="00A65711">
      <w:pPr>
        <w:spacing w:line="360" w:lineRule="auto"/>
        <w:ind w:firstLine="708"/>
        <w:jc w:val="both"/>
        <w:rPr>
          <w:rStyle w:val="Forte"/>
          <w:rFonts w:ascii="Arial" w:hAnsi="Arial" w:cs="Arial"/>
          <w:b w:val="0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 xml:space="preserve">Ressalto ainda queo estudo técnico preliminar fica dispensado nos termos do inciso do Artigo 3º do </w:t>
      </w:r>
      <w:r w:rsidRPr="00941F3F">
        <w:rPr>
          <w:rStyle w:val="Forte"/>
          <w:rFonts w:ascii="Arial" w:hAnsi="Arial" w:cs="Arial"/>
          <w:b w:val="0"/>
          <w:color w:val="000000" w:themeColor="text1"/>
        </w:rPr>
        <w:t>Decreto nº 33, de 25 de Abril de 2023, abaixo transcrito:</w:t>
      </w:r>
    </w:p>
    <w:p w:rsidR="00DC714C" w:rsidRPr="00941F3F" w:rsidRDefault="00DC714C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“Art. 3º A elaboração do Estudo Técnico Preliminar - ETP será facultativa nos seguintes casos:</w:t>
      </w:r>
    </w:p>
    <w:p w:rsidR="00DC714C" w:rsidRPr="00941F3F" w:rsidRDefault="00DC714C" w:rsidP="00A65711">
      <w:pPr>
        <w:spacing w:line="360" w:lineRule="auto"/>
        <w:jc w:val="both"/>
        <w:rPr>
          <w:rStyle w:val="Forte"/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(.....)</w:t>
      </w:r>
    </w:p>
    <w:p w:rsidR="00DC714C" w:rsidRPr="00941F3F" w:rsidRDefault="00DC714C" w:rsidP="00A6571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 -  contratação/aquisição de bens e serviços comuns, aqueles cujos padrões de desempenho e qualidade podem ser objetivamente definidos pelo edital, por meio de especificações usuais de mercado, segundo critérios de conveniência e oportunidade</w:t>
      </w:r>
      <w:r w:rsidRPr="00941F3F">
        <w:rPr>
          <w:rFonts w:ascii="Arial" w:hAnsi="Arial" w:cs="Arial"/>
          <w:color w:val="000000" w:themeColor="text1"/>
        </w:rPr>
        <w:t>.”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ab/>
        <w:t>Desta forma, é possível aferir que a fase preparatória do certame encontra-se em consonância com as exigências mínimas exigidas pela NLLC para fins de contratação nesta nova sistemática de licitações públicas.</w:t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 w:rsidRPr="00941F3F">
        <w:rPr>
          <w:rFonts w:ascii="Arial" w:hAnsi="Arial" w:cs="Arial"/>
          <w:b/>
          <w:color w:val="000000" w:themeColor="text1"/>
        </w:rPr>
        <w:t>2.  Da Minuta do Edital</w:t>
      </w:r>
      <w:r w:rsidRPr="00941F3F">
        <w:rPr>
          <w:rFonts w:ascii="Arial" w:hAnsi="Arial" w:cs="Arial"/>
          <w:b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Conforme já informado ao norte, a elaboração da minuta do edital é um dos elementos que devem ser observados na fase interna da licitação pública, tendo aquele sido submetido à análise jurídica contendo dois anexos, quais sejam: o termo de referência e a minuta do contrato. Ademais, a minuta do Edital veio com os seguintes itens descriminados: sessão pública, definição do objeto, recursos orçamentários, condições de participação, encaminhamento e elementos da proposta, formulação dos lances, aceitabilidade e classificação da proposta, habilitação, recurso, adjudicação e homologação do certame, pedido de esclarecimentos e impugnação ao edital, disposições finais e foro de ju</w:t>
      </w:r>
      <w:r w:rsidR="00377125" w:rsidRPr="00941F3F">
        <w:rPr>
          <w:rFonts w:ascii="Arial" w:hAnsi="Arial" w:cs="Arial"/>
          <w:color w:val="000000" w:themeColor="text1"/>
        </w:rPr>
        <w:t>lgamento.</w:t>
      </w:r>
      <w:r w:rsidR="00377125" w:rsidRPr="00941F3F">
        <w:rPr>
          <w:rFonts w:ascii="Arial" w:hAnsi="Arial" w:cs="Arial"/>
          <w:color w:val="000000" w:themeColor="text1"/>
        </w:rPr>
        <w:tab/>
      </w:r>
    </w:p>
    <w:p w:rsidR="00377125" w:rsidRPr="00941F3F" w:rsidRDefault="00377125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Eainda,aminutadoEditaldeformabastanteacertada,preconizaasprerrogativasdas microempresas, empresas de pequeno porte e microempreendedores individuais nostermos constantes na Lei Complementar Federal nº 123/2006 e suas alterações, para finsde regênciadacontratação em comento</w:t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Diante do apresentado, afere-se que os itens da minuta do Edital estão definidos de forma clara e com a devida observância do determinado no artigo 25 da Lei nº 14.133/2021.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 w:rsidRPr="00941F3F">
        <w:rPr>
          <w:rFonts w:ascii="Arial" w:hAnsi="Arial" w:cs="Arial"/>
          <w:b/>
          <w:color w:val="000000" w:themeColor="text1"/>
        </w:rPr>
        <w:t>3.  Da Minuta do Contrato</w:t>
      </w:r>
      <w:r w:rsidRPr="00941F3F">
        <w:rPr>
          <w:rFonts w:ascii="Arial" w:hAnsi="Arial" w:cs="Arial"/>
          <w:b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O artigo 92 e incisos da NLLC, estabelece as cláusulas que são necessárias nos contratos administrativos, conforme abaixo:</w:t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Art. 92. São necessárias em todo contrato cláusulas que estabeleçam: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I- o objeto e seus elementos característicos;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II- a vinculação ao edital de licitação e à proposta do licitante vencedor ou ao ato que tiver autorizado a contratação direta e à respectiva proposta;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III- a legislação aplicável à execução do contrato, inclusive quanto aos casos omissos;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IV- o regime de execução ou a forma de fornecimento;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V- o preço e as condições de pagamento, os critérios, a data-base e a periodicidade do reajustamento de preços e os critérios de atualização monetária entre a data do adimplemento das obrigações e a do efetivo pagamento;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VI- os critérios e a periodicidade da medição, quando for o caso, e o prazo para liquidação e para pagamento;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VII- os prazos de início das etapas de execução, conclusão, entrega, observação e recebimento definitivo, quando for o caso;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VIII     - o crédito pelo qual correrá a despesa, com a indicação da classificação funcional programática e da categoria econômica;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IX- a matriz de risco, quando for o caso;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X- o prazo para resposta ao pedido de repactuação de preços, quando for o caso;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XI- o prazo para resposta ao pedido de restabelecimento do equilíbrio econômico-financeiro, quando for o caso;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XII- as garantias oferecidas para assegurar sua plena execução, quando exigidas, inclusive as que forem oferecidas pelo contratado no caso de antecipação de valores a título de pagamento;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XIII     - o prazo de garantia mínima do objeto, observados os prazos mínimos estabelecidos nesta Lei e nas normas técnicas aplicáveis, e as condições de manutenção e assistência técnica, quando for o caso; XIV - os direitos e as responsabilidades das partes, as penalidades cabíveis e os valores das multas e suas bases de cálculo;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XV     - as condições de importação e a data e a taxa de câmbio para conversão, quando for o caso;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XVI      - a obrigação do contratado de manter, durante toda a execução do contrato, em compatibilidade com as obrigações por ele assumidas, todas as condições exigidas para a habilitação na licitação, ou para a qualificação, na contratação direta;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XVII- a obrigação de o contratado cumprir as exigências de reserva de cargos prevista em lei, bem como em outras normas específicas, para pessoa com deficiência, para reabilitado da Previdência Social e para aprendiz;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XVIII      - o modelo de gestão do contrato, observados os requisitos definidos em regulamento;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XIX- os casos de extinção.</w:t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 xml:space="preserve">Portanto, a minuta do contrato encontra-se com as cláusulas mínimas devidamente </w:t>
      </w:r>
      <w:r w:rsidR="00FA0A72" w:rsidRPr="00941F3F">
        <w:rPr>
          <w:rFonts w:ascii="Arial" w:hAnsi="Arial" w:cs="Arial"/>
          <w:color w:val="000000" w:themeColor="text1"/>
        </w:rPr>
        <w:t>amparadas na Lei nº 14.133/2021.</w:t>
      </w:r>
    </w:p>
    <w:p w:rsidR="00377125" w:rsidRPr="00941F3F" w:rsidRDefault="00505DBB" w:rsidP="00A65711">
      <w:pPr>
        <w:pStyle w:val="Corpodetexto"/>
        <w:spacing w:line="360" w:lineRule="auto"/>
        <w:ind w:left="100" w:right="261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41F3F">
        <w:rPr>
          <w:rFonts w:ascii="Arial" w:hAnsi="Arial" w:cs="Arial"/>
          <w:color w:val="000000" w:themeColor="text1"/>
          <w:sz w:val="22"/>
          <w:szCs w:val="22"/>
        </w:rPr>
        <w:t>De mais a mais, a minuta do Edital do processo licitatório estabelece a modalidade de licitação para a contratação do objeto como sendo</w:t>
      </w:r>
      <w:r w:rsidR="00377125" w:rsidRPr="00941F3F">
        <w:rPr>
          <w:rFonts w:ascii="Arial" w:hAnsi="Arial" w:cs="Arial"/>
          <w:color w:val="000000" w:themeColor="text1"/>
          <w:sz w:val="22"/>
          <w:szCs w:val="22"/>
        </w:rPr>
        <w:t>pregão</w:t>
      </w:r>
      <w:r w:rsidRPr="00941F3F">
        <w:rPr>
          <w:rFonts w:ascii="Arial" w:hAnsi="Arial" w:cs="Arial"/>
          <w:color w:val="000000" w:themeColor="text1"/>
          <w:sz w:val="22"/>
          <w:szCs w:val="22"/>
        </w:rPr>
        <w:t xml:space="preserve">,  em sua forma eletrônica,  atendendo o disposto </w:t>
      </w:r>
      <w:r w:rsidR="00377125" w:rsidRPr="00941F3F">
        <w:rPr>
          <w:rFonts w:ascii="Arial" w:hAnsi="Arial" w:cs="Arial"/>
          <w:color w:val="000000" w:themeColor="text1"/>
          <w:sz w:val="22"/>
          <w:szCs w:val="22"/>
        </w:rPr>
        <w:t>, atendendo o disposto nos incisos XIII e XLI, doartigo6ºdaLei nº14.133/2021.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 w:rsidRPr="00941F3F">
        <w:rPr>
          <w:rFonts w:ascii="Arial" w:hAnsi="Arial" w:cs="Arial"/>
          <w:b/>
          <w:color w:val="000000" w:themeColor="text1"/>
        </w:rPr>
        <w:t>4.  Da Conclusão</w:t>
      </w:r>
    </w:p>
    <w:p w:rsidR="00F23E0F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Ante a todo o exposto, e com fundamento no artigo 53 da Lei nº 14.133/2021, especialmente quanto às minutas apresentadas, verifica-se a devida obediência aos ditames da NLLC, razão pela qual conclui-se pela devida aprovação e opina-se pelo prosseguimento do processo, recomendando-se a observância das publicações e do prazos mínimo</w:t>
      </w:r>
      <w:r w:rsidR="00377125" w:rsidRPr="00941F3F">
        <w:rPr>
          <w:rFonts w:ascii="Arial" w:hAnsi="Arial" w:cs="Arial"/>
          <w:color w:val="000000" w:themeColor="text1"/>
        </w:rPr>
        <w:t>s</w:t>
      </w:r>
      <w:r w:rsidRPr="00941F3F">
        <w:rPr>
          <w:rFonts w:ascii="Arial" w:hAnsi="Arial" w:cs="Arial"/>
          <w:color w:val="000000" w:themeColor="text1"/>
        </w:rPr>
        <w:t xml:space="preserve"> determinado</w:t>
      </w:r>
      <w:r w:rsidR="00377125" w:rsidRPr="00941F3F">
        <w:rPr>
          <w:rFonts w:ascii="Arial" w:hAnsi="Arial" w:cs="Arial"/>
          <w:color w:val="000000" w:themeColor="text1"/>
        </w:rPr>
        <w:t>s</w:t>
      </w:r>
      <w:r w:rsidRPr="00941F3F">
        <w:rPr>
          <w:rFonts w:ascii="Arial" w:hAnsi="Arial" w:cs="Arial"/>
          <w:color w:val="000000" w:themeColor="text1"/>
        </w:rPr>
        <w:t xml:space="preserve"> pelo artigo 55, da Lei nº14.133/2021.</w:t>
      </w:r>
    </w:p>
    <w:p w:rsidR="00D747B7" w:rsidRPr="00941F3F" w:rsidRDefault="00FA0A72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 xml:space="preserve">Ivoti, </w:t>
      </w:r>
      <w:r w:rsidR="00905EA5">
        <w:rPr>
          <w:rFonts w:ascii="Arial" w:hAnsi="Arial" w:cs="Arial"/>
          <w:color w:val="000000" w:themeColor="text1"/>
        </w:rPr>
        <w:t>1</w:t>
      </w:r>
      <w:r w:rsidR="00075582">
        <w:rPr>
          <w:rFonts w:ascii="Arial" w:hAnsi="Arial" w:cs="Arial"/>
          <w:color w:val="000000" w:themeColor="text1"/>
        </w:rPr>
        <w:t>6</w:t>
      </w:r>
      <w:bookmarkStart w:id="0" w:name="_GoBack"/>
      <w:bookmarkEnd w:id="0"/>
      <w:r w:rsidR="00D878B2" w:rsidRPr="00941F3F">
        <w:rPr>
          <w:rFonts w:ascii="Arial" w:hAnsi="Arial" w:cs="Arial"/>
          <w:color w:val="000000" w:themeColor="text1"/>
        </w:rPr>
        <w:t xml:space="preserve"> de </w:t>
      </w:r>
      <w:r w:rsidR="004037B3">
        <w:rPr>
          <w:rFonts w:ascii="Arial" w:hAnsi="Arial" w:cs="Arial"/>
          <w:color w:val="000000" w:themeColor="text1"/>
        </w:rPr>
        <w:t>maio</w:t>
      </w:r>
      <w:r w:rsidR="00D747B7" w:rsidRPr="00941F3F">
        <w:rPr>
          <w:rFonts w:ascii="Arial" w:hAnsi="Arial" w:cs="Arial"/>
          <w:color w:val="000000" w:themeColor="text1"/>
        </w:rPr>
        <w:t xml:space="preserve"> de 2024</w:t>
      </w:r>
      <w:r w:rsidR="00051AEE" w:rsidRPr="00941F3F">
        <w:rPr>
          <w:rFonts w:ascii="Arial" w:hAnsi="Arial" w:cs="Arial"/>
          <w:color w:val="000000" w:themeColor="text1"/>
        </w:rPr>
        <w:t>.</w:t>
      </w:r>
    </w:p>
    <w:p w:rsidR="00207EC0" w:rsidRPr="00941F3F" w:rsidRDefault="00361BC9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noProof/>
          <w:color w:val="000000" w:themeColor="text1"/>
          <w:lang w:eastAsia="pt-BR"/>
        </w:rPr>
        <w:drawing>
          <wp:inline distT="0" distB="0" distL="0" distR="0">
            <wp:extent cx="2508735" cy="1285875"/>
            <wp:effectExtent l="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8439" cy="128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A72" w:rsidRPr="00941F3F" w:rsidRDefault="00FA0A72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Tomás Baumgarten Rost</w:t>
      </w:r>
    </w:p>
    <w:p w:rsidR="00FA0A72" w:rsidRPr="00941F3F" w:rsidRDefault="00FA0A72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Procurador Jurídico</w:t>
      </w:r>
    </w:p>
    <w:p w:rsidR="00FA0A72" w:rsidRPr="00941F3F" w:rsidRDefault="00FA0A72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PGM-Ivoti</w:t>
      </w:r>
    </w:p>
    <w:p w:rsidR="00FA0A72" w:rsidRPr="00941F3F" w:rsidRDefault="00FA0A72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OAB/RS 059666</w:t>
      </w:r>
    </w:p>
    <w:sectPr w:rsidR="00FA0A72" w:rsidRPr="00941F3F" w:rsidSect="002034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BEB" w:rsidRDefault="00DE3BEB" w:rsidP="00D747B7">
      <w:pPr>
        <w:spacing w:after="0" w:line="240" w:lineRule="auto"/>
      </w:pPr>
      <w:r>
        <w:separator/>
      </w:r>
    </w:p>
  </w:endnote>
  <w:endnote w:type="continuationSeparator" w:id="1">
    <w:p w:rsidR="00DE3BEB" w:rsidRDefault="00DE3BEB" w:rsidP="00D74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F63" w:rsidRDefault="00C05F6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F63" w:rsidRDefault="00C05F6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F63" w:rsidRDefault="00C05F6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BEB" w:rsidRDefault="00DE3BEB" w:rsidP="00D747B7">
      <w:pPr>
        <w:spacing w:after="0" w:line="240" w:lineRule="auto"/>
      </w:pPr>
      <w:r>
        <w:separator/>
      </w:r>
    </w:p>
  </w:footnote>
  <w:footnote w:type="continuationSeparator" w:id="1">
    <w:p w:rsidR="00DE3BEB" w:rsidRDefault="00DE3BEB" w:rsidP="00D74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F63" w:rsidRDefault="00C05F6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7B7" w:rsidRDefault="00D747B7" w:rsidP="00D747B7">
    <w:pPr>
      <w:pStyle w:val="Cabealho"/>
      <w:rPr>
        <w:rFonts w:ascii="Arial" w:hAnsi="Arial" w:cs="Arial"/>
      </w:rPr>
    </w:pPr>
    <w:r>
      <w:object w:dxaOrig="645" w:dyaOrig="655">
        <v:shape id="ole_rId1" o:spid="_x0000_i1025" style="width:57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PBrush" ShapeID="ole_rId1" DrawAspect="Content" ObjectID="_1779880661" r:id="rId2"/>
      </w:object>
    </w:r>
    <w:r>
      <w:rPr>
        <w:rFonts w:ascii="Arial" w:hAnsi="Arial" w:cs="Arial"/>
      </w:rPr>
      <w:t>MUNICÍPIO DE IVOTI ESTADO DO RIO GRANDE DO SUL</w:t>
    </w:r>
  </w:p>
  <w:p w:rsidR="00D747B7" w:rsidRDefault="00D747B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F63" w:rsidRDefault="00C05F6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05DBB"/>
    <w:rsid w:val="00051AEE"/>
    <w:rsid w:val="000605AD"/>
    <w:rsid w:val="00063616"/>
    <w:rsid w:val="00075582"/>
    <w:rsid w:val="00112484"/>
    <w:rsid w:val="001633B5"/>
    <w:rsid w:val="001B5B3B"/>
    <w:rsid w:val="001C797A"/>
    <w:rsid w:val="001D3E3F"/>
    <w:rsid w:val="00203490"/>
    <w:rsid w:val="00207EC0"/>
    <w:rsid w:val="002655D8"/>
    <w:rsid w:val="002B03F9"/>
    <w:rsid w:val="002B1FDF"/>
    <w:rsid w:val="002C478F"/>
    <w:rsid w:val="003108BC"/>
    <w:rsid w:val="00361BC9"/>
    <w:rsid w:val="00377125"/>
    <w:rsid w:val="00386011"/>
    <w:rsid w:val="003A26FB"/>
    <w:rsid w:val="003C144C"/>
    <w:rsid w:val="003F7C83"/>
    <w:rsid w:val="004037B3"/>
    <w:rsid w:val="0043403C"/>
    <w:rsid w:val="00477F33"/>
    <w:rsid w:val="00492985"/>
    <w:rsid w:val="004A545C"/>
    <w:rsid w:val="00505DBB"/>
    <w:rsid w:val="00527E63"/>
    <w:rsid w:val="005970B3"/>
    <w:rsid w:val="005F360B"/>
    <w:rsid w:val="00666979"/>
    <w:rsid w:val="007039E8"/>
    <w:rsid w:val="007117BD"/>
    <w:rsid w:val="007209C3"/>
    <w:rsid w:val="00724BA9"/>
    <w:rsid w:val="007517CB"/>
    <w:rsid w:val="0076192B"/>
    <w:rsid w:val="0076602B"/>
    <w:rsid w:val="00766088"/>
    <w:rsid w:val="007B5581"/>
    <w:rsid w:val="00816E0B"/>
    <w:rsid w:val="008313E4"/>
    <w:rsid w:val="008367AC"/>
    <w:rsid w:val="008D0921"/>
    <w:rsid w:val="00905EA5"/>
    <w:rsid w:val="00941F3F"/>
    <w:rsid w:val="00A65711"/>
    <w:rsid w:val="00A92A28"/>
    <w:rsid w:val="00AC2BB9"/>
    <w:rsid w:val="00B25C05"/>
    <w:rsid w:val="00B30598"/>
    <w:rsid w:val="00B40EA8"/>
    <w:rsid w:val="00B72AD8"/>
    <w:rsid w:val="00BD129D"/>
    <w:rsid w:val="00C05F63"/>
    <w:rsid w:val="00C31BD0"/>
    <w:rsid w:val="00C54293"/>
    <w:rsid w:val="00CB5995"/>
    <w:rsid w:val="00D5742C"/>
    <w:rsid w:val="00D644F4"/>
    <w:rsid w:val="00D74403"/>
    <w:rsid w:val="00D747B7"/>
    <w:rsid w:val="00D878B2"/>
    <w:rsid w:val="00DB0E10"/>
    <w:rsid w:val="00DC714C"/>
    <w:rsid w:val="00DE253F"/>
    <w:rsid w:val="00DE3BEB"/>
    <w:rsid w:val="00E266D7"/>
    <w:rsid w:val="00E51381"/>
    <w:rsid w:val="00EB4D38"/>
    <w:rsid w:val="00EC0543"/>
    <w:rsid w:val="00F14E1B"/>
    <w:rsid w:val="00F23E0F"/>
    <w:rsid w:val="00F45C3D"/>
    <w:rsid w:val="00F86D58"/>
    <w:rsid w:val="00F872B6"/>
    <w:rsid w:val="00FA0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4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3771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77125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2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2BB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C714C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D747B7"/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747B7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1">
    <w:name w:val="Cabeçalho Char1"/>
    <w:basedOn w:val="Fontepargpadro"/>
    <w:uiPriority w:val="99"/>
    <w:semiHidden/>
    <w:rsid w:val="00D747B7"/>
  </w:style>
  <w:style w:type="paragraph" w:styleId="Rodap">
    <w:name w:val="footer"/>
    <w:basedOn w:val="Normal"/>
    <w:link w:val="RodapChar"/>
    <w:uiPriority w:val="99"/>
    <w:unhideWhenUsed/>
    <w:rsid w:val="00D747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47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4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3771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77125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2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2BB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C714C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D747B7"/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747B7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1">
    <w:name w:val="Cabeçalho Char1"/>
    <w:basedOn w:val="Fontepargpadro"/>
    <w:uiPriority w:val="99"/>
    <w:semiHidden/>
    <w:rsid w:val="00D747B7"/>
  </w:style>
  <w:style w:type="paragraph" w:styleId="Rodap">
    <w:name w:val="footer"/>
    <w:basedOn w:val="Normal"/>
    <w:link w:val="RodapChar"/>
    <w:uiPriority w:val="99"/>
    <w:unhideWhenUsed/>
    <w:rsid w:val="00D747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47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6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5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8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4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1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3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1735</Words>
  <Characters>9375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pmi</dc:creator>
  <cp:lastModifiedBy>HP Inc.</cp:lastModifiedBy>
  <cp:revision>2</cp:revision>
  <cp:lastPrinted>2023-07-11T16:31:00Z</cp:lastPrinted>
  <dcterms:created xsi:type="dcterms:W3CDTF">2024-06-14T17:31:00Z</dcterms:created>
  <dcterms:modified xsi:type="dcterms:W3CDTF">2024-06-14T17:31:00Z</dcterms:modified>
</cp:coreProperties>
</file>