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1071"/>
        <w:tblInd w:w="-142" w:type="dxa"/>
        <w:tblW w:w="94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9496"/>
      </w:tblGrid>
      <w:tr>
        <w:trPr>
          <w:trHeight w:val="255"/>
        </w:trPr>
        <w:tc>
          <w:tcPr>
            <w:shd w:val="clear" w:color="ffffff" w:fill="4472c4"/>
            <w:tcBorders/>
            <w:tcW w:w="9496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pacing w:line="276" w:lineRule="auto"/>
              <w:ind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 xml:space="preserve">TERMO DE REFERÊNCIA </w:t>
            </w:r>
            <w:r>
              <w:rPr>
                <w:b/>
                <w:color w:val="000000"/>
                <w:sz w:val="23"/>
                <w:szCs w:val="23"/>
              </w:rPr>
            </w:r>
            <w:r>
              <w:rPr>
                <w:b/>
                <w:color w:val="000000"/>
                <w:sz w:val="23"/>
                <w:szCs w:val="23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Município de Parobé</w:t>
      </w: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29" w:left="680"/>
        <w:rPr>
          <w:color w:val="000000"/>
          <w:sz w:val="4"/>
          <w:szCs w:val="4"/>
        </w:rPr>
      </w:pPr>
      <w:r>
        <w:rPr>
          <w:color w:val="000000"/>
          <w:sz w:val="4"/>
          <w:szCs w:val="4"/>
        </w:rPr>
      </w:r>
      <w:r>
        <w:rPr>
          <w:color w:val="000000"/>
          <w:sz w:val="4"/>
          <w:szCs w:val="4"/>
        </w:rPr>
      </w:r>
      <w:r>
        <w:rPr>
          <w:color w:val="000000"/>
          <w:sz w:val="4"/>
          <w:szCs w:val="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Secretaria Municipal de Cultura, Turismo, Esporte e </w:t>
      </w:r>
      <w:r>
        <w:rPr>
          <w:color w:val="000000"/>
          <w:sz w:val="23"/>
          <w:szCs w:val="23"/>
        </w:rPr>
        <w:t xml:space="preserve">Lazer</w:t>
      </w: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center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DESCRIÇÃO DO OBJETO: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O presente Termo de Referência tem por objeto a contratação da empresa E. G. Christ LTDA</w:t>
      </w:r>
      <w:r>
        <w:rPr>
          <w:sz w:val="24"/>
          <w:szCs w:val="24"/>
        </w:rPr>
        <w:t xml:space="preserve">, inscrita no CNPJ nº 49.840.896/0001-06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detentora da representação exclusiva do artista Badin o Colono, para a realização de 01 (uma) apresentação artística, integrante da programação oficial do 44º Festejando Parobé/2026.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rFonts w:eastAsia="Times New Roman"/>
          <w:sz w:val="23"/>
          <w:szCs w:val="23"/>
          <w:lang w:eastAsia="pt-BR"/>
        </w:rPr>
      </w:pPr>
      <w:r>
        <w:rPr>
          <w:rFonts w:eastAsia="Times New Roman"/>
          <w:sz w:val="23"/>
          <w:szCs w:val="23"/>
          <w:lang w:eastAsia="pt-BR"/>
        </w:rPr>
      </w:r>
      <w:r>
        <w:rPr>
          <w:rFonts w:eastAsia="Times New Roman"/>
          <w:sz w:val="23"/>
          <w:szCs w:val="23"/>
          <w:lang w:eastAsia="pt-BR"/>
        </w:rPr>
      </w:r>
      <w:r>
        <w:rPr>
          <w:rFonts w:eastAsia="Times New Roman"/>
          <w:sz w:val="23"/>
          <w:szCs w:val="23"/>
          <w:lang w:eastAsia="pt-BR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  <w:lang w:eastAsia="pt-BR"/>
        </w:rPr>
        <w:t xml:space="preserve">1.2 A apresentação ocorrerá conforme tabela abaixo: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</w:r>
      <w:r>
        <w:rPr>
          <w:rFonts w:eastAsia="Times New Roman"/>
          <w:sz w:val="24"/>
          <w:szCs w:val="24"/>
          <w:lang w:eastAsia="pt-BR"/>
        </w:rPr>
      </w:r>
      <w:r>
        <w:rPr>
          <w:rFonts w:eastAsia="Times New Roman"/>
          <w:sz w:val="24"/>
          <w:szCs w:val="24"/>
          <w:lang w:eastAsia="pt-BR"/>
        </w:rPr>
      </w:r>
    </w:p>
    <w:tbl>
      <w:tblPr>
        <w:tblStyle w:val="1072"/>
        <w:tblInd w:w="0" w:type="dxa"/>
        <w:tblW w:w="935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2268"/>
        <w:gridCol w:w="1559"/>
        <w:gridCol w:w="1276"/>
        <w:gridCol w:w="1610"/>
        <w:gridCol w:w="1791"/>
      </w:tblGrid>
      <w:tr>
        <w:trPr/>
        <w:tc>
          <w:tcPr>
            <w:shd w:val="clear" w:color="auto" w:fill="4472c4"/>
            <w:tcBorders/>
            <w:tcW w:w="850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ITE</w:t>
            </w:r>
            <w:r>
              <w:rPr>
                <w:b/>
                <w:color w:val="ffffff"/>
              </w:rPr>
              <w:t xml:space="preserve">M</w:t>
            </w:r>
            <w:r>
              <w:rPr>
                <w:b/>
                <w:color w:val="ffffff"/>
              </w:rPr>
            </w:r>
            <w:r>
              <w:rPr>
                <w:b/>
                <w:color w:val="ffffff"/>
              </w:rPr>
            </w:r>
          </w:p>
        </w:tc>
        <w:tc>
          <w:tcPr>
            <w:shd w:val="clear" w:color="auto" w:fill="4472c4"/>
            <w:tcBorders/>
            <w:tcW w:w="2268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DESCRIÇÃO</w:t>
            </w:r>
            <w:r>
              <w:rPr>
                <w:b/>
                <w:color w:val="ffffff"/>
              </w:rPr>
            </w:r>
            <w:r>
              <w:rPr>
                <w:b/>
                <w:color w:val="ffffff"/>
              </w:rPr>
            </w:r>
          </w:p>
        </w:tc>
        <w:tc>
          <w:tcPr>
            <w:shd w:val="clear" w:color="auto" w:fill="4472c4"/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 xml:space="preserve">DATA</w:t>
            </w:r>
            <w:r>
              <w:rPr>
                <w:b/>
                <w:color w:val="ffffff"/>
                <w:sz w:val="24"/>
                <w:szCs w:val="24"/>
              </w:rPr>
            </w:r>
            <w:r>
              <w:rPr>
                <w:b/>
                <w:color w:val="ffffff"/>
                <w:sz w:val="24"/>
                <w:szCs w:val="24"/>
              </w:rPr>
            </w:r>
          </w:p>
        </w:tc>
        <w:tc>
          <w:tcPr>
            <w:shd w:val="clear" w:color="ffffff" w:fill="4472c4"/>
            <w:tcBorders/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 xml:space="preserve">INÍCIO</w:t>
            </w:r>
            <w:r>
              <w:rPr>
                <w:b/>
                <w:bCs/>
                <w:color w:val="ffffff"/>
              </w:rPr>
            </w:r>
            <w:r>
              <w:rPr>
                <w:b/>
                <w:bCs/>
                <w:color w:val="ffffff"/>
              </w:rPr>
            </w:r>
          </w:p>
        </w:tc>
        <w:tc>
          <w:tcPr>
            <w:shd w:val="clear" w:color="auto" w:fill="4472c4"/>
            <w:tcBorders/>
            <w:tcW w:w="1610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DURAÇÃO MÍNIMA </w:t>
            </w:r>
            <w:r>
              <w:rPr>
                <w:b/>
                <w:color w:val="ffffff"/>
              </w:rPr>
            </w:r>
            <w:r>
              <w:rPr>
                <w:b/>
                <w:color w:val="ffffff"/>
              </w:rPr>
            </w:r>
          </w:p>
        </w:tc>
        <w:tc>
          <w:tcPr>
            <w:shd w:val="clear" w:color="auto" w:fill="4472c4"/>
            <w:tcBorders/>
            <w:tcW w:w="1791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VLR. TOTAL R$</w:t>
            </w:r>
            <w:r>
              <w:rPr>
                <w:b/>
                <w:color w:val="ffffff"/>
              </w:rPr>
            </w:r>
            <w:r>
              <w:rPr>
                <w:b/>
                <w:color w:val="ffffff"/>
              </w:rPr>
            </w:r>
          </w:p>
        </w:tc>
      </w:tr>
      <w:tr>
        <w:trPr>
          <w:trHeight w:val="752"/>
        </w:trPr>
        <w:tc>
          <w:tcPr>
            <w:shd w:val="clear" w:color="auto" w:fill="d9d9d9"/>
            <w:tcBorders/>
            <w:tcW w:w="850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1</w:t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shd w:val="clear" w:color="auto" w:fill="d9d9d9"/>
            <w:tcBorders/>
            <w:tcW w:w="2268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Show artístico de </w:t>
            </w:r>
            <w:r>
              <w:rPr>
                <w:sz w:val="24"/>
                <w:szCs w:val="24"/>
              </w:rPr>
              <w:t xml:space="preserve">Badin o Colono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d9d9d9"/>
            <w:tcBorders/>
            <w:tcW w:w="1559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25/03/2026 </w:t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shd w:val="clear" w:color="ffffff" w:fill="d9d9d9"/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20h</w:t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shd w:val="clear" w:color="auto" w:fill="d9d9d9"/>
            <w:tcBorders/>
            <w:tcW w:w="1610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color w:val="000000"/>
                <w:sz w:val="23"/>
                <w:szCs w:val="23"/>
              </w:rPr>
            </w:pPr>
            <w:r/>
            <w:bookmarkStart w:id="0" w:name="_GoBack"/>
            <w:r>
              <w:t xml:space="preserve">70</w:t>
            </w:r>
            <w:bookmarkEnd w:id="0"/>
            <w:r>
              <w:rPr>
                <w:color w:val="000000"/>
                <w:sz w:val="23"/>
                <w:szCs w:val="23"/>
              </w:rPr>
              <w:t xml:space="preserve"> minutos</w:t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shd w:val="clear" w:color="auto" w:fill="d9d9d9"/>
            <w:tcBorders/>
            <w:tcW w:w="1791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41.500,00</w:t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 O contrato decorrente desta contratação terá vigência </w:t>
      </w:r>
      <w:r>
        <w:rPr>
          <w:rStyle w:val="976"/>
          <w:b w:val="0"/>
          <w:sz w:val="24"/>
          <w:szCs w:val="24"/>
        </w:rPr>
        <w:t xml:space="preserve">da data de sua</w:t>
      </w:r>
      <w:r>
        <w:rPr>
          <w:rStyle w:val="976"/>
          <w:sz w:val="24"/>
          <w:szCs w:val="24"/>
        </w:rPr>
        <w:t xml:space="preserve"> </w:t>
      </w:r>
      <w:r>
        <w:rPr>
          <w:rStyle w:val="976"/>
          <w:b w:val="0"/>
          <w:sz w:val="24"/>
          <w:szCs w:val="24"/>
        </w:rPr>
        <w:t xml:space="preserve">assinatura até </w:t>
      </w:r>
      <w:r>
        <w:rPr>
          <w:rStyle w:val="976"/>
          <w:sz w:val="24"/>
          <w:szCs w:val="24"/>
        </w:rPr>
        <w:t xml:space="preserve">10 (dez) dias após </w:t>
      </w:r>
      <w:r>
        <w:rPr>
          <w:rStyle w:val="976"/>
          <w:b w:val="0"/>
          <w:sz w:val="24"/>
          <w:szCs w:val="24"/>
        </w:rPr>
        <w:t xml:space="preserve">a realização da apresentação</w:t>
      </w:r>
      <w:r>
        <w:rPr>
          <w:sz w:val="24"/>
          <w:szCs w:val="24"/>
        </w:rPr>
        <w:t xml:space="preserve">, abrangendo o período necessário para a organização do evento, cumprimento</w:t>
      </w:r>
      <w:r>
        <w:rPr>
          <w:sz w:val="24"/>
          <w:szCs w:val="24"/>
        </w:rPr>
        <w:t xml:space="preserve"> das obrigações prévias, </w:t>
      </w:r>
      <w:r>
        <w:rPr>
          <w:sz w:val="24"/>
          <w:szCs w:val="24"/>
        </w:rPr>
        <w:t xml:space="preserve">realização</w:t>
      </w:r>
      <w:r>
        <w:rPr>
          <w:sz w:val="24"/>
          <w:szCs w:val="24"/>
        </w:rPr>
        <w:t xml:space="preserve"> do show e processamento das etapas de liquidação e pagamento, </w:t>
      </w:r>
      <w:r>
        <w:rPr>
          <w:rStyle w:val="976"/>
          <w:b w:val="0"/>
          <w:sz w:val="24"/>
          <w:szCs w:val="24"/>
        </w:rPr>
        <w:t xml:space="preserve">não sendo prevista prorrogação</w:t>
      </w:r>
      <w:r>
        <w:rPr>
          <w:sz w:val="24"/>
          <w:szCs w:val="24"/>
        </w:rPr>
        <w:t xml:space="preserve">, salvo em situações exce</w:t>
      </w:r>
      <w:r>
        <w:rPr>
          <w:sz w:val="24"/>
          <w:szCs w:val="24"/>
        </w:rPr>
        <w:t xml:space="preserve">pcionais e devidamente justificadas, nos termos da Lei Federal nº 14.133/2021.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left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</w:r>
      <w:r>
        <w:rPr>
          <w:b/>
          <w:bCs/>
          <w:color w:val="000000"/>
          <w:sz w:val="23"/>
          <w:szCs w:val="23"/>
        </w:rPr>
      </w:r>
      <w:r>
        <w:rPr>
          <w:b/>
          <w:bCs/>
          <w:color w:val="000000"/>
          <w:sz w:val="23"/>
          <w:szCs w:val="23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FUNDAMENTAÇÃO/JUSTIFICATIVA DA CONTRATAÇÃO:</w:t>
      </w:r>
      <w:bookmarkStart w:id="1" w:name="bookmark=id.gjdgxs"/>
      <w:r/>
      <w:bookmarkEnd w:id="1"/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2.1</w:t>
      </w:r>
      <w:r>
        <w:rPr>
          <w:b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contratação de </w:t>
      </w:r>
      <w:r>
        <w:rPr>
          <w:sz w:val="24"/>
          <w:szCs w:val="24"/>
        </w:rPr>
        <w:t xml:space="preserve">Badin o Colono</w:t>
      </w:r>
      <w:r/>
      <w:r>
        <w:rPr>
          <w:sz w:val="24"/>
          <w:szCs w:val="24"/>
        </w:rPr>
      </w:r>
      <w:r>
        <w:rPr>
          <w:sz w:val="24"/>
          <w:szCs w:val="24"/>
        </w:rPr>
        <w:t xml:space="preserve"> justifica-se pela necessidade de compor a programação artística do 44º Festejando</w:t>
      </w:r>
      <w:r>
        <w:rPr>
          <w:sz w:val="24"/>
          <w:szCs w:val="24"/>
        </w:rPr>
        <w:t xml:space="preserve"> Parobé, evento comemorativo alusivo ao aniversário do Município de Parobé, integrante do calendário oficial, de grande porte e de reconhecida relevância cultural, turística e econômica para o Município, conforme caracterizado no Estudo Técnico Preliminar.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</w:t>
      </w:r>
      <w:r>
        <w:rPr>
          <w:b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 evento atrai elevado fluxo de visitantes e gera impacto significativo nos setores de comércio, serviços e turismo local, sendo essencial a contratação de atração musical de destaque no cenário regional, com ampla aceitação popular, capaz de ampliar o alc</w:t>
      </w:r>
      <w:r>
        <w:rPr>
          <w:sz w:val="24"/>
          <w:szCs w:val="24"/>
        </w:rPr>
        <w:t xml:space="preserve">ance do público, diversificar a programação cultural e fortalecer a visibilidade institucional do Município, atendendo a diferentes perfis da comunidade.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2.3 A presença de comediante consagrado e amplamente reconhecido no segmento musical em que atua, como ao </w:t>
      </w:r>
      <w:r>
        <w:rPr>
          <w:sz w:val="24"/>
          <w:szCs w:val="24"/>
        </w:rPr>
        <w:t xml:space="preserve">Badin o Colono</w:t>
      </w:r>
      <w:r/>
      <w:r>
        <w:rPr>
          <w:sz w:val="24"/>
          <w:szCs w:val="24"/>
        </w:rPr>
      </w:r>
      <w:r>
        <w:rPr>
          <w:sz w:val="24"/>
          <w:szCs w:val="24"/>
        </w:rPr>
        <w:t xml:space="preserve">, é fator determinante para a atratividade do evento e para a mobilização de grande público, produzindo efeitos positivos diretos na economia local, especialmente nos setores de alimentação, hospedagem, transporte e comércio, além de contr</w:t>
      </w:r>
      <w:r>
        <w:rPr>
          <w:sz w:val="24"/>
          <w:szCs w:val="24"/>
        </w:rPr>
        <w:t xml:space="preserve">ibuir para a valorização cultural e social do Festejando Parobé.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2.4. Trajetória, notoriedade e consagração pública de</w:t>
      </w:r>
      <w:r>
        <w:rPr>
          <w:rFonts w:ascii="Arial" w:hAnsi="Arial" w:eastAsia="Arial" w:cs="Arial"/>
          <w:b/>
          <w:bCs/>
          <w:color w:val="000000"/>
        </w:rPr>
        <w:t xml:space="preserve"> </w:t>
      </w:r>
      <w:r>
        <w:rPr>
          <w:rFonts w:ascii="Arial" w:hAnsi="Arial" w:eastAsia="Arial" w:cs="Arial"/>
          <w:b/>
          <w:bCs/>
          <w:sz w:val="24"/>
          <w:szCs w:val="24"/>
        </w:rPr>
        <w:t xml:space="preserve">Badin o Colono</w:t>
      </w:r>
      <w:r>
        <w:rPr>
          <w:rFonts w:ascii="Arial" w:hAnsi="Arial" w:eastAsia="Arial" w:cs="Arial"/>
          <w:b/>
          <w:bCs/>
          <w:color w:val="000000"/>
        </w:rPr>
        <w:t xml:space="preserve">.</w:t>
      </w:r>
      <w:r>
        <w:rPr>
          <w:rFonts w:ascii="Arial" w:hAnsi="Arial" w:eastAsia="Arial" w:cs="Arial"/>
          <w:b/>
          <w:bCs/>
          <w:color w:val="000000"/>
        </w:rPr>
      </w:r>
      <w:r>
        <w:rPr>
          <w:rFonts w:ascii="Arial" w:hAnsi="Arial" w:cs="Arial"/>
          <w:b/>
          <w:bCs/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2.4.1 </w:t>
      </w:r>
      <w:r>
        <w:rPr>
          <w:sz w:val="24"/>
          <w:szCs w:val="24"/>
        </w:rPr>
        <w:t xml:space="preserve">Badin o Colono é o personagem criado e interpretado pelo humorista gaúcho Eduardo Gustavo Christ, natural do interior do Rio Grande do Sul. A personagem surgiu a partir da valorização das raízes culturais do colono alemão e italiano da região sul do Brasil</w:t>
      </w:r>
      <w:r>
        <w:rPr>
          <w:sz w:val="24"/>
          <w:szCs w:val="24"/>
        </w:rPr>
        <w:t xml:space="preserve">, retratando com humor os costumes, a simplicidade e as situações típicas da vida no interior.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2.4.2 </w:t>
      </w:r>
      <w:r>
        <w:rPr>
          <w:sz w:val="24"/>
          <w:szCs w:val="24"/>
        </w:rPr>
        <w:t xml:space="preserve">A notoriedade de Badin o Colono consolidou-se pelo forte apelo regional e identificação imediata do público com o personagem. Seu humor é considerado familiar, acessível e voltado a todas as idades, o que amplia seu alcance e aceitação em eventos públicos. </w:t>
      </w:r>
      <w:r>
        <w:rPr>
          <w:sz w:val="24"/>
          <w:szCs w:val="24"/>
        </w:rPr>
        <w:t xml:space="preserve">O artista alcançou expressiva audiência nas plataformas digitais, com milhões de visualizações em seus vídeos e ampla interação do público. Além disso, tornou-se presença recorrente em programações municipais, aniversários de cidades, festas típicas, Oktob</w:t>
      </w:r>
      <w:r>
        <w:rPr>
          <w:sz w:val="24"/>
          <w:szCs w:val="24"/>
        </w:rPr>
        <w:t xml:space="preserve">erfests e eventos voltados à valorização da cultura germânica e colonial.</w:t>
      </w:r>
      <w:r>
        <w:rPr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2.4.3 </w:t>
      </w:r>
      <w:r>
        <w:rPr>
          <w:sz w:val="24"/>
          <w:szCs w:val="24"/>
        </w:rPr>
        <w:t xml:space="preserve">A consagração pública de Badin o Colono é evidenciada pela ampla agenda de shows em diferentes municípios do Rio Grande do Sul e também em outros estados do Sul do Brasil. O artista é frequentemente contratado para eventos oficiais promovidos por prefeitur</w:t>
      </w:r>
      <w:r>
        <w:rPr>
          <w:sz w:val="24"/>
          <w:szCs w:val="24"/>
        </w:rPr>
        <w:t xml:space="preserve">as, o que demonstra reconhecimento institucional e credibilidade profissional. </w:t>
      </w:r>
      <w:r>
        <w:rPr>
          <w:sz w:val="24"/>
          <w:szCs w:val="24"/>
        </w:rPr>
      </w:r>
      <w:r>
        <w:rPr>
          <w:sz w:val="24"/>
          <w:szCs w:val="24"/>
        </w:rPr>
        <w:t xml:space="preserve">O personagem tornou-se referência no humor regional contemporâneo, sendo reconhecido como um dos principais representantes da comédia voltada à cultura colonial gaúcha. Sua trajetória demonstra crescimento consistente, consolidando-se como atração de grand</w:t>
      </w:r>
      <w:r>
        <w:rPr>
          <w:sz w:val="24"/>
          <w:szCs w:val="24"/>
        </w:rPr>
        <w:t xml:space="preserve">e público e relevância cultural.</w:t>
      </w:r>
      <w:r>
        <w:rPr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</w:r>
      <w:r>
        <w:rPr>
          <w:rFonts w:ascii="Arial" w:hAnsi="Arial" w:cs="Arial"/>
          <w:b/>
          <w:bCs/>
          <w:color w:val="000000"/>
        </w:rPr>
      </w:r>
      <w:r>
        <w:rPr>
          <w:rFonts w:ascii="Arial" w:hAnsi="Arial" w:cs="Arial"/>
          <w:b/>
          <w:bCs/>
          <w:color w:val="000000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 xml:space="preserve">2.4.4 A contratação apresenta-se juridicamente viável com fundamento no art. 74, inciso II, da Lei nº 14.133/2021, que prevê a inexigibilidade de licitação para a contratação de profissional do seto</w:t>
      </w:r>
      <w:r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 xml:space="preserve">artístico, diretamente ou por meio de empresário exclusivo, desde que consagrado pela crítica especializada ou pela opinião pública. O comediante </w:t>
      </w:r>
      <w:r>
        <w:rPr>
          <w:rFonts w:ascii="Arial" w:hAnsi="Arial" w:eastAsia="Arial" w:cs="Arial"/>
          <w:sz w:val="24"/>
          <w:szCs w:val="24"/>
        </w:rPr>
        <w:t xml:space="preserve">Badin o Colono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cs="Arial"/>
        </w:rPr>
        <w:t xml:space="preserve">possui trajetória amplamente reconhecida, consagração regional e presença consolidada no cenário mus</w:t>
      </w:r>
      <w:r>
        <w:rPr>
          <w:rFonts w:ascii="Arial" w:hAnsi="Arial" w:cs="Arial"/>
        </w:rPr>
        <w:t xml:space="preserve">ical brasileiro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A singularidade do artista, aliada à exclusividade de representação da empresa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E. G. Christ LTDA</w:t>
      </w:r>
      <w:r>
        <w:rPr>
          <w:rFonts w:ascii="Arial" w:hAnsi="Arial" w:eastAsia="Arial" w:cs="Arial"/>
        </w:rPr>
        <w:t xml:space="preserve">,</w:t>
      </w:r>
      <w:r>
        <w:rPr>
          <w:rFonts w:ascii="Arial" w:hAnsi="Arial" w:cs="Arial"/>
        </w:rPr>
        <w:t xml:space="preserve"> afasta a possibilidade de disputa competitiva, autorizando a contratação direta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  <w:b/>
          <w:bCs/>
          <w:color w:val="000000"/>
        </w:rPr>
      </w:r>
      <w:r>
        <w:rPr>
          <w:rFonts w:ascii="Arial" w:hAnsi="Arial" w:cs="Arial"/>
          <w:b/>
          <w:bCs/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DESCRIÇÃO DA SOLUÇÃO COMO UM TODO: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>
        <w:rPr>
          <w:sz w:val="24"/>
          <w:szCs w:val="24"/>
        </w:rPr>
        <w:t xml:space="preserve">A solução delineada para a contratação de </w:t>
      </w:r>
      <w:r>
        <w:rPr>
          <w:rFonts w:ascii="Arial" w:hAnsi="Arial" w:eastAsia="Arial" w:cs="Arial"/>
          <w:sz w:val="24"/>
          <w:szCs w:val="24"/>
        </w:rPr>
        <w:t xml:space="preserve">Badin o Colono</w:t>
      </w:r>
      <w:r/>
      <w:r>
        <w:rPr>
          <w:sz w:val="24"/>
          <w:szCs w:val="24"/>
        </w:rPr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visa atender à necessidade de compor uma das principais atrações regionais da programação oficial do 44º Festejando Parobé – </w:t>
      </w:r>
      <w:r>
        <w:rPr>
          <w:sz w:val="24"/>
          <w:szCs w:val="24"/>
        </w:rPr>
        <w:t xml:space="preserve">2026, evento</w:t>
      </w:r>
      <w:r>
        <w:rPr>
          <w:sz w:val="24"/>
          <w:szCs w:val="24"/>
        </w:rPr>
        <w:t xml:space="preserve"> de grande porte que integra o calendário institucional do</w:t>
      </w:r>
      <w:r>
        <w:rPr>
          <w:sz w:val="24"/>
          <w:szCs w:val="24"/>
        </w:rPr>
        <w:t xml:space="preserve"> Município e que, historicamente, mobiliza público estimado entre 30.000 e 50.000 pessoas, conforme identificado no Estudo Técnico Preliminar.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 A inclusão de uma atração musical de reconhecimento regional, como a de </w:t>
      </w:r>
      <w:r>
        <w:rPr>
          <w:rFonts w:ascii="Arial" w:hAnsi="Arial" w:eastAsia="Arial" w:cs="Arial"/>
          <w:sz w:val="24"/>
          <w:szCs w:val="24"/>
        </w:rPr>
        <w:t xml:space="preserve">Badin o Colono</w:t>
      </w:r>
      <w:r/>
      <w:r>
        <w:rPr>
          <w:sz w:val="24"/>
          <w:szCs w:val="24"/>
        </w:rPr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possui papel estrat</w:t>
      </w:r>
      <w:r>
        <w:rPr>
          <w:sz w:val="24"/>
          <w:szCs w:val="24"/>
        </w:rPr>
        <w:t xml:space="preserve">égico para a diversificação da programação cultural do evento, para o fortalecimento da identidade cultural local e regional, bem como para a ampliação do impacto social e socioeconômico gerado pelo Festejando, refletindo positivamente nos setores de turis</w:t>
      </w:r>
      <w:r>
        <w:rPr>
          <w:sz w:val="24"/>
          <w:szCs w:val="24"/>
        </w:rPr>
        <w:t xml:space="preserve">mo, alimentação, comércio, serviços e economia criativa.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 </w:t>
      </w:r>
      <w:r>
        <w:rPr>
          <w:sz w:val="24"/>
          <w:szCs w:val="24"/>
        </w:rPr>
        <w:t xml:space="preserve">A solução compreende a contratação direta da empresa representante exclusiva de </w:t>
      </w:r>
      <w:r>
        <w:rPr>
          <w:rFonts w:ascii="Arial" w:hAnsi="Arial" w:eastAsia="Arial" w:cs="Arial"/>
          <w:sz w:val="24"/>
          <w:szCs w:val="24"/>
        </w:rPr>
        <w:t xml:space="preserve">Badin o Colono</w:t>
      </w:r>
      <w:r/>
      <w:r>
        <w:rPr>
          <w:sz w:val="24"/>
          <w:szCs w:val="24"/>
        </w:rPr>
      </w:r>
      <w:r>
        <w:rPr>
          <w:sz w:val="24"/>
          <w:szCs w:val="24"/>
        </w:rPr>
        <w:t xml:space="preserve">, assegurando a autenticidade, a originalidade e a viabilidade técnica da apresentação. A escolh</w:t>
      </w:r>
      <w:r>
        <w:rPr>
          <w:sz w:val="24"/>
          <w:szCs w:val="24"/>
        </w:rPr>
        <w:t xml:space="preserve">a do comediante considera não apenas o aspecto artístico e musical, mas também sua expressiva capacidade de mobilização de público, sua ampla aceitação popular e sua consolidação no cenário musical, fatores que contribuem para elevar o padrão de qualidade da pr</w:t>
      </w:r>
      <w:r>
        <w:rPr>
          <w:sz w:val="24"/>
          <w:szCs w:val="24"/>
        </w:rPr>
        <w:t xml:space="preserve">ogramação e reforçar a imagem institucional do Município como promotor de grandes eventos culturais.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 A contratação assegura que o Município ofereça ao público uma atração de grande notoriedade no segmento musical em que </w:t>
      </w:r>
      <w:r>
        <w:rPr>
          <w:sz w:val="24"/>
          <w:szCs w:val="24"/>
        </w:rPr>
        <w:t xml:space="preserve">atua,</w:t>
      </w:r>
      <w:r>
        <w:rPr>
          <w:sz w:val="24"/>
          <w:szCs w:val="24"/>
        </w:rPr>
        <w:t xml:space="preserve"> capaz de ampliar o alcanc</w:t>
      </w:r>
      <w:r>
        <w:rPr>
          <w:sz w:val="24"/>
          <w:szCs w:val="24"/>
        </w:rPr>
        <w:t xml:space="preserve">e do Festejando Parobé, fortalecer sua relevância cultural e promover retorno institucional, social e econômico compatível com o investimento realizado. Assim, a solução como um todo não se limita à realização do show, mas à entrega de um espetáculo de ele</w:t>
      </w:r>
      <w:r>
        <w:rPr>
          <w:sz w:val="24"/>
          <w:szCs w:val="24"/>
        </w:rPr>
        <w:t xml:space="preserve">vada relevância artística e impacto social, plenamente compatível com a dimensão e a importância do evento.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REQUISITOS DA CONTRATAÇÃO/AQUISIÇÃO: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 O serviço a ser contratado possui nature</w:t>
      </w:r>
      <w:r>
        <w:rPr>
          <w:rFonts w:ascii="Arial" w:hAnsi="Arial" w:cs="Arial"/>
        </w:rPr>
        <w:t xml:space="preserve">za artística especial, nos termos do art. 6º, XIV, da Lei nº 14.133/2021, por se tratar de apresentação de elevada complexidade técnica, que não admite padronização como serviço comum.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 w:left="680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4.2. A empresa responsável deverá comprovar representação exclusiva de </w:t>
      </w:r>
      <w:r>
        <w:rPr>
          <w:rFonts w:ascii="Arial" w:hAnsi="Arial" w:eastAsia="Arial" w:cs="Arial"/>
          <w:sz w:val="24"/>
          <w:szCs w:val="24"/>
        </w:rPr>
        <w:t xml:space="preserve">Badin o Colono</w:t>
      </w:r>
      <w:r/>
      <w:r>
        <w:rPr>
          <w:rFonts w:ascii="Arial" w:hAnsi="Arial" w:cs="Arial"/>
        </w:rPr>
      </w:r>
      <w:r>
        <w:rPr>
          <w:rFonts w:ascii="Arial" w:hAnsi="Arial" w:eastAsia="Arial" w:cs="Arial"/>
        </w:rPr>
        <w:t xml:space="preserve">,</w:t>
      </w:r>
      <w:r>
        <w:rPr>
          <w:rFonts w:ascii="Arial" w:hAnsi="Arial" w:cs="Arial"/>
        </w:rPr>
        <w:t xml:space="preserve"> mediante documentação emitida pela própria ou por sua produção oficial, condição indispensável para caracterizar a inviabilidade de competição prevista no art. 74, II da Lei nº 14.133/2021.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 w:left="680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 A apresentação terá duração mínima de 70min</w:t>
      </w:r>
      <w:r>
        <w:rPr>
          <w:rFonts w:ascii="Arial" w:hAnsi="Arial" w:cs="Arial"/>
        </w:rPr>
        <w:t xml:space="preserve"> (setenta minutos), devendo ocorrer rigorosamente na data e horário definidos no item </w:t>
      </w:r>
      <w:r>
        <w:rPr>
          <w:rFonts w:ascii="Arial" w:hAnsi="Arial" w:cs="Arial"/>
        </w:rPr>
        <w:t xml:space="preserve">1</w:t>
      </w:r>
      <w:r>
        <w:rPr>
          <w:rFonts w:ascii="Arial" w:hAnsi="Arial" w:cs="Arial"/>
        </w:rPr>
        <w:t xml:space="preserve"> deste Termo de Referência, observando-se as condições técnicas e logísticas acordadas entre a produção da artista e a Administração.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4.4 </w:t>
      </w:r>
      <w:r>
        <w:rPr>
          <w:rFonts w:ascii="Arial" w:hAnsi="Arial" w:cs="Arial"/>
        </w:rPr>
        <w:t xml:space="preserve">É</w:t>
      </w:r>
      <w:r>
        <w:rPr>
          <w:rFonts w:ascii="Arial" w:hAnsi="Arial" w:cs="Arial"/>
        </w:rPr>
        <w:t xml:space="preserve"> vedada a subcontratação do objet</w:t>
      </w:r>
      <w:r>
        <w:rPr>
          <w:rFonts w:ascii="Arial" w:hAnsi="Arial" w:cs="Arial"/>
        </w:rPr>
        <w:t xml:space="preserve">o artístico, total ou parcial, exceto profissionais da equipe técnica direta do comediante</w:t>
      </w:r>
      <w:r>
        <w:rPr>
          <w:rFonts w:ascii="Arial" w:hAnsi="Arial" w:cs="Arial"/>
        </w:rPr>
        <w:t xml:space="preserve">, que integram a execução do espetáculo e não configuram transferência de responsabilidade sobre o objeto principal.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 w:left="680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4.5 Durante a execução</w:t>
      </w:r>
      <w:r>
        <w:rPr>
          <w:rFonts w:ascii="Arial" w:hAnsi="Arial" w:cs="Arial"/>
        </w:rPr>
        <w:t xml:space="preserve">, deverão</w:t>
      </w:r>
      <w:r>
        <w:rPr>
          <w:rFonts w:ascii="Arial" w:hAnsi="Arial" w:cs="Arial"/>
        </w:rPr>
        <w:t xml:space="preserve"> ser observados os pro</w:t>
      </w:r>
      <w:r>
        <w:rPr>
          <w:rFonts w:ascii="Arial" w:hAnsi="Arial" w:cs="Arial"/>
        </w:rPr>
        <w:t xml:space="preserve">tocolos de segurança, acessibilidade, controle de público, PPCI, normas técnicas e demais regulamentações aplicáveis ao evento, competindo à contratada seguir todas as orientações operacionais da organização.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 w:left="680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4.6 Sempre que possível, deverão ser adotadas </w:t>
      </w:r>
      <w:r>
        <w:rPr>
          <w:rFonts w:ascii="Arial" w:hAnsi="Arial" w:cs="Arial"/>
        </w:rPr>
        <w:t xml:space="preserve">práticas sustentáveis, incluindo redução de resíduos, uso racional de recursos e descarte ambientalmente adequado, em alinhamento com as diretrizes ambientais previstas no planejamento do evento.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 w:left="680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</w:rPr>
        <w:t xml:space="preserve">4.7 A contratada responsabiliza-se integralmente pelo cumpr</w:t>
      </w:r>
      <w:r>
        <w:rPr>
          <w:rFonts w:ascii="Arial" w:hAnsi="Arial" w:cs="Arial"/>
        </w:rPr>
        <w:t xml:space="preserve">imento das condições pactuadas, garantindo a entrega do espetáculo conforme especificações artísticas e técnicas do comediante, não cabendo à Administração quaisquer encargos adicionais além dos previstos contratualmente.</w:t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 w:left="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4.8 </w:t>
      </w:r>
      <w:r>
        <w:rPr>
          <w:sz w:val="24"/>
          <w:szCs w:val="24"/>
        </w:rPr>
        <w:t xml:space="preserve">Fica estabelecido que será disponibilizado um </w:t>
      </w:r>
      <w:r>
        <w:rPr>
          <w:rStyle w:val="976"/>
          <w:b w:val="0"/>
          <w:bCs w:val="0"/>
          <w:sz w:val="24"/>
          <w:szCs w:val="24"/>
        </w:rPr>
        <w:t xml:space="preserve">camarim básico</w:t>
      </w:r>
      <w:r>
        <w:rPr>
          <w:sz w:val="24"/>
          <w:szCs w:val="24"/>
        </w:rPr>
        <w:t xml:space="preserve"> para o comediante contratad</w:t>
      </w:r>
      <w:r>
        <w:rPr>
          <w:sz w:val="24"/>
          <w:szCs w:val="24"/>
        </w:rPr>
        <w:t xml:space="preserve">o, contendo </w:t>
      </w:r>
      <w:r>
        <w:rPr>
          <w:rStyle w:val="976"/>
          <w:b w:val="0"/>
          <w:bCs w:val="0"/>
          <w:sz w:val="24"/>
          <w:szCs w:val="24"/>
        </w:rPr>
        <w:t xml:space="preserve">apenas fornecimento de água potável</w:t>
      </w:r>
      <w:r>
        <w:rPr>
          <w:sz w:val="24"/>
          <w:szCs w:val="24"/>
        </w:rPr>
        <w:t xml:space="preserve">. Não haverá serviço de alimentação ou outros itens adicionais no espaço, cabendo a contratad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trazer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materiais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complementares que julgarem necessários para a preparação antes da apresentaç</w:t>
      </w:r>
      <w:r>
        <w:rPr>
          <w:sz w:val="24"/>
          <w:szCs w:val="24"/>
        </w:rPr>
        <w:t xml:space="preserve">ão.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70"/>
        <w:pBdr/>
        <w:spacing w:after="0" w:afterAutospacing="0" w:before="0" w:beforeAutospacing="0"/>
        <w:ind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EXECUÇÃO DO OBJETO: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 A execução d</w:t>
      </w:r>
      <w:r>
        <w:rPr>
          <w:sz w:val="24"/>
          <w:szCs w:val="24"/>
        </w:rPr>
        <w:t xml:space="preserve">o objeto consiste na realização de 01 (uma) apresentação artística de </w:t>
      </w:r>
      <w:r>
        <w:rPr>
          <w:rFonts w:ascii="Arial" w:hAnsi="Arial" w:eastAsia="Arial" w:cs="Arial"/>
          <w:sz w:val="24"/>
          <w:szCs w:val="24"/>
        </w:rPr>
        <w:t xml:space="preserve">Badin o Colono</w:t>
      </w:r>
      <w:r/>
      <w:r>
        <w:rPr>
          <w:sz w:val="24"/>
          <w:szCs w:val="24"/>
        </w:rPr>
      </w:r>
      <w:r>
        <w:rPr>
          <w:sz w:val="24"/>
          <w:szCs w:val="24"/>
        </w:rPr>
        <w:t xml:space="preserve">, na data, horário e duração definidos no item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deste Termo de Referência, integrando a programação oficial do 44º Festejando Parobé – 2026.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 A Administração Municipal será responsável por disponibilizar toda a estrutura de palco, som, iluminação, painéis de LED (quando aplicável), energia elétrica estabilizada, geradores, praticáveis, passarelas, </w:t>
      </w:r>
      <w:r>
        <w:rPr>
          <w:sz w:val="24"/>
          <w:szCs w:val="24"/>
        </w:rPr>
        <w:t xml:space="preserve">house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mix</w:t>
      </w:r>
      <w:r>
        <w:rPr>
          <w:sz w:val="24"/>
          <w:szCs w:val="24"/>
        </w:rPr>
        <w:t xml:space="preserve">, barramentos, </w:t>
      </w:r>
      <w:r>
        <w:rPr>
          <w:sz w:val="24"/>
          <w:szCs w:val="24"/>
        </w:rPr>
        <w:t xml:space="preserve">tapadeiras</w:t>
      </w:r>
      <w:r>
        <w:rPr>
          <w:sz w:val="24"/>
          <w:szCs w:val="24"/>
        </w:rPr>
        <w:t xml:space="preserve">, gradil d</w:t>
      </w:r>
      <w:r>
        <w:rPr>
          <w:sz w:val="24"/>
          <w:szCs w:val="24"/>
        </w:rPr>
        <w:t xml:space="preserve">e contenção, bem como demais equipamentos técnicos necessários, conforme previsto nos contratos específicos do evento e compatível com as exigências da produção.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 A contratada deverá comparecer ao local com antecedência suficiente para montagem interna</w:t>
      </w:r>
      <w:r>
        <w:rPr>
          <w:sz w:val="24"/>
          <w:szCs w:val="24"/>
        </w:rPr>
        <w:t xml:space="preserve">, organização de equipamentos, instalação de instrumentos, preparação de camarins e realização da passagem de som (</w:t>
      </w:r>
      <w:r>
        <w:rPr>
          <w:sz w:val="24"/>
          <w:szCs w:val="24"/>
        </w:rPr>
        <w:t xml:space="preserve">soundcheck</w:t>
      </w:r>
      <w:r>
        <w:rPr>
          <w:sz w:val="24"/>
          <w:szCs w:val="24"/>
        </w:rPr>
        <w:t xml:space="preserve">), em horário a ser definido pela produção técnica do evento, observando-se a programação geral do Festejando Parobé.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 É respon</w:t>
      </w:r>
      <w:r>
        <w:rPr>
          <w:sz w:val="24"/>
          <w:szCs w:val="24"/>
        </w:rPr>
        <w:t xml:space="preserve">sabilidade </w:t>
      </w:r>
      <w:r>
        <w:rPr>
          <w:sz w:val="24"/>
          <w:szCs w:val="24"/>
        </w:rPr>
        <w:t xml:space="preserve">da contratada garantir</w:t>
      </w:r>
      <w:r>
        <w:rPr>
          <w:sz w:val="24"/>
          <w:szCs w:val="24"/>
        </w:rPr>
        <w:t xml:space="preserve"> que a apresentação transcorra de forma segura, técnica e artisticamente adequada, observando normas de segurança, acessibilidade, PPCI, regulamentos municipais, e as boas práticas aplicáveis a eventos de grande porte.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</w:t>
      </w:r>
      <w:r>
        <w:rPr>
          <w:sz w:val="24"/>
          <w:szCs w:val="24"/>
        </w:rPr>
        <w:t xml:space="preserve"> A apresentação deverá ser executada com qualidade compatível com o nível artístico do comediante e com o porte do Festejando Parobé, contribuindo para a valorização cultural do evento, o fortalecimento do engajamento do público e a consolidação da imagem insti</w:t>
      </w:r>
      <w:r>
        <w:rPr>
          <w:sz w:val="24"/>
          <w:szCs w:val="24"/>
        </w:rPr>
        <w:t xml:space="preserve">tucional do Município.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GESTÃO E FISCALIZAÇÃO DE CONTRATO: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/>
        <w:spacing/>
        <w: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 A gestão e a fiscalização do objeto contratado serão realizadas conforme o disposto no Decreto Municipal nº 013/2023, que “</w:t>
      </w:r>
      <w:r>
        <w:rPr>
          <w:i/>
          <w:color w:val="000000"/>
          <w:sz w:val="24"/>
          <w:szCs w:val="24"/>
        </w:rPr>
        <w:t xml:space="preserve">Regulamenta as funções do agente de contratação, da equipe de apoio e </w:t>
      </w:r>
      <w:r>
        <w:rPr>
          <w:i/>
          <w:color w:val="000000"/>
          <w:sz w:val="24"/>
          <w:szCs w:val="24"/>
        </w:rPr>
        <w:t xml:space="preserve">da comissão de contratação, suas atribuições e funcionamento, a fiscalização e a gestão dos contratos, e a atuação da assessoria jurídica e do controle interno no âmbito do Município de Parobé</w:t>
      </w:r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”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Bdr/>
        <w:spacing/>
        <w:ind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Bdr/>
        <w:spacing/>
        <w:ind/>
        <w:jc w:val="both"/>
        <w:rPr>
          <w:color w:val="000000"/>
          <w:sz w:val="24"/>
          <w:szCs w:val="24"/>
        </w:rPr>
      </w:pPr>
      <w:r>
        <w:rPr>
          <w:rStyle w:val="1081"/>
          <w:color w:val="000000"/>
          <w:sz w:val="24"/>
          <w:szCs w:val="24"/>
        </w:rPr>
        <w:t xml:space="preserve">6.2 O Gestor indicado deverá ser a </w:t>
      </w:r>
      <w:r>
        <w:rPr>
          <w:rStyle w:val="1081"/>
          <w:color w:val="000000"/>
          <w:sz w:val="24"/>
          <w:szCs w:val="24"/>
        </w:rPr>
        <w:t xml:space="preserve">Sra.</w:t>
      </w:r>
      <w:r>
        <w:rPr>
          <w:color w:val="000000"/>
          <w:sz w:val="24"/>
          <w:szCs w:val="24"/>
          <w:lang w:eastAsia="pt-BR"/>
        </w:rPr>
        <w:t xml:space="preserve">Talita</w:t>
      </w:r>
      <w:r>
        <w:rPr>
          <w:color w:val="000000"/>
          <w:sz w:val="24"/>
          <w:szCs w:val="24"/>
          <w:lang w:eastAsia="pt-BR"/>
        </w:rPr>
        <w:t xml:space="preserve"> Priscila </w:t>
      </w:r>
      <w:r>
        <w:rPr>
          <w:color w:val="000000"/>
          <w:sz w:val="24"/>
          <w:szCs w:val="24"/>
          <w:lang w:eastAsia="pt-BR"/>
        </w:rPr>
        <w:t xml:space="preserve">Morbach</w:t>
      </w:r>
      <w:r>
        <w:rPr>
          <w:color w:val="000000"/>
          <w:sz w:val="24"/>
          <w:szCs w:val="24"/>
          <w:lang w:eastAsia="pt-BR"/>
        </w:rPr>
        <w:t xml:space="preserve">, matrícula nº 11484-3, portaria 81/2025.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Bdr/>
        <w:spacing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pt-BR"/>
        </w:rPr>
        <w:t xml:space="preserve">6.3 O Fiscalizador indicado será o Sr. Marcelo Pereira dos Santos, matrícula nº 4648-3,</w:t>
      </w:r>
      <w:r>
        <w:rPr>
          <w:sz w:val="24"/>
          <w:szCs w:val="24"/>
          <w:lang w:eastAsia="pt-BR"/>
        </w:rPr>
        <w:t xml:space="preserve"> e suplente a Sra. </w:t>
      </w:r>
      <w:r>
        <w:rPr>
          <w:color w:val="000000"/>
          <w:sz w:val="24"/>
          <w:szCs w:val="24"/>
          <w:lang w:eastAsia="pt-BR"/>
        </w:rPr>
        <w:t xml:space="preserve">Ariane Dietrich </w:t>
      </w:r>
      <w:r>
        <w:rPr>
          <w:color w:val="000000"/>
          <w:sz w:val="24"/>
          <w:szCs w:val="24"/>
          <w:lang w:eastAsia="pt-BR"/>
        </w:rPr>
        <w:t xml:space="preserve">Hennemann</w:t>
      </w:r>
      <w:r>
        <w:rPr>
          <w:color w:val="000000"/>
          <w:sz w:val="24"/>
          <w:szCs w:val="24"/>
          <w:lang w:eastAsia="pt-BR"/>
        </w:rPr>
        <w:t xml:space="preserve">, matrícula nº 3866-1.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</w:r>
      <w:r>
        <w:rPr>
          <w:b/>
          <w:bCs/>
          <w:color w:val="000000"/>
          <w:sz w:val="23"/>
          <w:szCs w:val="23"/>
        </w:rPr>
      </w:r>
      <w:r>
        <w:rPr>
          <w:b/>
          <w:bCs/>
          <w:color w:val="000000"/>
          <w:sz w:val="23"/>
          <w:szCs w:val="23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CRITÉRIOS DE MEDIÇÃO E PAGAMENTO: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7.1 O pagamento será realizado em até 30 (trinta) dias após a realização do show, mediante apresentação de documento fiscal, a qual será </w:t>
      </w:r>
      <w:r>
        <w:rPr>
          <w:color w:val="000000"/>
          <w:sz w:val="24"/>
          <w:szCs w:val="24"/>
        </w:rPr>
        <w:t xml:space="preserve">recebido e atestado</w:t>
      </w:r>
      <w:r>
        <w:rPr>
          <w:color w:val="000000"/>
          <w:sz w:val="24"/>
          <w:szCs w:val="24"/>
        </w:rPr>
        <w:t xml:space="preserve"> pelo fiscalizador, e se tudo estiver em acordo com o pactuado haverá o encaminhamento para procedim</w:t>
      </w:r>
      <w:r>
        <w:rPr>
          <w:color w:val="000000"/>
          <w:sz w:val="24"/>
          <w:szCs w:val="24"/>
        </w:rPr>
        <w:t xml:space="preserve">ento de liquidação e pagamento.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 A Administração não realizará qualquer pagamento adicional além do valor pactuado, sendo vedado o reembolso de despesas de deslocamento, hospedagem, alimentação ou quaisquer outras não previstas neste Termo.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FORMA E CRITÉRIOS DE AVALIAÇÃO DO FORNECEDOR: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 O contratado será selecionado por meio de inexigibilidade de licitação, fundamentada no art. 74, inciso II, da Lei nº 14.133/2021, em razão da inviabilidade de competição decorrente da consagração pública d</w:t>
      </w:r>
      <w:r>
        <w:rPr>
          <w:sz w:val="24"/>
          <w:szCs w:val="24"/>
        </w:rPr>
        <w:t xml:space="preserve">o artista, conforme exige a legislação. A instrução do processo observará todas as disposições legais aplicáveis, incluindo a apresentação de documentação que comprove a atuação artística, a consagração perante o público ou crítica especializada, bem como </w:t>
      </w:r>
      <w:r>
        <w:rPr>
          <w:sz w:val="24"/>
          <w:szCs w:val="24"/>
        </w:rPr>
        <w:t xml:space="preserve">a regularidade jurídica, fiscal e trabalhista da empresa contratada.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 </w:t>
      </w:r>
      <w:r>
        <w:rPr>
          <w:sz w:val="24"/>
          <w:szCs w:val="24"/>
          <w:lang w:eastAsia="pt-BR"/>
        </w:rPr>
        <w:t xml:space="preserve">A habilitação da empresa responsável pela representação do comediante será verificada mediante apresentação dos seguintes documentos: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left="68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Prova de Inscrição no CNPJ (Cadastro Nacional de Pessoa Jurídica).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Ato Constitutivo, Estatuto ou Contrato Social, e alterações, se houver, </w:t>
      </w:r>
      <w:r>
        <w:rPr>
          <w:sz w:val="24"/>
          <w:szCs w:val="24"/>
        </w:rPr>
        <w:tab/>
        <w:t xml:space="preserve">devidamente registrado na Junta Comercial ou órgão semelhante, em se </w:t>
      </w:r>
      <w:r>
        <w:rPr>
          <w:sz w:val="24"/>
          <w:szCs w:val="24"/>
        </w:rPr>
        <w:tab/>
        <w:t xml:space="preserve">tratando </w:t>
      </w:r>
      <w:r>
        <w:rPr>
          <w:sz w:val="24"/>
          <w:szCs w:val="24"/>
        </w:rPr>
        <w:tab/>
        <w:t xml:space="preserve">de sociedades comerciais, acom</w:t>
      </w:r>
      <w:r>
        <w:rPr>
          <w:sz w:val="24"/>
          <w:szCs w:val="24"/>
        </w:rPr>
        <w:t xml:space="preserve">panhado, no caso de sociedade por ações, de </w:t>
      </w:r>
      <w:r>
        <w:rPr>
          <w:sz w:val="24"/>
          <w:szCs w:val="24"/>
        </w:rPr>
        <w:tab/>
        <w:t xml:space="preserve">documento de eleição de seus atuais administradores; inscrição do ato </w:t>
      </w:r>
      <w:r>
        <w:rPr>
          <w:sz w:val="24"/>
          <w:szCs w:val="24"/>
        </w:rPr>
        <w:tab/>
        <w:t xml:space="preserve">constitutivo, no caso de sociedade civil, acompanhado de prova da diretoria </w:t>
      </w:r>
      <w:r>
        <w:rPr>
          <w:sz w:val="24"/>
          <w:szCs w:val="24"/>
        </w:rPr>
        <w:tab/>
        <w:t xml:space="preserve">em exercício; ou decreto de autorização, em se tratando de empr</w:t>
      </w:r>
      <w:r>
        <w:rPr>
          <w:sz w:val="24"/>
          <w:szCs w:val="24"/>
        </w:rPr>
        <w:t xml:space="preserve">esa ou </w:t>
      </w:r>
      <w:r>
        <w:rPr>
          <w:sz w:val="24"/>
          <w:szCs w:val="24"/>
        </w:rPr>
        <w:tab/>
        <w:t xml:space="preserve">sociedade estrangeira em funcionamento no País, em vigor.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Certidão Conjunta, emitida pela Secretaria da Receita Federal, referente 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Tributos Federais e quanto à Dívida Ativa da União;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Certidão Negativa de débitos para com a Fazenda Estadua</w:t>
      </w:r>
      <w:r>
        <w:rPr>
          <w:sz w:val="24"/>
          <w:szCs w:val="24"/>
        </w:rPr>
        <w:t xml:space="preserve">l do domicílio </w:t>
      </w:r>
      <w:r>
        <w:rPr>
          <w:sz w:val="24"/>
          <w:szCs w:val="24"/>
        </w:rPr>
        <w:tab/>
        <w:t xml:space="preserve">da sede da licitante;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Certidão Negativa de débitos para com a Fazenda Municipal do domicílio </w:t>
      </w:r>
      <w:r>
        <w:rPr>
          <w:sz w:val="24"/>
          <w:szCs w:val="24"/>
        </w:rPr>
        <w:tab/>
        <w:t xml:space="preserve">da sede da licitante;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Certificado de Regularidade do FGTS (CRF) perante o Fundo de Garantia </w:t>
      </w:r>
      <w:r>
        <w:rPr>
          <w:sz w:val="24"/>
          <w:szCs w:val="24"/>
        </w:rPr>
        <w:tab/>
        <w:t xml:space="preserve">do Tempo de Serviço;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g) Prova de inexistênci</w:t>
      </w:r>
      <w:r>
        <w:rPr>
          <w:sz w:val="24"/>
          <w:szCs w:val="24"/>
        </w:rPr>
        <w:t xml:space="preserve">a de débitos inadimplidos perante a Justiça do </w:t>
      </w:r>
      <w:r>
        <w:rPr>
          <w:sz w:val="24"/>
          <w:szCs w:val="24"/>
        </w:rPr>
        <w:tab/>
        <w:t xml:space="preserve">Trabalho, mediante a apresentação de Certidão Negativa de Débitos </w:t>
      </w:r>
      <w:r>
        <w:rPr>
          <w:sz w:val="24"/>
          <w:szCs w:val="24"/>
        </w:rPr>
        <w:tab/>
        <w:t xml:space="preserve">Trabalhistas - CNDT, nos termos do Título VII - A da Consolidação das Leis </w:t>
      </w:r>
      <w:r>
        <w:rPr>
          <w:sz w:val="24"/>
          <w:szCs w:val="24"/>
        </w:rPr>
        <w:tab/>
        <w:t xml:space="preserve">do Trabalho, aprovada pelo Decreto-Lei no 5.452, de 1º de maio de</w:t>
      </w:r>
      <w:r>
        <w:rPr>
          <w:sz w:val="24"/>
          <w:szCs w:val="24"/>
        </w:rPr>
        <w:t xml:space="preserve"> 1943, na </w:t>
      </w:r>
      <w:r>
        <w:rPr>
          <w:sz w:val="24"/>
          <w:szCs w:val="24"/>
        </w:rPr>
        <w:tab/>
        <w:t xml:space="preserve">aplicação da Lei nº 12.440 de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de julho de 2011;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h) Certidão negativa em Matéria falimentar, concordatária e recuperação </w:t>
      </w:r>
      <w:r>
        <w:rPr>
          <w:sz w:val="24"/>
          <w:szCs w:val="24"/>
        </w:rPr>
        <w:tab/>
        <w:t xml:space="preserve">judicial </w:t>
      </w:r>
      <w:r>
        <w:rPr>
          <w:sz w:val="24"/>
          <w:szCs w:val="24"/>
        </w:rPr>
        <w:tab/>
        <w:t xml:space="preserve">e extrajudicial, expedida pelo distribuidor da sede da licitante;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Comprovantes de valor de mercado.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j) </w:t>
      </w:r>
      <w:r>
        <w:rPr>
          <w:sz w:val="24"/>
          <w:szCs w:val="24"/>
        </w:rPr>
        <w:t xml:space="preserve">Compr</w:t>
      </w:r>
      <w:r>
        <w:rPr>
          <w:sz w:val="24"/>
          <w:szCs w:val="24"/>
        </w:rPr>
        <w:t xml:space="preserve">ovantes notória</w:t>
      </w:r>
      <w:r>
        <w:rPr>
          <w:sz w:val="24"/>
          <w:szCs w:val="24"/>
        </w:rPr>
        <w:t xml:space="preserve"> especialização.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rStyle w:val="1074"/>
          <w:sz w:val="24"/>
          <w:szCs w:val="24"/>
        </w:rPr>
      </w:pPr>
      <w:r>
        <w:rPr>
          <w:sz w:val="24"/>
          <w:szCs w:val="24"/>
        </w:rPr>
        <w:t xml:space="preserve">k) Declaração Unificada.</w:t>
      </w:r>
      <w:r>
        <w:rPr>
          <w:rStyle w:val="1074"/>
          <w:sz w:val="24"/>
          <w:szCs w:val="24"/>
        </w:rPr>
      </w:r>
      <w:r>
        <w:rPr>
          <w:rStyle w:val="1074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firstLine="680"/>
        <w:jc w:val="both"/>
        <w:rPr>
          <w:rStyle w:val="1074"/>
          <w:sz w:val="24"/>
          <w:szCs w:val="24"/>
        </w:rPr>
      </w:pPr>
      <w:r>
        <w:rPr>
          <w:sz w:val="24"/>
          <w:szCs w:val="24"/>
        </w:rPr>
      </w:r>
      <w:r>
        <w:rPr>
          <w:rStyle w:val="1074"/>
          <w:sz w:val="24"/>
          <w:szCs w:val="24"/>
        </w:rPr>
      </w:r>
      <w:r>
        <w:rPr>
          <w:rStyle w:val="1074"/>
          <w:sz w:val="24"/>
          <w:szCs w:val="24"/>
        </w:rPr>
      </w:r>
    </w:p>
    <w:p>
      <w:pPr>
        <w:pStyle w:val="1075"/>
        <w:pBdr/>
        <w:spacing w:after="0" w:before="0" w:line="240" w:lineRule="auto"/>
        <w:ind w:left="0"/>
        <w:rPr>
          <w:rStyle w:val="1074"/>
          <w:color w:val="auto"/>
          <w:sz w:val="24"/>
          <w:szCs w:val="24"/>
        </w:rPr>
      </w:pPr>
      <w:r>
        <w:rPr>
          <w:rStyle w:val="1074"/>
          <w:rFonts w:eastAsia="Arial"/>
          <w:color w:val="auto"/>
          <w:sz w:val="24"/>
          <w:szCs w:val="24"/>
        </w:rPr>
        <w:t xml:space="preserve">8.3 </w:t>
      </w:r>
      <w:r>
        <w:rPr>
          <w:rFonts w:eastAsia="Arial"/>
          <w:color w:val="auto"/>
          <w:sz w:val="24"/>
          <w:szCs w:val="24"/>
        </w:rPr>
        <w:t xml:space="preserve">Previamente à celebração do contrato, a Administração verificará o eventual descumprimento das condições para contratação, especialmente quanto à existência de sanção que a impeça, mediante a consulta </w:t>
      </w:r>
      <w:r>
        <w:rPr>
          <w:rFonts w:eastAsia="Arial"/>
          <w:color w:val="auto"/>
          <w:sz w:val="24"/>
          <w:szCs w:val="24"/>
          <w:lang w:eastAsia="ar-SA"/>
        </w:rPr>
        <w:t xml:space="preserve">através do site </w:t>
      </w:r>
      <w:hyperlink r:id="rId16" w:tooltip="https://certidoes.cgu.gov.br/" w:history="1">
        <w:r>
          <w:rPr>
            <w:rStyle w:val="1050"/>
            <w:rFonts w:eastAsia="Arial"/>
            <w:color w:val="auto"/>
            <w:sz w:val="24"/>
            <w:szCs w:val="24"/>
            <w:lang w:eastAsia="ar-SA"/>
          </w:rPr>
          <w:t xml:space="preserve">https://certidoes.cgu.gov.br/</w:t>
        </w:r>
      </w:hyperlink>
      <w:r>
        <w:rPr>
          <w:rFonts w:eastAsia="Arial"/>
          <w:color w:val="auto"/>
          <w:sz w:val="24"/>
          <w:szCs w:val="24"/>
          <w:lang w:eastAsia="ar-SA"/>
        </w:rPr>
        <w:t xml:space="preserve">.</w:t>
      </w:r>
      <w:r>
        <w:rPr>
          <w:rStyle w:val="1074"/>
          <w:color w:val="auto"/>
          <w:sz w:val="24"/>
          <w:szCs w:val="24"/>
        </w:rPr>
      </w:r>
      <w:r>
        <w:rPr>
          <w:rStyle w:val="1074"/>
          <w:color w:val="auto"/>
          <w:sz w:val="24"/>
          <w:szCs w:val="24"/>
        </w:rPr>
      </w:r>
    </w:p>
    <w:p>
      <w:pPr>
        <w:pStyle w:val="1075"/>
        <w:pBdr/>
        <w:spacing w:after="0" w:before="0" w:line="240" w:lineRule="auto"/>
        <w:ind/>
        <w:rPr>
          <w:rStyle w:val="1074"/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rStyle w:val="1074"/>
          <w:color w:val="auto"/>
          <w:sz w:val="24"/>
          <w:szCs w:val="24"/>
        </w:rPr>
      </w:r>
      <w:r>
        <w:rPr>
          <w:rStyle w:val="1074"/>
          <w:color w:val="auto"/>
          <w:sz w:val="24"/>
          <w:szCs w:val="24"/>
        </w:rPr>
      </w:r>
    </w:p>
    <w:p>
      <w:pPr>
        <w:pStyle w:val="1075"/>
        <w:pBdr/>
        <w:spacing w:after="0" w:before="0" w:line="240" w:lineRule="auto"/>
        <w:ind w:left="0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8.4 Todos os documentos serão analisados pela Secretaria de Cultura, Turismo, Esporte e Lazer para garantir que o contratado possui capacidade técnica, operacional e financeira para </w:t>
      </w:r>
      <w:r>
        <w:rPr>
          <w:rFonts w:eastAsia="Arial"/>
          <w:sz w:val="24"/>
          <w:szCs w:val="24"/>
        </w:rPr>
        <w:t xml:space="preserve">atender integralmente às necessidades do evento.</w:t>
      </w:r>
      <w:r>
        <w:rPr>
          <w:rFonts w:eastAsia="Arial"/>
          <w:sz w:val="24"/>
          <w:szCs w:val="24"/>
        </w:rPr>
      </w:r>
      <w:r>
        <w:rPr>
          <w:rFonts w:eastAsia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</w:r>
      <w:r>
        <w:rPr>
          <w:b/>
          <w:bCs/>
          <w:color w:val="000000"/>
          <w:sz w:val="23"/>
          <w:szCs w:val="23"/>
        </w:rPr>
      </w:r>
      <w:r>
        <w:rPr>
          <w:b/>
          <w:bCs/>
          <w:color w:val="000000"/>
          <w:sz w:val="23"/>
          <w:szCs w:val="23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ESTIMATIVA DO VALOR DA CONTRATAÇÃO: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 O valor total estimado para a presente contratação é de </w:t>
      </w:r>
      <w:r>
        <w:rPr>
          <w:b/>
          <w:bCs/>
          <w:sz w:val="24"/>
          <w:szCs w:val="24"/>
        </w:rPr>
        <w:t xml:space="preserve">R$ 41.500,00 (quarenta e um</w:t>
      </w:r>
      <w:r>
        <w:rPr>
          <w:b/>
          <w:bCs/>
          <w:sz w:val="24"/>
          <w:szCs w:val="24"/>
        </w:rPr>
        <w:t xml:space="preserve"> mil e quinhentos reais)</w:t>
      </w:r>
      <w:r>
        <w:rPr>
          <w:sz w:val="24"/>
          <w:szCs w:val="24"/>
        </w:rPr>
        <w:t xml:space="preserve">, conforme proposta apresentada pela empresa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  <w:t xml:space="preserve">E. G. Christ LTDA</w:t>
      </w:r>
      <w:r/>
      <w:r>
        <w:rPr>
          <w:sz w:val="24"/>
          <w:szCs w:val="24"/>
        </w:rPr>
        <w:t xml:space="preserve">, representante exclusiva de </w:t>
      </w:r>
      <w:r>
        <w:rPr>
          <w:rFonts w:ascii="Arial" w:hAnsi="Arial" w:eastAsia="Arial" w:cs="Arial"/>
          <w:sz w:val="24"/>
          <w:szCs w:val="24"/>
        </w:rPr>
        <w:t xml:space="preserve">Badin o Colono</w:t>
      </w:r>
      <w:r/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 </w:t>
      </w:r>
      <w:r>
        <w:rPr>
          <w:sz w:val="24"/>
          <w:szCs w:val="24"/>
        </w:rPr>
        <w:t xml:space="preserve">O valor está em conformidade com os preços praticados no mercado para atrações artísticas regionais de grande notoriedade, especialmente para eventos públicos de grande porte que exigem estrutura compatível </w:t>
      </w:r>
      <w:r>
        <w:rPr>
          <w:sz w:val="24"/>
          <w:szCs w:val="24"/>
        </w:rPr>
        <w:t xml:space="preserve">e capacidade de público elevada.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estimativa do valor não decorre de procedimento competitivo, uma vez q</w:t>
      </w:r>
      <w:r>
        <w:rPr>
          <w:sz w:val="24"/>
          <w:szCs w:val="24"/>
        </w:rPr>
        <w:t xml:space="preserve">ue a contratação ocorre por inexigibilidade de licitação, nos termos do art. 74, inciso II, da Lei nº 14.133/2021, sendo o preço definido pelo artista ou por seu representante exclusivo. A análise realizada pela Administração limita-se à verificação da com</w:t>
      </w:r>
      <w:r>
        <w:rPr>
          <w:sz w:val="24"/>
          <w:szCs w:val="24"/>
        </w:rPr>
        <w:t xml:space="preserve">patibilidade e da razoabilidade do valor proposto em relação aos valores usualmente praticados no mercado para apresentações artísticas de porte, notoriedade e características semelhantes, não se tratando de comparação competitiva nem de formação de preço.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 w:firstLine="0" w:left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DOTAÇÃO ORÇAMENTÁRIA:</w:t>
      </w:r>
      <w:r>
        <w:rPr>
          <w:b/>
          <w:color w:val="000000"/>
          <w:sz w:val="23"/>
          <w:szCs w:val="23"/>
        </w:rPr>
      </w:r>
      <w:r>
        <w:rPr>
          <w:b/>
          <w:color w:val="000000"/>
          <w:sz w:val="23"/>
          <w:szCs w:val="23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b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10.1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presente contratação utilizará a(s) seguinte(s) </w:t>
      </w:r>
      <w:r>
        <w:rPr>
          <w:color w:val="000000"/>
          <w:sz w:val="24"/>
          <w:szCs w:val="24"/>
        </w:rPr>
        <w:t xml:space="preserve">dotação(</w:t>
      </w:r>
      <w:r>
        <w:rPr>
          <w:color w:val="000000"/>
          <w:sz w:val="24"/>
          <w:szCs w:val="24"/>
        </w:rPr>
        <w:t xml:space="preserve">ões</w:t>
      </w:r>
      <w:r>
        <w:rPr>
          <w:color w:val="000000"/>
          <w:sz w:val="24"/>
          <w:szCs w:val="24"/>
        </w:rPr>
        <w:t xml:space="preserve">) orçamentária(s):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Bdr/>
        <w:spacing/>
        <w:ind w:left="0"/>
        <w:rPr>
          <w:sz w:val="24"/>
          <w:szCs w:val="24"/>
        </w:rPr>
      </w:pPr>
      <w:r>
        <w:rPr>
          <w:sz w:val="24"/>
          <w:szCs w:val="24"/>
        </w:rPr>
        <w:t xml:space="preserve">Código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Reduzido: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825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before="40" w:line="276" w:lineRule="auto"/>
        <w:ind w:left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Órgão: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15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-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SECRETARIA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MUNICIPAL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DE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CULTURA,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TURISMO,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ESPORTE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E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LAZER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 w:left="0"/>
        <w:rPr>
          <w:sz w:val="24"/>
          <w:szCs w:val="24"/>
        </w:rPr>
      </w:pPr>
      <w:r>
        <w:rPr>
          <w:sz w:val="24"/>
          <w:szCs w:val="24"/>
        </w:rPr>
        <w:t xml:space="preserve">Ação: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2047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PROMOCAO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DIFUSAO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EVENTOS</w:t>
      </w:r>
      <w:r>
        <w:rPr>
          <w:spacing w:val="-2"/>
          <w:sz w:val="24"/>
          <w:szCs w:val="24"/>
        </w:rPr>
        <w:t xml:space="preserve"> MUNICIPAIS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before="40" w:line="276" w:lineRule="auto"/>
        <w:ind w:right="1658" w:left="0"/>
        <w:rPr>
          <w:sz w:val="24"/>
          <w:szCs w:val="24"/>
        </w:rPr>
      </w:pPr>
      <w:r>
        <w:rPr>
          <w:sz w:val="24"/>
          <w:szCs w:val="24"/>
        </w:rPr>
        <w:t xml:space="preserve">Vínculo: 15010000 - Recursos não Vinculados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before="40" w:line="276" w:lineRule="auto"/>
        <w:ind w:right="1658" w:left="0"/>
        <w:rPr>
          <w:sz w:val="24"/>
          <w:szCs w:val="24"/>
        </w:rPr>
      </w:pPr>
      <w:r>
        <w:rPr>
          <w:sz w:val="24"/>
          <w:szCs w:val="24"/>
        </w:rPr>
        <w:t xml:space="preserve">Subelemento: </w:t>
      </w:r>
      <w:r>
        <w:rPr>
          <w:sz w:val="24"/>
          <w:szCs w:val="24"/>
        </w:rPr>
        <w:t xml:space="preserve">333903900000000000000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Festividades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homenagens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76" w:lineRule="auto"/>
        <w:ind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Bdr/>
        <w:spacing w:line="276" w:lineRule="auto"/>
        <w:ind/>
        <w:jc w:val="right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Bdr/>
        <w:spacing w:line="276" w:lineRule="auto"/>
        <w:ind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Parobé, 23 de fevereiro d</w:t>
      </w:r>
      <w:r>
        <w:rPr>
          <w:sz w:val="24"/>
          <w:szCs w:val="24"/>
        </w:rPr>
        <w:t xml:space="preserve">e 2026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76" w:lineRule="auto"/>
        <w:ind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76" w:lineRule="auto"/>
        <w:ind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76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76" w:lineRule="auto"/>
        <w:ind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3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Marcelo Pereira dos Santos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3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Matrícula 4648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3"/>
        <w:pBdr/>
        <w:spacing/>
        <w:ind/>
        <w:jc w:val="center"/>
        <w:rPr/>
      </w:pPr>
      <w:r>
        <w:rPr>
          <w:sz w:val="24"/>
          <w:szCs w:val="24"/>
        </w:rPr>
        <w:t xml:space="preserve">Secretário Municipal de Cultura, Turismo, Esporte e </w:t>
      </w:r>
      <w:r>
        <w:rPr>
          <w:sz w:val="24"/>
          <w:szCs w:val="24"/>
        </w:rPr>
        <w:t xml:space="preserve">Laz</w:t>
      </w:r>
      <w:r>
        <w:t xml:space="preserve">er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6838" w:orient="portrait" w:w="11906"/>
      <w:pgMar w:top="1134" w:right="850" w:bottom="1134" w:left="1701" w:header="1701" w:footer="737" w:gutter="0"/>
      <w:pgNumType w:start="1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Monotype Sorts">
    <w:panose1 w:val="05010000000000000000"/>
  </w:font>
  <w:font w:name="Segoe UI">
    <w:panose1 w:val="020B0502040504020204"/>
  </w:font>
  <w:font w:name="Lucida Sans Unicode">
    <w:panose1 w:val="020B060203050402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419"/>
        <w:tab w:val="right" w:leader="none" w:pos="8838"/>
      </w:tabs>
      <w:spacing/>
      <w:ind/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 xml:space="preserve">PAGE</w:instrText>
    </w:r>
    <w:r>
      <w:rPr>
        <w:color w:val="000000"/>
        <w:sz w:val="12"/>
        <w:szCs w:val="12"/>
      </w:rPr>
      <w:fldChar w:fldCharType="separate"/>
    </w:r>
    <w:r>
      <w:rPr>
        <w:color w:val="000000"/>
        <w:sz w:val="12"/>
        <w:szCs w:val="12"/>
      </w:rPr>
      <w:t xml:space="preserve">2</w:t>
    </w:r>
    <w:r>
      <w:rPr>
        <w:color w:val="000000"/>
        <w:sz w:val="12"/>
        <w:szCs w:val="12"/>
      </w:rPr>
      <w:fldChar w:fldCharType="end"/>
    </w:r>
    <w:r>
      <w:rPr>
        <w:color w:val="000000"/>
        <w:sz w:val="12"/>
        <w:szCs w:val="12"/>
      </w:rPr>
    </w:r>
    <w:r>
      <w:rPr>
        <w:color w:val="000000"/>
        <w:sz w:val="12"/>
        <w:szCs w:val="12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419"/>
        <w:tab w:val="right" w:leader="none" w:pos="8838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419"/>
        <w:tab w:val="right" w:leader="none" w:pos="8838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419"/>
        <w:tab w:val="right" w:leader="none" w:pos="8838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419"/>
        <w:tab w:val="right" w:leader="none" w:pos="8838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0403F"/>
    <w:lvl w:ilvl="0">
      <w:isLgl w:val="false"/>
      <w:lvlJc w:val="left"/>
      <w:lvlText w:val="%1"/>
      <w:numFmt w:val="decimal"/>
      <w:pPr>
        <w:pBdr/>
        <w:spacing/>
        <w:ind w:hanging="360" w:left="360"/>
      </w:pPr>
      <w:rPr>
        <w:rFonts w:hint="default"/>
      </w:rPr>
      <w:start w:val="9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1040"/>
      </w:pPr>
      <w:rPr>
        <w:rFonts w:hint="default"/>
      </w:rPr>
      <w:start w:val="1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080"/>
      </w:pPr>
      <w:rPr>
        <w:rFonts w:hint="default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2760"/>
      </w:pPr>
      <w:rPr>
        <w:rFonts w:hint="default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3800"/>
      </w:pPr>
      <w:rPr>
        <w:rFonts w:hint="default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4480"/>
      </w:pPr>
      <w:rPr>
        <w:rFonts w:hint="default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5520"/>
      </w:pPr>
      <w:rPr>
        <w:rFonts w:hint="default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6200"/>
      </w:pPr>
      <w:rPr>
        <w:rFonts w:hint="default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7240"/>
      </w:pPr>
      <w:rPr>
        <w:rFonts w:hint="default"/>
      </w:rPr>
      <w:start w:val="1"/>
      <w:suff w:val="tab"/>
    </w:lvl>
  </w:abstractNum>
  <w:abstractNum w:abstractNumId="1">
    <w:nsid w:val="097E52AA"/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1073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0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1638"/>
      </w:pPr>
      <w:pStyle w:val="1076"/>
      <w:rPr>
        <w:rFonts w:hint="default" w:ascii="Arial" w:hAnsi="Arial"/>
        <w:b w:val="0"/>
        <w:i w:val="0"/>
        <w:strike w:val="0"/>
        <w:color w:val="auto"/>
        <w:sz w:val="20"/>
        <w:szCs w:val="2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1077"/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1078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2">
    <w:nsid w:val="2DA13376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720" w:left="720"/>
      </w:pPr>
      <w:pStyle w:val="796"/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72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72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72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72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72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72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72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720" w:left="6480"/>
      </w:pPr>
      <w:rPr/>
      <w:start w:val="1"/>
      <w:suff w:val="tab"/>
    </w:lvl>
  </w:abstractNum>
  <w:abstractNum w:abstractNumId="3">
    <w:nsid w:val="336F5636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nsid w:val="33C1303F"/>
    <w:lvl w:ilvl="0">
      <w:isLgl w:val="false"/>
      <w:lvlJc w:val="left"/>
      <w:lvlText w:val="%1."/>
      <w:numFmt w:val="decimal"/>
      <w:pPr>
        <w:pBdr/>
        <w:spacing/>
        <w:ind w:hanging="360" w:left="546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4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60"/>
      </w:pPr>
      <w:pStyle w:val="802"/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0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00"/>
      </w:pPr>
      <w:rPr/>
      <w:start w:val="1"/>
      <w:suff w:val="tab"/>
    </w:lvl>
  </w:abstractNum>
  <w:abstractNum w:abstractNumId="5">
    <w:nsid w:val="44286DFE"/>
    <w:lvl w:ilvl="0">
      <w:isLgl w:val="false"/>
      <w:lvlJc w:val="left"/>
      <w:lvlText w:val="%1."/>
      <w:numFmt w:val="decimal"/>
      <w:pPr>
        <w:pBdr/>
        <w:spacing/>
        <w:ind w:hanging="360" w:left="10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4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0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00"/>
      </w:pPr>
      <w:rPr/>
      <w:start w:val="1"/>
      <w:suff w:val="tab"/>
    </w:lvl>
  </w:abstractNum>
  <w:abstractNum w:abstractNumId="6">
    <w:nsid w:val="5A9B2B11"/>
    <w:lvl w:ilvl="0">
      <w:isLgl w:val="false"/>
      <w:lvlJc w:val="left"/>
      <w:lvlText w:val="%1"/>
      <w:numFmt w:val="decimal"/>
      <w:pPr>
        <w:pBdr/>
        <w:spacing/>
        <w:ind w:hanging="360" w:left="360"/>
      </w:pPr>
      <w:rPr>
        <w:rFonts w:hint="default"/>
        <w:b/>
      </w:rPr>
      <w:start w:val="4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360"/>
      </w:pPr>
      <w:rPr>
        <w:rFonts w:hint="default"/>
        <w:b/>
      </w:rPr>
      <w:start w:val="4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720"/>
      </w:pPr>
      <w:rPr>
        <w:rFonts w:hint="default"/>
        <w:b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1080" w:left="1080"/>
      </w:pPr>
      <w:rPr>
        <w:rFonts w:hint="default"/>
        <w:b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1080"/>
      </w:pPr>
      <w:rPr>
        <w:rFonts w:hint="default"/>
        <w:b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440" w:left="1440"/>
      </w:pPr>
      <w:rPr>
        <w:rFonts w:hint="default"/>
        <w:b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1440"/>
      </w:pPr>
      <w:rPr>
        <w:rFonts w:hint="default"/>
        <w:b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800" w:left="1800"/>
      </w:pPr>
      <w:rPr>
        <w:rFonts w:hint="default"/>
        <w:b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1800"/>
      </w:pPr>
      <w:rPr>
        <w:rFonts w:hint="default"/>
        <w:b/>
      </w:rPr>
      <w:start w:val="1"/>
      <w:suff w:val="tab"/>
    </w:lvl>
  </w:abstractNum>
  <w:abstractNum w:abstractNumId="7">
    <w:nsid w:val="6EDD6C07"/>
    <w:lvl w:ilvl="0">
      <w:isLgl w:val="false"/>
      <w:lvlJc w:val="left"/>
      <w:lvlText w:val="%1"/>
      <w:numFmt w:val="decimal"/>
      <w:pPr>
        <w:pBdr/>
        <w:spacing/>
        <w:ind w:hanging="360" w:left="360"/>
      </w:pPr>
      <w:rPr>
        <w:rFonts w:hint="default"/>
        <w:color w:val="ff0000"/>
      </w:rPr>
      <w:start w:val="8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360"/>
      </w:pPr>
      <w:rPr>
        <w:rFonts w:hint="default"/>
        <w:color w:val="ff0000"/>
      </w:rPr>
      <w:start w:val="2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720"/>
      </w:pPr>
      <w:rPr>
        <w:rFonts w:hint="default"/>
        <w:color w:val="ff0000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720"/>
      </w:pPr>
      <w:rPr>
        <w:rFonts w:hint="default"/>
        <w:color w:val="ff0000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1080"/>
      </w:pPr>
      <w:rPr>
        <w:rFonts w:hint="default"/>
        <w:color w:val="ff0000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440" w:left="1440"/>
      </w:pPr>
      <w:rPr>
        <w:rFonts w:hint="default"/>
        <w:color w:val="ff0000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1440"/>
      </w:pPr>
      <w:rPr>
        <w:rFonts w:hint="default"/>
        <w:color w:val="ff0000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800" w:left="1800"/>
      </w:pPr>
      <w:rPr>
        <w:rFonts w:hint="default"/>
        <w:color w:val="ff0000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1800"/>
      </w:pPr>
      <w:rPr>
        <w:rFonts w:hint="default"/>
        <w:color w:val="ff0000"/>
      </w:rPr>
      <w:start w:val="1"/>
      <w:suff w:val="tab"/>
    </w:lvl>
  </w:abstractNum>
  <w:abstractNum w:abstractNumId="8">
    <w:nsid w:val="7E931A74"/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 w:ascii="Arial" w:hAnsi="Arial" w:cs="Arial"/>
        <w:sz w:val="22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3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sz w:val="22"/>
        <w:szCs w:val="22"/>
        <w:lang w:val="pt-BR" w:eastAsia="pt-BR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95" w:default="1">
    <w:name w:val="Normal"/>
    <w:qFormat/>
    <w:pPr>
      <w:pBdr/>
      <w:spacing/>
      <w:ind/>
    </w:pPr>
    <w:rPr>
      <w:lang w:eastAsia="zh-CN"/>
    </w:rPr>
  </w:style>
  <w:style w:type="paragraph" w:styleId="796">
    <w:name w:val="Heading 1"/>
    <w:basedOn w:val="795"/>
    <w:next w:val="795"/>
    <w:link w:val="956"/>
    <w:uiPriority w:val="9"/>
    <w:qFormat/>
    <w:pPr>
      <w:keepNext w:val="true"/>
      <w:numPr>
        <w:numId w:val="2"/>
      </w:numPr>
      <w:pBdr/>
      <w:spacing w:after="60" w:before="240"/>
      <w:ind/>
      <w:outlineLvl w:val="0"/>
    </w:pPr>
    <w:rPr>
      <w:b/>
      <w:sz w:val="28"/>
    </w:rPr>
  </w:style>
  <w:style w:type="paragraph" w:styleId="797">
    <w:name w:val="Heading 2"/>
    <w:basedOn w:val="795"/>
    <w:next w:val="795"/>
    <w:link w:val="1053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798">
    <w:name w:val="Heading 3"/>
    <w:basedOn w:val="795"/>
    <w:next w:val="795"/>
    <w:link w:val="1054"/>
    <w:uiPriority w:val="9"/>
    <w:semiHidden/>
    <w:unhideWhenUsed/>
    <w:qFormat/>
    <w:pPr>
      <w:keepNext w:val="true"/>
      <w:pBdr/>
      <w:spacing w:after="60" w:before="240"/>
      <w:ind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799">
    <w:name w:val="Heading 4"/>
    <w:basedOn w:val="795"/>
    <w:next w:val="795"/>
    <w:link w:val="959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800">
    <w:name w:val="Heading 5"/>
    <w:basedOn w:val="795"/>
    <w:next w:val="795"/>
    <w:link w:val="960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</w:rPr>
  </w:style>
  <w:style w:type="paragraph" w:styleId="801">
    <w:name w:val="Heading 6"/>
    <w:basedOn w:val="795"/>
    <w:next w:val="795"/>
    <w:link w:val="961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sz w:val="20"/>
      <w:szCs w:val="20"/>
    </w:rPr>
  </w:style>
  <w:style w:type="paragraph" w:styleId="802">
    <w:name w:val="Heading 7"/>
    <w:basedOn w:val="795"/>
    <w:next w:val="795"/>
    <w:link w:val="1055"/>
    <w:qFormat/>
    <w:pPr>
      <w:keepNext w:val="true"/>
      <w:numPr>
        <w:ilvl w:val="6"/>
        <w:numId w:val="1"/>
      </w:numPr>
      <w:pBdr/>
      <w:tabs>
        <w:tab w:val="left" w:leader="none" w:pos="2835"/>
      </w:tabs>
      <w:spacing w:line="280" w:lineRule="exact"/>
      <w:ind w:right="57" w:hanging="57" w:left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paragraph" w:styleId="803">
    <w:name w:val="Heading 8"/>
    <w:basedOn w:val="795"/>
    <w:next w:val="795"/>
    <w:link w:val="963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04">
    <w:name w:val="Heading 9"/>
    <w:basedOn w:val="795"/>
    <w:next w:val="795"/>
    <w:link w:val="964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05" w:default="1">
    <w:name w:val="Default Paragraph Font"/>
    <w:uiPriority w:val="1"/>
    <w:semiHidden/>
    <w:unhideWhenUsed/>
    <w:pPr>
      <w:pBdr/>
      <w:spacing/>
      <w:ind/>
    </w:pPr>
  </w:style>
  <w:style w:type="table" w:styleId="80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7" w:default="1">
    <w:name w:val="No List"/>
    <w:uiPriority w:val="99"/>
    <w:semiHidden/>
    <w:unhideWhenUsed/>
    <w:pPr>
      <w:pBdr/>
      <w:spacing/>
      <w:ind/>
    </w:pPr>
  </w:style>
  <w:style w:type="paragraph" w:styleId="808">
    <w:name w:val="toc 1"/>
    <w:basedOn w:val="795"/>
    <w:next w:val="795"/>
    <w:uiPriority w:val="39"/>
    <w:unhideWhenUsed/>
    <w:pPr>
      <w:pBdr/>
      <w:spacing w:after="100"/>
      <w:ind/>
    </w:pPr>
  </w:style>
  <w:style w:type="paragraph" w:styleId="809">
    <w:name w:val="toc 2"/>
    <w:basedOn w:val="795"/>
    <w:next w:val="795"/>
    <w:uiPriority w:val="39"/>
    <w:unhideWhenUsed/>
    <w:pPr>
      <w:pBdr/>
      <w:spacing w:after="100"/>
      <w:ind w:left="220"/>
    </w:pPr>
  </w:style>
  <w:style w:type="paragraph" w:styleId="810">
    <w:name w:val="toc 3"/>
    <w:basedOn w:val="795"/>
    <w:next w:val="795"/>
    <w:uiPriority w:val="39"/>
    <w:unhideWhenUsed/>
    <w:pPr>
      <w:pBdr/>
      <w:spacing w:after="100"/>
      <w:ind w:left="440"/>
    </w:pPr>
  </w:style>
  <w:style w:type="paragraph" w:styleId="811">
    <w:name w:val="toc 4"/>
    <w:basedOn w:val="795"/>
    <w:next w:val="795"/>
    <w:uiPriority w:val="39"/>
    <w:unhideWhenUsed/>
    <w:pPr>
      <w:pBdr/>
      <w:spacing w:after="100"/>
      <w:ind w:left="660"/>
    </w:pPr>
  </w:style>
  <w:style w:type="paragraph" w:styleId="812">
    <w:name w:val="toc 5"/>
    <w:basedOn w:val="795"/>
    <w:next w:val="795"/>
    <w:uiPriority w:val="39"/>
    <w:unhideWhenUsed/>
    <w:pPr>
      <w:pBdr/>
      <w:spacing w:after="100"/>
      <w:ind w:left="880"/>
    </w:pPr>
  </w:style>
  <w:style w:type="paragraph" w:styleId="813">
    <w:name w:val="toc 6"/>
    <w:basedOn w:val="795"/>
    <w:next w:val="795"/>
    <w:uiPriority w:val="39"/>
    <w:unhideWhenUsed/>
    <w:pPr>
      <w:pBdr/>
      <w:spacing w:after="100"/>
      <w:ind w:left="1100"/>
    </w:pPr>
  </w:style>
  <w:style w:type="paragraph" w:styleId="814">
    <w:name w:val="toc 7"/>
    <w:basedOn w:val="795"/>
    <w:next w:val="795"/>
    <w:uiPriority w:val="39"/>
    <w:unhideWhenUsed/>
    <w:pPr>
      <w:pBdr/>
      <w:spacing w:after="100"/>
      <w:ind w:left="1320"/>
    </w:pPr>
  </w:style>
  <w:style w:type="paragraph" w:styleId="815">
    <w:name w:val="toc 8"/>
    <w:basedOn w:val="795"/>
    <w:next w:val="795"/>
    <w:uiPriority w:val="39"/>
    <w:unhideWhenUsed/>
    <w:pPr>
      <w:pBdr/>
      <w:spacing w:after="100"/>
      <w:ind w:left="1540"/>
    </w:pPr>
  </w:style>
  <w:style w:type="paragraph" w:styleId="816">
    <w:name w:val="toc 9"/>
    <w:basedOn w:val="795"/>
    <w:next w:val="795"/>
    <w:uiPriority w:val="39"/>
    <w:unhideWhenUsed/>
    <w:pPr>
      <w:pBdr/>
      <w:spacing w:after="100"/>
      <w:ind w:left="1760"/>
    </w:pPr>
  </w:style>
  <w:style w:type="character" w:styleId="817">
    <w:name w:val="Placeholder Text"/>
    <w:basedOn w:val="805"/>
    <w:uiPriority w:val="99"/>
    <w:semiHidden/>
    <w:pPr>
      <w:pBdr/>
      <w:spacing/>
      <w:ind/>
    </w:pPr>
    <w:rPr>
      <w:color w:val="666666"/>
    </w:rPr>
  </w:style>
  <w:style w:type="character" w:styleId="818" w:customStyle="1">
    <w:name w:val="Heading 1 Char"/>
    <w:basedOn w:val="80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819" w:customStyle="1">
    <w:name w:val="Heading 4 Char"/>
    <w:basedOn w:val="805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820" w:customStyle="1">
    <w:name w:val="Heading 5 Char"/>
    <w:basedOn w:val="80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821" w:customStyle="1">
    <w:name w:val="Heading 6 Char"/>
    <w:basedOn w:val="8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22" w:customStyle="1">
    <w:name w:val="Heading 8 Char"/>
    <w:basedOn w:val="8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23" w:customStyle="1">
    <w:name w:val="Heading 9 Char"/>
    <w:basedOn w:val="8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24" w:customStyle="1">
    <w:name w:val="Title Char"/>
    <w:basedOn w:val="80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25" w:customStyle="1">
    <w:name w:val="Subtitle Char"/>
    <w:basedOn w:val="80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6" w:customStyle="1">
    <w:name w:val="Quote Char"/>
    <w:basedOn w:val="80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27" w:customStyle="1">
    <w:name w:val="Intense Quote Char"/>
    <w:basedOn w:val="805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28" w:customStyle="1">
    <w:name w:val="Header Char"/>
    <w:basedOn w:val="805"/>
    <w:uiPriority w:val="99"/>
    <w:pPr>
      <w:pBdr/>
      <w:spacing/>
      <w:ind/>
    </w:pPr>
  </w:style>
  <w:style w:type="character" w:styleId="829" w:customStyle="1">
    <w:name w:val="Footnote Text Char"/>
    <w:basedOn w:val="805"/>
    <w:uiPriority w:val="99"/>
    <w:semiHidden/>
    <w:pPr>
      <w:pBdr/>
      <w:spacing/>
      <w:ind/>
    </w:pPr>
    <w:rPr>
      <w:sz w:val="20"/>
      <w:szCs w:val="20"/>
    </w:rPr>
  </w:style>
  <w:style w:type="character" w:styleId="830" w:customStyle="1">
    <w:name w:val="Endnote Text Char"/>
    <w:basedOn w:val="805"/>
    <w:uiPriority w:val="99"/>
    <w:semiHidden/>
    <w:pPr>
      <w:pBdr/>
      <w:spacing/>
      <w:ind/>
    </w:pPr>
    <w:rPr>
      <w:sz w:val="20"/>
      <w:szCs w:val="20"/>
    </w:rPr>
  </w:style>
  <w:style w:type="table" w:styleId="831" w:customStyle="1">
    <w:name w:val="Table Grid Light"/>
    <w:basedOn w:val="806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Plain Table 1"/>
    <w:basedOn w:val="806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Plain Table 2"/>
    <w:basedOn w:val="806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Plain Table 3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Plain Table 4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Plain Table 5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1 Light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1 Light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1 Light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1 Light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1 Light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1 Light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1 Light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2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2 - Accent 1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2 - Accent 2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2 - Accent 3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2 - Accent 4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2 - Accent 5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2 - Accent 6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3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3 - Accent 1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3 - Accent 2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3 - Accent 3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3 - Accent 4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3 - Accent 5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3 - Accent 6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4"/>
    <w:basedOn w:val="806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4 - Accent 1"/>
    <w:basedOn w:val="806"/>
    <w:uiPriority w:val="59"/>
    <w:pPr>
      <w:pBdr/>
      <w:spacing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4 - Accent 2"/>
    <w:basedOn w:val="806"/>
    <w:uiPriority w:val="5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4 - Accent 3"/>
    <w:basedOn w:val="806"/>
    <w:uiPriority w:val="5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4 - Accent 4"/>
    <w:basedOn w:val="806"/>
    <w:uiPriority w:val="5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4 - Accent 5"/>
    <w:basedOn w:val="806"/>
    <w:uiPriority w:val="59"/>
    <w:pPr>
      <w:pBdr/>
      <w:spacing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4 - Accent 6"/>
    <w:basedOn w:val="806"/>
    <w:uiPriority w:val="5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5 Dark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5 Dark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5 Dark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5 Dark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5 Dark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5 Dark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5 Dark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6 Colorful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6 Colorful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6 Colorful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6 Colorful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6 Colorful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6 Colorful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6 Colorful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7 Colorful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7 Colorful - Accent 1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7 Colorful - Accent 2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7 Colorful - Accent 3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7 Colorful - Accent 4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7 Colorful - Accent 5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7 Colorful - Accent 6"/>
    <w:basedOn w:val="806"/>
    <w:uiPriority w:val="99"/>
    <w:pPr>
      <w:pBdr/>
      <w:spacing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1 Light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1 Light - Accent 1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1 Light - Accent 2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1 Light - Accent 3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1 Light - Accent 4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1 Light - Accent 5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1 Light - Accent 6"/>
    <w:basedOn w:val="80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2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2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2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2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2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2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3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3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3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3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3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3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4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4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4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4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4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4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5 Dark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5 Dark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5 Dark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5 Dark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5 Dark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5 Dark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5 Dark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6 Colorful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6 Colorful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6 Colorful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6 Colorful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6 Colorful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6 Colorful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6 Colorful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7 Colorful"/>
    <w:basedOn w:val="806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7 Colorful - Accent 1"/>
    <w:basedOn w:val="806"/>
    <w:uiPriority w:val="99"/>
    <w:pPr>
      <w:pBdr/>
      <w:spacing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7 Colorful - Accent 2"/>
    <w:basedOn w:val="806"/>
    <w:uiPriority w:val="99"/>
    <w:pPr>
      <w:pBdr/>
      <w:spacing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7 Colorful - Accent 3"/>
    <w:basedOn w:val="806"/>
    <w:uiPriority w:val="99"/>
    <w:pPr>
      <w:pBdr/>
      <w:spacing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7 Colorful - Accent 4"/>
    <w:basedOn w:val="806"/>
    <w:uiPriority w:val="99"/>
    <w:pPr>
      <w:pBdr/>
      <w:spacing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7 Colorful - Accent 5"/>
    <w:basedOn w:val="806"/>
    <w:uiPriority w:val="99"/>
    <w:pPr>
      <w:pBdr/>
      <w:spacing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7 Colorful - Accent 6"/>
    <w:basedOn w:val="806"/>
    <w:uiPriority w:val="99"/>
    <w:pPr>
      <w:pBdr/>
      <w:spacing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ned - Accent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ned - Accent 1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ned - Accent 2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ned - Accent 3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ned - Accent 4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ned - Accent 5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ned - Accent 6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&amp; Lined - Accent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&amp; Lined - Accent 1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&amp; Lined - Accent 2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 &amp; Lined - Accent 3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&amp; Lined - Accent 4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&amp; Lined - Accent 5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 &amp; Lined - Accent 6"/>
    <w:basedOn w:val="806"/>
    <w:uiPriority w:val="99"/>
    <w:pPr>
      <w:pBdr/>
      <w:spacing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Bordered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Bordered - Accent 1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- Accent 2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Bordered - Accent 3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- Accent 4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- Accent 5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- Accent 6"/>
    <w:basedOn w:val="806"/>
    <w:uiPriority w:val="99"/>
    <w:pPr>
      <w:pBdr/>
      <w:spacing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6" w:customStyle="1">
    <w:name w:val="Título 1 Char"/>
    <w:basedOn w:val="805"/>
    <w:link w:val="796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57" w:customStyle="1">
    <w:name w:val="Heading 2 Char"/>
    <w:basedOn w:val="80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58" w:customStyle="1">
    <w:name w:val="Heading 3 Char"/>
    <w:basedOn w:val="80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59" w:customStyle="1">
    <w:name w:val="Título 4 Char"/>
    <w:basedOn w:val="805"/>
    <w:link w:val="799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60" w:customStyle="1">
    <w:name w:val="Título 5 Char"/>
    <w:basedOn w:val="805"/>
    <w:link w:val="80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61" w:customStyle="1">
    <w:name w:val="Título 6 Char"/>
    <w:basedOn w:val="805"/>
    <w:link w:val="80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2" w:customStyle="1">
    <w:name w:val="Heading 7 Char"/>
    <w:basedOn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63" w:customStyle="1">
    <w:name w:val="Título 8 Char"/>
    <w:basedOn w:val="805"/>
    <w:link w:val="80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4" w:customStyle="1">
    <w:name w:val="Título 9 Char"/>
    <w:basedOn w:val="805"/>
    <w:link w:val="80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5" w:customStyle="1">
    <w:name w:val="Título Char"/>
    <w:basedOn w:val="805"/>
    <w:link w:val="9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66" w:customStyle="1">
    <w:name w:val="Subtítulo Char"/>
    <w:basedOn w:val="805"/>
    <w:link w:val="103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7">
    <w:name w:val="Quote"/>
    <w:basedOn w:val="795"/>
    <w:next w:val="795"/>
    <w:link w:val="96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8" w:customStyle="1">
    <w:name w:val="Citação Char"/>
    <w:basedOn w:val="805"/>
    <w:link w:val="96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69">
    <w:name w:val="Intense Emphasis"/>
    <w:basedOn w:val="805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70">
    <w:name w:val="Intense Quote"/>
    <w:basedOn w:val="795"/>
    <w:next w:val="795"/>
    <w:link w:val="971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71" w:customStyle="1">
    <w:name w:val="Citação Intensa Char"/>
    <w:basedOn w:val="805"/>
    <w:link w:val="970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72">
    <w:name w:val="Intense Reference"/>
    <w:basedOn w:val="805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73">
    <w:name w:val="No Spacing"/>
    <w:basedOn w:val="795"/>
    <w:uiPriority w:val="1"/>
    <w:qFormat/>
    <w:pPr>
      <w:pBdr/>
      <w:spacing/>
      <w:ind/>
    </w:pPr>
  </w:style>
  <w:style w:type="character" w:styleId="974">
    <w:name w:val="Subtle Emphasis"/>
    <w:basedOn w:val="80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5">
    <w:name w:val="Emphasis"/>
    <w:basedOn w:val="805"/>
    <w:uiPriority w:val="20"/>
    <w:qFormat/>
    <w:pPr>
      <w:pBdr/>
      <w:spacing/>
      <w:ind/>
    </w:pPr>
    <w:rPr>
      <w:i/>
      <w:iCs/>
    </w:rPr>
  </w:style>
  <w:style w:type="character" w:styleId="976">
    <w:name w:val="Strong"/>
    <w:basedOn w:val="805"/>
    <w:uiPriority w:val="22"/>
    <w:qFormat/>
    <w:pPr>
      <w:pBdr/>
      <w:spacing/>
      <w:ind/>
    </w:pPr>
    <w:rPr>
      <w:b/>
      <w:bCs/>
    </w:rPr>
  </w:style>
  <w:style w:type="character" w:styleId="977">
    <w:name w:val="Subtle Reference"/>
    <w:basedOn w:val="80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8">
    <w:name w:val="Book Title"/>
    <w:basedOn w:val="805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79" w:customStyle="1">
    <w:name w:val="Cabeçalho Char"/>
    <w:basedOn w:val="805"/>
    <w:link w:val="1035"/>
    <w:uiPriority w:val="99"/>
    <w:pPr>
      <w:pBdr/>
      <w:spacing/>
      <w:ind/>
    </w:pPr>
  </w:style>
  <w:style w:type="character" w:styleId="980" w:customStyle="1">
    <w:name w:val="Footer Char"/>
    <w:basedOn w:val="805"/>
    <w:uiPriority w:val="99"/>
    <w:pPr>
      <w:pBdr/>
      <w:spacing/>
      <w:ind/>
    </w:pPr>
  </w:style>
  <w:style w:type="character" w:styleId="981" w:customStyle="1">
    <w:name w:val="Texto de nota de rodapé Char"/>
    <w:basedOn w:val="805"/>
    <w:link w:val="1038"/>
    <w:uiPriority w:val="99"/>
    <w:semiHidden/>
    <w:pPr>
      <w:pBdr/>
      <w:spacing/>
      <w:ind/>
    </w:pPr>
    <w:rPr>
      <w:sz w:val="20"/>
      <w:szCs w:val="20"/>
    </w:rPr>
  </w:style>
  <w:style w:type="paragraph" w:styleId="982">
    <w:name w:val="endnote text"/>
    <w:basedOn w:val="795"/>
    <w:link w:val="983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83" w:customStyle="1">
    <w:name w:val="Texto de nota de fim Char"/>
    <w:basedOn w:val="805"/>
    <w:link w:val="982"/>
    <w:uiPriority w:val="99"/>
    <w:semiHidden/>
    <w:pPr>
      <w:pBdr/>
      <w:spacing/>
      <w:ind/>
    </w:pPr>
    <w:rPr>
      <w:sz w:val="20"/>
      <w:szCs w:val="20"/>
    </w:rPr>
  </w:style>
  <w:style w:type="paragraph" w:styleId="984">
    <w:name w:val="TOC Heading"/>
    <w:uiPriority w:val="39"/>
    <w:unhideWhenUsed/>
    <w:pPr>
      <w:pBdr/>
      <w:spacing/>
      <w:ind/>
    </w:pPr>
  </w:style>
  <w:style w:type="paragraph" w:styleId="985">
    <w:name w:val="table of figures"/>
    <w:basedOn w:val="795"/>
    <w:next w:val="795"/>
    <w:uiPriority w:val="99"/>
    <w:unhideWhenUsed/>
    <w:pPr>
      <w:pBdr/>
      <w:spacing/>
      <w:ind/>
    </w:pPr>
  </w:style>
  <w:style w:type="table" w:styleId="986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7">
    <w:name w:val="Title"/>
    <w:basedOn w:val="795"/>
    <w:next w:val="795"/>
    <w:link w:val="965"/>
    <w:uiPriority w:val="10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table" w:styleId="988" w:customStyle="1">
    <w:name w:val="Table Normal1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9" w:customStyle="1">
    <w:name w:val="WW8Num1z0"/>
    <w:pPr>
      <w:pBdr/>
      <w:spacing/>
      <w:ind/>
    </w:pPr>
  </w:style>
  <w:style w:type="character" w:styleId="990" w:customStyle="1">
    <w:name w:val="WW8Num1z1"/>
    <w:pPr>
      <w:pBdr/>
      <w:spacing/>
      <w:ind/>
    </w:pPr>
  </w:style>
  <w:style w:type="character" w:styleId="991" w:customStyle="1">
    <w:name w:val="WW8Num1z2"/>
    <w:pPr>
      <w:pBdr/>
      <w:spacing/>
      <w:ind/>
    </w:pPr>
  </w:style>
  <w:style w:type="character" w:styleId="992" w:customStyle="1">
    <w:name w:val="WW8Num1z3"/>
    <w:pPr>
      <w:pBdr/>
      <w:spacing/>
      <w:ind/>
    </w:pPr>
  </w:style>
  <w:style w:type="character" w:styleId="993" w:customStyle="1">
    <w:name w:val="WW8Num1z4"/>
    <w:pPr>
      <w:pBdr/>
      <w:spacing/>
      <w:ind/>
    </w:pPr>
  </w:style>
  <w:style w:type="character" w:styleId="994" w:customStyle="1">
    <w:name w:val="WW8Num1z5"/>
    <w:pPr>
      <w:pBdr/>
      <w:spacing/>
      <w:ind/>
    </w:pPr>
  </w:style>
  <w:style w:type="character" w:styleId="995" w:customStyle="1">
    <w:name w:val="WW8Num1z6"/>
    <w:pPr>
      <w:pBdr/>
      <w:spacing/>
      <w:ind/>
    </w:pPr>
  </w:style>
  <w:style w:type="character" w:styleId="996" w:customStyle="1">
    <w:name w:val="WW8Num1z7"/>
    <w:pPr>
      <w:pBdr/>
      <w:spacing/>
      <w:ind/>
    </w:pPr>
  </w:style>
  <w:style w:type="character" w:styleId="997" w:customStyle="1">
    <w:name w:val="WW8Num1z8"/>
    <w:pPr>
      <w:pBdr/>
      <w:spacing/>
      <w:ind/>
    </w:pPr>
  </w:style>
  <w:style w:type="character" w:styleId="998" w:customStyle="1">
    <w:name w:val="Fonte parág. padrão4"/>
    <w:pPr>
      <w:pBdr/>
      <w:spacing/>
      <w:ind/>
    </w:pPr>
  </w:style>
  <w:style w:type="character" w:styleId="999" w:customStyle="1">
    <w:name w:val="Absatz-Standardschriftart"/>
    <w:pPr>
      <w:pBdr/>
      <w:spacing/>
      <w:ind/>
    </w:pPr>
  </w:style>
  <w:style w:type="character" w:styleId="1000" w:customStyle="1">
    <w:name w:val="Fonte parág. padrão3"/>
    <w:pPr>
      <w:pBdr/>
      <w:spacing/>
      <w:ind/>
    </w:pPr>
  </w:style>
  <w:style w:type="character" w:styleId="1001" w:customStyle="1">
    <w:name w:val="WW-Absatz-Standardschriftart"/>
    <w:pPr>
      <w:pBdr/>
      <w:spacing/>
      <w:ind/>
    </w:pPr>
  </w:style>
  <w:style w:type="character" w:styleId="1002" w:customStyle="1">
    <w:name w:val="Fonte parág. padrão2"/>
    <w:pPr>
      <w:pBdr/>
      <w:spacing/>
      <w:ind/>
    </w:pPr>
  </w:style>
  <w:style w:type="character" w:styleId="1003" w:customStyle="1">
    <w:name w:val="WW-Absatz-Standardschriftart1"/>
    <w:pPr>
      <w:pBdr/>
      <w:spacing/>
      <w:ind/>
    </w:pPr>
  </w:style>
  <w:style w:type="character" w:styleId="1004" w:customStyle="1">
    <w:name w:val="WW-Absatz-Standardschriftart11"/>
    <w:pPr>
      <w:pBdr/>
      <w:spacing/>
      <w:ind/>
    </w:pPr>
  </w:style>
  <w:style w:type="character" w:styleId="1005" w:customStyle="1">
    <w:name w:val="WW-Absatz-Standardschriftart111"/>
    <w:pPr>
      <w:pBdr/>
      <w:spacing/>
      <w:ind/>
    </w:pPr>
  </w:style>
  <w:style w:type="character" w:styleId="1006" w:customStyle="1">
    <w:name w:val="WW-Absatz-Standardschriftart1111"/>
    <w:pPr>
      <w:pBdr/>
      <w:spacing/>
      <w:ind/>
    </w:pPr>
  </w:style>
  <w:style w:type="character" w:styleId="1007" w:customStyle="1">
    <w:name w:val="WW-Absatz-Standardschriftart11111"/>
    <w:pPr>
      <w:pBdr/>
      <w:spacing/>
      <w:ind/>
    </w:pPr>
  </w:style>
  <w:style w:type="character" w:styleId="1008" w:customStyle="1">
    <w:name w:val="Fonte parág. padrão1"/>
    <w:pPr>
      <w:pBdr/>
      <w:spacing/>
      <w:ind/>
    </w:pPr>
  </w:style>
  <w:style w:type="character" w:styleId="1009">
    <w:name w:val="page number"/>
    <w:basedOn w:val="1008"/>
    <w:pPr>
      <w:pBdr/>
      <w:spacing/>
      <w:ind/>
    </w:pPr>
  </w:style>
  <w:style w:type="character" w:styleId="1010" w:customStyle="1">
    <w:name w:val="Caracteres de nota de rodapé"/>
    <w:pPr>
      <w:pBdr/>
      <w:spacing/>
      <w:ind/>
    </w:pPr>
    <w:rPr>
      <w:vertAlign w:val="superscript"/>
    </w:rPr>
  </w:style>
  <w:style w:type="character" w:styleId="1011" w:customStyle="1">
    <w:name w:val="Ref. de nota de rodapé1"/>
    <w:pPr>
      <w:pBdr/>
      <w:spacing/>
      <w:ind/>
    </w:pPr>
    <w:rPr>
      <w:vertAlign w:val="superscript"/>
    </w:rPr>
  </w:style>
  <w:style w:type="character" w:styleId="1012" w:customStyle="1">
    <w:name w:val="Caracteres de nota de fim"/>
    <w:pPr>
      <w:pBdr/>
      <w:spacing/>
      <w:ind/>
    </w:pPr>
    <w:rPr>
      <w:vertAlign w:val="superscript"/>
    </w:rPr>
  </w:style>
  <w:style w:type="character" w:styleId="1013" w:customStyle="1">
    <w:name w:val="WW-Caracteres de nota de fim"/>
    <w:pPr>
      <w:pBdr/>
      <w:spacing/>
      <w:ind/>
    </w:pPr>
  </w:style>
  <w:style w:type="character" w:styleId="1014" w:customStyle="1">
    <w:name w:val="Símbolos de numeração"/>
    <w:pPr>
      <w:pBdr/>
      <w:spacing/>
      <w:ind/>
    </w:pPr>
  </w:style>
  <w:style w:type="character" w:styleId="1015" w:customStyle="1">
    <w:name w:val="Ref. de nota de fim1"/>
    <w:pPr>
      <w:pBdr/>
      <w:spacing/>
      <w:ind/>
    </w:pPr>
    <w:rPr>
      <w:vertAlign w:val="superscript"/>
    </w:rPr>
  </w:style>
  <w:style w:type="character" w:styleId="1016" w:customStyle="1">
    <w:name w:val="Ref. de nota de rodapé2"/>
    <w:pPr>
      <w:pBdr/>
      <w:spacing/>
      <w:ind/>
    </w:pPr>
    <w:rPr>
      <w:vertAlign w:val="superscript"/>
    </w:rPr>
  </w:style>
  <w:style w:type="character" w:styleId="1017" w:customStyle="1">
    <w:name w:val="Ref. de nota de fim2"/>
    <w:pPr>
      <w:pBdr/>
      <w:spacing/>
      <w:ind/>
    </w:pPr>
    <w:rPr>
      <w:vertAlign w:val="superscript"/>
    </w:rPr>
  </w:style>
  <w:style w:type="character" w:styleId="1018" w:customStyle="1">
    <w:name w:val="Ref. de nota de rodapé3"/>
    <w:pPr>
      <w:pBdr/>
      <w:spacing/>
      <w:ind/>
    </w:pPr>
    <w:rPr>
      <w:vertAlign w:val="superscript"/>
    </w:rPr>
  </w:style>
  <w:style w:type="character" w:styleId="1019" w:customStyle="1">
    <w:name w:val="Ref. de nota de fim3"/>
    <w:pPr>
      <w:pBdr/>
      <w:spacing/>
      <w:ind/>
    </w:pPr>
    <w:rPr>
      <w:vertAlign w:val="superscript"/>
    </w:rPr>
  </w:style>
  <w:style w:type="character" w:styleId="1020">
    <w:name w:val="footnote reference"/>
    <w:pPr>
      <w:pBdr/>
      <w:spacing/>
      <w:ind/>
    </w:pPr>
    <w:rPr>
      <w:vertAlign w:val="superscript"/>
    </w:rPr>
  </w:style>
  <w:style w:type="character" w:styleId="1021">
    <w:name w:val="endnote reference"/>
    <w:pPr>
      <w:pBdr/>
      <w:spacing/>
      <w:ind/>
    </w:pPr>
    <w:rPr>
      <w:vertAlign w:val="superscript"/>
    </w:rPr>
  </w:style>
  <w:style w:type="paragraph" w:styleId="1022" w:customStyle="1">
    <w:name w:val="Título3"/>
    <w:basedOn w:val="795"/>
    <w:next w:val="1023"/>
    <w:pPr>
      <w:keepNext w:val="true"/>
      <w:pBdr/>
      <w:spacing w:after="120" w:before="240"/>
      <w:ind/>
    </w:pPr>
    <w:rPr>
      <w:rFonts w:ascii="Liberation Sans" w:hAnsi="Liberation Sans" w:eastAsia="Microsoft YaHei" w:cs="Mangal"/>
      <w:sz w:val="28"/>
      <w:szCs w:val="28"/>
    </w:rPr>
  </w:style>
  <w:style w:type="paragraph" w:styleId="1023">
    <w:name w:val="Body Text"/>
    <w:basedOn w:val="795"/>
    <w:pPr>
      <w:widowControl w:val="false"/>
      <w:pBdr/>
      <w:spacing/>
      <w:ind/>
      <w:jc w:val="both"/>
    </w:pPr>
    <w:rPr>
      <w:rFonts w:ascii="Times New Roman" w:hAnsi="Times New Roman" w:cs="Times New Roman"/>
      <w:sz w:val="28"/>
    </w:rPr>
  </w:style>
  <w:style w:type="paragraph" w:styleId="1024">
    <w:name w:val="List"/>
    <w:basedOn w:val="1023"/>
    <w:pPr>
      <w:pBdr/>
      <w:spacing/>
      <w:ind/>
    </w:pPr>
    <w:rPr>
      <w:rFonts w:cs="Tahoma"/>
    </w:rPr>
  </w:style>
  <w:style w:type="paragraph" w:styleId="1025">
    <w:name w:val="Caption"/>
    <w:basedOn w:val="795"/>
    <w:qFormat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1026" w:customStyle="1">
    <w:name w:val="Índice"/>
    <w:basedOn w:val="795"/>
    <w:pPr>
      <w:suppressLineNumbers w:val="true"/>
      <w:pBdr/>
      <w:spacing/>
      <w:ind/>
    </w:pPr>
    <w:rPr>
      <w:rFonts w:cs="Tahoma"/>
    </w:rPr>
  </w:style>
  <w:style w:type="paragraph" w:styleId="1027" w:customStyle="1">
    <w:name w:val="Título2"/>
    <w:basedOn w:val="795"/>
    <w:next w:val="1023"/>
    <w:pPr>
      <w:keepNext w:val="true"/>
      <w:pBdr/>
      <w:spacing w:after="120" w:before="240"/>
      <w:ind/>
    </w:pPr>
    <w:rPr>
      <w:rFonts w:eastAsia="Lucida Sans Unicode" w:cs="Mangal"/>
      <w:sz w:val="28"/>
      <w:szCs w:val="28"/>
    </w:rPr>
  </w:style>
  <w:style w:type="paragraph" w:styleId="1028" w:customStyle="1">
    <w:name w:val="Legenda3"/>
    <w:basedOn w:val="795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1029" w:customStyle="1">
    <w:name w:val="Título1"/>
    <w:basedOn w:val="795"/>
    <w:next w:val="1023"/>
    <w:pPr>
      <w:keepNext w:val="true"/>
      <w:pBdr/>
      <w:spacing w:after="120" w:before="240"/>
      <w:ind/>
    </w:pPr>
    <w:rPr>
      <w:rFonts w:eastAsia="Lucida Sans Unicode" w:cs="Tahoma"/>
      <w:sz w:val="28"/>
      <w:szCs w:val="28"/>
    </w:rPr>
  </w:style>
  <w:style w:type="paragraph" w:styleId="1030" w:customStyle="1">
    <w:name w:val="Legenda2"/>
    <w:basedOn w:val="795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1031" w:customStyle="1">
    <w:name w:val="Capítulo"/>
    <w:basedOn w:val="795"/>
    <w:next w:val="1023"/>
    <w:pPr>
      <w:keepNext w:val="true"/>
      <w:pBdr/>
      <w:spacing w:after="120" w:before="240"/>
      <w:ind/>
    </w:pPr>
    <w:rPr>
      <w:rFonts w:eastAsia="Lucida Sans Unicode" w:cs="Tahoma"/>
      <w:sz w:val="28"/>
      <w:szCs w:val="28"/>
    </w:rPr>
  </w:style>
  <w:style w:type="paragraph" w:styleId="1032" w:customStyle="1">
    <w:name w:val="Legenda1"/>
    <w:basedOn w:val="795"/>
    <w:pPr>
      <w:suppressLineNumbers w:val="true"/>
      <w:pBdr/>
      <w:spacing w:after="120" w:before="120"/>
      <w:ind/>
    </w:pPr>
    <w:rPr>
      <w:rFonts w:cs="Tahoma"/>
      <w:i/>
      <w:iCs/>
      <w:sz w:val="24"/>
      <w:szCs w:val="24"/>
    </w:rPr>
  </w:style>
  <w:style w:type="paragraph" w:styleId="1033">
    <w:name w:val="Subtitle"/>
    <w:basedOn w:val="795"/>
    <w:next w:val="795"/>
    <w:link w:val="966"/>
    <w:pPr>
      <w:keepNext w:val="true"/>
      <w:pBdr/>
      <w:spacing w:after="120" w:before="240"/>
      <w:ind/>
      <w:jc w:val="center"/>
    </w:pPr>
    <w:rPr>
      <w:i/>
      <w:sz w:val="28"/>
      <w:szCs w:val="28"/>
    </w:rPr>
  </w:style>
  <w:style w:type="paragraph" w:styleId="1034">
    <w:name w:val="Footer"/>
    <w:basedOn w:val="795"/>
    <w:link w:val="1046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35">
    <w:name w:val="Header"/>
    <w:basedOn w:val="795"/>
    <w:link w:val="97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36" w:customStyle="1">
    <w:name w:val="JE1"/>
    <w:basedOn w:val="796"/>
    <w:pPr>
      <w:numPr>
        <w:numId w:val="0"/>
      </w:numPr>
      <w:pBdr/>
      <w:spacing/>
      <w:ind/>
      <w:jc w:val="center"/>
    </w:pPr>
  </w:style>
  <w:style w:type="paragraph" w:styleId="1037">
    <w:name w:val="Body Text Indent"/>
    <w:basedOn w:val="795"/>
    <w:pPr>
      <w:pBdr/>
      <w:spacing/>
      <w:ind w:left="2410"/>
      <w:jc w:val="both"/>
    </w:pPr>
    <w:rPr>
      <w:b/>
      <w:sz w:val="24"/>
    </w:rPr>
  </w:style>
  <w:style w:type="paragraph" w:styleId="1038">
    <w:name w:val="footnote text"/>
    <w:basedOn w:val="795"/>
    <w:link w:val="981"/>
    <w:pPr>
      <w:pBdr/>
      <w:spacing/>
      <w:ind/>
    </w:pPr>
    <w:rPr>
      <w:rFonts w:ascii="Times New Roman" w:hAnsi="Times New Roman" w:cs="Times New Roman"/>
      <w:sz w:val="20"/>
    </w:rPr>
  </w:style>
  <w:style w:type="paragraph" w:styleId="1039" w:customStyle="1">
    <w:name w:val="Corpo de texto 21"/>
    <w:basedOn w:val="795"/>
    <w:pPr>
      <w:pBdr/>
      <w:spacing/>
      <w:ind/>
      <w:jc w:val="both"/>
    </w:pPr>
  </w:style>
  <w:style w:type="paragraph" w:styleId="1040" w:customStyle="1">
    <w:name w:val="Conteúdo de tabela"/>
    <w:basedOn w:val="795"/>
    <w:pPr>
      <w:suppressLineNumbers w:val="true"/>
      <w:pBdr/>
      <w:spacing/>
      <w:ind/>
    </w:pPr>
  </w:style>
  <w:style w:type="paragraph" w:styleId="1041" w:customStyle="1">
    <w:name w:val="Conteúdo da tabela"/>
    <w:basedOn w:val="795"/>
    <w:pPr>
      <w:suppressLineNumbers w:val="true"/>
      <w:pBdr/>
      <w:spacing/>
      <w:ind/>
    </w:pPr>
  </w:style>
  <w:style w:type="paragraph" w:styleId="1042" w:customStyle="1">
    <w:name w:val="Título de tabela"/>
    <w:basedOn w:val="1040"/>
    <w:pPr>
      <w:pBdr/>
      <w:spacing/>
      <w:ind/>
      <w:jc w:val="center"/>
    </w:pPr>
    <w:rPr>
      <w:b/>
      <w:bCs/>
    </w:rPr>
  </w:style>
  <w:style w:type="paragraph" w:styleId="1043" w:customStyle="1">
    <w:name w:val="Conteúdo de quadro"/>
    <w:basedOn w:val="1023"/>
    <w:pPr>
      <w:pBdr/>
      <w:spacing/>
      <w:ind/>
    </w:pPr>
  </w:style>
  <w:style w:type="paragraph" w:styleId="1044" w:customStyle="1">
    <w:name w:val="Título da tabela"/>
    <w:basedOn w:val="1041"/>
    <w:pPr>
      <w:pBdr/>
      <w:spacing/>
      <w:ind/>
      <w:jc w:val="center"/>
    </w:pPr>
    <w:rPr>
      <w:b/>
      <w:bCs/>
    </w:rPr>
  </w:style>
  <w:style w:type="paragraph" w:styleId="1045" w:customStyle="1">
    <w:name w:val="Conteúdo do quadro"/>
    <w:basedOn w:val="1023"/>
    <w:pPr>
      <w:pBdr/>
      <w:spacing/>
      <w:ind/>
    </w:pPr>
  </w:style>
  <w:style w:type="character" w:styleId="1046" w:customStyle="1">
    <w:name w:val="Rodapé Char"/>
    <w:link w:val="1034"/>
    <w:uiPriority w:val="99"/>
    <w:pPr>
      <w:pBdr/>
      <w:spacing/>
      <w:ind/>
    </w:pPr>
    <w:rPr>
      <w:rFonts w:ascii="Arial" w:hAnsi="Arial" w:cs="Arial"/>
      <w:sz w:val="22"/>
      <w:lang w:eastAsia="zh-CN"/>
    </w:rPr>
  </w:style>
  <w:style w:type="character" w:styleId="1047" w:customStyle="1">
    <w:name w:val="Ref. de nota de rodapé5"/>
    <w:pPr>
      <w:pBdr/>
      <w:spacing/>
      <w:ind/>
    </w:pPr>
    <w:rPr>
      <w:vertAlign w:val="superscript"/>
    </w:rPr>
  </w:style>
  <w:style w:type="paragraph" w:styleId="1048">
    <w:name w:val="Balloon Text"/>
    <w:basedOn w:val="795"/>
    <w:link w:val="1049"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49" w:customStyle="1">
    <w:name w:val="Texto de balão Char"/>
    <w:link w:val="1048"/>
    <w:pPr>
      <w:pBdr/>
      <w:spacing/>
      <w:ind/>
    </w:pPr>
    <w:rPr>
      <w:rFonts w:ascii="Segoe UI" w:hAnsi="Segoe UI" w:cs="Segoe UI"/>
      <w:sz w:val="18"/>
      <w:szCs w:val="18"/>
      <w:lang w:eastAsia="zh-CN"/>
    </w:rPr>
  </w:style>
  <w:style w:type="character" w:styleId="1050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1051" w:customStyle="1">
    <w:name w:val="Menção Pendente1"/>
    <w:uiPriority w:val="99"/>
    <w:semiHidden/>
    <w:unhideWhenUsed/>
    <w:pPr>
      <w:pBdr/>
      <w:spacing/>
      <w:ind/>
    </w:pPr>
    <w:rPr>
      <w:color w:val="808080"/>
      <w:shd w:val="clear" w:color="auto" w:fill="e6e6e6"/>
    </w:rPr>
  </w:style>
  <w:style w:type="character" w:styleId="1052">
    <w:name w:val="FollowedHyperlink"/>
    <w:basedOn w:val="80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053" w:customStyle="1">
    <w:name w:val="Título 2 Char"/>
    <w:basedOn w:val="805"/>
    <w:link w:val="797"/>
    <w:semiHidden/>
    <w:pPr>
      <w:pBdr/>
      <w:spacing/>
      <w:ind/>
    </w:pPr>
    <w:rPr>
      <w:rFonts w:ascii="Calibri Light" w:hAnsi="Calibri Light"/>
      <w:b/>
      <w:bCs/>
      <w:i/>
      <w:iCs/>
      <w:sz w:val="28"/>
      <w:szCs w:val="28"/>
    </w:rPr>
  </w:style>
  <w:style w:type="character" w:styleId="1054" w:customStyle="1">
    <w:name w:val="Título 3 Char"/>
    <w:basedOn w:val="805"/>
    <w:link w:val="798"/>
    <w:semiHidden/>
    <w:pPr>
      <w:pBdr/>
      <w:spacing/>
      <w:ind/>
    </w:pPr>
    <w:rPr>
      <w:rFonts w:ascii="Calibri Light" w:hAnsi="Calibri Light"/>
      <w:b/>
      <w:bCs/>
      <w:sz w:val="26"/>
      <w:szCs w:val="26"/>
    </w:rPr>
  </w:style>
  <w:style w:type="character" w:styleId="1055" w:customStyle="1">
    <w:name w:val="Título 7 Char"/>
    <w:basedOn w:val="805"/>
    <w:link w:val="802"/>
    <w:pPr>
      <w:pBdr/>
      <w:spacing/>
      <w:ind/>
    </w:pPr>
    <w:rPr>
      <w:b/>
      <w:spacing w:val="14"/>
      <w:sz w:val="24"/>
    </w:rPr>
  </w:style>
  <w:style w:type="character" w:styleId="1056" w:customStyle="1">
    <w:name w:val="WW8Num2z0"/>
    <w:pPr>
      <w:pBdr/>
      <w:spacing/>
      <w:ind/>
    </w:pPr>
    <w:rPr>
      <w:rFonts w:ascii="Monotype Sorts" w:hAnsi="Monotype Sorts"/>
    </w:rPr>
  </w:style>
  <w:style w:type="character" w:styleId="1057" w:customStyle="1">
    <w:name w:val="WW8Num3z0"/>
    <w:pPr>
      <w:pBdr/>
      <w:spacing/>
      <w:ind/>
    </w:pPr>
    <w:rPr>
      <w:b/>
    </w:rPr>
  </w:style>
  <w:style w:type="character" w:styleId="1058" w:customStyle="1">
    <w:name w:val="WW8Num4z0"/>
    <w:pPr>
      <w:pBdr/>
      <w:spacing/>
      <w:ind/>
    </w:pPr>
    <w:rPr>
      <w:rFonts w:ascii="Times New Roman" w:hAnsi="Times New Roman" w:eastAsia="Times New Roman" w:cs="Times New Roman"/>
    </w:rPr>
  </w:style>
  <w:style w:type="character" w:styleId="1059" w:customStyle="1">
    <w:name w:val="WW8Num4z1"/>
    <w:pPr>
      <w:pBdr/>
      <w:spacing/>
      <w:ind/>
    </w:pPr>
    <w:rPr>
      <w:rFonts w:ascii="Courier New" w:hAnsi="Courier New"/>
    </w:rPr>
  </w:style>
  <w:style w:type="character" w:styleId="1060" w:customStyle="1">
    <w:name w:val="WW8Num4z2"/>
    <w:pPr>
      <w:pBdr/>
      <w:spacing/>
      <w:ind/>
    </w:pPr>
    <w:rPr>
      <w:rFonts w:ascii="Wingdings" w:hAnsi="Wingdings"/>
    </w:rPr>
  </w:style>
  <w:style w:type="character" w:styleId="1061" w:customStyle="1">
    <w:name w:val="WW8Num4z3"/>
    <w:pPr>
      <w:pBdr/>
      <w:spacing/>
      <w:ind/>
    </w:pPr>
    <w:rPr>
      <w:rFonts w:ascii="Symbol" w:hAnsi="Symbol"/>
    </w:rPr>
  </w:style>
  <w:style w:type="character" w:styleId="1062" w:customStyle="1">
    <w:name w:val="WW8Num5z0"/>
    <w:pPr>
      <w:pBdr/>
      <w:spacing/>
      <w:ind/>
    </w:pPr>
    <w:rPr>
      <w:rFonts w:ascii="Times New Roman" w:hAnsi="Times New Roman"/>
      <w:b/>
    </w:rPr>
  </w:style>
  <w:style w:type="character" w:styleId="1063" w:customStyle="1">
    <w:name w:val="WW8Num6z0"/>
    <w:pPr>
      <w:pBdr/>
      <w:spacing/>
      <w:ind/>
    </w:pPr>
    <w:rPr>
      <w:b/>
    </w:rPr>
  </w:style>
  <w:style w:type="character" w:styleId="1064" w:customStyle="1">
    <w:name w:val="WW8Num7z0"/>
    <w:pPr>
      <w:pBdr/>
      <w:spacing/>
      <w:ind/>
    </w:pPr>
    <w:rPr>
      <w:b/>
    </w:rPr>
  </w:style>
  <w:style w:type="paragraph" w:styleId="1065" w:customStyle="1">
    <w:name w:val="Texto em bloco1"/>
    <w:basedOn w:val="795"/>
    <w:pPr>
      <w:pBdr/>
      <w:spacing/>
      <w:ind w:right="57" w:firstLine="1134" w:left="4253"/>
      <w:jc w:val="both"/>
    </w:pPr>
    <w:rPr>
      <w:rFonts w:cs="Times New Roman"/>
      <w:i/>
      <w:spacing w:val="14"/>
    </w:rPr>
  </w:style>
  <w:style w:type="table" w:styleId="1066">
    <w:name w:val="Table Grid"/>
    <w:basedOn w:val="806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67" w:customStyle="1">
    <w:name w:val="texto2"/>
    <w:basedOn w:val="795"/>
    <w:pPr>
      <w:pBdr/>
      <w:spacing w:after="100" w:afterAutospacing="1" w:before="100" w:beforeAutospacing="1"/>
      <w:ind/>
    </w:pPr>
    <w:rPr>
      <w:rFonts w:ascii="Times New Roman" w:hAnsi="Times New Roman" w:cs="Times New Roman"/>
      <w:sz w:val="24"/>
      <w:szCs w:val="24"/>
      <w:lang w:eastAsia="pt-BR"/>
    </w:rPr>
  </w:style>
  <w:style w:type="paragraph" w:styleId="1068" w:customStyle="1">
    <w:name w:val="04partenormativa"/>
    <w:basedOn w:val="795"/>
    <w:pPr>
      <w:pBdr/>
      <w:spacing w:after="100" w:afterAutospacing="1" w:before="100" w:beforeAutospacing="1"/>
      <w:ind/>
    </w:pPr>
    <w:rPr>
      <w:rFonts w:ascii="Times New Roman" w:hAnsi="Times New Roman" w:cs="Times New Roman"/>
      <w:sz w:val="24"/>
      <w:szCs w:val="24"/>
      <w:lang w:eastAsia="pt-BR"/>
    </w:rPr>
  </w:style>
  <w:style w:type="paragraph" w:styleId="1069">
    <w:name w:val="List Paragraph"/>
    <w:basedOn w:val="795"/>
    <w:uiPriority w:val="34"/>
    <w:qFormat/>
    <w:pPr>
      <w:pBdr/>
      <w:spacing/>
      <w:ind w:left="720"/>
      <w:contextualSpacing w:val="true"/>
    </w:pPr>
  </w:style>
  <w:style w:type="paragraph" w:styleId="1070">
    <w:name w:val="Normal (Web)"/>
    <w:basedOn w:val="795"/>
    <w:uiPriority w:val="99"/>
    <w:unhideWhenUsed/>
    <w:pPr>
      <w:pBdr/>
      <w:spacing w:after="100" w:afterAutospacing="1" w:before="100" w:beforeAutospacing="1"/>
      <w:ind/>
    </w:pPr>
    <w:rPr>
      <w:rFonts w:ascii="Times New Roman" w:hAnsi="Times New Roman" w:cs="Times New Roman"/>
      <w:sz w:val="24"/>
      <w:szCs w:val="24"/>
      <w:lang w:eastAsia="pt-BR"/>
    </w:rPr>
  </w:style>
  <w:style w:type="table" w:styleId="1071" w:customStyle="1">
    <w:name w:val="2"/>
    <w:basedOn w:val="988"/>
    <w:pPr>
      <w:pBdr/>
      <w:spacing/>
      <w:ind/>
    </w:pPr>
    <w:tblPr>
      <w:tblStyleRowBandSize w:val="1"/>
      <w:tblStyleColBandSize w:val="1"/>
      <w:tblCellMar>
        <w:left w:w="108" w:type="dxa"/>
        <w:right w:w="108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1"/>
    <w:basedOn w:val="988"/>
    <w:pPr>
      <w:pBdr/>
      <w:spacing/>
      <w:ind/>
    </w:pPr>
    <w:tblPr>
      <w:tblStyleRowBandSize w:val="1"/>
      <w:tblStyleColBandSize w:val="1"/>
      <w:tblCellMar>
        <w:left w:w="108" w:type="dxa"/>
        <w:right w:w="108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3" w:customStyle="1">
    <w:name w:val="Nivel 01"/>
    <w:basedOn w:val="796"/>
    <w:next w:val="795"/>
    <w:qFormat/>
    <w:pPr>
      <w:keepLines w:val="true"/>
      <w:numPr>
        <w:numId w:val="3"/>
      </w:numPr>
      <w:pBdr/>
      <w:tabs>
        <w:tab w:val="left" w:leader="none" w:pos="567"/>
      </w:tabs>
      <w:spacing w:after="120" w:line="276" w:lineRule="auto"/>
      <w:ind w:firstLine="0" w:left="0"/>
      <w:jc w:val="both"/>
    </w:pPr>
    <w:rPr>
      <w:rFonts w:eastAsiaTheme="majorEastAsia"/>
      <w:bCs/>
      <w:sz w:val="20"/>
      <w:szCs w:val="20"/>
      <w:lang w:eastAsia="pt-BR"/>
    </w:rPr>
  </w:style>
  <w:style w:type="character" w:styleId="1074" w:customStyle="1">
    <w:name w:val="normaltextrun"/>
    <w:basedOn w:val="805"/>
    <w:pPr>
      <w:pBdr/>
      <w:spacing/>
      <w:ind/>
    </w:pPr>
  </w:style>
  <w:style w:type="paragraph" w:styleId="1075" w:customStyle="1">
    <w:name w:val="Nivel 2"/>
    <w:basedOn w:val="795"/>
    <w:link w:val="1079"/>
    <w:qFormat/>
    <w:pPr>
      <w:pBdr/>
      <w:spacing w:after="120" w:before="120" w:line="276" w:lineRule="auto"/>
      <w:ind w:left="709"/>
      <w:jc w:val="both"/>
    </w:pPr>
    <w:rPr>
      <w:rFonts w:eastAsiaTheme="minorEastAsia"/>
      <w:color w:val="000000" w:themeColor="text1"/>
      <w:sz w:val="20"/>
      <w:szCs w:val="20"/>
      <w:lang w:eastAsia="en-US"/>
    </w:rPr>
  </w:style>
  <w:style w:type="paragraph" w:styleId="1076" w:customStyle="1">
    <w:name w:val="Nivel 3"/>
    <w:basedOn w:val="795"/>
    <w:qFormat/>
    <w:pPr>
      <w:numPr>
        <w:ilvl w:val="2"/>
        <w:numId w:val="3"/>
      </w:numPr>
      <w:pBdr/>
      <w:spacing w:after="120" w:before="120" w:line="276" w:lineRule="auto"/>
      <w:ind w:firstLine="0" w:left="284"/>
      <w:jc w:val="both"/>
    </w:pPr>
    <w:rPr>
      <w:rFonts w:eastAsiaTheme="minorEastAsia"/>
      <w:color w:val="000000"/>
      <w:sz w:val="20"/>
      <w:szCs w:val="20"/>
      <w:lang w:eastAsia="en-US"/>
    </w:rPr>
  </w:style>
  <w:style w:type="paragraph" w:styleId="1077" w:customStyle="1">
    <w:name w:val="Nivel 4"/>
    <w:basedOn w:val="1076"/>
    <w:qFormat/>
    <w:pPr>
      <w:numPr>
        <w:ilvl w:val="3"/>
      </w:numPr>
      <w:pBdr/>
      <w:spacing/>
      <w:ind w:firstLine="0" w:left="567"/>
    </w:pPr>
    <w:rPr>
      <w:color w:val="auto"/>
    </w:rPr>
  </w:style>
  <w:style w:type="paragraph" w:styleId="1078" w:customStyle="1">
    <w:name w:val="Nivel 5"/>
    <w:basedOn w:val="1077"/>
    <w:qFormat/>
    <w:pPr>
      <w:numPr>
        <w:ilvl w:val="4"/>
      </w:numPr>
      <w:pBdr/>
      <w:spacing/>
      <w:ind w:hanging="1077" w:left="1928"/>
    </w:pPr>
  </w:style>
  <w:style w:type="character" w:styleId="1079" w:customStyle="1">
    <w:name w:val="Nivel 2 Char"/>
    <w:basedOn w:val="805"/>
    <w:link w:val="1075"/>
    <w:pPr>
      <w:pBdr/>
      <w:spacing/>
      <w:ind/>
    </w:pPr>
    <w:rPr>
      <w:rFonts w:eastAsiaTheme="minorEastAsia"/>
      <w:color w:val="000000" w:themeColor="text1"/>
      <w:sz w:val="20"/>
      <w:szCs w:val="20"/>
      <w:lang w:eastAsia="en-US"/>
    </w:rPr>
  </w:style>
  <w:style w:type="paragraph" w:styleId="1080" w:customStyle="1">
    <w:name w:val="Default"/>
    <w:pPr>
      <w:pBdr/>
      <w:spacing/>
      <w:ind/>
    </w:pPr>
    <w:rPr>
      <w:rFonts w:ascii="Calibri" w:hAnsi="Calibri" w:cs="Calibri" w:eastAsiaTheme="minorHAnsi"/>
      <w:color w:val="000000"/>
      <w:sz w:val="24"/>
      <w:szCs w:val="24"/>
      <w:lang w:eastAsia="en-US"/>
      <w14:ligatures w14:val="standardContextual"/>
    </w:rPr>
  </w:style>
  <w:style w:type="character" w:styleId="1081" w:customStyle="1">
    <w:name w:val="114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hyperlink" Target="https://certidoes.cgu.gov.br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1B+9rFiZ4kd5Kay1uANI68Ereg==">CgMxLjAyCWlkLmdqZGd4czIKaWQuM3pueXNoNzgAciExQ2xuODVHN3AzNkt3b2lzM0NFY193aTJTMjY2OUlBam4=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Prefeitura Municipal de Parobé Elissa</cp:lastModifiedBy>
  <cp:revision>29</cp:revision>
  <dcterms:created xsi:type="dcterms:W3CDTF">2025-09-24T11:58:00Z</dcterms:created>
  <dcterms:modified xsi:type="dcterms:W3CDTF">2026-02-20T16:00:34Z</dcterms:modified>
</cp:coreProperties>
</file>