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docProps/custom.xml" ContentType="application/vnd.openxmlformats-officedocument.custom-properties+xml"/>
  <Override PartName="/word/commentsDocument.xml" ContentType="application/vnd.openxmlformats-officedocument.wordprocessingml.comments+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commentsExtendedDocument.xml" ContentType="application/vnd.openxmlformats-officedocument.wordprocessingml.commentsExtended+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commentsIdsDocument.xml" ContentType="application/vnd.openxmlformats-officedocument.wordprocessingml.commentsId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rPr>
          <w:rFonts w:ascii="Cambria" w:hAnsi="Cambria" w:cs="Cambria"/>
          <w:b/>
          <w:color w:val="5b5b5f"/>
          <w:sz w:val="14"/>
          <w:szCs w:val="14"/>
        </w:rPr>
      </w:pPr>
      <w:r>
        <w:rPr>
          <w:rFonts w:ascii="Cambria" w:hAnsi="Cambria" w:cs="Cambria"/>
          <w:sz w:val="14"/>
          <w:szCs w:val="14"/>
          <w:rtl w:val="0"/>
        </w:rPr>
      </w:r>
      <w:r>
        <w:rPr>
          <w:rFonts w:ascii="Cambria" w:hAnsi="Cambria" w:cs="Cambria"/>
          <w:sz w:val="14"/>
          <w:szCs w:val="14"/>
        </w:rPr>
      </w:r>
      <w:r/>
    </w:p>
    <w:p>
      <w:pPr>
        <w:jc w:val="center"/>
        <w:rPr>
          <w:rFonts w:ascii="Cambria" w:hAnsi="Cambria" w:cs="Cambria"/>
          <w:sz w:val="14"/>
          <w:szCs w:val="14"/>
        </w:rPr>
      </w:pPr>
      <w:r>
        <w:rPr>
          <w:rFonts w:ascii="Cambria" w:hAnsi="Cambria" w:cs="Cambria"/>
          <w:b/>
          <w:bCs/>
          <w:color w:val="405ca1"/>
          <w:sz w:val="14"/>
          <w:szCs w:val="14"/>
        </w:rPr>
      </w:r>
      <w:r>
        <w:rPr>
          <w:rFonts w:ascii="Cambria" w:hAnsi="Cambria" w:cs="Cambria"/>
          <w:sz w:val="14"/>
          <w:szCs w:val="14"/>
        </w:rPr>
      </w:r>
      <w:r/>
    </w:p>
    <w:p>
      <w:pPr>
        <w:jc w:val="center"/>
        <w:rPr>
          <w:rFonts w:ascii="Cambria" w:hAnsi="Cambria" w:cs="Cambria"/>
          <w:sz w:val="14"/>
          <w:szCs w:val="14"/>
        </w:rPr>
      </w:pPr>
      <w:r>
        <w:rPr>
          <w:rFonts w:ascii="Cambria" w:hAnsi="Cambria" w:cs="Cambria"/>
          <w:sz w:val="14"/>
          <w:szCs w:val="14"/>
        </w:rPr>
        <mc:AlternateContent>
          <mc:Choice Requires="wpg">
            <w:drawing>
              <wp:anchor xmlns:wp="http://schemas.openxmlformats.org/drawingml/2006/wordprocessingDrawing" xmlns:wp14="http://schemas.microsoft.com/office/word/2010/wordprocessingDrawing" distT="0" distB="0" distL="115200" distR="115200" simplePos="0" relativeHeight="251660288" behindDoc="0" locked="0" layoutInCell="1" allowOverlap="1">
                <wp:simplePos x="0" y="0"/>
                <wp:positionH relativeFrom="column">
                  <wp:posOffset>445641</wp:posOffset>
                </wp:positionH>
                <wp:positionV relativeFrom="paragraph">
                  <wp:posOffset>95992</wp:posOffset>
                </wp:positionV>
                <wp:extent cx="5426544" cy="5597272"/>
                <wp:effectExtent l="38099" t="38099" r="38099" b="38099"/>
                <wp:wrapNone/>
                <wp:docPr id="4" name="Retângulo 4"/>
                <wp:cNvGraphicFramePr/>
                <a:graphic xmlns:a="http://schemas.openxmlformats.org/drawingml/2006/main">
                  <a:graphicData uri="http://schemas.microsoft.com/office/word/2010/wordprocessingShape">
                    <wps:wsp>
                      <wps:cNvPr id="0" name=""/>
                      <wps:cNvSpPr/>
                      <wps:spPr bwMode="auto">
                        <a:xfrm flipH="0" flipV="0">
                          <a:off x="0" y="0"/>
                          <a:ext cx="5426543" cy="5597272"/>
                        </a:xfrm>
                        <a:prstGeom prst="rect">
                          <a:avLst/>
                        </a:prstGeom>
                        <a:noFill/>
                        <a:ln w="76199" cap="flat" cmpd="sng"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35.1pt;mso-position-horizontal:absolute;mso-position-vertical-relative:text;margin-top:7.6pt;mso-position-vertical:absolute;width:427.3pt;height:440.7pt;mso-wrap-distance-left:9.1pt;mso-wrap-distance-top:0.0pt;mso-wrap-distance-right:9.1pt;mso-wrap-distance-bottom:0.0pt;visibility:visible;" filled="f" strokecolor="#487BB4" strokeweight="6.00pt">
                <v:stroke dashstyle="solid"/>
              </v:shape>
            </w:pict>
          </mc:Fallback>
        </mc:AlternateContent>
      </w:r>
      <w:r>
        <w:rPr>
          <w:rFonts w:ascii="Cambria" w:hAnsi="Cambria" w:cs="Cambria"/>
          <w:sz w:val="14"/>
          <w:szCs w:val="14"/>
        </w:rPr>
      </w:r>
      <w:r/>
    </w:p>
    <w:p>
      <w:pPr>
        <w:jc w:val="center"/>
        <w:rPr>
          <w:rFonts w:ascii="Cambria" w:hAnsi="Cambria" w:cs="Cambria"/>
          <w:sz w:val="14"/>
          <w:szCs w:val="14"/>
        </w:rPr>
      </w:pPr>
      <w:r>
        <w:rPr>
          <w:rFonts w:ascii="Cambria" w:hAnsi="Cambria" w:cs="Cambria"/>
          <w:b/>
          <w:bCs/>
          <w:color w:val="405ca1"/>
          <w:sz w:val="14"/>
          <w:szCs w:val="14"/>
        </w:rPr>
      </w:r>
      <w:r>
        <w:rPr>
          <w:rFonts w:ascii="Cambria" w:hAnsi="Cambria" w:cs="Cambria"/>
          <w:sz w:val="14"/>
          <w:szCs w:val="14"/>
        </w:rPr>
      </w:r>
      <w:r/>
    </w:p>
    <w:p>
      <w:pPr>
        <w:jc w:val="center"/>
        <w:rPr>
          <w:rFonts w:ascii="Cambria" w:hAnsi="Cambria" w:cs="Cambria"/>
          <w:sz w:val="14"/>
          <w:szCs w:val="14"/>
        </w:rPr>
      </w:pPr>
      <w:r>
        <w:rPr>
          <w:rFonts w:ascii="Cambria" w:hAnsi="Cambria" w:cs="Cambria"/>
          <w:b/>
          <w:bCs/>
          <w:color w:val="405ca1"/>
          <w:sz w:val="14"/>
          <w:szCs w:val="14"/>
        </w:rPr>
      </w:r>
      <w:r>
        <w:rPr>
          <w:rFonts w:ascii="Cambria" w:hAnsi="Cambria" w:cs="Cambria"/>
          <w:sz w:val="14"/>
          <w:szCs w:val="14"/>
        </w:rPr>
      </w:r>
      <w:r/>
    </w:p>
    <w:p>
      <w:pPr>
        <w:jc w:val="center"/>
        <w:rPr>
          <w:rFonts w:ascii="Cambria" w:hAnsi="Cambria" w:cs="Cambria"/>
          <w:sz w:val="14"/>
          <w:szCs w:val="14"/>
        </w:rPr>
      </w:pPr>
      <w:r>
        <w:rPr>
          <w:rFonts w:ascii="Cambria" w:hAnsi="Cambria" w:cs="Cambria"/>
          <w:b/>
          <w:bCs/>
          <w:color w:val="000000" w:themeColor="text1"/>
          <w:sz w:val="14"/>
          <w:szCs w:val="14"/>
        </w:rPr>
      </w:r>
      <w:r>
        <w:rPr>
          <w:rFonts w:ascii="Cambria" w:hAnsi="Cambria" w:cs="Cambria"/>
          <w:sz w:val="14"/>
          <w:szCs w:val="14"/>
        </w:rPr>
      </w:r>
      <w:r/>
    </w:p>
    <w:p>
      <w:pPr>
        <w:jc w:val="center"/>
        <w:rPr>
          <w:rFonts w:ascii="Cambria" w:hAnsi="Cambria" w:cs="Cambria"/>
          <w:sz w:val="22"/>
          <w:szCs w:val="22"/>
        </w:rPr>
      </w:pPr>
      <w:r>
        <w:rPr>
          <w:rFonts w:ascii="Cambria" w:hAnsi="Cambria" w:cs="Cambria"/>
          <w:b/>
          <w:bCs/>
          <w:color w:val="000000" w:themeColor="text1"/>
          <w:sz w:val="22"/>
          <w:szCs w:val="22"/>
          <w:u w:val="single"/>
        </w:rPr>
        <w:t xml:space="preserve">CONCORRÊNCIA  ELETRÔNICO Nº 12/2024</w:t>
      </w:r>
      <w:r>
        <w:rPr>
          <w:sz w:val="40"/>
          <w:szCs w:val="40"/>
        </w:rPr>
      </w:r>
      <w:r/>
    </w:p>
    <w:p>
      <w:pPr>
        <w:jc w:val="left"/>
        <w:rPr>
          <w:rFonts w:ascii="Cambria" w:hAnsi="Cambria" w:cs="Cambria"/>
          <w:sz w:val="14"/>
          <w:szCs w:val="14"/>
        </w:rPr>
      </w:pPr>
      <w:r>
        <w:rPr>
          <w:rFonts w:ascii="Cambria" w:hAnsi="Cambria" w:cs="Cambria"/>
          <w:b/>
          <w:bCs/>
          <w:color w:val="000000" w:themeColor="text1"/>
          <w:sz w:val="14"/>
          <w:szCs w:val="14"/>
        </w:rPr>
      </w:r>
      <w:r>
        <w:rPr>
          <w:rFonts w:ascii="Cambria" w:hAnsi="Cambria" w:cs="Cambria"/>
          <w:sz w:val="14"/>
          <w:szCs w:val="14"/>
        </w:rPr>
      </w:r>
      <w:r/>
    </w:p>
    <w:p>
      <w:pPr>
        <w:jc w:val="center"/>
        <w:rPr>
          <w:rFonts w:ascii="Cambria" w:hAnsi="Cambria" w:cs="Cambria"/>
          <w:sz w:val="22"/>
          <w:szCs w:val="22"/>
        </w:rPr>
      </w:pPr>
      <w:r>
        <w:rPr>
          <w:rFonts w:ascii="Cambria" w:hAnsi="Cambria" w:cs="Cambria"/>
          <w:b/>
          <w:bCs/>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b/>
          <w:bCs/>
          <w:color w:val="000000" w:themeColor="text1"/>
          <w:sz w:val="22"/>
          <w:szCs w:val="22"/>
        </w:rPr>
        <w:t xml:space="preserve">OBJETO</w:t>
      </w:r>
      <w:r>
        <w:rPr>
          <w:rFonts w:ascii="Cambria" w:hAnsi="Cambria" w:cs="Cambria"/>
          <w:sz w:val="22"/>
          <w:szCs w:val="22"/>
        </w:rPr>
      </w:r>
      <w:r/>
    </w:p>
    <w:p>
      <w:pPr>
        <w:ind w:left="1276" w:right="567" w:firstLine="0"/>
        <w:jc w:val="center"/>
        <w:rPr>
          <w:rFonts w:ascii="Cambria" w:hAnsi="Cambria" w:cs="Cambria"/>
          <w:sz w:val="22"/>
          <w:szCs w:val="22"/>
        </w:rPr>
      </w:pPr>
      <w:r>
        <w:rPr>
          <w:rFonts w:ascii="Cambria" w:hAnsi="Cambria" w:cs="Cambria"/>
          <w:color w:val="000000" w:themeColor="text1"/>
          <w:sz w:val="22"/>
          <w:szCs w:val="22"/>
        </w:rPr>
      </w:r>
      <w:r>
        <w:rPr>
          <w:rFonts w:ascii="Cambria" w:hAnsi="Cambria" w:cs="Cambria"/>
          <w:color w:val="000000" w:themeColor="text1"/>
          <w:sz w:val="22"/>
          <w:szCs w:val="22"/>
        </w:rPr>
        <w:t xml:space="preserve">CONTRATAÇÃO DE EMPRESA PARA REVITALIZAÇÃO ESTÁDIO MUNICIPAL JOSÉ ANTÔNIO DUMONCEL</w:t>
      </w:r>
      <w:r>
        <w:rPr>
          <w:rFonts w:ascii="Cambria" w:hAnsi="Cambria" w:cs="Cambria"/>
          <w:sz w:val="22"/>
          <w:szCs w:val="22"/>
        </w:rPr>
      </w:r>
      <w:r/>
    </w:p>
    <w:p>
      <w:pPr>
        <w:jc w:val="center"/>
        <w:rPr>
          <w:rFonts w:ascii="Cambria" w:hAnsi="Cambria" w:cs="Cambria"/>
          <w:sz w:val="22"/>
          <w:szCs w:val="22"/>
        </w:rPr>
      </w:pPr>
      <w:r>
        <w:rPr>
          <w:rFonts w:ascii="Cambria" w:hAnsi="Cambria" w:cs="Cambria"/>
          <w:b/>
          <w:bCs/>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b/>
          <w:bCs/>
          <w:color w:val="000000" w:themeColor="text1"/>
          <w:sz w:val="22"/>
          <w:szCs w:val="22"/>
        </w:rPr>
        <w:t xml:space="preserve">VALOR TOTAL DA CONTRATAÇÃO</w:t>
      </w:r>
      <w:r>
        <w:rPr>
          <w:rFonts w:ascii="Cambria" w:hAnsi="Cambria" w:cs="Cambria"/>
          <w:sz w:val="22"/>
          <w:szCs w:val="22"/>
        </w:rPr>
      </w:r>
      <w:r/>
    </w:p>
    <w:p>
      <w:pPr>
        <w:jc w:val="center"/>
        <w:rPr>
          <w:rFonts w:ascii="Cambria" w:hAnsi="Cambria" w:cs="Cambria"/>
          <w:sz w:val="22"/>
          <w:szCs w:val="22"/>
        </w:rPr>
      </w:pPr>
      <w:r>
        <w:rPr>
          <w:rFonts w:ascii="Cambria" w:hAnsi="Cambria" w:cs="Cambria"/>
          <w:color w:val="000000" w:themeColor="text1"/>
          <w:sz w:val="22"/>
          <w:szCs w:val="22"/>
        </w:rPr>
        <w:t xml:space="preserve">R$ 398.951,81</w:t>
      </w:r>
      <w:r/>
    </w:p>
    <w:p>
      <w:pPr>
        <w:jc w:val="center"/>
        <w:rPr>
          <w:rFonts w:ascii="Cambria" w:hAnsi="Cambria" w:cs="Cambria"/>
          <w:sz w:val="22"/>
          <w:szCs w:val="22"/>
        </w:rPr>
      </w:pPr>
      <w:r>
        <w:rPr>
          <w:rFonts w:ascii="Cambria" w:hAnsi="Cambria" w:cs="Cambria"/>
          <w:b/>
          <w:bCs/>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b/>
          <w:bCs/>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b/>
          <w:bCs/>
          <w:color w:val="000000" w:themeColor="text1"/>
          <w:sz w:val="22"/>
          <w:szCs w:val="22"/>
        </w:rPr>
        <w:t xml:space="preserve">DATA DA SESSÃO PÚBLICA</w:t>
      </w:r>
      <w:r>
        <w:rPr>
          <w:rFonts w:ascii="Cambria" w:hAnsi="Cambria" w:cs="Cambria"/>
          <w:sz w:val="22"/>
          <w:szCs w:val="22"/>
        </w:rPr>
      </w:r>
      <w:r/>
    </w:p>
    <w:p>
      <w:pPr>
        <w:jc w:val="center"/>
        <w:rPr>
          <w:rFonts w:ascii="Cambria" w:hAnsi="Cambria" w:cs="Cambria"/>
          <w:b/>
          <w:bCs/>
          <w:color w:val="000000" w:themeColor="text1"/>
          <w:sz w:val="22"/>
          <w:szCs w:val="22"/>
          <w:u w:val="single"/>
        </w:rPr>
      </w:pPr>
      <w:r>
        <w:rPr>
          <w:rFonts w:ascii="Cambria" w:hAnsi="Cambria" w:cs="Cambria"/>
          <w:color w:val="000000" w:themeColor="text1"/>
          <w:sz w:val="22"/>
          <w:szCs w:val="22"/>
        </w:rPr>
        <w:t xml:space="preserve">Dia </w:t>
      </w:r>
      <w:r>
        <w:rPr>
          <w:rFonts w:ascii="Cambria" w:hAnsi="Cambria" w:cs="Cambria"/>
          <w:b/>
          <w:bCs/>
          <w:color w:val="000000" w:themeColor="text1"/>
          <w:sz w:val="22"/>
          <w:szCs w:val="22"/>
        </w:rPr>
        <w:t xml:space="preserve">08/10/</w:t>
      </w:r>
      <w:r>
        <w:rPr>
          <w:rFonts w:ascii="Cambria" w:hAnsi="Cambria" w:cs="Cambria"/>
          <w:b/>
          <w:bCs/>
          <w:color w:val="000000" w:themeColor="text1"/>
          <w:sz w:val="22"/>
          <w:szCs w:val="22"/>
        </w:rPr>
        <w:t xml:space="preserve">2</w:t>
      </w:r>
      <w:r>
        <w:rPr>
          <w:rFonts w:ascii="Cambria" w:hAnsi="Cambria" w:cs="Cambria"/>
          <w:b/>
          <w:bCs/>
          <w:color w:val="000000" w:themeColor="text1"/>
          <w:sz w:val="22"/>
          <w:szCs w:val="22"/>
        </w:rPr>
        <w:t xml:space="preserve">024 </w:t>
      </w:r>
      <w:r>
        <w:rPr>
          <w:rFonts w:ascii="Cambria" w:hAnsi="Cambria" w:cs="Cambria"/>
          <w:color w:val="000000" w:themeColor="text1"/>
          <w:sz w:val="22"/>
          <w:szCs w:val="22"/>
        </w:rPr>
        <w:t xml:space="preserve">às </w:t>
      </w:r>
      <w:r>
        <w:rPr>
          <w:rFonts w:ascii="Cambria" w:hAnsi="Cambria" w:cs="Cambria"/>
          <w:b/>
          <w:bCs/>
          <w:color w:val="000000" w:themeColor="text1"/>
          <w:sz w:val="22"/>
          <w:szCs w:val="22"/>
        </w:rPr>
        <w:t xml:space="preserve">08h (horário de Brasília)</w:t>
      </w:r>
      <w:r>
        <w:rPr>
          <w:rFonts w:ascii="Cambria" w:hAnsi="Cambria" w:cs="Cambria"/>
          <w:sz w:val="22"/>
          <w:szCs w:val="22"/>
        </w:rPr>
      </w:r>
      <w:r/>
    </w:p>
    <w:p>
      <w:pPr>
        <w:jc w:val="center"/>
        <w:rPr>
          <w:rFonts w:ascii="Cambria" w:hAnsi="Cambria" w:cs="Cambria"/>
          <w:caps/>
          <w:color w:val="000000" w:themeColor="text1"/>
          <w:sz w:val="22"/>
          <w:szCs w:val="22"/>
        </w:rPr>
      </w:pPr>
      <w:r>
        <w:rPr>
          <w:rFonts w:ascii="Cambria" w:hAnsi="Cambria" w:cs="Cambria"/>
          <w:b/>
          <w:bCs/>
          <w:caps/>
          <w:color w:val="000000" w:themeColor="text1"/>
          <w:sz w:val="22"/>
          <w:szCs w:val="22"/>
          <w:highlight w:val="none"/>
        </w:rPr>
      </w:r>
      <w:r>
        <w:rPr>
          <w:rFonts w:ascii="Cambria" w:hAnsi="Cambria" w:cs="Cambria"/>
          <w:sz w:val="22"/>
          <w:szCs w:val="22"/>
        </w:rPr>
      </w:r>
      <w:r/>
    </w:p>
    <w:p>
      <w:pPr>
        <w:jc w:val="center"/>
        <w:rPr>
          <w:rFonts w:ascii="Cambria" w:hAnsi="Cambria" w:cs="Cambria"/>
          <w:b/>
          <w:bCs/>
          <w:caps/>
          <w:color w:val="000000" w:themeColor="text1"/>
          <w:sz w:val="22"/>
          <w:szCs w:val="22"/>
          <w:highlight w:val="none"/>
        </w:rPr>
      </w:pPr>
      <w:r>
        <w:rPr>
          <w:rFonts w:ascii="Cambria" w:hAnsi="Cambria" w:cs="Cambria"/>
          <w:b/>
          <w:bCs/>
          <w:caps/>
          <w:color w:val="000000" w:themeColor="text1"/>
          <w:sz w:val="22"/>
          <w:szCs w:val="22"/>
        </w:rPr>
        <w:t xml:space="preserve">Critério de Julgamento:</w:t>
      </w:r>
      <w:r>
        <w:rPr>
          <w:rFonts w:ascii="Cambria" w:hAnsi="Cambria" w:cs="Cambria"/>
          <w:sz w:val="22"/>
          <w:szCs w:val="22"/>
        </w:rPr>
      </w:r>
      <w:r/>
    </w:p>
    <w:p>
      <w:pPr>
        <w:jc w:val="center"/>
        <w:rPr>
          <w:rFonts w:ascii="Cambria" w:hAnsi="Cambria" w:cs="Cambria"/>
          <w:sz w:val="22"/>
          <w:szCs w:val="22"/>
        </w:rPr>
      </w:pPr>
      <w:r>
        <w:rPr>
          <w:rFonts w:ascii="Cambria" w:hAnsi="Cambria" w:cs="Cambria"/>
          <w:color w:val="000000" w:themeColor="text1"/>
          <w:sz w:val="22"/>
          <w:szCs w:val="22"/>
        </w:rPr>
        <w:t xml:space="preserve">Menor Preço GLOBAL</w:t>
      </w:r>
      <w:r>
        <w:rPr>
          <w:rFonts w:ascii="Cambria" w:hAnsi="Cambria" w:cs="Cambria"/>
          <w:sz w:val="22"/>
          <w:szCs w:val="22"/>
        </w:rPr>
      </w:r>
      <w:r/>
    </w:p>
    <w:p>
      <w:pPr>
        <w:jc w:val="center"/>
        <w:rPr>
          <w:rFonts w:ascii="Cambria" w:hAnsi="Cambria" w:cs="Cambria"/>
          <w:sz w:val="22"/>
          <w:szCs w:val="22"/>
        </w:rPr>
      </w:pPr>
      <w:r>
        <w:rPr>
          <w:rFonts w:ascii="Cambria" w:hAnsi="Cambria" w:cs="Cambria"/>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b/>
          <w:bCs/>
          <w:caps/>
          <w:color w:val="000000" w:themeColor="text1"/>
          <w:sz w:val="22"/>
          <w:szCs w:val="22"/>
        </w:rPr>
        <w:t xml:space="preserve">Modo de disputa:</w:t>
      </w:r>
      <w:r>
        <w:rPr>
          <w:rFonts w:ascii="Cambria" w:hAnsi="Cambria" w:cs="Cambria"/>
          <w:sz w:val="22"/>
          <w:szCs w:val="22"/>
        </w:rPr>
      </w:r>
      <w:r/>
    </w:p>
    <w:p>
      <w:pPr>
        <w:jc w:val="center"/>
        <w:rPr>
          <w:rFonts w:ascii="Cambria" w:hAnsi="Cambria" w:cs="Cambria"/>
          <w:sz w:val="22"/>
          <w:szCs w:val="22"/>
          <w:highlight w:val="none"/>
        </w:rPr>
      </w:pPr>
      <w:r>
        <w:rPr>
          <w:rFonts w:ascii="Cambria" w:hAnsi="Cambria" w:cs="Cambria"/>
          <w:color w:val="000000" w:themeColor="text1"/>
          <w:sz w:val="22"/>
          <w:szCs w:val="22"/>
        </w:rPr>
        <w:t xml:space="preserve">ABERTO</w:t>
      </w:r>
      <w:r>
        <w:rPr>
          <w:rFonts w:ascii="Cambria" w:hAnsi="Cambria" w:cs="Cambria"/>
          <w:sz w:val="22"/>
          <w:szCs w:val="22"/>
        </w:rPr>
      </w:r>
      <w:r/>
    </w:p>
    <w:p>
      <w:pPr>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rPr>
          <w:rFonts w:ascii="Cambria" w:hAnsi="Cambria" w:cs="Cambria"/>
          <w:b/>
          <w:bCs/>
          <w:sz w:val="22"/>
          <w:szCs w:val="22"/>
          <w:highlight w:val="none"/>
        </w:rPr>
      </w:pPr>
      <w:r>
        <w:rPr>
          <w:rFonts w:ascii="Cambria" w:hAnsi="Cambria" w:cs="Cambria"/>
          <w:b/>
          <w:bCs/>
          <w:sz w:val="22"/>
          <w:szCs w:val="22"/>
          <w:highlight w:val="none"/>
        </w:rPr>
        <w:t xml:space="preserve">PLATAFORMA:</w:t>
      </w:r>
      <w:r>
        <w:rPr>
          <w:rFonts w:ascii="Cambria" w:hAnsi="Cambria" w:cs="Cambria"/>
          <w:sz w:val="22"/>
          <w:szCs w:val="22"/>
        </w:rPr>
      </w:r>
      <w:r/>
    </w:p>
    <w:p>
      <w:pPr>
        <w:jc w:val="center"/>
        <w:rPr>
          <w:rFonts w:ascii="Cambria" w:hAnsi="Cambria" w:cs="Cambria"/>
          <w:sz w:val="22"/>
          <w:szCs w:val="22"/>
          <w:highlight w:val="none"/>
        </w:rPr>
      </w:pPr>
      <w:r>
        <w:rPr>
          <w:rFonts w:ascii="Cambria" w:hAnsi="Cambria" w:cs="Cambria"/>
          <w:sz w:val="22"/>
          <w:szCs w:val="22"/>
          <w:highlight w:val="none"/>
        </w:rPr>
      </w:r>
      <w:r>
        <w:rPr>
          <w:rFonts w:ascii="Cambria" w:hAnsi="Cambria" w:cs="Cambria"/>
          <w:sz w:val="22"/>
          <w:szCs w:val="22"/>
          <w:highlight w:val="none"/>
        </w:rPr>
      </w:r>
      <w:hyperlink r:id="rId13" w:tooltip="https://pregaobanrisul.com.br/" w:history="1">
        <w:r>
          <w:rPr>
            <w:rStyle w:val="988"/>
            <w:rFonts w:ascii="Cambria" w:hAnsi="Cambria" w:cs="Cambria"/>
            <w:sz w:val="22"/>
            <w:szCs w:val="22"/>
            <w:highlight w:val="none"/>
          </w:rPr>
          <w:t xml:space="preserve">https://operacao.portaldecompraspublicas.com.br/</w:t>
        </w:r>
        <w:r>
          <w:rPr>
            <w:rStyle w:val="988"/>
            <w:rFonts w:ascii="Cambria" w:hAnsi="Cambria" w:cs="Cambria"/>
            <w:sz w:val="20"/>
            <w:szCs w:val="20"/>
            <w:highlight w:val="none"/>
          </w:rPr>
        </w:r>
        <w:r>
          <w:rPr>
            <w:rStyle w:val="988"/>
            <w:rFonts w:ascii="Cambria" w:hAnsi="Cambria" w:cs="Cambria"/>
            <w:sz w:val="20"/>
            <w:szCs w:val="20"/>
            <w:highlight w:val="none"/>
          </w:rPr>
        </w:r>
      </w:hyperlink>
      <w:r>
        <w:rPr>
          <w:rFonts w:ascii="Cambria" w:hAnsi="Cambria" w:cs="Cambria"/>
          <w:sz w:val="22"/>
          <w:szCs w:val="22"/>
        </w:rPr>
      </w:r>
      <w:r/>
    </w:p>
    <w:p>
      <w:pPr>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rPr>
          <w:rFonts w:ascii="Cambria" w:hAnsi="Cambria" w:cs="Cambria"/>
          <w:b/>
          <w:bCs/>
          <w:sz w:val="22"/>
          <w:szCs w:val="22"/>
          <w:highlight w:val="none"/>
        </w:rPr>
      </w:pPr>
      <w:r>
        <w:rPr>
          <w:rFonts w:ascii="Cambria" w:hAnsi="Cambria" w:cs="Cambria"/>
          <w:b/>
          <w:bCs/>
          <w:sz w:val="22"/>
          <w:szCs w:val="22"/>
          <w:highlight w:val="none"/>
        </w:rPr>
        <w:t xml:space="preserve">PREGOEIRA </w:t>
      </w:r>
      <w:r>
        <w:rPr>
          <w:rFonts w:ascii="Cambria" w:hAnsi="Cambria" w:cs="Cambria"/>
          <w:sz w:val="22"/>
          <w:szCs w:val="22"/>
        </w:rPr>
      </w:r>
      <w:r/>
    </w:p>
    <w:p>
      <w:pPr>
        <w:jc w:val="center"/>
        <w:rPr>
          <w:rFonts w:ascii="Cambria" w:hAnsi="Cambria" w:cs="Cambria"/>
          <w:sz w:val="22"/>
          <w:szCs w:val="22"/>
        </w:rPr>
      </w:pPr>
      <w:r>
        <w:rPr>
          <w:rFonts w:ascii="Cambria" w:hAnsi="Cambria" w:cs="Cambria"/>
          <w:sz w:val="22"/>
          <w:szCs w:val="22"/>
          <w:highlight w:val="none"/>
        </w:rPr>
        <w:t xml:space="preserve">VIVIAN LIMA VARGAS</w:t>
      </w:r>
      <w:r>
        <w:rPr>
          <w:rFonts w:ascii="Cambria" w:hAnsi="Cambria" w:cs="Cambria"/>
          <w:sz w:val="22"/>
          <w:szCs w:val="22"/>
        </w:rPr>
      </w:r>
      <w:r/>
    </w:p>
    <w:p>
      <w:pPr>
        <w:jc w:val="left"/>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left"/>
        <w:rPr>
          <w:rFonts w:ascii="Cambria" w:hAnsi="Cambria" w:cs="Cambria"/>
          <w:sz w:val="22"/>
          <w:szCs w:val="22"/>
        </w:rPr>
      </w:pPr>
      <w:r>
        <w:rPr>
          <w:rFonts w:ascii="Cambria" w:hAnsi="Cambria" w:cs="Cambria"/>
          <w:b/>
          <w:bCs/>
          <w:color w:val="000000" w:themeColor="text1"/>
          <w:sz w:val="22"/>
          <w:szCs w:val="22"/>
        </w:rPr>
      </w:r>
      <w:r>
        <w:rPr>
          <w:rFonts w:ascii="Cambria" w:hAnsi="Cambria" w:cs="Cambria"/>
          <w:sz w:val="22"/>
          <w:szCs w:val="22"/>
        </w:rPr>
      </w:r>
      <w:r/>
    </w:p>
    <w:p>
      <w:pPr>
        <w:jc w:val="center"/>
        <w:rPr>
          <w:rFonts w:ascii="Cambria" w:hAnsi="Cambria" w:cs="Cambria"/>
          <w:sz w:val="22"/>
          <w:szCs w:val="22"/>
          <w:highlight w:val="none"/>
        </w:rPr>
      </w:pPr>
      <w:r>
        <w:rPr>
          <w:rFonts w:ascii="Cambria" w:hAnsi="Cambria" w:cs="Cambria"/>
          <w:b/>
          <w:bCs/>
          <w:color w:val="000000" w:themeColor="text1"/>
          <w:sz w:val="22"/>
          <w:szCs w:val="22"/>
        </w:rPr>
        <w:t xml:space="preserve"> ME/EPP/EQUIPARADAS</w:t>
      </w:r>
      <w:r>
        <w:rPr>
          <w:rFonts w:ascii="Cambria" w:hAnsi="Cambria" w:cs="Cambria"/>
          <w:sz w:val="22"/>
          <w:szCs w:val="22"/>
        </w:rPr>
      </w:r>
      <w:r/>
    </w:p>
    <w:p>
      <w:pPr>
        <w:jc w:val="center"/>
        <w:rPr>
          <w:rFonts w:ascii="Cambria" w:hAnsi="Cambria" w:cs="Cambria"/>
          <w:sz w:val="22"/>
          <w:szCs w:val="22"/>
        </w:rPr>
      </w:pPr>
      <w:r>
        <w:rPr>
          <w:rFonts w:ascii="Cambria" w:hAnsi="Cambria" w:cs="Cambria"/>
          <w:sz w:val="22"/>
          <w:szCs w:val="22"/>
          <w:highlight w:val="none"/>
        </w:rPr>
        <w:t xml:space="preserve">TRATAMENTO DIFERENCIADO</w:t>
      </w:r>
      <w:r>
        <w:rPr>
          <w:rFonts w:ascii="Cambria" w:hAnsi="Cambria" w:cs="Cambria"/>
          <w:sz w:val="22"/>
          <w:szCs w:val="22"/>
          <w:highlight w:val="none"/>
        </w:rPr>
      </w:r>
      <w:r/>
    </w:p>
    <w:p>
      <w:pPr>
        <w:jc w:val="left"/>
        <w:rPr>
          <w:rFonts w:ascii="Cambria" w:hAnsi="Cambria" w:cs="Cambria"/>
          <w:caps/>
          <w:color w:val="000000" w:themeColor="text1"/>
          <w:sz w:val="22"/>
          <w:szCs w:val="22"/>
        </w:rPr>
      </w:pPr>
      <w:r>
        <w:rPr>
          <w:rFonts w:ascii="Cambria" w:hAnsi="Cambria" w:cs="Cambria"/>
          <w:caps/>
          <w:color w:val="000000" w:themeColor="text1"/>
          <w:sz w:val="22"/>
          <w:szCs w:val="22"/>
        </w:rPr>
      </w:r>
      <w:r/>
    </w:p>
    <w:p>
      <w:pPr>
        <w:ind w:left="0" w:right="0" w:firstLine="0"/>
        <w:jc w:val="left"/>
        <w:spacing w:before="288" w:after="288" w:line="312" w:lineRule="auto"/>
        <w:rPr>
          <w:rFonts w:ascii="Cambria" w:hAnsi="Cambria" w:cs="Cambria"/>
          <w:b/>
          <w:bCs/>
          <w:i/>
          <w:sz w:val="22"/>
          <w:szCs w:val="22"/>
          <w:highlight w:val="none"/>
        </w:rPr>
      </w:pPr>
      <w:r>
        <w:rPr>
          <w:rFonts w:ascii="Cambria" w:hAnsi="Cambria" w:cs="Cambria"/>
          <w:sz w:val="22"/>
          <w:szCs w:val="22"/>
        </w:rPr>
      </w:r>
      <w:r>
        <w:rPr>
          <w:rFonts w:ascii="Cambria" w:hAnsi="Cambria" w:cs="Cambria"/>
          <w:sz w:val="22"/>
          <w:szCs w:val="22"/>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left"/>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rtl w:val="0"/>
        </w:rPr>
        <w:t xml:space="preserve">MUNICÍPIO DE SANTA BÁRBARA DO SUL - RS</w:t>
      </w:r>
      <w:r>
        <w:rPr>
          <w:rFonts w:ascii="Cambria" w:hAnsi="Cambria" w:cs="Cambria"/>
          <w:sz w:val="14"/>
          <w:szCs w:val="14"/>
        </w:rPr>
      </w:r>
      <w:r/>
    </w:p>
    <w:p>
      <w:pPr>
        <w:ind w:left="0" w:right="0" w:firstLine="0"/>
        <w:jc w:val="center"/>
        <w:spacing w:before="288" w:after="288" w:line="312" w:lineRule="auto"/>
        <w:rPr>
          <w:rFonts w:ascii="Cambria" w:hAnsi="Cambria" w:cs="Cambria"/>
          <w:b/>
          <w:color w:val="000000"/>
          <w:sz w:val="14"/>
          <w:szCs w:val="14"/>
        </w:rPr>
      </w:pPr>
      <w:r>
        <w:rPr>
          <w:rFonts w:ascii="Cambria" w:hAnsi="Cambria" w:eastAsia="Arial" w:cs="Cambria"/>
          <w:b/>
          <w:color w:val="000000"/>
          <w:sz w:val="14"/>
          <w:szCs w:val="14"/>
          <w:rtl w:val="0"/>
        </w:rPr>
        <w:t xml:space="preserve">CONCORRÊNCIA Nº </w:t>
      </w:r>
      <w:r>
        <w:rPr>
          <w:rFonts w:ascii="Cambria" w:hAnsi="Cambria" w:eastAsia="Arial" w:cs="Cambria"/>
          <w:b/>
          <w:sz w:val="14"/>
          <w:szCs w:val="14"/>
          <w:rtl w:val="0"/>
        </w:rPr>
        <w:t xml:space="preserve">12/2024</w:t>
      </w:r>
      <w:r>
        <w:rPr>
          <w:rFonts w:ascii="Cambria" w:hAnsi="Cambria" w:cs="Cambria"/>
          <w:sz w:val="14"/>
          <w:szCs w:val="14"/>
        </w:rPr>
      </w:r>
      <w:r/>
    </w:p>
    <w:p>
      <w:pPr>
        <w:ind w:left="0" w:right="0" w:firstLine="0"/>
        <w:jc w:val="center"/>
        <w:spacing w:before="288" w:after="288" w:line="312" w:lineRule="auto"/>
        <w:rPr>
          <w:rFonts w:ascii="Cambria" w:hAnsi="Cambria" w:cs="Cambria"/>
          <w:color w:val="000000"/>
          <w:sz w:val="14"/>
          <w:szCs w:val="14"/>
        </w:rPr>
      </w:pPr>
      <w:r>
        <w:rPr>
          <w:rFonts w:ascii="Cambria" w:hAnsi="Cambria" w:eastAsia="Arial" w:cs="Cambria"/>
          <w:color w:val="000000"/>
          <w:sz w:val="14"/>
          <w:szCs w:val="14"/>
          <w:rtl w:val="0"/>
        </w:rPr>
        <w:t xml:space="preserve">(Processo Administrativo n°</w:t>
      </w:r>
      <w:r>
        <w:rPr>
          <w:rFonts w:ascii="Cambria" w:hAnsi="Cambria" w:eastAsia="Arial" w:cs="Cambria"/>
          <w:sz w:val="14"/>
          <w:szCs w:val="14"/>
          <w:rtl w:val="0"/>
        </w:rPr>
        <w:t xml:space="preserve">139/2024</w:t>
      </w:r>
      <w:r>
        <w:rPr>
          <w:rFonts w:ascii="Cambria" w:hAnsi="Cambria" w:eastAsia="Arial" w:cs="Cambria"/>
          <w:color w:val="000000"/>
          <w:sz w:val="14"/>
          <w:szCs w:val="14"/>
          <w:rtl w:val="0"/>
        </w:rPr>
        <w:t xml:space="preserve">)</w:t>
      </w:r>
      <w:r>
        <w:rPr>
          <w:rFonts w:ascii="Cambria" w:hAnsi="Cambria" w:cs="Cambria"/>
          <w:sz w:val="14"/>
          <w:szCs w:val="14"/>
        </w:rPr>
      </w:r>
      <w:r/>
    </w:p>
    <w:p>
      <w:pPr>
        <w:ind w:left="0" w:right="0" w:firstLine="0"/>
        <w:jc w:val="both"/>
        <w:keepLines w:val="0"/>
        <w:keepNext w:val="0"/>
        <w:pageBreakBefore w:val="0"/>
        <w:spacing w:before="0" w:after="0" w:line="240" w:lineRule="auto"/>
        <w:shd w:val="clear" w:color="auto" w:fill="auto"/>
        <w:widowControl/>
        <w:rPr>
          <w:rFonts w:ascii="Cambria" w:hAnsi="Cambria" w:cs="Cambria"/>
          <w:b w:val="0"/>
          <w:i w:val="0"/>
          <w:smallCaps w:val="0"/>
          <w:strike w:val="0"/>
          <w:color w:val="000000"/>
          <w:sz w:val="14"/>
          <w:szCs w:val="14"/>
          <w:highlight w:val="whit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white"/>
        </w:rPr>
      </w:r>
      <w:bookmarkStart w:id="0" w:name="_heading=h.gjdgxs"/>
      <w:r>
        <w:rPr>
          <w:rFonts w:ascii="Cambria" w:hAnsi="Cambria" w:cs="Cambria"/>
          <w:sz w:val="14"/>
          <w:szCs w:val="14"/>
          <w:highlight w:val="white"/>
        </w:rPr>
      </w:r>
      <w:bookmarkEnd w:id="0"/>
      <w:r>
        <w:rPr>
          <w:rFonts w:ascii="Cambria" w:hAnsi="Cambria" w:eastAsia="Times New Roman" w:cs="Cambria"/>
          <w:b w:val="0"/>
          <w:i w:val="0"/>
          <w:smallCaps w:val="0"/>
          <w:strike w:val="0"/>
          <w:color w:val="000000"/>
          <w:sz w:val="14"/>
          <w:szCs w:val="14"/>
          <w:highlight w:val="white"/>
          <w:u w:val="none"/>
          <w:shd w:val="clear" w:color="auto" w:fill="auto"/>
          <w:vertAlign w:val="baseline"/>
          <w:rtl w:val="0"/>
        </w:rPr>
        <w:t xml:space="preserve">Torna-se público que a Prefeitura Municipal de Santa Bárbara do Sull/RS, por meio do </w:t>
      </w:r>
      <w:r>
        <w:rPr>
          <w:rFonts w:ascii="Cambria" w:hAnsi="Cambria" w:eastAsia="Times New Roman" w:cs="Cambria"/>
          <w:b w:val="0"/>
          <w:i w:val="0"/>
          <w:smallCaps w:val="0"/>
          <w:strike w:val="0"/>
          <w:color w:val="000000"/>
          <w:sz w:val="14"/>
          <w:szCs w:val="14"/>
          <w:highlight w:val="white"/>
          <w:u w:val="none"/>
          <w:vertAlign w:val="baseline"/>
          <w:rtl w:val="0"/>
        </w:rPr>
        <w:t xml:space="preserve">Setor de Licitações</w:t>
      </w:r>
      <w:r>
        <w:rPr>
          <w:rFonts w:ascii="Cambria" w:hAnsi="Cambria" w:eastAsia="Times New Roman" w:cs="Cambria"/>
          <w:b w:val="0"/>
          <w:i w:val="0"/>
          <w:smallCaps w:val="0"/>
          <w:strike w:val="0"/>
          <w:color w:val="000000"/>
          <w:sz w:val="14"/>
          <w:szCs w:val="14"/>
          <w:highlight w:val="white"/>
          <w:u w:val="none"/>
          <w:shd w:val="clear" w:color="auto" w:fill="auto"/>
          <w:vertAlign w:val="baseline"/>
          <w:rtl w:val="0"/>
        </w:rPr>
        <w:t xml:space="preserve">, sediado na Avenida Eduardo de Britto, nº 101, Bairro Cerutti, no município de Santa Bárbara do Sul/RS, CEP 98.240-000, realizará licitação, na modalidade CONCORRÊNCIA, na forma ELETRÔNICA, nos termos da </w:t>
      </w:r>
      <w:hyperlink r:id="rId14" w:tooltip="http://www.planalto.gov.br/ccivil_03/_ato2019-2022/2021/lei/L14133.htm" w:history="1">
        <w:r>
          <w:rPr>
            <w:rFonts w:ascii="Cambria" w:hAnsi="Cambria" w:eastAsia="Times New Roman" w:cs="Cambria"/>
            <w:b w:val="0"/>
            <w:i w:val="0"/>
            <w:smallCaps w:val="0"/>
            <w:strike w:val="0"/>
            <w:color w:val="000080"/>
            <w:sz w:val="14"/>
            <w:szCs w:val="14"/>
            <w:highlight w:val="white"/>
            <w:u w:val="single"/>
            <w:shd w:val="clear" w:color="auto" w:fill="auto"/>
            <w:vertAlign w:val="baseline"/>
            <w:rtl w:val="0"/>
          </w:rPr>
          <w:t xml:space="preserve">Lei nº 14.133, de 1º de abril de 2021</w:t>
        </w:r>
      </w:hyperlink>
      <w:r>
        <w:rPr>
          <w:rFonts w:ascii="Cambria" w:hAnsi="Cambria" w:eastAsia="Times New Roman" w:cs="Cambria"/>
          <w:b w:val="0"/>
          <w:i w:val="0"/>
          <w:smallCaps w:val="0"/>
          <w:strike w:val="0"/>
          <w:color w:val="000000"/>
          <w:sz w:val="14"/>
          <w:szCs w:val="14"/>
          <w:highlight w:val="white"/>
          <w:u w:val="none"/>
          <w:shd w:val="clear" w:color="auto" w:fill="auto"/>
          <w:vertAlign w:val="baseline"/>
          <w:rtl w:val="0"/>
        </w:rPr>
        <w:t xml:space="preserve">, </w:t>
      </w:r>
      <w:r>
        <w:rPr>
          <w:rFonts w:ascii="Cambria" w:hAnsi="Cambria" w:eastAsia="Times New Roman" w:cs="Cambria"/>
          <w:b w:val="0"/>
          <w:i w:val="0"/>
          <w:smallCaps w:val="0"/>
          <w:strike w:val="0"/>
          <w:color w:val="000000"/>
          <w:sz w:val="14"/>
          <w:szCs w:val="14"/>
          <w:highlight w:val="white"/>
          <w:u w:val="none"/>
          <w:vertAlign w:val="baseline"/>
          <w:rtl w:val="0"/>
        </w:rPr>
        <w:t xml:space="preserve">do </w:t>
      </w:r>
      <w:r>
        <w:rPr>
          <w:rFonts w:ascii="Cambria" w:hAnsi="Cambria" w:eastAsia="Times New Roman" w:cs="Cambria"/>
          <w:b w:val="0"/>
          <w:i w:val="0"/>
          <w:smallCaps w:val="0"/>
          <w:strike w:val="0"/>
          <w:color w:val="000000"/>
          <w:sz w:val="14"/>
          <w:szCs w:val="14"/>
          <w:highlight w:val="white"/>
          <w:u w:val="none"/>
          <w:vertAlign w:val="baseline"/>
          <w:rtl w:val="0"/>
        </w:rPr>
        <w:t xml:space="preserve">Decreto</w:t>
      </w:r>
      <w:r>
        <w:rPr>
          <w:rFonts w:ascii="Cambria" w:hAnsi="Cambria" w:eastAsia="Times New Roman" w:cs="Cambria"/>
          <w:b w:val="0"/>
          <w:i w:val="0"/>
          <w:smallCaps w:val="0"/>
          <w:strike w:val="0"/>
          <w:color w:val="000000"/>
          <w:sz w:val="14"/>
          <w:szCs w:val="14"/>
          <w:highlight w:val="white"/>
          <w:u w:val="none"/>
          <w:vertAlign w:val="baseline"/>
          <w:rtl w:val="0"/>
        </w:rPr>
        <w:t xml:space="preserve"> nº 5.456, de 05 de setembro de 2023</w:t>
      </w:r>
      <w:r>
        <w:rPr>
          <w:rFonts w:ascii="Cambria" w:hAnsi="Cambria" w:eastAsia="Times New Roman" w:cs="Cambria"/>
          <w:b w:val="0"/>
          <w:i w:val="0"/>
          <w:smallCaps w:val="0"/>
          <w:strike w:val="0"/>
          <w:color w:val="000000"/>
          <w:sz w:val="14"/>
          <w:szCs w:val="14"/>
          <w:highlight w:val="white"/>
          <w:u w:val="none"/>
          <w:shd w:val="clear" w:color="auto" w:fill="auto"/>
          <w:vertAlign w:val="baseline"/>
          <w:rtl w:val="0"/>
        </w:rPr>
        <w:t xml:space="preserve">, e demais legislações aplicáveis e, ainda, de acordo com as condições estabelecidas neste Edital.</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b/>
          <w:i w:val="0"/>
          <w:smallCaps w:val="0"/>
          <w:strike w:val="0"/>
          <w:color w:val="000000"/>
          <w:sz w:val="14"/>
          <w:szCs w:val="14"/>
          <w:highlight w:val="whit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i w:val="0"/>
          <w:smallCaps w:val="0"/>
          <w:strike w:val="0"/>
          <w:color w:val="000000"/>
          <w:sz w:val="14"/>
          <w:szCs w:val="14"/>
          <w:highlight w:val="white"/>
          <w:u w:val="none"/>
          <w:shd w:val="clear" w:color="auto" w:fill="auto"/>
          <w:vertAlign w:val="baseline"/>
          <w:rtl w:val="0"/>
        </w:rPr>
        <w:t xml:space="preserve">DO OBJETO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objeto da presente licitação é a </w:t>
      </w:r>
      <w:r>
        <w:rPr>
          <w:rFonts w:ascii="Cambria" w:hAnsi="Cambria" w:eastAsia="Arial" w:cs="Cambria"/>
          <w:b/>
          <w:bCs/>
          <w:i w:val="0"/>
          <w:smallCaps w:val="0"/>
          <w:strike w:val="0"/>
          <w:color w:val="000000"/>
          <w:sz w:val="14"/>
          <w:szCs w:val="14"/>
          <w:u w:val="none"/>
          <w:shd w:val="clear" w:color="auto" w:fill="auto"/>
          <w:vertAlign w:val="baseline"/>
          <w:rtl w:val="0"/>
        </w:rPr>
        <w:t xml:space="preserve">CONTRATAÇÃO DE EMPRESA PARA REVITALIZAÇÃO ESTÁDIO MUNICIPAL JOSÉ ANTÔNIO DUMONCEL. </w:t>
      </w:r>
      <w:r>
        <w:rPr>
          <w:rFonts w:ascii="Cambria" w:hAnsi="Cambria" w:eastAsia="Arial" w:cs="Cambria"/>
          <w:b w:val="0"/>
          <w:i w:val="0"/>
          <w:smallCaps w:val="0"/>
          <w:strike w:val="0"/>
          <w:color w:val="000000"/>
          <w:sz w:val="14"/>
          <w:szCs w:val="14"/>
          <w:u w:val="none"/>
          <w:shd w:val="clear" w:color="auto" w:fill="auto"/>
          <w:vertAlign w:val="baseline"/>
          <w:rtl w:val="0"/>
        </w:rPr>
        <w:t xml:space="preserve"> </w:t>
      </w:r>
      <w:r>
        <w:rPr>
          <w:rFonts w:ascii="Cambria" w:hAnsi="Cambria" w:eastAsia="Arial" w:cs="Cambria"/>
          <w:b w:val="0"/>
          <w:i w:val="0"/>
          <w:smallCaps w:val="0"/>
          <w:strike w:val="0"/>
          <w:color w:val="000000"/>
          <w:sz w:val="14"/>
          <w:szCs w:val="14"/>
          <w:u w:val="none"/>
          <w:shd w:val="clear" w:color="auto" w:fill="auto"/>
          <w:vertAlign w:val="baseline"/>
          <w:rtl w:val="0"/>
        </w:rPr>
        <w:t xml:space="preserve">conforme condições, quantidades e exigências estabelecidas neste Edital e seus anexos.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A licitação será realizada em único item.</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 w:name="_heading=h.1fob9te"/>
      <w:r>
        <w:rPr>
          <w:rFonts w:ascii="Cambria" w:hAnsi="Cambria" w:cs="Cambria"/>
          <w:sz w:val="14"/>
          <w:szCs w:val="14"/>
        </w:rPr>
      </w:r>
      <w:bookmarkEnd w:id="2"/>
      <w:r>
        <w:rPr>
          <w:rFonts w:ascii="Cambria" w:hAnsi="Cambria" w:eastAsia="Arial" w:cs="Cambria"/>
          <w:b/>
          <w:i w:val="0"/>
          <w:smallCaps w:val="0"/>
          <w:strike w:val="0"/>
          <w:color w:val="000000"/>
          <w:sz w:val="14"/>
          <w:szCs w:val="14"/>
          <w:u w:val="none"/>
          <w:shd w:val="clear" w:color="auto" w:fill="auto"/>
          <w:vertAlign w:val="baseline"/>
          <w:rtl w:val="0"/>
        </w:rPr>
        <w:t xml:space="preserve">DA PARTICIPAÇÃO NA LICITAÇÃO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Poderão participar desta Licitação os interessados que estiverem previamente credenciados no ao sistema eletrônico, no site </w:t>
      </w:r>
      <w:hyperlink r:id="rId15" w:tooltip="https://pregaobanrisul.com.br/"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https://operacao.portaldecompraspublicas.com.br/</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responsabiliza-se exclusiva e formalmente pelas transações efetuadas em seu nome, assume como firmes e verdadeiras suas propostas e seus lances, inclusiv</w:t>
      </w:r>
      <w:r>
        <w:rPr>
          <w:rFonts w:ascii="Cambria" w:hAnsi="Cambria" w:eastAsia="Arial" w:cs="Cambria"/>
          <w:b w:val="0"/>
          <w:i w:val="0"/>
          <w:smallCaps w:val="0"/>
          <w:strike w:val="0"/>
          <w:color w:val="000000"/>
          <w:sz w:val="14"/>
          <w:szCs w:val="14"/>
          <w:u w:val="none"/>
          <w:shd w:val="clear" w:color="auto" w:fill="auto"/>
          <w:vertAlign w:val="baseline"/>
          <w:rtl w:val="0"/>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É de responsabilidade do cadastrado conferir a exatidão dos seus dados cadastrais</w:t>
      </w:r>
      <w:r>
        <w:rPr>
          <w:rFonts w:ascii="Cambria" w:hAnsi="Cambria" w:eastAsia="Arial" w:cs="Cambria"/>
          <w:b w:val="0"/>
          <w:i w:val="0"/>
          <w:smallCaps w:val="0"/>
          <w:strike w:val="0"/>
          <w:color w:val="000000"/>
          <w:sz w:val="14"/>
          <w:szCs w:val="14"/>
          <w:u w:val="none"/>
          <w:shd w:val="clear" w:color="auto" w:fill="auto"/>
          <w:vertAlign w:val="baseline"/>
          <w:rtl w:val="0"/>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não observância do disposto no item anterior poderá ensejar desclassificação no momento da habilitação.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Será concedido </w:t>
      </w:r>
      <w:sdt>
        <w:sdtPr>
          <w15:appearance w15:val="boundingBox"/>
          <w:showingPlcHdr w:val="true"/>
          <w:tag w:val="goog_rdk_4"/>
          <w:rPr>
            <w:rFonts w:ascii="Cambria" w:hAnsi="Cambria" w:eastAsia="Cambria" w:cs="Cambria"/>
            <w:color w:val="000000" w:themeColor="text1"/>
            <w:sz w:val="14"/>
            <w:szCs w:val="14"/>
          </w:rPr>
        </w:sdtPr>
        <w:sdtContent>
          <w:r>
            <w:rPr>
              <w:rFonts w:ascii="Cambria" w:hAnsi="Cambria" w:cs="Cambria"/>
              <w:color w:val="000000" w:themeColor="text1"/>
              <w:sz w:val="14"/>
              <w:szCs w:val="14"/>
            </w:rPr>
            <w:t xml:space="preserve">    </w:t>
          </w:r>
        </w:sdtContent>
      </w:sdt>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tratamento favorecido para as microempresas e empresas de pequeno porte</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 </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para as sociedades cooperativas mencionadas no </w:t>
      </w:r>
      <w:hyperlink r:id="rId16" w:tooltip="http://www.planalto.gov.br/ccivil_03/_ato2019-2022/2021/lei/L14133.htm#art16" w:history="1">
        <w:r>
          <w:rPr>
            <w:rFonts w:ascii="Cambria" w:hAnsi="Cambria" w:eastAsia="Arial" w:cs="Cambria"/>
            <w:b w:val="0"/>
            <w:i w:val="0"/>
            <w:smallCaps w:val="0"/>
            <w:strike w:val="0"/>
            <w:color w:val="000000" w:themeColor="text1"/>
            <w:sz w:val="14"/>
            <w:szCs w:val="14"/>
            <w:u w:val="single"/>
            <w:shd w:val="clear" w:color="auto" w:fill="auto"/>
            <w:vertAlign w:val="baseline"/>
            <w:rtl w:val="0"/>
          </w:rPr>
          <w:t xml:space="preserve">artigo 16 da Lei nº 14.133, de 2021</w:t>
        </w:r>
      </w:hyperlink>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 para o agricultor familiar, o produtor rural pessoa física e para o microempreendedor individual - MEI, nos limites</w:t>
      </w:r>
      <w:r>
        <w:rPr>
          <w:rFonts w:ascii="Cambria" w:hAnsi="Cambria" w:eastAsia="Arial" w:cs="Cambria"/>
          <w:b w:val="0"/>
          <w:i w:val="0"/>
          <w:smallCaps w:val="0"/>
          <w:strike w:val="0"/>
          <w:color w:val="000000"/>
          <w:sz w:val="14"/>
          <w:szCs w:val="14"/>
          <w:u w:val="none"/>
          <w:shd w:val="clear" w:color="auto" w:fill="auto"/>
          <w:vertAlign w:val="baseline"/>
          <w:rtl w:val="0"/>
        </w:rPr>
        <w:t xml:space="preserve"> previstos da </w:t>
      </w:r>
      <w:hyperlink r:id="rId17" w:tooltip="https://www.planalto.gov.br/ccivil_03/leis/lcp/lcp123.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Complementar nº 123, de 2006</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e do Decreto n.º 8.538, de 2015.</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 w:name="_heading=h.2et92p0"/>
      <w:r>
        <w:rPr>
          <w:rFonts w:ascii="Cambria" w:hAnsi="Cambria" w:cs="Cambria"/>
          <w:sz w:val="14"/>
          <w:szCs w:val="14"/>
        </w:rPr>
      </w:r>
      <w:bookmarkEnd w:id="4"/>
      <w:r>
        <w:rPr>
          <w:rFonts w:ascii="Cambria" w:hAnsi="Cambria" w:eastAsia="Arial" w:cs="Cambria"/>
          <w:b w:val="0"/>
          <w:i w:val="0"/>
          <w:smallCaps w:val="0"/>
          <w:strike w:val="0"/>
          <w:color w:val="000000"/>
          <w:sz w:val="14"/>
          <w:szCs w:val="14"/>
          <w:u w:val="none"/>
          <w:shd w:val="clear" w:color="auto" w:fill="auto"/>
          <w:vertAlign w:val="baseline"/>
          <w:rtl w:val="0"/>
        </w:rPr>
        <w:t xml:space="preserve">Não poderão disputar esta licitação: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 w:name="_heading=h.tyjcwt"/>
      <w:r>
        <w:rPr>
          <w:rFonts w:ascii="Cambria" w:hAnsi="Cambria" w:cs="Cambria"/>
          <w:sz w:val="14"/>
          <w:szCs w:val="14"/>
        </w:rPr>
      </w:r>
      <w:bookmarkEnd w:id="5"/>
      <w:r>
        <w:rPr>
          <w:rFonts w:ascii="Cambria" w:hAnsi="Cambria" w:eastAsia="Arial" w:cs="Cambria"/>
          <w:b w:val="0"/>
          <w:i w:val="0"/>
          <w:smallCaps w:val="0"/>
          <w:strike w:val="0"/>
          <w:color w:val="000000"/>
          <w:sz w:val="14"/>
          <w:szCs w:val="14"/>
          <w:u w:val="none"/>
          <w:shd w:val="clear" w:color="auto" w:fill="auto"/>
          <w:vertAlign w:val="baseline"/>
          <w:rtl w:val="0"/>
        </w:rPr>
        <w:t xml:space="preserve">aquele que não atenda às condições deste Edital e seu(s) anexo(s);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6" w:name="_heading=h.3dy6vkm"/>
      <w:r>
        <w:rPr>
          <w:rFonts w:ascii="Cambria" w:hAnsi="Cambria" w:cs="Cambria"/>
          <w:sz w:val="14"/>
          <w:szCs w:val="14"/>
        </w:rPr>
      </w:r>
      <w:bookmarkEnd w:id="6"/>
      <w:r>
        <w:rPr>
          <w:rFonts w:ascii="Cambria" w:hAnsi="Cambria" w:eastAsia="Arial" w:cs="Cambria"/>
          <w:b w:val="0"/>
          <w:i w:val="0"/>
          <w:smallCaps w:val="0"/>
          <w:strike w:val="0"/>
          <w:color w:val="000000"/>
          <w:sz w:val="14"/>
          <w:szCs w:val="14"/>
          <w:u w:val="none"/>
          <w:shd w:val="clear" w:color="auto" w:fill="auto"/>
          <w:vertAlign w:val="baseline"/>
          <w:rtl w:val="0"/>
        </w:rPr>
        <w:t xml:space="preserve">autor do anteprojeto, do projeto básico ou do projeto executivo, pessoa física ou jurídica, quando a licitação versar sobre serviços ou fornecimento de bens a ele relacionados;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7" w:name="_heading=h.1t3h5sf"/>
      <w:r>
        <w:rPr>
          <w:rFonts w:ascii="Cambria" w:hAnsi="Cambria" w:cs="Cambria"/>
          <w:sz w:val="14"/>
          <w:szCs w:val="14"/>
        </w:rPr>
      </w:r>
      <w:bookmarkEnd w:id="7"/>
      <w:r>
        <w:rPr>
          <w:rFonts w:ascii="Cambria" w:hAnsi="Cambria" w:eastAsia="Arial" w:cs="Cambria"/>
          <w:b w:val="0"/>
          <w:i w:val="0"/>
          <w:smallCaps w:val="0"/>
          <w:strike w:val="0"/>
          <w:color w:val="000000"/>
          <w:sz w:val="14"/>
          <w:szCs w:val="14"/>
          <w:u w:val="none"/>
          <w:shd w:val="clear" w:color="auto" w:fill="auto"/>
          <w:vertAlign w:val="baseline"/>
          <w:rtl w:val="0"/>
        </w:rPr>
        <w:t xml:space="preserve">empresa, isoladamente ou em consórcio, responsável pela elaboração do projeto básico ou do projeto executivo, ou empresa da qual o autor </w:t>
      </w:r>
      <w:r>
        <w:rPr>
          <w:rFonts w:ascii="Cambria" w:hAnsi="Cambria" w:eastAsia="Arial" w:cs="Cambria"/>
          <w:b w:val="0"/>
          <w:i w:val="0"/>
          <w:smallCaps w:val="0"/>
          <w:strike w:val="0"/>
          <w:color w:val="000000"/>
          <w:sz w:val="14"/>
          <w:szCs w:val="14"/>
          <w:u w:val="none"/>
          <w:shd w:val="clear" w:color="auto" w:fill="auto"/>
          <w:vertAlign w:val="baseline"/>
          <w:rtl w:val="0"/>
        </w:rPr>
        <w:t xml:space="preserve">do projeto seja dirigente, gerente, controlador, acionista ou detentor de mais de 5% (cinco por cento) do capital com direito a voto, responsável técnico ou subcontratado, quando a licitação versar sobre serviços ou fornecimento de bens a ela necessários;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8" w:name="_heading=h.4d34og8"/>
      <w:r>
        <w:rPr>
          <w:rFonts w:ascii="Cambria" w:hAnsi="Cambria" w:cs="Cambria"/>
          <w:sz w:val="14"/>
          <w:szCs w:val="14"/>
        </w:rPr>
      </w:r>
      <w:bookmarkEnd w:id="8"/>
      <w:r>
        <w:rPr>
          <w:rFonts w:ascii="Cambria" w:hAnsi="Cambria" w:eastAsia="Arial" w:cs="Cambria"/>
          <w:b w:val="0"/>
          <w:i w:val="0"/>
          <w:smallCaps w:val="0"/>
          <w:strike w:val="0"/>
          <w:color w:val="000000"/>
          <w:sz w:val="14"/>
          <w:szCs w:val="14"/>
          <w:u w:val="none"/>
          <w:shd w:val="clear" w:color="auto" w:fill="auto"/>
          <w:vertAlign w:val="baseline"/>
          <w:rtl w:val="0"/>
        </w:rPr>
        <w:t xml:space="preserve">pessoa física ou jurídica que se encontre, ao tempo da licitação, impossibilitada de participar da licitação em decorrência de sanção que lhe foi imposta;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aquele que mantenha vínculo de natureza técnica, comercial, econômica, financeira, trabalhista ou civil com dirigen</w:t>
      </w:r>
      <w:r>
        <w:rPr>
          <w:rFonts w:ascii="Cambria" w:hAnsi="Cambria" w:eastAsia="Arial" w:cs="Cambria"/>
          <w:b w:val="0"/>
          <w:i w:val="0"/>
          <w:smallCaps w:val="0"/>
          <w:strike w:val="0"/>
          <w:color w:val="000000"/>
          <w:sz w:val="14"/>
          <w:szCs w:val="14"/>
          <w:u w:val="none"/>
          <w:shd w:val="clear" w:color="auto" w:fill="auto"/>
          <w:vertAlign w:val="baseline"/>
          <w:rtl w:val="0"/>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9" w:name="_heading=h.2s8eyo1"/>
      <w:r>
        <w:rPr>
          <w:rFonts w:ascii="Cambria" w:hAnsi="Cambria" w:cs="Cambria"/>
          <w:sz w:val="14"/>
          <w:szCs w:val="14"/>
        </w:rPr>
      </w:r>
      <w:bookmarkEnd w:id="9"/>
      <w:r>
        <w:rPr>
          <w:rFonts w:ascii="Cambria" w:hAnsi="Cambria" w:eastAsia="Arial" w:cs="Cambria"/>
          <w:b w:val="0"/>
          <w:i w:val="0"/>
          <w:smallCaps w:val="0"/>
          <w:strike w:val="0"/>
          <w:color w:val="000000"/>
          <w:sz w:val="14"/>
          <w:szCs w:val="14"/>
          <w:u w:val="none"/>
          <w:shd w:val="clear" w:color="auto" w:fill="auto"/>
          <w:vertAlign w:val="baseline"/>
          <w:rtl w:val="0"/>
        </w:rPr>
        <w:t xml:space="preserve">empresas controladoras, controladas ou coligadas, nos termos da Lei nº 6.404, de 15 de dezembro de 1976, concorrendo entre si;</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pessoa física ou jurídica que, nos 5 (cinco) anos anteriores à divulgação </w:t>
      </w:r>
      <w:r>
        <w:rPr>
          <w:rFonts w:ascii="Cambria" w:hAnsi="Cambria" w:eastAsia="Arial" w:cs="Cambria"/>
          <w:b w:val="0"/>
          <w:i w:val="0"/>
          <w:smallCaps w:val="0"/>
          <w:strike w:val="0"/>
          <w:color w:val="000000"/>
          <w:sz w:val="14"/>
          <w:szCs w:val="14"/>
          <w:u w:val="none"/>
          <w:shd w:val="clear" w:color="auto" w:fill="auto"/>
          <w:vertAlign w:val="baseline"/>
          <w:rtl w:val="0"/>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0" w:name="_heading=h.17dp8vu"/>
      <w:r>
        <w:rPr>
          <w:rFonts w:ascii="Cambria" w:hAnsi="Cambria" w:cs="Cambria"/>
          <w:sz w:val="14"/>
          <w:szCs w:val="14"/>
        </w:rPr>
      </w:r>
      <w:bookmarkEnd w:id="10"/>
      <w:r>
        <w:rPr>
          <w:rFonts w:ascii="Cambria" w:hAnsi="Cambria" w:eastAsia="Arial" w:cs="Cambria"/>
          <w:b w:val="0"/>
          <w:i w:val="0"/>
          <w:smallCaps w:val="0"/>
          <w:strike w:val="0"/>
          <w:color w:val="000000"/>
          <w:sz w:val="14"/>
          <w:szCs w:val="14"/>
          <w:u w:val="none"/>
          <w:shd w:val="clear" w:color="auto" w:fill="auto"/>
          <w:vertAlign w:val="baseline"/>
          <w:rtl w:val="0"/>
        </w:rPr>
        <w:t xml:space="preserve">agente público do órgão ou entidade licitante;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color w:val="000000" w:themeColor="text1"/>
          <w:sz w:val="14"/>
          <w:szCs w:val="14"/>
        </w:rPr>
      </w:r>
      <w:sdt>
        <w:sdtPr>
          <w15:appearance w15:val="boundingBox"/>
          <w:showingPlcHdr w:val="true"/>
          <w:tag w:val="goog_rdk_5"/>
          <w:rPr>
            <w:rFonts w:ascii="Cambria" w:hAnsi="Cambria" w:eastAsia="Cambria" w:cs="Cambria"/>
            <w:color w:val="000000" w:themeColor="text1"/>
            <w:sz w:val="14"/>
            <w:szCs w:val="14"/>
          </w:rPr>
        </w:sdtPr>
        <w:sdtContent>
          <w:r>
            <w:rPr>
              <w:rFonts w:ascii="Cambria" w:hAnsi="Cambria" w:cs="Cambria"/>
              <w:color w:val="000000" w:themeColor="text1"/>
              <w:sz w:val="14"/>
              <w:szCs w:val="14"/>
            </w:rPr>
            <w:t xml:space="preserve">    </w:t>
          </w:r>
        </w:sdtContent>
      </w:sdt>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pessoas jurídicas reunidas em consórcio;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Organizações da Sociedade Civil de Interesse Público - OSCIP, atuando nessa condição;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poderá participar, direta ou indiretamente, da licitação ou da execução </w:t>
      </w:r>
      <w:r>
        <w:rPr>
          <w:rFonts w:ascii="Cambria" w:hAnsi="Cambria" w:eastAsia="Arial" w:cs="Cambria"/>
          <w:b w:val="0"/>
          <w:i w:val="0"/>
          <w:smallCaps w:val="0"/>
          <w:strike w:val="0"/>
          <w:color w:val="000000"/>
          <w:sz w:val="14"/>
          <w:szCs w:val="14"/>
          <w:u w:val="none"/>
          <w:shd w:val="clear" w:color="auto" w:fill="auto"/>
          <w:vertAlign w:val="baseline"/>
          <w:rtl w:val="0"/>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tooltip="http://www.planalto.gov.br/ccivil_03/_ato2019-2022/2021/lei/L14133.htm#art9%C2%A71"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 1º do art. 9º da 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impedimento de que trata o item 2.6.4 será também aplicado ao licitante que atue em substituição a outra </w:t>
      </w:r>
      <w:r>
        <w:rPr>
          <w:rFonts w:ascii="Cambria" w:hAnsi="Cambria" w:eastAsia="Arial" w:cs="Cambria"/>
          <w:b w:val="0"/>
          <w:i w:val="0"/>
          <w:smallCaps w:val="0"/>
          <w:strike w:val="0"/>
          <w:color w:val="000000"/>
          <w:sz w:val="14"/>
          <w:szCs w:val="14"/>
          <w:u w:val="none"/>
          <w:shd w:val="clear" w:color="auto" w:fill="auto"/>
          <w:vertAlign w:val="baseline"/>
          <w:rtl w:val="0"/>
        </w:rPr>
        <w:t xml:space="preserve">pessoa, física ou jurídica, com o intuito de burlar a efetividade da sanção a ela aplicada, inclusive a sua controladora, controlada ou coligada, desde que devidamente comprovado o ilícito ou a utilização fraudulenta da personalidade jurídica do licitante.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1" w:name="bookmark=id.3rdcrjn"/>
      <w:r>
        <w:rPr>
          <w:rFonts w:ascii="Cambria" w:hAnsi="Cambria" w:cs="Cambria"/>
          <w:sz w:val="14"/>
          <w:szCs w:val="14"/>
        </w:rPr>
      </w:r>
      <w:bookmarkEnd w:id="11"/>
      <w:r>
        <w:rPr>
          <w:rFonts w:ascii="Cambria" w:hAnsi="Cambria" w:eastAsia="Arial" w:cs="Cambria"/>
          <w:b w:val="0"/>
          <w:i w:val="0"/>
          <w:smallCaps w:val="0"/>
          <w:strike w:val="0"/>
          <w:color w:val="000000"/>
          <w:sz w:val="14"/>
          <w:szCs w:val="14"/>
          <w:u w:val="none"/>
          <w:shd w:val="clear" w:color="auto" w:fill="auto"/>
          <w:vertAlign w:val="baseline"/>
          <w:rtl w:val="0"/>
        </w:rPr>
        <w:t xml:space="preserve">A critério da Administração e exclusivamente a seu serviço, o autor dos projeto</w:t>
      </w:r>
      <w:r>
        <w:rPr>
          <w:rFonts w:ascii="Cambria" w:hAnsi="Cambria" w:eastAsia="Arial" w:cs="Cambria"/>
          <w:b w:val="0"/>
          <w:i w:val="0"/>
          <w:smallCaps w:val="0"/>
          <w:strike w:val="0"/>
          <w:color w:val="000000"/>
          <w:sz w:val="14"/>
          <w:szCs w:val="14"/>
          <w:u w:val="none"/>
          <w:shd w:val="clear" w:color="auto" w:fill="auto"/>
          <w:vertAlign w:val="baseline"/>
          <w:rtl w:val="0"/>
        </w:rPr>
        <w:t xml:space="preserve">s e a empresa a que se referem os itens 3.7.2 e 3.7.3 poderão participar no apoio das atividades de planejamento da contratação, de execução da licitação ou de gestão do contrato, desde que sob supervisão exclusiva de agentes públicos do órgão ou entidade.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2" w:name="bookmark=id.26in1rg"/>
      <w:r>
        <w:rPr>
          <w:rFonts w:ascii="Cambria" w:hAnsi="Cambria" w:cs="Cambria"/>
          <w:sz w:val="14"/>
          <w:szCs w:val="14"/>
        </w:rPr>
      </w:r>
      <w:bookmarkEnd w:id="12"/>
      <w:r>
        <w:rPr>
          <w:rFonts w:ascii="Cambria" w:hAnsi="Cambria" w:eastAsia="Arial" w:cs="Cambria"/>
          <w:b w:val="0"/>
          <w:i w:val="0"/>
          <w:smallCaps w:val="0"/>
          <w:strike w:val="0"/>
          <w:color w:val="000000"/>
          <w:sz w:val="14"/>
          <w:szCs w:val="14"/>
          <w:u w:val="none"/>
          <w:shd w:val="clear" w:color="auto" w:fill="auto"/>
          <w:vertAlign w:val="baseline"/>
          <w:rtl w:val="0"/>
        </w:rPr>
        <w:t xml:space="preserve">Equiparam-se aos autores do projeto as empresas integrantes do mesmo grupo econômico.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3" w:name="bookmark=id.lnxbz9"/>
      <w:r>
        <w:rPr>
          <w:rFonts w:ascii="Cambria" w:hAnsi="Cambria" w:cs="Cambria"/>
          <w:sz w:val="14"/>
          <w:szCs w:val="14"/>
        </w:rPr>
      </w:r>
      <w:bookmarkEnd w:id="13"/>
      <w:r>
        <w:rPr>
          <w:rFonts w:ascii="Cambria" w:hAnsi="Cambria" w:eastAsia="Arial" w:cs="Cambria"/>
          <w:b w:val="0"/>
          <w:i w:val="0"/>
          <w:smallCaps w:val="0"/>
          <w:strike w:val="0"/>
          <w:color w:val="000000"/>
          <w:sz w:val="14"/>
          <w:szCs w:val="14"/>
          <w:u w:val="none"/>
          <w:shd w:val="clear" w:color="auto" w:fill="auto"/>
          <w:vertAlign w:val="baseline"/>
          <w:rtl w:val="0"/>
        </w:rPr>
        <w:t xml:space="preserve">O dispo</w:t>
      </w:r>
      <w:r>
        <w:rPr>
          <w:rFonts w:ascii="Cambria" w:hAnsi="Cambria" w:eastAsia="Arial" w:cs="Cambria"/>
          <w:b w:val="0"/>
          <w:i w:val="0"/>
          <w:smallCaps w:val="0"/>
          <w:strike w:val="0"/>
          <w:color w:val="000000"/>
          <w:sz w:val="14"/>
          <w:szCs w:val="14"/>
          <w:u w:val="none"/>
          <w:shd w:val="clear" w:color="auto" w:fill="auto"/>
          <w:vertAlign w:val="baseline"/>
          <w:rtl w:val="0"/>
        </w:rPr>
        <w:t xml:space="preserve">sto nos itens 2.6.2 e 2.6.3 não impede a licitação ou a contratação de serviço que inclua como encargo do contratado a elaboração do projeto básico e do projeto executivo, nas contratações integradas, e do projeto executivo, nos demais regimes de execução.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4" w:name="bookmark=id.35nkun2"/>
      <w:r>
        <w:rPr>
          <w:rFonts w:ascii="Cambria" w:hAnsi="Cambria" w:cs="Cambria"/>
          <w:sz w:val="14"/>
          <w:szCs w:val="14"/>
        </w:rPr>
      </w:r>
      <w:bookmarkEnd w:id="14"/>
      <w:r>
        <w:rPr>
          <w:rFonts w:ascii="Cambria" w:hAnsi="Cambria" w:eastAsia="Arial" w:cs="Cambria"/>
          <w:b w:val="0"/>
          <w:i w:val="0"/>
          <w:smallCaps w:val="0"/>
          <w:strike w:val="0"/>
          <w:color w:val="000000"/>
          <w:sz w:val="14"/>
          <w:szCs w:val="14"/>
          <w:u w:val="none"/>
          <w:shd w:val="clear" w:color="auto" w:fill="auto"/>
          <w:vertAlign w:val="baseline"/>
          <w:rtl w:val="0"/>
        </w:rPr>
        <w:t xml:space="preserve">Em licitações e contratações realizadas no âmbito de projetos e programas parcialmente financiados por agência oficial de cooperação estrangeira </w:t>
      </w:r>
      <w:r>
        <w:rPr>
          <w:rFonts w:ascii="Cambria" w:hAnsi="Cambria" w:eastAsia="Arial" w:cs="Cambria"/>
          <w:b w:val="0"/>
          <w:i w:val="0"/>
          <w:smallCaps w:val="0"/>
          <w:strike w:val="0"/>
          <w:color w:val="000000"/>
          <w:sz w:val="14"/>
          <w:szCs w:val="14"/>
          <w:u w:val="none"/>
          <w:shd w:val="clear" w:color="auto" w:fill="auto"/>
          <w:vertAlign w:val="baseline"/>
          <w:rtl w:val="0"/>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tooltip="http://www.planalto.gov.br/ccivil_03/_ato2019-2022/2021/lei/L14133.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nº 14.133/2021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vedação de que trata o item 2.6.8 estende-se a terceiro que auxilie a condução da contratação na qualidade de integrante de equipe de apoio, profissional especializado ou funcionário ou representante de empresa que preste assessoria técnica.</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5" w:name="_heading=h.1ksv4uv"/>
      <w:r>
        <w:rPr>
          <w:rFonts w:ascii="Cambria" w:hAnsi="Cambria" w:cs="Cambria"/>
          <w:sz w:val="14"/>
          <w:szCs w:val="14"/>
        </w:rPr>
      </w:r>
      <w:bookmarkEnd w:id="15"/>
      <w:r>
        <w:rPr>
          <w:rFonts w:ascii="Cambria" w:hAnsi="Cambria" w:eastAsia="Arial" w:cs="Cambria"/>
          <w:b/>
          <w:i w:val="0"/>
          <w:smallCaps w:val="0"/>
          <w:strike w:val="0"/>
          <w:color w:val="000000"/>
          <w:sz w:val="14"/>
          <w:szCs w:val="14"/>
          <w:u w:val="none"/>
          <w:shd w:val="clear" w:color="auto" w:fill="auto"/>
          <w:vertAlign w:val="baseline"/>
          <w:rtl w:val="0"/>
        </w:rPr>
        <w:t xml:space="preserve">DA APRESENTAÇÃO DA PROPOSTA E DOS DOCUMENTOS DE HABILITAÇÃO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6" w:name="_heading=h.44sinio"/>
      <w:r>
        <w:rPr>
          <w:rFonts w:ascii="Cambria" w:hAnsi="Cambria" w:cs="Cambria"/>
          <w:sz w:val="14"/>
          <w:szCs w:val="14"/>
        </w:rPr>
      </w:r>
      <w:bookmarkEnd w:id="16"/>
      <w:r>
        <w:rPr>
          <w:rFonts w:ascii="Cambria" w:hAnsi="Cambria" w:eastAsia="Arial" w:cs="Cambria"/>
          <w:b w:val="0"/>
          <w:i w:val="0"/>
          <w:smallCaps w:val="0"/>
          <w:strike w:val="0"/>
          <w:color w:val="000000"/>
          <w:sz w:val="14"/>
          <w:szCs w:val="14"/>
          <w:u w:val="none"/>
          <w:shd w:val="clear" w:color="auto" w:fill="auto"/>
          <w:vertAlign w:val="baseline"/>
          <w:rtl w:val="0"/>
        </w:rPr>
        <w:t xml:space="preserve">Os licitantes encaminharão, </w:t>
      </w:r>
      <w:r>
        <w:rPr>
          <w:rFonts w:ascii="Cambria" w:hAnsi="Cambria" w:eastAsia="Arial" w:cs="Cambria"/>
          <w:b w:val="0"/>
          <w:i w:val="0"/>
          <w:smallCaps w:val="0"/>
          <w:strike w:val="0"/>
          <w:color w:val="000000"/>
          <w:sz w:val="14"/>
          <w:szCs w:val="14"/>
          <w:u w:val="single"/>
          <w:shd w:val="clear" w:color="auto" w:fill="auto"/>
          <w:vertAlign w:val="baseline"/>
          <w:rtl w:val="0"/>
        </w:rPr>
        <w:t xml:space="preserve">exclusivamente</w:t>
      </w:r>
      <w:r>
        <w:rPr>
          <w:rFonts w:ascii="Cambria" w:hAnsi="Cambria" w:eastAsia="Arial" w:cs="Cambria"/>
          <w:b w:val="0"/>
          <w:i w:val="0"/>
          <w:smallCaps w:val="0"/>
          <w:strike w:val="0"/>
          <w:color w:val="000000"/>
          <w:sz w:val="14"/>
          <w:szCs w:val="14"/>
          <w:u w:val="none"/>
          <w:shd w:val="clear" w:color="auto" w:fill="auto"/>
          <w:vertAlign w:val="baseline"/>
          <w:rtl w:val="0"/>
        </w:rPr>
        <w:t xml:space="preserve"> por meio do sistema eletrônico, a proposta com o preço ou o percentual de desconto, conforme o critério de julgamento adotado neste Edital, até a data e o horário estabelecidos para abertura da sessão pública.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r>
      <w:r>
        <w:rPr>
          <w:rFonts w:ascii="Cambria" w:hAnsi="Cambria" w:cs="Cambria"/>
          <w:i w:val="0"/>
          <w:iCs w:val="0"/>
          <w:color w:val="000000" w:themeColor="text1"/>
          <w:sz w:val="14"/>
          <w:szCs w:val="14"/>
          <w:highlight w:val="none"/>
        </w:rPr>
        <w:t xml:space="preserve">A proposta final do licitante declarado vencedor deverá ser encaminhada no prazo de 02 (duas) horas a contar da solicitação da Pregoeira / agente de contratação no sistema eletrônico podendo ser prorrogada uma única vez por igual período.</w:t>
      </w:r>
      <w:r>
        <w:rPr>
          <w:rFonts w:ascii="Cambria" w:hAnsi="Cambria" w:cs="Cambria"/>
          <w:sz w:val="14"/>
          <w:szCs w:val="14"/>
          <w:highlight w:val="none"/>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8" w:name="_heading=h.z337ya"/>
      <w:r>
        <w:rPr>
          <w:rFonts w:ascii="Cambria" w:hAnsi="Cambria" w:cs="Cambria"/>
          <w:sz w:val="14"/>
          <w:szCs w:val="14"/>
        </w:rPr>
      </w:r>
      <w:bookmarkEnd w:id="18"/>
      <w:r>
        <w:rPr>
          <w:rFonts w:ascii="Cambria" w:hAnsi="Cambria" w:eastAsia="Arial" w:cs="Cambria"/>
          <w:b w:val="0"/>
          <w:i w:val="0"/>
          <w:smallCaps w:val="0"/>
          <w:strike w:val="0"/>
          <w:color w:val="000000"/>
          <w:sz w:val="14"/>
          <w:szCs w:val="14"/>
          <w:u w:val="none"/>
          <w:shd w:val="clear" w:color="auto" w:fill="auto"/>
          <w:vertAlign w:val="baseline"/>
          <w:rtl w:val="0"/>
        </w:rPr>
        <w:t xml:space="preserve">No cadastramento da proposta inicial, o licitante declarará, em campo próprio do sistema, que: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está ciente e concorda com as condições contidas no edital e seus anexos, bem como de que a proposta apresentada compreende a integralidade dos custos para atendimento dos direitos trabalhistas assegurados na Constituição Federal, nas </w:t>
      </w:r>
      <w:r>
        <w:rPr>
          <w:rFonts w:ascii="Cambria" w:hAnsi="Cambria" w:eastAsia="Arial" w:cs="Cambria"/>
          <w:b w:val="0"/>
          <w:i w:val="0"/>
          <w:smallCaps w:val="0"/>
          <w:strike w:val="0"/>
          <w:color w:val="000000"/>
          <w:sz w:val="14"/>
          <w:szCs w:val="14"/>
          <w:u w:val="none"/>
          <w:shd w:val="clear" w:color="auto" w:fill="auto"/>
          <w:vertAlign w:val="baseline"/>
          <w:rtl w:val="0"/>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emprega menor de 18 anos em trabalho noturno, perigoso ou insalubre e não emprega menor de 16 anos, salvo menor, a partir de 14 anos, na condição de aprendiz, nos termos do </w:t>
      </w:r>
      <w:hyperlink r:id="rId20" w:tooltip="https://www.planalto.gov.br/ccivil_03/constituicao/constituicaocompilado.htm#art7"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artigo 7°, XXXIII, da Constituição</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possui empregados executando trabalho degradante ou forçado, observando o disposto nos </w:t>
      </w:r>
      <w:hyperlink r:id="rId21" w:tooltip="https://www.planalto.gov.br/ccivil_03/constituicao/constituicaocompilado.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incisos III e IV do art. 1º e no inciso III do art. 5º da Constituição Federal</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cumpre as exigências de reserva de cargos para pessoa com deficiência e para reabilitado da Previdência Social, previstas em lei e em outras normas específicas.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organizado em cooperativa deverá declarar, ainda, em campo próprio do sistema eletrônico, que cumpre os requisitos estabelecidos no </w:t>
      </w:r>
      <w:hyperlink r:id="rId22" w:tooltip="http://www.planalto.gov.br/ccivil_03/_ato2019-2022/2021/lei/L14133.htm#art16"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artigo 16 da 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9" w:name="_heading=h.3j2qqm3"/>
      <w:r>
        <w:rPr>
          <w:rFonts w:ascii="Cambria" w:hAnsi="Cambria" w:cs="Cambria"/>
          <w:sz w:val="14"/>
          <w:szCs w:val="14"/>
        </w:rPr>
      </w:r>
      <w:bookmarkEnd w:id="19"/>
      <w:r>
        <w:rPr>
          <w:rFonts w:ascii="Cambria" w:hAnsi="Cambria" w:eastAsia="Arial" w:cs="Cambria"/>
          <w:b w:val="0"/>
          <w:i w:val="0"/>
          <w:smallCaps w:val="0"/>
          <w:strike w:val="0"/>
          <w:color w:val="000000"/>
          <w:sz w:val="14"/>
          <w:szCs w:val="14"/>
          <w:u w:val="none"/>
          <w:shd w:val="clear" w:color="auto" w:fill="auto"/>
          <w:vertAlign w:val="baseline"/>
          <w:rtl w:val="0"/>
        </w:rPr>
        <w:t xml:space="preserve">O fornecedor enquadrado como microempresa, empresa de pequeno porte ou sociedade cooperativa deverá declarar, ainda, em campo próprio do sistema eletrônico, que cumpre os requisitos estabelecidos no </w:t>
      </w:r>
      <w:hyperlink r:id="rId23" w:tooltip="https://www.planalto.gov.br/ccivil_03/leis/lcp/lcp123.htm#art3"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artigo 3° da Lei Complementar nº 123, de 2006</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estando apto a usufruir do tratamento favorecido estabelecido em seus </w:t>
      </w:r>
      <w:hyperlink r:id="rId24" w:tooltip="https://www.planalto.gov.br/ccivil_03/leis/lcp/lcp123.htm#art42"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arts. 42 a 49</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observado o disposto nos </w:t>
      </w:r>
      <w:hyperlink r:id="rId25" w:tooltip="http://www.planalto.gov.br/ccivil_03/_ato2019-2022/2021/lei/L14133.htm#art4%C2%A71"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 1º ao 3º do art. 4º, da Lei n.º 14.133, de 2021.</w:t>
        </w:r>
      </w:hyperlink>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7"/>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no item exclusivo para participação de microempresas e empresas de pequeno porte, a assinalação do campo “não” impedirá o prosseguimento no certame, para aquele item;</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nos itens em que a participação não for exclusiva para microempresas e empresas de pequeno porte, a assinalação do campo “não” apenas produzirá o efeito de o licitante não ter direito ao tratamento favorecido previsto na </w:t>
      </w:r>
      <w:hyperlink r:id="rId26" w:tooltip="https://www.planalto.gov.br/ccivil_03/leis/lcp/lcp123.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Complementar nº 123, de 2006</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mesmo que microempresa, empresa de pequeno porte ou sociedade cooperativa.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falsidade da declaração de que trata os itens 4.4 ou 4.7 sujeitará o licitante às sanções previstas na </w:t>
      </w:r>
      <w:hyperlink r:id="rId27" w:tooltip="http://www.planalto.gov.br/ccivil_03/_ato2019-2022/2021/lei/L14133.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e neste Edital.</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licitante</w:t>
      </w:r>
      <w:r>
        <w:rPr>
          <w:rFonts w:ascii="Cambria" w:hAnsi="Cambria" w:eastAsia="Arial" w:cs="Cambria"/>
          <w:b w:val="0"/>
          <w:i w:val="0"/>
          <w:smallCaps w:val="0"/>
          <w:strike w:val="0"/>
          <w:color w:val="000000"/>
          <w:sz w:val="14"/>
          <w:szCs w:val="14"/>
          <w:u w:val="none"/>
          <w:shd w:val="clear" w:color="auto" w:fill="auto"/>
          <w:vertAlign w:val="baseline"/>
          <w:rtl w:val="0"/>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haverá ordem de classificação na etapa de apresentação da proposta e dos documentos de habilitação pelo licitante, o que ocorrerá somente após os procedimentos de abertura da sessão pública e da fase de envio de lances.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Serão disponibilizados para acesso público os documentos que compõem a proposta dos licitantes convocados para apresentação de propostas, após a fase de envio de lances.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0" w:name="_heading=h.1y810tw"/>
      <w:r>
        <w:rPr>
          <w:rFonts w:ascii="Cambria" w:hAnsi="Cambria" w:cs="Cambria"/>
          <w:sz w:val="14"/>
          <w:szCs w:val="14"/>
        </w:rPr>
      </w:r>
      <w:bookmarkEnd w:id="20"/>
      <w:r>
        <w:rPr>
          <w:rFonts w:ascii="Cambria" w:hAnsi="Cambria" w:eastAsia="Arial" w:cs="Cambria"/>
          <w:b w:val="0"/>
          <w:i w:val="0"/>
          <w:smallCaps w:val="0"/>
          <w:strike w:val="0"/>
          <w:color w:val="000000"/>
          <w:sz w:val="14"/>
          <w:szCs w:val="14"/>
          <w:u w:val="none"/>
          <w:shd w:val="clear" w:color="auto" w:fill="auto"/>
          <w:vertAlign w:val="baseline"/>
          <w:rtl w:val="0"/>
        </w:rPr>
        <w:t xml:space="preserve">Desde que disponibilizada a funcionalidade no sistema, o licitante poderá parametrizar o seu valor final mínimo ou o seu percentual de desconto máximo quando do cadastramento da proposta e obedecerá às seguintes regras: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aplicação do intervalo mínimo de diferença de valores ou de percentuais entre os lances, que incidirá tanto em relação aos lances intermediários quanto em relação ao lance que cobrir a melhor oferta; 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8"/>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os lances serão de envio automático pelo sistema, respeitado o valor final mínimo, caso estabelecido, e o intervalo de que trata o subitem acima.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valor final mínimo ou o percentual de desconto final máximo parametrizado no sistema poderá ser alterado pelo fornecedor durante a fase de disputa, sendo vedado: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valor superior a lance já registrado pelo fornecedor no sistema, quando adotado o critério de julgamento por menor preço; 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 </w:t>
      </w:r>
      <w:sdt>
        <w:sdtPr>
          <w15:appearance w15:val="boundingBox"/>
          <w:showingPlcHdr w:val="true"/>
          <w:tag w:val="goog_rdk_9"/>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percentual de desconto inferior a lance já registrado pelo fornecedor no sistema, quando adotado o critério de julgamento por maior desconto.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valor final mínimo ou o percentual de de</w:t>
      </w:r>
      <w:r>
        <w:rPr>
          <w:rFonts w:ascii="Cambria" w:hAnsi="Cambria" w:eastAsia="Arial" w:cs="Cambria"/>
          <w:b w:val="0"/>
          <w:i w:val="0"/>
          <w:smallCaps w:val="0"/>
          <w:strike w:val="0"/>
          <w:color w:val="000000"/>
          <w:sz w:val="14"/>
          <w:szCs w:val="14"/>
          <w:u w:val="none"/>
          <w:shd w:val="clear" w:color="auto" w:fill="auto"/>
          <w:vertAlign w:val="baseline"/>
          <w:rtl w:val="0"/>
        </w:rPr>
        <w:t xml:space="preserve">sconto final máximo parametrizado na forma do item 4.12 possuirá caráter sigiloso para os demais fornecedores e para o órgão ou entidade promotora da licitação, podendo ser disponibilizado estrita e permanentemente aos órgãos de controle externo e interno.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Caberá ao licitante interessa</w:t>
      </w:r>
      <w:r>
        <w:rPr>
          <w:rFonts w:ascii="Cambria" w:hAnsi="Cambria" w:eastAsia="Arial" w:cs="Cambria"/>
          <w:b w:val="0"/>
          <w:i w:val="0"/>
          <w:smallCaps w:val="0"/>
          <w:strike w:val="0"/>
          <w:color w:val="000000"/>
          <w:sz w:val="14"/>
          <w:szCs w:val="14"/>
          <w:u w:val="none"/>
          <w:shd w:val="clear" w:color="auto" w:fill="auto"/>
          <w:vertAlign w:val="baseline"/>
          <w:rtl w:val="0"/>
        </w:rPr>
        <w:t xml:space="preserve">do em participar da licitação acompanhar as operações no sistema eletrônico durante o processo licitatório e se responsabilizar pelo ônus decorrente da perda de negócios diante da inobservância de mensagens emitidas pela Administração ou de sua desconexão.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deverá comunicar imediatamente ao provedor do sistema qualquer acontecimento que possa comprometer o sigilo ou a segurança, para imediato bloqueio de acesso.</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1" w:name="_heading=h.4i7ojhp"/>
      <w:r>
        <w:rPr>
          <w:rFonts w:ascii="Cambria" w:hAnsi="Cambria" w:cs="Cambria"/>
          <w:sz w:val="14"/>
          <w:szCs w:val="14"/>
        </w:rPr>
      </w:r>
      <w:bookmarkEnd w:id="21"/>
      <w:r>
        <w:rPr>
          <w:rFonts w:ascii="Cambria" w:hAnsi="Cambria" w:eastAsia="Arial" w:cs="Cambria"/>
          <w:b/>
          <w:i w:val="0"/>
          <w:smallCaps w:val="0"/>
          <w:strike w:val="0"/>
          <w:color w:val="000000"/>
          <w:sz w:val="14"/>
          <w:szCs w:val="14"/>
          <w:u w:val="none"/>
          <w:shd w:val="clear" w:color="auto" w:fill="auto"/>
          <w:vertAlign w:val="baseline"/>
          <w:rtl w:val="0"/>
        </w:rPr>
        <w:t xml:space="preserve">DO PREENCHIMENTO DA PROPOSTA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deverá enviar sua proposta mediante o preenchimento, no sistema eletrônico, dos seguintes campos: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Preço global do objeto licitado, expresso em moeda nacional, já incluídos todos os custos e lucros, considerando o local da execução e características dos serviços a serem executados, com encargos fiscais, comerciais, sociais e trabalhistas;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Prazo de validade da proposta não inferior a 60 (sessenta) dias;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Na falta da declaração do prazo mínimo de vigência do preço ofertado, subentender-se-á que a proposta tem validade pelo prazo de sessenta (60) dias, nos termos da Lei 14.133/21.</w:t>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 </w:t>
        <w:tab/>
        <w:t xml:space="preserve">Garantia mínima dos serviços e materiais não inferior a 05 (cinco) anos;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 </w:t>
        <w:tab/>
        <w:t xml:space="preserve">Planilha de Orçamento Global, adequada ao valor proposto, assinada pelo representante legal e responsável técnico;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Cronograma Físico Financeiro, adequado ao valor proposto, contendo as etapas de execução, assinada pelo representante legal e responsável técnico;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Planilha de Composição do BDI, de acordo com acórdão 2622/2013 do TCU;</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Preferencialmente a proposta financeira deverá ser apresentada no mesmo padrão do modelo fornecido em anexo presente neste edital, inclusive quanto à formatação “retrato”;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Planilha de Encargos Sociais.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Nos valores propostos estarão inclusos todos os custos operacionais, encargos previdenciários, trabalhistas, tributários, comerciais e quaisquer outros que incidam direta ou indiretamente na execução do objeto.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 o regime tributário da empresa implicar o recolhimento de tributos em percentuais variáveis, a cotação adequada será a que corresponde à média dos efetivos recolhimentos da empresa nos últimos doze meses.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Independentemente do percentual de tributo inserido na planilha, no pagamento serão retidos na fonte os percentuais estabelecidos na legislação vigente.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themeColor="text1"/>
          <w:sz w:val="14"/>
          <w:szCs w:val="14"/>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14"/>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smallCaps w:val="0"/>
          <w:strike w:val="0"/>
          <w:color w:val="000000" w:themeColor="text1"/>
          <w:sz w:val="14"/>
          <w:szCs w:val="14"/>
          <w:highlight w:val="none"/>
          <w:u w:val="none"/>
          <w:vertAlign w:val="baseline"/>
          <w:rtl w:val="0"/>
        </w:rPr>
        <w:t xml:space="preserve">Na presente licitação, a Microempresa e a Empresa de Pequeno Porte poderão se beneficiar do regime de tributação pelo Simples Nacional</w:t>
      </w:r>
      <w:r>
        <w:rPr>
          <w:rFonts w:ascii="Cambria" w:hAnsi="Cambria" w:eastAsia="Arial" w:cs="Cambria"/>
          <w:b w:val="0"/>
          <w:i/>
          <w:smallCaps w:val="0"/>
          <w:strike w:val="0"/>
          <w:color w:val="000000" w:themeColor="text1"/>
          <w:sz w:val="14"/>
          <w:szCs w:val="14"/>
          <w:highlight w:val="none"/>
          <w:u w:val="none"/>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apresentação das propostas implica obrigatoriedade do cumprimento das disposições nelas contidas, em conformidade com o que dispõe o Projeto Básico, assumindo o proponente o comprom</w:t>
      </w:r>
      <w:r>
        <w:rPr>
          <w:rFonts w:ascii="Cambria" w:hAnsi="Cambria" w:eastAsia="Arial" w:cs="Cambria"/>
          <w:b w:val="0"/>
          <w:i w:val="0"/>
          <w:smallCaps w:val="0"/>
          <w:strike w:val="0"/>
          <w:color w:val="000000"/>
          <w:sz w:val="14"/>
          <w:szCs w:val="14"/>
          <w:u w:val="none"/>
          <w:shd w:val="clear" w:color="auto" w:fill="auto"/>
          <w:vertAlign w:val="baseline"/>
          <w:rtl w:val="0"/>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15"/>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O prazo de validade da proposta não será inferior a</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 </w:t>
      </w:r>
      <w:r>
        <w:rPr>
          <w:rFonts w:ascii="Cambria" w:hAnsi="Cambria" w:eastAsia="Arial" w:cs="Cambria"/>
          <w:b/>
          <w:i w:val="0"/>
          <w:smallCaps w:val="0"/>
          <w:strike w:val="0"/>
          <w:color w:val="000000" w:themeColor="text1"/>
          <w:sz w:val="14"/>
          <w:szCs w:val="14"/>
          <w:u w:val="none"/>
          <w:shd w:val="clear" w:color="auto" w:fill="auto"/>
          <w:vertAlign w:val="baseline"/>
          <w:rtl w:val="0"/>
        </w:rPr>
        <w:t xml:space="preserve">60 (sessenta)</w:t>
      </w:r>
      <w:r>
        <w:rPr>
          <w:rFonts w:ascii="Cambria" w:hAnsi="Cambria" w:eastAsia="Arial" w:cs="Cambria"/>
          <w:b w:val="0"/>
          <w:i w:val="0"/>
          <w:smallCaps w:val="0"/>
          <w:strike w:val="0"/>
          <w:color w:val="ff0000"/>
          <w:sz w:val="14"/>
          <w:szCs w:val="14"/>
          <w:u w:val="none"/>
          <w:shd w:val="clear" w:color="auto" w:fill="auto"/>
          <w:vertAlign w:val="baseline"/>
          <w:rtl w:val="0"/>
        </w:rPr>
        <w:t xml:space="preserve"> </w:t>
      </w:r>
      <w:r>
        <w:rPr>
          <w:rFonts w:ascii="Cambria" w:hAnsi="Cambria" w:eastAsia="Arial" w:cs="Cambria"/>
          <w:b w:val="0"/>
          <w:i w:val="0"/>
          <w:smallCaps w:val="0"/>
          <w:strike w:val="0"/>
          <w:color w:val="000000"/>
          <w:sz w:val="14"/>
          <w:szCs w:val="14"/>
          <w:u w:val="none"/>
          <w:shd w:val="clear" w:color="auto" w:fill="auto"/>
          <w:vertAlign w:val="baseline"/>
          <w:rtl w:val="0"/>
        </w:rPr>
        <w:t xml:space="preserve">dias</w:t>
      </w:r>
      <w:r>
        <w:rPr>
          <w:rFonts w:ascii="Cambria" w:hAnsi="Cambria" w:eastAsia="Arial" w:cs="Cambria"/>
          <w:b/>
          <w:i w:val="0"/>
          <w:smallCaps w:val="0"/>
          <w:strike w:val="0"/>
          <w:color w:val="000000"/>
          <w:sz w:val="14"/>
          <w:szCs w:val="14"/>
          <w:u w:val="none"/>
          <w:shd w:val="clear" w:color="auto" w:fill="auto"/>
          <w:vertAlign w:val="baseline"/>
          <w:rtl w:val="0"/>
        </w:rPr>
        <w:t xml:space="preserve">,</w:t>
      </w:r>
      <w:r>
        <w:rPr>
          <w:rFonts w:ascii="Cambria" w:hAnsi="Cambria" w:eastAsia="Arial" w:cs="Cambria"/>
          <w:b w:val="0"/>
          <w:i w:val="0"/>
          <w:smallCaps w:val="0"/>
          <w:strike w:val="0"/>
          <w:color w:val="000000"/>
          <w:sz w:val="14"/>
          <w:szCs w:val="14"/>
          <w:u w:val="none"/>
          <w:shd w:val="clear" w:color="auto" w:fill="auto"/>
          <w:vertAlign w:val="baseline"/>
          <w:rtl w:val="0"/>
        </w:rPr>
        <w:t xml:space="preserve"> a contar da data de sua apresentação.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licitantes devem respeitar os preços máximos estabelecidos nas normas de regência de contratações públicas federais, quando participarem de licitações públicas;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 o critério de julgamento seja o de maior desconto, o preço já decorrente da aplicação do desconto ofertado deverá respeitar os preços máximos previstos no item 4.9.</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descumprimento das regras supramencionadas pela Administração por </w:t>
      </w:r>
      <w:r>
        <w:rPr>
          <w:rFonts w:ascii="Cambria" w:hAnsi="Cambria" w:eastAsia="Arial" w:cs="Cambria"/>
          <w:b w:val="0"/>
          <w:i w:val="0"/>
          <w:smallCaps w:val="0"/>
          <w:strike w:val="0"/>
          <w:color w:val="000000"/>
          <w:sz w:val="14"/>
          <w:szCs w:val="14"/>
          <w:u w:val="none"/>
          <w:shd w:val="clear" w:color="auto" w:fill="auto"/>
          <w:vertAlign w:val="baseline"/>
          <w:rtl w:val="0"/>
        </w:rPr>
        <w:t xml:space="preserve">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8" w:tooltip="https://www.planalto.gov.br/ccivil_03/constituicao/constituicaocompilado.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71, inciso IX, da Constituição</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ou condenação dos agentes públicos responsáveis e da empresa contratada ao pagamento dos prejuízos ao erário, caso verificada a ocorrência de superfaturamento por sobrepreço na execução do contrato.</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2" w:name="_heading=h.2xcytpi"/>
      <w:r>
        <w:rPr>
          <w:rFonts w:ascii="Cambria" w:hAnsi="Cambria" w:cs="Cambria"/>
          <w:sz w:val="14"/>
          <w:szCs w:val="14"/>
        </w:rPr>
      </w:r>
      <w:bookmarkEnd w:id="22"/>
      <w:r>
        <w:rPr>
          <w:rFonts w:ascii="Cambria" w:hAnsi="Cambria" w:eastAsia="Arial" w:cs="Cambria"/>
          <w:b/>
          <w:i w:val="0"/>
          <w:smallCaps w:val="0"/>
          <w:strike w:val="0"/>
          <w:color w:val="000000"/>
          <w:sz w:val="14"/>
          <w:szCs w:val="14"/>
          <w:u w:val="none"/>
          <w:shd w:val="clear" w:color="auto" w:fill="auto"/>
          <w:vertAlign w:val="baseline"/>
          <w:rtl w:val="0"/>
        </w:rPr>
        <w:t xml:space="preserve">DA ABERTURA DA SESSÃO, CLASSIFICAÇÃO DAS PROPOSTAS E FORMULAÇÃO DE LANCES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abertura da presente licitação dar-se-á automaticamente em sessão pública, por meio de sistema eletrônico, na data, horário e local indicados neste Edital.</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licitantes poderão retirar ou substituir a proposta ou os documentos de habilitação, quando for o caso, anteriormente inseridos no sistema, até a abertura da sessão pública.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sistema disponibilizará campo próprio para troca de mensagens entre o Agente de Contratação/Comissão e os licitantes.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Iniciada a etapa competitiva, os licitantes deverão encaminhar lances exclusivamente por meio de sistema eletrônico, sendo imediatamente informados do seu recebimento e do valor consignado no registro.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lance deverá ser ofertado pelo </w:t>
      </w:r>
      <w:sdt>
        <w:sdtPr>
          <w15:appearance w15:val="boundingBox"/>
          <w:showingPlcHdr w:val="true"/>
          <w:tag w:val="goog_rdk_16"/>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valor unitário</w:t>
      </w:r>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licitantes poderão oferecer lances sucessivos, observando o horário fixado para abertura da sessão e as regras estabelecidas no Edital.</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somente poderá oferecer lance </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de valor</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 </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inferior</w:t>
      </w:r>
      <w:r>
        <w:rPr>
          <w:rFonts w:ascii="Cambria" w:hAnsi="Cambria" w:eastAsia="Arial" w:cs="Cambria"/>
          <w:b w:val="0"/>
          <w:i w:val="0"/>
          <w:smallCaps w:val="0"/>
          <w:strike w:val="0"/>
          <w:color w:val="ff0000"/>
          <w:sz w:val="14"/>
          <w:szCs w:val="14"/>
          <w:u w:val="none"/>
          <w:shd w:val="clear" w:color="auto" w:fill="auto"/>
          <w:vertAlign w:val="baseline"/>
          <w:rtl w:val="0"/>
        </w:rPr>
        <w:t xml:space="preserve"> </w:t>
      </w:r>
      <w:r>
        <w:rPr>
          <w:rFonts w:ascii="Cambria" w:hAnsi="Cambria" w:eastAsia="Arial" w:cs="Cambria"/>
          <w:b w:val="0"/>
          <w:i w:val="0"/>
          <w:smallCaps w:val="0"/>
          <w:strike w:val="0"/>
          <w:color w:val="ff0000"/>
          <w:sz w:val="14"/>
          <w:szCs w:val="14"/>
          <w:u w:val="none"/>
          <w:shd w:val="clear" w:color="auto" w:fill="auto"/>
          <w:vertAlign w:val="baseline"/>
          <w:rtl w:val="0"/>
        </w:rPr>
        <w:t xml:space="preserve"> </w:t>
      </w:r>
      <w:r>
        <w:rPr>
          <w:rFonts w:ascii="Cambria" w:hAnsi="Cambria" w:eastAsia="Arial" w:cs="Cambria"/>
          <w:b w:val="0"/>
          <w:i w:val="0"/>
          <w:smallCaps w:val="0"/>
          <w:strike w:val="0"/>
          <w:color w:val="000000"/>
          <w:sz w:val="14"/>
          <w:szCs w:val="14"/>
          <w:u w:val="none"/>
          <w:shd w:val="clear" w:color="auto" w:fill="auto"/>
          <w:vertAlign w:val="baseline"/>
          <w:rtl w:val="0"/>
        </w:rPr>
        <w:t xml:space="preserve">ao último por ele ofertado e registrado pelo sistema.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17"/>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O intervalo mínimo de diferença de valores  entre os lances, que incidirá tanto em relação aos lances intermediários quanto em relação à proposta que cobrir a melhor oferta dever</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á ser</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 </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de R$ 100,00 (</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cem reais</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poderá, uma única vez, excluir seu último lance ofertado, no intervalo de quinze segundos após o registro no sistema, na hipótese de lance inconsistente ou inexequível.</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18"/>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O procedimento seguirá de acordo com o modo de disputa adotado.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3" w:name="_heading=h.1ci93xb"/>
      <w:r>
        <w:rPr>
          <w:rFonts w:ascii="Cambria" w:hAnsi="Cambria" w:cs="Cambria"/>
          <w:sz w:val="14"/>
          <w:szCs w:val="14"/>
        </w:rPr>
      </w:r>
      <w:bookmarkEnd w:id="23"/>
      <w:r>
        <w:rPr>
          <w:rFonts w:ascii="Cambria" w:hAnsi="Cambria" w:eastAsia="Arial" w:cs="Cambria"/>
          <w:b w:val="0"/>
          <w:i w:val="0"/>
          <w:smallCaps w:val="0"/>
          <w:strike w:val="0"/>
          <w:color w:val="000000"/>
          <w:sz w:val="14"/>
          <w:szCs w:val="14"/>
          <w:u w:val="none"/>
          <w:shd w:val="clear" w:color="auto" w:fill="auto"/>
          <w:vertAlign w:val="baseline"/>
          <w:rtl w:val="0"/>
        </w:rPr>
        <w:t xml:space="preserve">Caso seja adotado para o envio de lances na licitação o modo de disputa “aberto”, os licitantes apresentarão lances públicos e sucessivos, com prorrogações.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4" w:name="_heading=h.3whwml4"/>
      <w:r>
        <w:rPr>
          <w:rFonts w:ascii="Cambria" w:hAnsi="Cambria" w:cs="Cambria"/>
          <w:sz w:val="14"/>
          <w:szCs w:val="14"/>
        </w:rPr>
      </w:r>
      <w:bookmarkEnd w:id="24"/>
      <w:r>
        <w:rPr>
          <w:rFonts w:ascii="Cambria" w:hAnsi="Cambria" w:eastAsia="Arial" w:cs="Cambria"/>
          <w:b w:val="0"/>
          <w:i w:val="0"/>
          <w:smallCaps w:val="0"/>
          <w:strike w:val="0"/>
          <w:color w:val="000000"/>
          <w:sz w:val="14"/>
          <w:szCs w:val="14"/>
          <w:u w:val="none"/>
          <w:shd w:val="clear" w:color="auto" w:fill="auto"/>
          <w:vertAlign w:val="baseline"/>
          <w:rtl w:val="0"/>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Definida a melhor proposta, s</w:t>
      </w:r>
      <w:r>
        <w:rPr>
          <w:rFonts w:ascii="Cambria" w:hAnsi="Cambria" w:eastAsia="Arial" w:cs="Cambria"/>
          <w:b w:val="0"/>
          <w:i w:val="0"/>
          <w:smallCaps w:val="0"/>
          <w:strike w:val="0"/>
          <w:color w:val="000000"/>
          <w:sz w:val="14"/>
          <w:szCs w:val="14"/>
          <w:u w:val="none"/>
          <w:shd w:val="clear" w:color="auto" w:fill="auto"/>
          <w:vertAlign w:val="baseline"/>
          <w:rtl w:val="0"/>
        </w:rPr>
        <w:t xml:space="preserve">e a diferença em relação à proposta classificada em segundo lugar for de pelo menos 5% (cinco por cento), o Agente de contratação/Comissão, auxiliado pela equipe de apoio, poderá admitir o reinício da disputa aberta, para a definição das demais colocações.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5" w:name="_heading=h.2bn6wsx"/>
      <w:r>
        <w:rPr>
          <w:rFonts w:ascii="Cambria" w:hAnsi="Cambria" w:cs="Cambria"/>
          <w:sz w:val="14"/>
          <w:szCs w:val="14"/>
        </w:rPr>
      </w:r>
      <w:bookmarkEnd w:id="25"/>
      <w:r>
        <w:rPr>
          <w:rFonts w:ascii="Cambria" w:hAnsi="Cambria" w:eastAsia="Arial" w:cs="Cambria"/>
          <w:b w:val="0"/>
          <w:i w:val="0"/>
          <w:smallCaps w:val="0"/>
          <w:strike w:val="0"/>
          <w:color w:val="000000"/>
          <w:sz w:val="14"/>
          <w:szCs w:val="14"/>
          <w:u w:val="none"/>
          <w:shd w:val="clear" w:color="auto" w:fill="auto"/>
          <w:vertAlign w:val="baseline"/>
          <w:rtl w:val="0"/>
        </w:rPr>
        <w:t xml:space="preserve">Após o reinício previsto no item supra, os licitantes serão convocados para apresentar lances intermediários.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w:t>
      </w:r>
      <w:r>
        <w:rPr>
          <w:rFonts w:ascii="Cambria" w:hAnsi="Cambria" w:eastAsia="Arial" w:cs="Cambria"/>
          <w:b w:val="0"/>
          <w:i w:val="0"/>
          <w:smallCaps w:val="0"/>
          <w:strike w:val="0"/>
          <w:color w:val="000000"/>
          <w:sz w:val="14"/>
          <w:szCs w:val="14"/>
          <w:u w:val="none"/>
          <w:shd w:val="clear" w:color="auto" w:fill="auto"/>
          <w:vertAlign w:val="baseline"/>
          <w:rtl w:val="0"/>
        </w:rPr>
        <w:t xml:space="preserve">aso seja adotado para o envio de lances na licitação o modo de disputa “aberto e fechado”, os licitantes apresentarão lances públicos e sucessivos, com lance final e fechado.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etapa de lances da sessão pública terá duraçã</w:t>
      </w:r>
      <w:r>
        <w:rPr>
          <w:rFonts w:ascii="Cambria" w:hAnsi="Cambria" w:eastAsia="Arial" w:cs="Cambria"/>
          <w:b w:val="0"/>
          <w:i w:val="0"/>
          <w:smallCaps w:val="0"/>
          <w:strike w:val="0"/>
          <w:color w:val="000000"/>
          <w:sz w:val="14"/>
          <w:szCs w:val="14"/>
          <w:u w:val="none"/>
          <w:shd w:val="clear" w:color="auto" w:fill="auto"/>
          <w:vertAlign w:val="baseline"/>
          <w:rtl w:val="0"/>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Encerrado o prazo previsto no subitem anterior, o sis</w:t>
      </w:r>
      <w:r>
        <w:rPr>
          <w:rFonts w:ascii="Cambria" w:hAnsi="Cambria" w:eastAsia="Arial" w:cs="Cambria"/>
          <w:b w:val="0"/>
          <w:i w:val="0"/>
          <w:smallCaps w:val="0"/>
          <w:strike w:val="0"/>
          <w:color w:val="000000"/>
          <w:sz w:val="14"/>
          <w:szCs w:val="14"/>
          <w:u w:val="none"/>
          <w:shd w:val="clear" w:color="auto" w:fill="auto"/>
          <w:vertAlign w:val="baseline"/>
          <w:rtl w:val="0"/>
        </w:rPr>
        <w:t xml:space="preserve">tema abrirá oportunidade para que o autor da oferta de valor mais baixo e os das ofertas com preços até 10% (dez por cento) superiores àquela possam ofertar um lance final e fechado em até cinco minutos, o qual será sigiloso até o encerramento deste prazo.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 procedimento de que trata o subitem supra, o licitante poderá optar por manter o seu último lance da etapa aberta, ou por ofertar melhor lance.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havendo pelo menos trê</w:t>
      </w:r>
      <w:r>
        <w:rPr>
          <w:rFonts w:ascii="Cambria" w:hAnsi="Cambria" w:eastAsia="Arial" w:cs="Cambria"/>
          <w:b w:val="0"/>
          <w:i w:val="0"/>
          <w:smallCaps w:val="0"/>
          <w:strike w:val="0"/>
          <w:color w:val="000000"/>
          <w:sz w:val="14"/>
          <w:szCs w:val="14"/>
          <w:u w:val="none"/>
          <w:shd w:val="clear" w:color="auto" w:fill="auto"/>
          <w:vertAlign w:val="baseline"/>
          <w:rtl w:val="0"/>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6" w:name="_heading=h.qsh70q"/>
      <w:r>
        <w:rPr>
          <w:rFonts w:ascii="Cambria" w:hAnsi="Cambria" w:cs="Cambria"/>
          <w:sz w:val="14"/>
          <w:szCs w:val="14"/>
        </w:rPr>
      </w:r>
      <w:bookmarkEnd w:id="26"/>
      <w:r>
        <w:rPr>
          <w:rFonts w:ascii="Cambria" w:hAnsi="Cambria" w:eastAsia="Arial" w:cs="Cambria"/>
          <w:b w:val="0"/>
          <w:i w:val="0"/>
          <w:smallCaps w:val="0"/>
          <w:strike w:val="0"/>
          <w:color w:val="000000"/>
          <w:sz w:val="14"/>
          <w:szCs w:val="14"/>
          <w:u w:val="none"/>
          <w:shd w:val="clear" w:color="auto" w:fill="auto"/>
          <w:vertAlign w:val="baseline"/>
          <w:rtl w:val="0"/>
        </w:rPr>
        <w:t xml:space="preserve">Após o término dos prazos estabelecidos nos itens anteriores, o sistema ordenará e divulgará os lances segundo a ordem crescente de valores.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7" w:name="_heading=h.3as4poj"/>
      <w:r>
        <w:rPr>
          <w:rFonts w:ascii="Cambria" w:hAnsi="Cambria" w:cs="Cambria"/>
          <w:sz w:val="14"/>
          <w:szCs w:val="14"/>
        </w:rPr>
      </w:r>
      <w:bookmarkEnd w:id="27"/>
      <w:r>
        <w:rPr>
          <w:rFonts w:ascii="Cambria" w:hAnsi="Cambria" w:cs="Cambria"/>
          <w:sz w:val="14"/>
          <w:szCs w:val="14"/>
        </w:rPr>
      </w:r>
      <w:sdt>
        <w:sdtPr>
          <w15:appearance w15:val="boundingBox"/>
          <w:showingPlcHdr w:val="true"/>
          <w:tag w:val="goog_rdk_20"/>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Caso seja adotado para o envio de lances na licitação o modo de disputa “fechado e aberto”, poderão participar da etapa aberta somente os licitantes que apre</w:t>
      </w:r>
      <w:r>
        <w:rPr>
          <w:rFonts w:ascii="Cambria" w:hAnsi="Cambria" w:eastAsia="Arial" w:cs="Cambria"/>
          <w:b w:val="0"/>
          <w:i w:val="0"/>
          <w:smallCaps w:val="0"/>
          <w:strike w:val="0"/>
          <w:color w:val="000000"/>
          <w:sz w:val="14"/>
          <w:szCs w:val="14"/>
          <w:u w:val="none"/>
          <w:shd w:val="clear" w:color="auto" w:fill="auto"/>
          <w:vertAlign w:val="baseline"/>
          <w:rtl w:val="0"/>
        </w:rPr>
        <w:t xml:space="preserve">sentarem a proposta de menor preço os das propostas até 10% (dez por cento) superiores àquela, em que os licitantes apresentarão lances públicos e sucessivos, até o encerramento da sessão e eventuais prorrogações.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havendo pelo menos 3 (três) propostas nas condições definidas no item 6.13, poderão os licitantes que apresentaram as três melhores propostas, consideradas as empatadas, oferecer novos lances sucessivos.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Definida a melhor proposta, s</w:t>
      </w:r>
      <w:r>
        <w:rPr>
          <w:rFonts w:ascii="Cambria" w:hAnsi="Cambria" w:eastAsia="Arial" w:cs="Cambria"/>
          <w:b w:val="0"/>
          <w:i w:val="0"/>
          <w:smallCaps w:val="0"/>
          <w:strike w:val="0"/>
          <w:color w:val="000000"/>
          <w:sz w:val="14"/>
          <w:szCs w:val="14"/>
          <w:u w:val="none"/>
          <w:shd w:val="clear" w:color="auto" w:fill="auto"/>
          <w:vertAlign w:val="baseline"/>
          <w:rtl w:val="0"/>
        </w:rPr>
        <w:t xml:space="preserve">e a diferença em relação à proposta classificada em segundo lugar for de pelo menos 5% (cinco por cento), o Agente de Contratação/Comissão, auxiliado pela equipe de apoio, poderá admitir o reinício da disputa aberta, para a definição das demais colocações.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Após o reinício previsto no subitem supra, os licitantes serão convocados para apresentar lances intermediários.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Após o término dos prazos estabelecidos nos subitens anteriores, o sistema ordenará e divulgará os lances segundo a ordem crescente de valores.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serão aceitos dois ou mais lances de mesmo valor, prevalecendo aquele que for recebido e registrado em primeiro lugar.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Durante o transcurso da sessão pública, os licitantes serão informados, em tempo real, do valor do menor lance registrado, vedada a identificação do licitante.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 caso de desconexão com o Agente de Contratação/Comissão, no decorrer da etapa competitiva da licitação, o sistema eletrônico poderá permanecer acessível aos licitantes para a recepção dos lances.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Quando a desconexão do sistema eletrônico para o Agente de Contratação/Comissão p</w:t>
      </w:r>
      <w:r>
        <w:rPr>
          <w:rFonts w:ascii="Cambria" w:hAnsi="Cambria" w:eastAsia="Arial" w:cs="Cambria"/>
          <w:b w:val="0"/>
          <w:i w:val="0"/>
          <w:smallCaps w:val="0"/>
          <w:strike w:val="0"/>
          <w:color w:val="000000"/>
          <w:sz w:val="14"/>
          <w:szCs w:val="14"/>
          <w:u w:val="none"/>
          <w:shd w:val="clear" w:color="auto" w:fill="auto"/>
          <w:vertAlign w:val="baseline"/>
          <w:rtl w:val="0"/>
        </w:rPr>
        <w:t xml:space="preserve">ersistir por tempo superior a dez minutos, a sessão pública será suspensa e reiniciada somente após decorridas vinte e quatro horas da comunicação do fato pelo Agente de Contratação/Comissão aos participantes, no sítio eletrônico utilizado para divulgação.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 o licitante não apresente lances, concorrerá com o valor de sua proposta.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participação de microempresas e empresas de pequeno porte, uma vez encerrada a etapa de lances, será efetivada a verificação automática, junto à Receita Federal, do porte da entidade empresarial. O sistema identific</w:t>
      </w:r>
      <w:r>
        <w:rPr>
          <w:rFonts w:ascii="Cambria" w:hAnsi="Cambria" w:eastAsia="Arial" w:cs="Cambria"/>
          <w:b w:val="0"/>
          <w:i w:val="0"/>
          <w:smallCaps w:val="0"/>
          <w:strike w:val="0"/>
          <w:color w:val="000000"/>
          <w:sz w:val="14"/>
          <w:szCs w:val="14"/>
          <w:u w:val="none"/>
          <w:shd w:val="clear" w:color="auto" w:fill="auto"/>
          <w:vertAlign w:val="baseline"/>
          <w:rtl w:val="0"/>
        </w:rPr>
        <w:t xml:space="preserve">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9" w:tooltip="https://www.planalto.gov.br/ccivil_03/leis/lcp/lcp123.htm#art44"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arts. 44 e 45 da Lei Complementar nº 123, de 2006</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regulamentada pelo </w:t>
      </w:r>
      <w:hyperlink r:id="rId30" w:tooltip="https://www.planalto.gov.br/ccivil_03/_ato2015-2018/2015/decreto/d8539.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Decreto nº 8.538, de 2015</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Nessas condições, as propostas de microempresas e empresas de pequeno porte que se encontrarem na faixa de até 10% (dez por cento) acima da melhor proposta ou melhor lance serão consideradas empatadas com a primeira colocada.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melhor classificada nos </w:t>
      </w:r>
      <w:r>
        <w:rPr>
          <w:rFonts w:ascii="Cambria" w:hAnsi="Cambria" w:eastAsia="Arial" w:cs="Cambria"/>
          <w:b w:val="0"/>
          <w:i w:val="0"/>
          <w:smallCaps w:val="0"/>
          <w:strike w:val="0"/>
          <w:color w:val="000000"/>
          <w:sz w:val="14"/>
          <w:szCs w:val="14"/>
          <w:u w:val="none"/>
          <w:shd w:val="clear" w:color="auto" w:fill="auto"/>
          <w:vertAlign w:val="baseline"/>
          <w:rtl w:val="0"/>
        </w:rPr>
        <w:t xml:space="preserve">termos do subitem anterior terá o direito de encaminhar uma última oferta para desempate, obrigatoriamente em valor inferior ao da primeira colocada, no prazo de 5 (cinco) minutos controlados pelo sistema, contados após a comunicação automática para tanto.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 a microempresa ou a empresa de pequeno porte melhor classificada desista ou não se manifeste no prazo</w:t>
      </w:r>
      <w:r>
        <w:rPr>
          <w:rFonts w:ascii="Cambria" w:hAnsi="Cambria" w:eastAsia="Arial" w:cs="Cambria"/>
          <w:b w:val="0"/>
          <w:i w:val="0"/>
          <w:smallCaps w:val="0"/>
          <w:strike w:val="0"/>
          <w:color w:val="000000"/>
          <w:sz w:val="14"/>
          <w:szCs w:val="14"/>
          <w:u w:val="none"/>
          <w:shd w:val="clear" w:color="auto" w:fill="auto"/>
          <w:vertAlign w:val="baseline"/>
          <w:rtl w:val="0"/>
        </w:rPr>
        <w:t xml:space="preserve"> estabelecido, serão convocadas as demais licitantes microempresa e empresa de pequeno porte que se encontrem naquele intervalo de 10% (dez por cento), na ordem de classificação, para o exercício do mesmo direito, no prazo estabelecido no subitem anterior.</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 caso de equivalênci</w:t>
      </w:r>
      <w:r>
        <w:rPr>
          <w:rFonts w:ascii="Cambria" w:hAnsi="Cambria" w:eastAsia="Arial" w:cs="Cambria"/>
          <w:b w:val="0"/>
          <w:i w:val="0"/>
          <w:smallCaps w:val="0"/>
          <w:strike w:val="0"/>
          <w:color w:val="000000"/>
          <w:sz w:val="14"/>
          <w:szCs w:val="14"/>
          <w:u w:val="none"/>
          <w:shd w:val="clear" w:color="auto" w:fill="auto"/>
          <w:vertAlign w:val="baseline"/>
          <w:rtl w:val="0"/>
        </w:rPr>
        <w:t xml:space="preserve">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Só poderá haver empate entre propostas iguais (não seguidas de lances), ou entre lances finais da fase fechada do modo de disputa aberto e fechado.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Havendo eventual empate entre propostas ou lances, o critério de desempate será aquele previsto no </w:t>
      </w:r>
      <w:hyperlink r:id="rId31" w:tooltip="http://www.planalto.gov.br/ccivil_03/_ato2019-2022/2021/lei/L14133.htm#art60"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60 da 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nesta ordem:</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disputa final, hipótese em que os licitantes empatados poderão apresentar nova proposta em ato contínuo à classificação;</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avaliação do desempenho contratual prévio dos licitantes, para a qual deverão preferencialmente ser utilizados registros cadastrais para efeito de atesto de cumprimento de obrigações previstos nesta Lei;</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desenvolvimento pelo licitante de ações de equidade entre homens e mulheres no ambiente de trabalho, conforme regulamento;</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desenvolvimento pelo licitante de programa de integridade, conforme orientações dos órgãos de controle.</w:t>
      </w:r>
      <w:r>
        <w:rPr>
          <w:rFonts w:ascii="Cambria" w:hAnsi="Cambria" w:cs="Cambria"/>
          <w:sz w:val="14"/>
          <w:szCs w:val="14"/>
        </w:rPr>
      </w:r>
      <w:r/>
    </w:p>
    <w:p>
      <w:pPr>
        <w:numPr>
          <w:ilvl w:val="2"/>
          <w:numId w:val="1"/>
        </w:numPr>
        <w:ind w:left="0" w:right="0" w:firstLine="0"/>
        <w:jc w:val="both"/>
        <w:keepLines w:val="0"/>
        <w:keepNext w:val="0"/>
        <w:pageBreakBefore w:val="0"/>
        <w:spacing w:before="288" w:after="288" w:line="240"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Persistindo o empate, será assegurada preferência, sucessivamente, aos bens e serviços produzidos ou prestados por:</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8" w:name="bookmark=id.1pxezwc"/>
      <w:r>
        <w:rPr>
          <w:rFonts w:ascii="Cambria" w:hAnsi="Cambria" w:cs="Cambria"/>
          <w:sz w:val="14"/>
          <w:szCs w:val="14"/>
        </w:rPr>
      </w:r>
      <w:bookmarkEnd w:id="28"/>
      <w:r>
        <w:rPr>
          <w:rFonts w:ascii="Cambria" w:hAnsi="Cambria" w:eastAsia="Arial" w:cs="Cambria"/>
          <w:b w:val="0"/>
          <w:i w:val="0"/>
          <w:smallCaps w:val="0"/>
          <w:strike w:val="0"/>
          <w:color w:val="000000"/>
          <w:sz w:val="14"/>
          <w:szCs w:val="14"/>
          <w:u w:val="none"/>
          <w:shd w:val="clear" w:color="auto" w:fill="auto"/>
          <w:vertAlign w:val="baseline"/>
          <w:rtl w:val="0"/>
        </w:rPr>
        <w:t xml:space="preserve">empresas es</w:t>
      </w:r>
      <w:r>
        <w:rPr>
          <w:rFonts w:ascii="Cambria" w:hAnsi="Cambria" w:eastAsia="Arial" w:cs="Cambria"/>
          <w:b w:val="0"/>
          <w:i w:val="0"/>
          <w:smallCaps w:val="0"/>
          <w:strike w:val="0"/>
          <w:color w:val="000000"/>
          <w:sz w:val="14"/>
          <w:szCs w:val="14"/>
          <w:u w:val="none"/>
          <w:shd w:val="clear" w:color="auto" w:fill="auto"/>
          <w:vertAlign w:val="baseline"/>
          <w:rtl w:val="0"/>
        </w:rPr>
        <w:t xml:space="preserve">tabelecidas</w:t>
      </w:r>
      <w:r>
        <w:rPr>
          <w:rFonts w:ascii="Cambria" w:hAnsi="Cambria" w:eastAsia="Arial" w:cs="Cambria"/>
          <w:b w:val="0"/>
          <w:i w:val="0"/>
          <w:smallCaps w:val="0"/>
          <w:strike w:val="0"/>
          <w:color w:val="000000"/>
          <w:sz w:val="14"/>
          <w:szCs w:val="14"/>
          <w:u w:val="none"/>
          <w:shd w:val="clear" w:color="auto" w:fill="auto"/>
          <w:vertAlign w:val="baseline"/>
          <w:rtl w:val="0"/>
        </w:rPr>
        <w:t xml:space="preserve"> no território do Estado ou do DISTRITO INDUSTRIAL Federal do órgão ou entidade da Administração Pública estadual ou distrital licitante ou, no caso de licitação realizada por órgão ou entidade de Município, no território do Estado em que este se localize;</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9" w:name="bookmark=id.49x2ik5"/>
      <w:r>
        <w:rPr>
          <w:rFonts w:ascii="Cambria" w:hAnsi="Cambria" w:cs="Cambria"/>
          <w:sz w:val="14"/>
          <w:szCs w:val="14"/>
        </w:rPr>
      </w:r>
      <w:bookmarkEnd w:id="29"/>
      <w:r>
        <w:rPr>
          <w:rFonts w:ascii="Cambria" w:hAnsi="Cambria" w:eastAsia="Arial" w:cs="Cambria"/>
          <w:b w:val="0"/>
          <w:i w:val="0"/>
          <w:smallCaps w:val="0"/>
          <w:strike w:val="0"/>
          <w:color w:val="000000"/>
          <w:sz w:val="14"/>
          <w:szCs w:val="14"/>
          <w:u w:val="none"/>
          <w:shd w:val="clear" w:color="auto" w:fill="auto"/>
          <w:vertAlign w:val="baseline"/>
          <w:rtl w:val="0"/>
        </w:rPr>
        <w:t xml:space="preserve">empresas brasileiras;</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0" w:name="bookmark=id.2p2csry"/>
      <w:r>
        <w:rPr>
          <w:rFonts w:ascii="Cambria" w:hAnsi="Cambria" w:cs="Cambria"/>
          <w:sz w:val="14"/>
          <w:szCs w:val="14"/>
        </w:rPr>
      </w:r>
      <w:bookmarkEnd w:id="30"/>
      <w:r>
        <w:rPr>
          <w:rFonts w:ascii="Cambria" w:hAnsi="Cambria" w:eastAsia="Arial" w:cs="Cambria"/>
          <w:b w:val="0"/>
          <w:i w:val="0"/>
          <w:smallCaps w:val="0"/>
          <w:strike w:val="0"/>
          <w:color w:val="000000"/>
          <w:sz w:val="14"/>
          <w:szCs w:val="14"/>
          <w:u w:val="none"/>
          <w:shd w:val="clear" w:color="auto" w:fill="auto"/>
          <w:vertAlign w:val="baseline"/>
          <w:rtl w:val="0"/>
        </w:rPr>
        <w:t xml:space="preserve">empresas que invistam em pesquisa e no desenvolvimento de tecnologia no País;</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1" w:name="bookmark=id.147n2zr"/>
      <w:r>
        <w:rPr>
          <w:rFonts w:ascii="Cambria" w:hAnsi="Cambria" w:cs="Cambria"/>
          <w:sz w:val="14"/>
          <w:szCs w:val="14"/>
        </w:rPr>
      </w:r>
      <w:bookmarkEnd w:id="31"/>
      <w:r>
        <w:rPr>
          <w:rFonts w:ascii="Cambria" w:hAnsi="Cambria" w:eastAsia="Arial" w:cs="Cambria"/>
          <w:b w:val="0"/>
          <w:i w:val="0"/>
          <w:smallCaps w:val="0"/>
          <w:strike w:val="0"/>
          <w:color w:val="000000"/>
          <w:sz w:val="14"/>
          <w:szCs w:val="14"/>
          <w:u w:val="none"/>
          <w:shd w:val="clear" w:color="auto" w:fill="auto"/>
          <w:vertAlign w:val="baseline"/>
          <w:rtl w:val="0"/>
        </w:rPr>
        <w:t xml:space="preserve">empresas que comprovem a prática de mitigação, nos termos da </w:t>
      </w:r>
      <w:hyperlink r:id="rId32" w:tooltip="https://www.planalto.gov.br/ccivil_03/_ato2007-2010/2009/lei/l12187.htm#:~:text=LEI%20N%C2%BA%2012.187%2C%20DE%2029%20DE%20DEZEMBRO%20DE%202009.&amp;text=Institui%20a%20Pol%C3%ADtica%20Nacional%20sobre,PNMC%20e%20d%C3%A1%20outras%20provid%C3%AAncias."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nº 12.187, de 29 de dezembro de 2009</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Encerrada a etapa de envio de lances da sessão </w:t>
      </w:r>
      <w:r>
        <w:rPr>
          <w:rFonts w:ascii="Cambria" w:hAnsi="Cambria" w:eastAsia="Arial" w:cs="Cambria"/>
          <w:b w:val="0"/>
          <w:i w:val="0"/>
          <w:smallCaps w:val="0"/>
          <w:strike w:val="0"/>
          <w:color w:val="000000"/>
          <w:sz w:val="14"/>
          <w:szCs w:val="14"/>
          <w:u w:val="none"/>
          <w:shd w:val="clear" w:color="auto" w:fill="auto"/>
          <w:vertAlign w:val="baseline"/>
          <w:rtl w:val="0"/>
        </w:rPr>
        <w:t xml:space="preserve">pública, na hipótese da proposta do primeiro colocado permanecer acima do preço máximo ou inferior ao desconto definido para a contratação, o Agente de Contratação/Comissão poderá negociar condições mais vantajosas, após definido o resultado do julgamento.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negociação poderá</w:t>
      </w:r>
      <w:r>
        <w:rPr>
          <w:rFonts w:ascii="Cambria" w:hAnsi="Cambria" w:eastAsia="Arial" w:cs="Cambria"/>
          <w:b w:val="0"/>
          <w:i w:val="0"/>
          <w:smallCaps w:val="0"/>
          <w:strike w:val="0"/>
          <w:color w:val="000000"/>
          <w:sz w:val="14"/>
          <w:szCs w:val="14"/>
          <w:u w:val="none"/>
          <w:shd w:val="clear" w:color="auto" w:fill="auto"/>
          <w:vertAlign w:val="baseline"/>
          <w:rtl w:val="0"/>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negociação será realizada por meio do sistema, podendo ser acompanhada pelos demais licitantes.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resultado da negociação será divulgado a todos os licitantes e anexado aos autos do processo licitatório.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2" w:name="_heading=h.3o7alnk"/>
      <w:r>
        <w:rPr>
          <w:rFonts w:ascii="Cambria" w:hAnsi="Cambria" w:cs="Cambria"/>
          <w:sz w:val="14"/>
          <w:szCs w:val="14"/>
        </w:rPr>
      </w:r>
      <w:bookmarkEnd w:id="32"/>
      <w:r>
        <w:rPr>
          <w:rFonts w:ascii="Cambria" w:hAnsi="Cambria" w:eastAsia="Arial" w:cs="Cambria"/>
          <w:b w:val="0"/>
          <w:i w:val="0"/>
          <w:smallCaps w:val="0"/>
          <w:strike w:val="0"/>
          <w:color w:val="000000"/>
          <w:sz w:val="14"/>
          <w:szCs w:val="14"/>
          <w:u w:val="none"/>
          <w:shd w:val="clear" w:color="auto" w:fill="auto"/>
          <w:vertAlign w:val="baseline"/>
          <w:rtl w:val="0"/>
        </w:rPr>
        <w:t xml:space="preserve">O Agente de Contratação/Comissão solicitará ao licitante mais bem classificado que, no prazo de </w:t>
      </w:r>
      <w:r>
        <w:rPr>
          <w:rFonts w:ascii="Cambria" w:hAnsi="Cambria" w:eastAsia="Arial" w:cs="Cambria"/>
          <w:b/>
          <w:bCs/>
          <w:i w:val="0"/>
          <w:smallCaps w:val="0"/>
          <w:strike w:val="0"/>
          <w:color w:val="000000" w:themeColor="text1"/>
          <w:sz w:val="14"/>
          <w:szCs w:val="14"/>
          <w:u w:val="none"/>
          <w:shd w:val="clear" w:color="auto" w:fill="auto"/>
          <w:vertAlign w:val="baseline"/>
          <w:rtl w:val="0"/>
        </w:rPr>
        <w:t xml:space="preserve">2 (duas) horas</w:t>
      </w:r>
      <w:r>
        <w:rPr>
          <w:rFonts w:ascii="Cambria" w:hAnsi="Cambria" w:eastAsia="Arial" w:cs="Cambria"/>
          <w:b/>
          <w:bCs/>
          <w:i w:val="0"/>
          <w:smallCaps w:val="0"/>
          <w:strike w:val="0"/>
          <w:color w:val="000000" w:themeColor="text1"/>
          <w:sz w:val="14"/>
          <w:szCs w:val="14"/>
          <w:u w:val="none"/>
          <w:shd w:val="clear" w:color="auto" w:fill="auto"/>
          <w:vertAlign w:val="baseline"/>
          <w:rtl w:val="0"/>
        </w:rPr>
        <w:t xml:space="preserve">,</w:t>
      </w:r>
      <w:r>
        <w:rPr>
          <w:rFonts w:ascii="Cambria" w:hAnsi="Cambria" w:eastAsia="Arial" w:cs="Cambria"/>
          <w:b w:val="0"/>
          <w:i w:val="0"/>
          <w:smallCaps w:val="0"/>
          <w:strike w:val="0"/>
          <w:color w:val="000000"/>
          <w:sz w:val="14"/>
          <w:szCs w:val="14"/>
          <w:u w:val="none"/>
          <w:shd w:val="clear" w:color="auto" w:fill="auto"/>
          <w:vertAlign w:val="baseline"/>
          <w:rtl w:val="0"/>
        </w:rPr>
        <w:t xml:space="preserve"> envie a proposta adequada ao último lance ofertado após a negociação realizada, acompanhada, se for o caso, dos documentos complementares, quando necessários à confirmação daqueles exigidos neste Edital e já apresentados.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É facultado ao Agente de Contratação/Comissão prorrogar o prazo estabelecido, a partir de solicitação fundamentada feita no chat pelo licitante, antes de findo o prazo.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Após a negociação do preço, o Agente de Contratação/Comissão iniciará a fase de aceitação e julgamento da proposta.</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3" w:name="_heading=h.23ckvvd"/>
      <w:r>
        <w:rPr>
          <w:rFonts w:ascii="Cambria" w:hAnsi="Cambria" w:cs="Cambria"/>
          <w:sz w:val="14"/>
          <w:szCs w:val="14"/>
        </w:rPr>
      </w:r>
      <w:bookmarkEnd w:id="33"/>
      <w:r>
        <w:rPr>
          <w:rFonts w:ascii="Cambria" w:hAnsi="Cambria" w:eastAsia="Arial" w:cs="Cambria"/>
          <w:b/>
          <w:i w:val="0"/>
          <w:smallCaps w:val="0"/>
          <w:strike w:val="0"/>
          <w:color w:val="000000"/>
          <w:sz w:val="14"/>
          <w:szCs w:val="14"/>
          <w:u w:val="none"/>
          <w:shd w:val="clear" w:color="auto" w:fill="auto"/>
          <w:vertAlign w:val="baseline"/>
          <w:rtl w:val="0"/>
        </w:rPr>
        <w:t xml:space="preserve">DA FASE DE JULGAMENTO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4" w:name="_heading=h.ihv636"/>
      <w:r>
        <w:rPr>
          <w:rFonts w:ascii="Cambria" w:hAnsi="Cambria" w:cs="Cambria"/>
          <w:sz w:val="14"/>
          <w:szCs w:val="14"/>
        </w:rPr>
      </w:r>
      <w:bookmarkEnd w:id="34"/>
      <w:r>
        <w:rPr>
          <w:rFonts w:ascii="Cambria" w:hAnsi="Cambria" w:eastAsia="Arial" w:cs="Cambria"/>
          <w:b w:val="0"/>
          <w:i w:val="0"/>
          <w:smallCaps w:val="0"/>
          <w:strike w:val="0"/>
          <w:color w:val="000000"/>
          <w:sz w:val="14"/>
          <w:szCs w:val="14"/>
          <w:u w:val="none"/>
          <w:shd w:val="clear" w:color="auto" w:fill="auto"/>
          <w:vertAlign w:val="baseline"/>
          <w:rtl w:val="0"/>
        </w:rPr>
        <w:t xml:space="preserve">Encerrada a etapa de negociação, o Agente de contratação/Comissão verificará se o licitante provisoriamente classificado em primeiro lugar atende às condições de participação no certame, conforme previsto no </w:t>
      </w:r>
      <w:hyperlink r:id="rId33" w:tooltip="http://www.planalto.gov.br/ccivil_03/_ato2019-2022/2021/lei/L14133.htm#art14"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14 da Lei nº 14.133/2021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legislação correlata e no item 3.7 do edital, especialmente quanto à existência de sanção que impeça a participação no certame ou a futura contratação, mediante a consulta aos seguintes cadastros: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r>
        <w:rPr>
          <w:rFonts w:ascii="Cambria" w:hAnsi="Cambria" w:eastAsia="Arial" w:cs="Cambria"/>
          <w:b w:val="0"/>
          <w:i w:val="0"/>
          <w:smallCaps w:val="0"/>
          <w:strike w:val="0"/>
          <w:color w:val="000000"/>
          <w:sz w:val="14"/>
          <w:szCs w:val="14"/>
          <w:u w:val="none"/>
          <w:shd w:val="clear" w:color="auto" w:fill="auto"/>
          <w:vertAlign w:val="baseline"/>
          <w:rtl w:val="0"/>
        </w:rPr>
        <w:t xml:space="preserve">Cadastro Nacional de Empresas Inidôneas e Suspensas - CEIS, mantido pela Controladoria-Geral da União (</w:t>
      </w:r>
      <w:hyperlink r:id="rId34" w:tooltip="https://www.portaltransparencia.gov.br/sancoes/ceis"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https://www.portaltransparencia.gov.br/sancoes/ceis</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e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Cadastro Nacional de Empresas Punidas – CNEP, mantido pela Controladoria-Geral da União (</w:t>
      </w:r>
      <w:hyperlink r:id="rId35" w:tooltip="https://www.portaltransparencia.gov.br/sancoes/cnep"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https://www.portaltransparencia.gov.br/sancoes/cnep</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consulta aos cadastros será realizada em nome da empresa licitante e também de seu sócio majoritário, por força da vedação de que trata o </w:t>
      </w:r>
      <w:hyperlink r:id="rId36" w:tooltip="https://www.planalto.gov.br/ccivil_03/leis/l8429.htm#:~:text=%C3%A0s%20seguintes%20comina%C3%A7%C3%B5es%3A-,Art.,n%C2%BA%2012.120%2C%20de%202009)."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artigo 12 da Lei n° 8.429, de 1992</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w:t>
      </w:r>
      <w:r>
        <w:rPr>
          <w:rFonts w:ascii="Cambria" w:hAnsi="Cambria" w:eastAsia="Arial" w:cs="Cambria"/>
          <w:b w:val="0"/>
          <w:i w:val="0"/>
          <w:smallCaps w:val="0"/>
          <w:strike w:val="0"/>
          <w:color w:val="000000"/>
          <w:sz w:val="14"/>
          <w:szCs w:val="14"/>
          <w:u w:val="none"/>
          <w:shd w:val="clear" w:color="auto" w:fill="auto"/>
          <w:vertAlign w:val="baseline"/>
          <w:rtl w:val="0"/>
        </w:rPr>
        <w:t xml:space="preserve"> conste na Consulta de Situação do licitante a existência de Ocorrências Impeditivas Indiretas, o Agente de Contratação/Comissão diligenciará para verificar se houve fraude por parte das empresas apontadas no Relatório de Ocorrências Impeditivas Indiretas.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tentativa de burla será verificada por meio dos vínculos societários, linhas de fornecimento similares, dentre outros.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será convocado para manifestação previamente a uma eventual desclassificação.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Constatada a existência de sanção, o licitante será reputado inabilitado, por falta de condição de participação.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 o licitante provisoriamente classificado em primeiro lugar tenha se utilizado de algum tratamento favorecido às ME/EPPs, o Agente de Contratação/Comissão verificará se faz jus ao benefício, em conformidade com os itens 3.5.1 e 4.7 deste edital.</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Verificadas as condições de participação e de uti</w:t>
      </w:r>
      <w:r>
        <w:rPr>
          <w:rFonts w:ascii="Cambria" w:hAnsi="Cambria" w:eastAsia="Arial" w:cs="Cambria"/>
          <w:b w:val="0"/>
          <w:i w:val="0"/>
          <w:smallCaps w:val="0"/>
          <w:strike w:val="0"/>
          <w:color w:val="000000"/>
          <w:sz w:val="14"/>
          <w:szCs w:val="14"/>
          <w:u w:val="none"/>
          <w:shd w:val="clear" w:color="auto" w:fill="auto"/>
          <w:vertAlign w:val="baseline"/>
          <w:rtl w:val="0"/>
        </w:rPr>
        <w:t xml:space="preserve">lização do tratamento favorecido, o Agente de Contratação/Comissão examinará a proposta classificada em primeiro lugar quanto à adequação ao objeto e à compatibilidade do preço em relação ao máximo estipulado para contratação neste Edital e em seus anexos.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Será desclassificada a proposta vencedora que: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contiver vícios insanáveis;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obedecer às especificações técnicas contidas no Projeto Básico/Termo de Referência;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apresentar preços inexequíveis ou permanecerem acima do preço máximo definido para a contratação;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tiverem sua exequibilidade demonstrada, quando exigido pela Administração;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apresentar desconformidade com quaisquer outras exigências deste Edital ou seus anexos, desde que insanável.</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inexequibilidade, na hipótese de que trata o </w:t>
      </w:r>
      <w:r>
        <w:rPr>
          <w:rFonts w:ascii="Cambria" w:hAnsi="Cambria" w:eastAsia="Arial" w:cs="Cambria"/>
          <w:b/>
          <w:i w:val="0"/>
          <w:smallCaps w:val="0"/>
          <w:strike w:val="0"/>
          <w:color w:val="000000"/>
          <w:sz w:val="14"/>
          <w:szCs w:val="14"/>
          <w:u w:val="none"/>
          <w:shd w:val="clear" w:color="auto" w:fill="auto"/>
          <w:vertAlign w:val="baseline"/>
          <w:rtl w:val="0"/>
        </w:rPr>
        <w:t xml:space="preserve">caput</w:t>
      </w:r>
      <w:r>
        <w:rPr>
          <w:rFonts w:ascii="Cambria" w:hAnsi="Cambria" w:eastAsia="Arial" w:cs="Cambria"/>
          <w:b w:val="0"/>
          <w:i w:val="0"/>
          <w:smallCaps w:val="0"/>
          <w:strike w:val="0"/>
          <w:color w:val="000000"/>
          <w:sz w:val="14"/>
          <w:szCs w:val="14"/>
          <w:u w:val="none"/>
          <w:shd w:val="clear" w:color="auto" w:fill="auto"/>
          <w:vertAlign w:val="baseline"/>
          <w:rtl w:val="0"/>
        </w:rPr>
        <w:t xml:space="preserve">, só será considerada após diligência do Agente de Contratação/Comissão, que comprove:</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que o custo do licitante ultrapassa o valor da proposta; e</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inexistirem custos de oportunidade capazes de justificar o vulto da oferta.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Em contratação de serviços de engenharia, além das disposições acima, a análise de exequibilidade e sobrepreço considerará o seguinte: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Nos regimes de execução por tarefa, empreitada por preço global ou empreitada integral, semi-integrada ou integrada, a caracterização do sobrepreço se dará pela superação do valor global estimado;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 caso de serviços de engenharia, serão consideradas inexequíveis as propostas cujos valores forem inferiores a 75% (setenta e cinco por cento) do valor orçado pela Administração, independentemente do regime de execução.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Será exigida garantia ad</w:t>
      </w:r>
      <w:r>
        <w:rPr>
          <w:rFonts w:ascii="Cambria" w:hAnsi="Cambria" w:eastAsia="Arial" w:cs="Cambria"/>
          <w:b w:val="0"/>
          <w:i w:val="0"/>
          <w:smallCaps w:val="0"/>
          <w:strike w:val="0"/>
          <w:color w:val="000000"/>
          <w:sz w:val="14"/>
          <w:szCs w:val="14"/>
          <w:u w:val="none"/>
          <w:shd w:val="clear" w:color="auto" w:fill="auto"/>
          <w:vertAlign w:val="baseline"/>
          <w:rtl w:val="0"/>
        </w:rPr>
        <w:t xml:space="preserve">icional do licitante vencedor cuja proposta for inferior a 85% (oitenta e cinco por cento) do valor orçado pela Administração, equivalente à diferença entre este último e o valor da proposta, sem prejuízo das demais garantias exigíveis de acordo com a Lei.</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 houver indícios de inexequibilidade da proposta de preço, ou em caso da necessidade de esclarecimentos complementares, poderão ser efetuadas diligências, para que a empresa comprove a exequibilidade da proposta.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 o custo global estimado do objeto licitado tenha sido decomposto em seus respectivos custos unitários por meio de Planilha de Custos e Fo</w:t>
      </w:r>
      <w:r>
        <w:rPr>
          <w:rFonts w:ascii="Cambria" w:hAnsi="Cambria" w:eastAsia="Arial" w:cs="Cambria"/>
          <w:b w:val="0"/>
          <w:i w:val="0"/>
          <w:smallCaps w:val="0"/>
          <w:strike w:val="0"/>
          <w:color w:val="000000"/>
          <w:sz w:val="14"/>
          <w:szCs w:val="14"/>
          <w:u w:val="none"/>
          <w:shd w:val="clear" w:color="auto" w:fill="auto"/>
          <w:vertAlign w:val="baseline"/>
          <w:rtl w:val="0"/>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5" w:name="_heading=h.32hioqz"/>
      <w:r>
        <w:rPr>
          <w:rFonts w:ascii="Cambria" w:hAnsi="Cambria" w:cs="Cambria"/>
          <w:sz w:val="14"/>
          <w:szCs w:val="14"/>
        </w:rPr>
      </w:r>
      <w:bookmarkEnd w:id="35"/>
      <w:r>
        <w:rPr>
          <w:rFonts w:ascii="Cambria" w:hAnsi="Cambria" w:eastAsia="Arial" w:cs="Cambria"/>
          <w:b w:val="0"/>
          <w:i w:val="0"/>
          <w:smallCaps w:val="0"/>
          <w:strike w:val="0"/>
          <w:color w:val="000000"/>
          <w:sz w:val="14"/>
          <w:szCs w:val="14"/>
          <w:u w:val="none"/>
          <w:shd w:val="clear" w:color="auto" w:fill="auto"/>
          <w:vertAlign w:val="baseline"/>
          <w:rtl w:val="0"/>
        </w:rPr>
        <w:t xml:space="preserve">Em se tratando de serviços de engenharia, o licitante vencedor será convocado a apresentar à Administração, por meio eletrônico, as planilhas com indicação dos quantitativos e dos custos unitários, seguindo o mode</w:t>
      </w:r>
      <w:r>
        <w:rPr>
          <w:rFonts w:ascii="Cambria" w:hAnsi="Cambria" w:eastAsia="Arial" w:cs="Cambria"/>
          <w:b w:val="0"/>
          <w:i w:val="0"/>
          <w:smallCaps w:val="0"/>
          <w:strike w:val="0"/>
          <w:color w:val="000000"/>
          <w:sz w:val="14"/>
          <w:szCs w:val="14"/>
          <w:u w:val="none"/>
          <w:shd w:val="clear" w:color="auto" w:fill="auto"/>
          <w:vertAlign w:val="baseline"/>
          <w:rtl w:val="0"/>
        </w:rPr>
        <w:t xml:space="preserve">lo elaborado pela Administração, bem como com detalhamento das Bonificações e Despesas Indiretas (BDI) e dos Encargos Sociais (ES), com os respectivos valores adequados ao valor final da proposta vencedora, admitida a utilização dos preços unitários, no ca</w:t>
      </w:r>
      <w:r>
        <w:rPr>
          <w:rFonts w:ascii="Cambria" w:hAnsi="Cambria" w:eastAsia="Arial" w:cs="Cambria"/>
          <w:b w:val="0"/>
          <w:i w:val="0"/>
          <w:smallCaps w:val="0"/>
          <w:strike w:val="0"/>
          <w:color w:val="000000"/>
          <w:sz w:val="14"/>
          <w:szCs w:val="14"/>
          <w:u w:val="none"/>
          <w:shd w:val="clear" w:color="auto" w:fill="auto"/>
          <w:vertAlign w:val="baseline"/>
          <w:rtl w:val="0"/>
        </w:rPr>
        <w:t xml:space="preserve">so de empreitada por preço global, empreitada integral, contratação semi-integrada e contratação integrada, exclusivamente para eventuais adequações indispensáveis no cronograma físico-financeiro e para balizar excepcional aditamento posterior do contrato.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Erros no preenchimento da planilha não cons</w:t>
      </w:r>
      <w:r>
        <w:rPr>
          <w:rFonts w:ascii="Cambria" w:hAnsi="Cambria" w:eastAsia="Arial" w:cs="Cambria"/>
          <w:b w:val="0"/>
          <w:i w:val="0"/>
          <w:smallCaps w:val="0"/>
          <w:strike w:val="0"/>
          <w:color w:val="000000"/>
          <w:sz w:val="14"/>
          <w:szCs w:val="14"/>
          <w:u w:val="none"/>
          <w:shd w:val="clear" w:color="auto" w:fill="auto"/>
          <w:vertAlign w:val="baseline"/>
          <w:rtl w:val="0"/>
        </w:rPr>
        <w:t xml:space="preserve">tituem motivo para a desclassificação da proposta. A planilha poderá ser ajustada pelo fornecedor, no prazo indicado pelo sistema, desde que não haja majoração do preço e que se comprove que este é o bastante para arcar com todos os custos da contratação;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ajuste de que trata este dispositivo se limita a sanar erros ou falhas que não alterem a substância das propostas;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Considera-se erro no preenchimento da planilha passível de correção a indicação de recolhimento de impostos e contribuições na forma do Simples Nacional, quando não cabível esse regime.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Para fins de análise da proposta quanto ao cumprimento das especificações do objeto, poderá ser colhida a manifestação escrita do setor requisitante do serviço ou da área especializada no objeto.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 o Projeto Básico exija a apresentação de </w:t>
      </w:r>
      <w:sdt>
        <w:sdtPr>
          <w15:appearance w15:val="boundingBox"/>
          <w:showingPlcHdr w:val="true"/>
          <w:tag w:val="goog_rdk_27"/>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amostra</w:t>
      </w:r>
      <w:r>
        <w:rPr>
          <w:rFonts w:ascii="Cambria" w:hAnsi="Cambria" w:eastAsia="Arial" w:cs="Cambria"/>
          <w:b w:val="0"/>
          <w:i w:val="0"/>
          <w:smallCaps w:val="0"/>
          <w:strike w:val="0"/>
          <w:color w:val="000000"/>
          <w:sz w:val="14"/>
          <w:szCs w:val="14"/>
          <w:u w:val="none"/>
          <w:shd w:val="clear" w:color="auto" w:fill="auto"/>
          <w:vertAlign w:val="baseline"/>
          <w:rtl w:val="0"/>
        </w:rPr>
        <w:t xml:space="preserve">, o licitante classificado em primeiro lugar deverá apresentá-la, sob pena de não aceitação da proposta.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Por meio de mensagem no sistema, será divulgado o local e horário de realização do procedimento para a avaliação das amostras, cuja presença será facultada a todos os interessados, incluindo os demais licitantes.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resultados das avaliações serão divulgados por meio de mensagem no sistema.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 caso de não haver entrega da amostra ou ocorrer atraso na entrega, sem justificativa aceita pelo Agente de Contratação/Comissão, ou havendo entrega de amostra fora das especificações previstas neste Edital, a proposta do licitante será recusada.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 a(s) amostra(s) apresentada(s) pelo primeiro classificado não for(em) aceita(s), o Agente de Contratação/Comissão anali</w:t>
      </w:r>
      <w:r>
        <w:rPr>
          <w:rFonts w:ascii="Cambria" w:hAnsi="Cambria" w:eastAsia="Arial" w:cs="Cambria"/>
          <w:b w:val="0"/>
          <w:i w:val="0"/>
          <w:smallCaps w:val="0"/>
          <w:strike w:val="0"/>
          <w:color w:val="000000"/>
          <w:sz w:val="14"/>
          <w:szCs w:val="14"/>
          <w:u w:val="none"/>
          <w:shd w:val="clear" w:color="auto" w:fill="auto"/>
          <w:vertAlign w:val="baseline"/>
          <w:rtl w:val="0"/>
        </w:rPr>
        <w:t xml:space="preserve">sará a aceitabilidade da proposta ou lance ofertado pelo segundo classificado. Seguir-se-á com a verificação da(s) amostra(s) e, assim, sucessivamente, até a verificação de uma que atenda às especificações constantes no Projeto Básico/Termo de Referência. </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6" w:name="_heading=h.1hmsyys"/>
      <w:r>
        <w:rPr>
          <w:rFonts w:ascii="Cambria" w:hAnsi="Cambria" w:cs="Cambria"/>
          <w:sz w:val="14"/>
          <w:szCs w:val="14"/>
        </w:rPr>
      </w:r>
      <w:bookmarkEnd w:id="36"/>
      <w:r>
        <w:rPr>
          <w:rFonts w:ascii="Cambria" w:hAnsi="Cambria" w:eastAsia="Arial" w:cs="Cambria"/>
          <w:b/>
          <w:i w:val="0"/>
          <w:smallCaps w:val="0"/>
          <w:strike w:val="0"/>
          <w:color w:val="000000"/>
          <w:sz w:val="14"/>
          <w:szCs w:val="14"/>
          <w:u w:val="none"/>
          <w:shd w:val="clear" w:color="auto" w:fill="auto"/>
          <w:vertAlign w:val="baseline"/>
          <w:rtl w:val="0"/>
        </w:rPr>
        <w:t xml:space="preserve">DA FASE DE HABILITAÇÃO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documentos previstos no Projeto Básico/Termo de Referência, necessários e suficientes para demonstrar a capacidade do licitante de realizar o objeto da licitação, serão exigidos para fins de habilitação, nos termos dos </w:t>
      </w:r>
      <w:hyperlink r:id="rId37" w:tooltip="http://www.planalto.gov.br/ccivil_03/_ato2019-2022/2021/lei/L14133.htm#art62"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arts. 62 a 70 da 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Quando permitida a participação de empresas estrangeiras que não funcionem no País, as exigências de habilitação serão atendidas mediante documentos equivalentes, inicialmente apresentados em tradução livre.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Na hipótese de o licitante ven</w:t>
      </w:r>
      <w:r>
        <w:rPr>
          <w:rFonts w:ascii="Cambria" w:hAnsi="Cambria" w:eastAsia="Arial" w:cs="Cambria"/>
          <w:b w:val="0"/>
          <w:i w:val="0"/>
          <w:smallCaps w:val="0"/>
          <w:strike w:val="0"/>
          <w:color w:val="000000"/>
          <w:sz w:val="14"/>
          <w:szCs w:val="14"/>
          <w:u w:val="none"/>
          <w:shd w:val="clear" w:color="auto" w:fill="auto"/>
          <w:vertAlign w:val="baseline"/>
          <w:rtl w:val="0"/>
        </w:rPr>
        <w:t xml:space="preserve">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8" w:tooltip="https://www.planalto.gov.br/ccivil_03/_ato2015-2018/2016/decreto/d8660.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Decreto nº 8.660, de 29 de janeiro de 2016</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ou de outro que venha a substituí-lo, ou consularizados pelos respectivos consulados ou embaixadas.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Quando permitida a participação de cons</w:t>
      </w:r>
      <w:r>
        <w:rPr>
          <w:rFonts w:ascii="Cambria" w:hAnsi="Cambria" w:eastAsia="Arial" w:cs="Cambria"/>
          <w:b w:val="0"/>
          <w:i w:val="0"/>
          <w:smallCaps w:val="0"/>
          <w:strike w:val="0"/>
          <w:color w:val="000000"/>
          <w:sz w:val="14"/>
          <w:szCs w:val="14"/>
          <w:u w:val="none"/>
          <w:shd w:val="clear" w:color="auto" w:fill="auto"/>
          <w:vertAlign w:val="baseline"/>
          <w:rtl w:val="0"/>
        </w:rPr>
        <w:t xml:space="preserve">órcio de empresas, a habilitação técnica, quando exigida, será feita por meio do somatório dos quantitativos de cada consorciado e, para efeito de habilitação econômico-financeira, quando exigida, será observado o somatório dos valores de cada consorciado.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 o consórcio não for formado integralmente por microempresas ou empresas de pequeno porte e o projeto básico/termo de referência exigir requisitos de habilitação econômico-financeira, haverá um acréscimo de </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30 %, SALVO SE HOUVER JUSTIFICATIVA NOS AUTOS PARA SUPRIMIR ESSE ACRÉSCIMO</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 para o consórcio em r</w:t>
      </w:r>
      <w:r>
        <w:rPr>
          <w:rFonts w:ascii="Cambria" w:hAnsi="Cambria" w:eastAsia="Arial" w:cs="Cambria"/>
          <w:b w:val="0"/>
          <w:i w:val="0"/>
          <w:smallCaps w:val="0"/>
          <w:strike w:val="0"/>
          <w:color w:val="000000"/>
          <w:sz w:val="14"/>
          <w:szCs w:val="14"/>
          <w:u w:val="none"/>
          <w:shd w:val="clear" w:color="auto" w:fill="auto"/>
          <w:vertAlign w:val="baseline"/>
          <w:rtl w:val="0"/>
        </w:rPr>
        <w:t xml:space="preserve">elação ao valor exigido para os licitantes individuais.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documentos exigidos para fins de habilitação poderão ser apresentados em original, por cópia.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documentos exigidos para fins de habilitação poderão ser substituídos por registro cadastral emitido por órgão ou entidade pública, desde que o registro tenha sido feito em obediência ao disposto na Lei nº 14.133/2021.</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28"/>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Será verificado se o licitante apresentou declaração de que atende aos requisitos de habilitação, e o declarante responderá pela veracidade das informações prestadas, na forma da lei (</w:t>
      </w:r>
      <w:r>
        <w:rPr>
          <w:rFonts w:ascii="Cambria" w:hAnsi="Cambria" w:cs="Cambria"/>
          <w:sz w:val="14"/>
          <w:szCs w:val="14"/>
        </w:rPr>
      </w:r>
      <w:hyperlink r:id="rId39" w:tooltip="http://www.planalto.gov.br/ccivil_03/_ato2019-2022/2021/lei/L14133.htm#art63"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63, I, da Lei nº 14.133/2021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Será</w:t>
      </w:r>
      <w:r>
        <w:rPr>
          <w:rFonts w:ascii="Cambria" w:hAnsi="Cambria" w:eastAsia="Arial" w:cs="Cambria"/>
          <w:b w:val="0"/>
          <w:i w:val="0"/>
          <w:smallCaps w:val="0"/>
          <w:strike w:val="0"/>
          <w:color w:val="000000"/>
          <w:sz w:val="14"/>
          <w:szCs w:val="14"/>
          <w:u w:val="none"/>
          <w:shd w:val="clear" w:color="auto" w:fill="auto"/>
          <w:vertAlign w:val="baseline"/>
          <w:rtl w:val="0"/>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deverá apresentar, sob pena de desclassificação, declaração de que suas propostas econômicas compreendem a integralidade </w:t>
      </w:r>
      <w:r>
        <w:rPr>
          <w:rFonts w:ascii="Cambria" w:hAnsi="Cambria" w:eastAsia="Arial" w:cs="Cambria"/>
          <w:b w:val="0"/>
          <w:i w:val="0"/>
          <w:smallCaps w:val="0"/>
          <w:strike w:val="0"/>
          <w:color w:val="000000"/>
          <w:sz w:val="14"/>
          <w:szCs w:val="14"/>
          <w:u w:val="none"/>
          <w:shd w:val="clear" w:color="auto" w:fill="auto"/>
          <w:vertAlign w:val="baseline"/>
          <w:rtl w:val="0"/>
        </w:rPr>
        <w:t xml:space="preserve">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29"/>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Considerando que na presente contratação a avaliação prévia do local de execução é imprescindível pa</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ra o conhecimento pleno das condições e peculiaridades do objeto a ser contratado, o licitante deve atestar, sob pena de inabilitação, que conhece o local e as condições de realização do serviço, assegurado a ele o direito de realização de vistoria prévia.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O licitante que optar por realizar vistoria prévia terá disponibilizado pela Administração data e horário exclusivos, a se</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r agendado através do telefone (55) 3372-3224 – horário de atendimento das 07 às 13hs,  de modo que seu agendamento não coincida com o agendamento de outros licitantes, devendo ser realizado em até 03 dias úteis anteriores a data de abertura das propostas.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Caso o licitante opte por não realizar vistoria, poderá substituir a declaração exigida no presente item por declaração formal assinada pelo seu responsável técnico acerca do conhecimento pleno das condições e peculiaridades da contratação.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É de responsabilidade do licitante conferir a e</w:t>
      </w:r>
      <w:r>
        <w:rPr>
          <w:rFonts w:ascii="Cambria" w:hAnsi="Cambria" w:eastAsia="Arial" w:cs="Cambria"/>
          <w:b w:val="0"/>
          <w:i w:val="0"/>
          <w:smallCaps w:val="0"/>
          <w:strike w:val="0"/>
          <w:color w:val="000000"/>
          <w:sz w:val="14"/>
          <w:szCs w:val="14"/>
          <w:u w:val="none"/>
          <w:shd w:val="clear" w:color="auto" w:fill="auto"/>
          <w:vertAlign w:val="baseline"/>
          <w:rtl w:val="0"/>
        </w:rPr>
        <w:t xml:space="preserve">xatidão dos seus dados cadastrais e  mantê-los atualizados junto aos órgãos responsáveis pela informação, devendo proceder, imediatamente, à correção ou à alteração dos registros tão logo identifique incorreção ou aqueles se tornem desatualizados.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não observância do disposto no item anterior poderá ensejar desclassificação no momento da habilitação.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verificação pelo Agente de Contratação/Comissão, em sítios eletrônicos oficiais de órgãos e entidades emissores de certidões constitui meio legal de prova, para fins de habilitação.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8" w:name="_heading=h.2grqrue"/>
      <w:r>
        <w:rPr>
          <w:rFonts w:ascii="Cambria" w:hAnsi="Cambria" w:cs="Cambria"/>
          <w:sz w:val="14"/>
          <w:szCs w:val="14"/>
        </w:rPr>
      </w:r>
      <w:bookmarkEnd w:id="38"/>
      <w:r>
        <w:rPr>
          <w:rFonts w:ascii="Cambria" w:hAnsi="Cambria" w:eastAsia="Arial" w:cs="Cambria"/>
          <w:b w:val="0"/>
          <w:i w:val="0"/>
          <w:smallCaps w:val="0"/>
          <w:strike w:val="0"/>
          <w:color w:val="000000"/>
          <w:sz w:val="14"/>
          <w:szCs w:val="14"/>
          <w:u w:val="none"/>
          <w:shd w:val="clear" w:color="auto" w:fill="auto"/>
          <w:vertAlign w:val="baseline"/>
          <w:rtl w:val="0"/>
        </w:rPr>
        <w:t xml:space="preserve">Os documentos exigidos para habilitação deverão enviados por meio do sistema, em formato digital, no prazo de </w:t>
      </w:r>
      <w:r>
        <w:rPr>
          <w:rFonts w:ascii="Cambria" w:hAnsi="Cambria" w:eastAsia="Arial" w:cs="Cambria"/>
          <w:b/>
          <w:bCs/>
          <w:i w:val="0"/>
          <w:smallCaps w:val="0"/>
          <w:strike w:val="0"/>
          <w:color w:val="000000"/>
          <w:sz w:val="14"/>
          <w:szCs w:val="14"/>
          <w:u w:val="none"/>
          <w:shd w:val="clear" w:color="auto" w:fill="auto"/>
          <w:vertAlign w:val="baseline"/>
          <w:rtl w:val="0"/>
        </w:rPr>
        <w:t xml:space="preserve">02 (duas) horas</w:t>
      </w:r>
      <w:r>
        <w:rPr>
          <w:rFonts w:ascii="Cambria" w:hAnsi="Cambria" w:eastAsia="Arial" w:cs="Cambria"/>
          <w:b/>
          <w:bCs/>
          <w:i w:val="0"/>
          <w:smallCaps w:val="0"/>
          <w:strike w:val="0"/>
          <w:color w:val="000000"/>
          <w:sz w:val="14"/>
          <w:szCs w:val="14"/>
          <w:u w:val="none"/>
          <w:shd w:val="clear" w:color="auto" w:fill="auto"/>
          <w:vertAlign w:val="baseline"/>
          <w:rtl w:val="0"/>
        </w:rPr>
        <w:t xml:space="preserve">,</w:t>
      </w:r>
      <w:r>
        <w:rPr>
          <w:rFonts w:ascii="Cambria" w:hAnsi="Cambria" w:eastAsia="Arial" w:cs="Cambria"/>
          <w:b w:val="0"/>
          <w:i w:val="0"/>
          <w:smallCaps w:val="0"/>
          <w:strike w:val="0"/>
          <w:color w:val="000000"/>
          <w:sz w:val="14"/>
          <w:szCs w:val="14"/>
          <w:u w:val="none"/>
          <w:shd w:val="clear" w:color="auto" w:fill="auto"/>
          <w:vertAlign w:val="baseline"/>
          <w:rtl w:val="0"/>
        </w:rPr>
        <w:t xml:space="preserve"> prorrogável por igual período, contado da solicitação do Agente de Contratação/Comissão.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Na hipótese de a fase de habilitação anteceder a fase de apresentação de propostas e lances, os licitantes encaminharão, por meio do sistema, simultaneamente os documentos de habilitação e a proposta com o preço ou o percentual de desconto.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highlight w:val="none"/>
          <w:u w:val="none"/>
          <w:vertAlign w:val="baseline"/>
          <w:rtl w:val="0"/>
        </w:rPr>
        <w:t xml:space="preserve">A verificação da habilitação somente será feita em relação ao licitante vencedor.</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documentos relativos à regularidade fiscal que constem do Projeto Básico somente serão exigidos, em qualquer caso, em momento posterior ao julgamento das propostas, e apenas do licitante mais bem classificado.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Respeitada</w:t>
      </w:r>
      <w:r>
        <w:rPr>
          <w:rFonts w:ascii="Cambria" w:hAnsi="Cambria" w:eastAsia="Arial" w:cs="Cambria"/>
          <w:b w:val="0"/>
          <w:i w:val="0"/>
          <w:smallCaps w:val="0"/>
          <w:strike w:val="0"/>
          <w:color w:val="000000"/>
          <w:sz w:val="14"/>
          <w:szCs w:val="14"/>
          <w:u w:val="none"/>
          <w:shd w:val="clear" w:color="auto" w:fill="auto"/>
          <w:vertAlign w:val="baseline"/>
          <w:rtl w:val="0"/>
        </w:rPr>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30"/>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Após a entrega dos documentos para habilitação, não será permitida a substituição ou a apresentação de novos documentos, salvo em sede de diligência, para (</w:t>
      </w:r>
      <w:hyperlink r:id="rId40" w:tooltip="http://www.planalto.gov.br/ccivil_03/_ato2019-2022/2021/lei/L14133.htm#art64"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14.133/21, art. 64</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complementação de informações acerca dos documentos já apresentados pelos licitantes e desde que necessária para apurar fatos existentes à época da abertura do certame; 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atualização de documentos cuja validade tenha expirado após a data de recebimento das propostas;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9" w:name="_heading=h.vx1227"/>
      <w:r>
        <w:rPr>
          <w:rFonts w:ascii="Cambria" w:hAnsi="Cambria" w:cs="Cambria"/>
          <w:sz w:val="14"/>
          <w:szCs w:val="14"/>
        </w:rPr>
      </w:r>
      <w:bookmarkEnd w:id="39"/>
      <w:r>
        <w:rPr>
          <w:rFonts w:ascii="Cambria" w:hAnsi="Cambria" w:eastAsia="Arial" w:cs="Cambria"/>
          <w:b w:val="0"/>
          <w:i w:val="0"/>
          <w:smallCaps w:val="0"/>
          <w:strike w:val="0"/>
          <w:color w:val="000000"/>
          <w:sz w:val="14"/>
          <w:szCs w:val="14"/>
          <w:u w:val="none"/>
          <w:shd w:val="clear" w:color="auto" w:fill="auto"/>
          <w:vertAlign w:val="baseline"/>
          <w:rtl w:val="0"/>
        </w:rPr>
        <w:t xml:space="preserve">Na análise dos documentos de habilitação, a co</w:t>
      </w:r>
      <w:r>
        <w:rPr>
          <w:rFonts w:ascii="Cambria" w:hAnsi="Cambria" w:eastAsia="Arial" w:cs="Cambria"/>
          <w:b w:val="0"/>
          <w:i w:val="0"/>
          <w:smallCaps w:val="0"/>
          <w:strike w:val="0"/>
          <w:color w:val="000000"/>
          <w:sz w:val="14"/>
          <w:szCs w:val="14"/>
          <w:u w:val="none"/>
          <w:shd w:val="clear" w:color="auto" w:fill="auto"/>
          <w:vertAlign w:val="baseline"/>
          <w:rtl w:val="0"/>
        </w:rPr>
        <w:t xml:space="preserve">missão de contratação poderá sanar erros ou falhas, que não alterem a substância dos documentos e sua validade jurídica, mediante decisão fundamentada, registrada em ata e acessível a todos, atribuindo-lhes eﬁcácia para fins de habilitação e classificação.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0" w:name="_heading=h.3fwokq0"/>
      <w:r>
        <w:rPr>
          <w:rFonts w:ascii="Cambria" w:hAnsi="Cambria" w:cs="Cambria"/>
          <w:sz w:val="14"/>
          <w:szCs w:val="14"/>
        </w:rPr>
      </w:r>
      <w:bookmarkEnd w:id="40"/>
      <w:r>
        <w:rPr>
          <w:rFonts w:ascii="Cambria" w:hAnsi="Cambria" w:eastAsia="Arial" w:cs="Cambria"/>
          <w:b w:val="0"/>
          <w:i w:val="0"/>
          <w:smallCaps w:val="0"/>
          <w:strike w:val="0"/>
          <w:color w:val="000000"/>
          <w:sz w:val="14"/>
          <w:szCs w:val="14"/>
          <w:u w:val="none"/>
          <w:shd w:val="clear" w:color="auto" w:fill="auto"/>
          <w:vertAlign w:val="baseline"/>
          <w:rtl w:val="0"/>
        </w:rPr>
        <w:t xml:space="preserve">Na hipótese de o licitante não atender </w:t>
      </w:r>
      <w:r>
        <w:rPr>
          <w:rFonts w:ascii="Cambria" w:hAnsi="Cambria" w:eastAsia="Arial" w:cs="Cambria"/>
          <w:b w:val="0"/>
          <w:i w:val="0"/>
          <w:smallCaps w:val="0"/>
          <w:strike w:val="0"/>
          <w:color w:val="000000"/>
          <w:sz w:val="14"/>
          <w:szCs w:val="14"/>
          <w:u w:val="none"/>
          <w:shd w:val="clear" w:color="auto" w:fill="auto"/>
          <w:vertAlign w:val="baseline"/>
          <w:rtl w:val="0"/>
        </w:rPr>
        <w:t xml:space="preserve">às exigências para habilitação, o Agente de Contratação/Comissão examinará a proposta subsequente e assim sucessivamente, na ordem de classificação, até a apuração de uma proposta que atenda ao presente edital, observado o prazo disposto no subitem 8.12.1.</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1" w:name="_heading=h.1v1yuxt"/>
      <w:r>
        <w:rPr>
          <w:rFonts w:ascii="Cambria" w:hAnsi="Cambria" w:cs="Cambria"/>
          <w:sz w:val="14"/>
          <w:szCs w:val="14"/>
        </w:rPr>
      </w:r>
      <w:bookmarkEnd w:id="41"/>
      <w:r>
        <w:rPr>
          <w:rFonts w:ascii="Cambria" w:hAnsi="Cambria" w:eastAsia="Arial" w:cs="Cambria"/>
          <w:b w:val="0"/>
          <w:i w:val="0"/>
          <w:smallCaps w:val="0"/>
          <w:strike w:val="0"/>
          <w:color w:val="000000"/>
          <w:sz w:val="14"/>
          <w:szCs w:val="14"/>
          <w:u w:val="none"/>
          <w:shd w:val="clear" w:color="auto" w:fill="auto"/>
          <w:vertAlign w:val="baseline"/>
          <w:rtl w:val="0"/>
        </w:rPr>
        <w:t xml:space="preserve">Somente serão disponibilizados para acesso público os documentos de habilitação do licitante cuja proposta atenda ao edital de licitação, após concluídos os procedimentos de que trata o subitem anterior.</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Quando a fase de habilitação anteceder a de julgamento e já tiver sido encerrada, não caberá exclusão de licitante por motivo relacionado à habilitação, salvo em razão de fatos supervenientes ou só conhecidos após o julgamento.</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4" w:name="_heading=h.19c6y18"/>
      <w:r>
        <w:rPr>
          <w:rFonts w:ascii="Cambria" w:hAnsi="Cambria" w:cs="Cambria"/>
          <w:sz w:val="14"/>
          <w:szCs w:val="14"/>
        </w:rPr>
      </w:r>
      <w:bookmarkEnd w:id="44"/>
      <w:r>
        <w:rPr>
          <w:rFonts w:ascii="Cambria" w:hAnsi="Cambria" w:eastAsia="Arial" w:cs="Cambria"/>
          <w:b/>
          <w:i w:val="0"/>
          <w:smallCaps w:val="0"/>
          <w:strike w:val="0"/>
          <w:color w:val="000000"/>
          <w:sz w:val="14"/>
          <w:szCs w:val="14"/>
          <w:u w:val="none"/>
          <w:shd w:val="clear" w:color="auto" w:fill="auto"/>
          <w:vertAlign w:val="baseline"/>
          <w:rtl w:val="0"/>
        </w:rPr>
        <w:t xml:space="preserve">DOS RECURSOS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interposição de recurso referente ao julgamento das propostas, à habilitação ou inabilitação de licitantes, à anulação ou revogação da licitação, observará o disposto no </w:t>
      </w:r>
      <w:hyperlink r:id="rId41" w:tooltip="http://www.planalto.gov.br/ccivil_03/_ato2019-2022/2021/lei/L14133.htm#art165"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165 da 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prazo recursal é de 03 (três) dias úteis, contados da data de intimação ou de lavratura da ata.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Quando o recurso apresentado impugnar o julgamento das propostas ou o ato de habilitação ou inabilitação do licitante: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intenção de recorrer deverá ser manifestada imediatamente, sob pena de preclusão;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highlight w:val="none"/>
          <w:u w:val="none"/>
          <w:vertAlign w:val="baseline"/>
          <w:rtl w:val="0"/>
        </w:rPr>
        <w:t xml:space="preserve">o prazo para a manifestação da intenção de recorrer não será inferior a</w:t>
      </w:r>
      <w:r>
        <w:rPr>
          <w:rFonts w:ascii="Cambria" w:hAnsi="Cambria" w:eastAsia="Arial" w:cs="Cambria"/>
          <w:b w:val="0"/>
          <w:i w:val="0"/>
          <w:smallCaps w:val="0"/>
          <w:strike w:val="0"/>
          <w:color w:val="000000"/>
          <w:sz w:val="14"/>
          <w:szCs w:val="14"/>
          <w:highlight w:val="none"/>
          <w:u w:val="none"/>
          <w:vertAlign w:val="baseline"/>
          <w:rtl w:val="0"/>
        </w:rPr>
        <w:t xml:space="preserve"> 60 (sessenta) minutos.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prazo para apresentação das razões recursais será iniciado na data de intimação ou de lavratura da ata de habilitação ou inabilitação;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na hipótese de adoção da inversão de fases prevista no </w:t>
      </w:r>
      <w:hyperlink r:id="rId42" w:tooltip="http://www.planalto.gov.br/ccivil_03/_ato2019-2022/2021/lei/L14133.htm#art17%C2%A71"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 1º do art. 17 da 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o prazo para apresentação das razões recursais será iniciado na data de intimação da ata de julgamento.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recursos deverão ser encaminhados </w:t>
      </w:r>
      <w:r>
        <w:rPr>
          <w:rFonts w:ascii="Cambria" w:hAnsi="Cambria" w:eastAsia="Arial" w:cs="Cambria"/>
          <w:b/>
          <w:bCs/>
          <w:i w:val="0"/>
          <w:smallCaps w:val="0"/>
          <w:strike w:val="0"/>
          <w:color w:val="000000"/>
          <w:sz w:val="14"/>
          <w:szCs w:val="14"/>
          <w:u w:val="none"/>
          <w:shd w:val="clear" w:color="auto" w:fill="auto"/>
          <w:vertAlign w:val="baseline"/>
          <w:rtl w:val="0"/>
        </w:rPr>
        <w:t xml:space="preserve">EXCLUSIVAMENTE</w:t>
      </w:r>
      <w:r>
        <w:rPr>
          <w:rFonts w:ascii="Cambria" w:hAnsi="Cambria" w:eastAsia="Arial" w:cs="Cambria"/>
          <w:b w:val="0"/>
          <w:i w:val="0"/>
          <w:smallCaps w:val="0"/>
          <w:strike w:val="0"/>
          <w:color w:val="000000"/>
          <w:sz w:val="14"/>
          <w:szCs w:val="14"/>
          <w:u w:val="none"/>
          <w:shd w:val="clear" w:color="auto" w:fill="auto"/>
          <w:vertAlign w:val="baseline"/>
          <w:rtl w:val="0"/>
        </w:rPr>
        <w:t xml:space="preserve"> em campo próprio do sistema.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recurso será dirigido à autoridade que tiver editado o ato ou proferido a decisã</w:t>
      </w:r>
      <w:r>
        <w:rPr>
          <w:rFonts w:ascii="Cambria" w:hAnsi="Cambria" w:eastAsia="Arial" w:cs="Cambria"/>
          <w:b w:val="0"/>
          <w:i w:val="0"/>
          <w:smallCaps w:val="0"/>
          <w:strike w:val="0"/>
          <w:color w:val="000000"/>
          <w:sz w:val="14"/>
          <w:szCs w:val="14"/>
          <w:u w:val="none"/>
          <w:shd w:val="clear" w:color="auto" w:fill="auto"/>
          <w:vertAlign w:val="baseline"/>
          <w:rtl w:val="0"/>
        </w:rPr>
        <w:t xml:space="preserve">o recorrida, a qual poderá reconsiderar sua decisão no prazo de 3 (três) dias úteis, ou, nesse mesmo prazo, encaminhar recurso para a autoridade superior, a qual deverá proferir sua decisão no prazo de 10 (dez) dias úteis, contado do recebimento dos autos.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recursos interpostos fora do prazo não serão conhecidos.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prazo para aprese</w:t>
      </w:r>
      <w:r>
        <w:rPr>
          <w:rFonts w:ascii="Cambria" w:hAnsi="Cambria" w:eastAsia="Arial" w:cs="Cambria"/>
          <w:b w:val="0"/>
          <w:i w:val="0"/>
          <w:smallCaps w:val="0"/>
          <w:strike w:val="0"/>
          <w:color w:val="000000"/>
          <w:sz w:val="14"/>
          <w:szCs w:val="14"/>
          <w:u w:val="none"/>
          <w:shd w:val="clear" w:color="auto" w:fill="auto"/>
          <w:vertAlign w:val="baseline"/>
          <w:rtl w:val="0"/>
        </w:rPr>
        <w:t xml:space="preserve">ntação de contrarrazões ao recurso pelos demais licitantes será de 3 (três) dias úteis, contados da data da intimação pessoal ou da divulgação da interposição do recurso, assegurada a vista imediata dos elementos indispensáveis à defesa de seus interesses.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recurso e o pedido de reconsideração terão efeito suspensivo do ato ou da decisão recorrida até que sobrevenha decisão final da autoridade competente.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acolhimento do recurso invalida tão somente os atos insuscetíveis de aproveitamento.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autos do processo permanecerão com vista franqueada aos interessados no sítio eletrônico www.santabarbaradosul.rs.gov.br. </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5" w:name="_heading=h.3tbugp1"/>
      <w:r>
        <w:rPr>
          <w:rFonts w:ascii="Cambria" w:hAnsi="Cambria" w:cs="Cambria"/>
          <w:sz w:val="14"/>
          <w:szCs w:val="14"/>
        </w:rPr>
      </w:r>
      <w:bookmarkEnd w:id="45"/>
      <w:r>
        <w:rPr>
          <w:rFonts w:ascii="Cambria" w:hAnsi="Cambria" w:cs="Cambria"/>
          <w:sz w:val="14"/>
          <w:szCs w:val="14"/>
        </w:rPr>
      </w:r>
      <w:sdt>
        <w:sdtPr>
          <w15:appearance w15:val="boundingBox"/>
          <w:showingPlcHdr w:val="true"/>
          <w:tag w:val="goog_rdk_40"/>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i w:val="0"/>
          <w:smallCaps w:val="0"/>
          <w:strike w:val="0"/>
          <w:color w:val="000000"/>
          <w:sz w:val="14"/>
          <w:szCs w:val="14"/>
          <w:u w:val="none"/>
          <w:shd w:val="clear" w:color="auto" w:fill="auto"/>
          <w:vertAlign w:val="baseline"/>
          <w:rtl w:val="0"/>
        </w:rPr>
        <w:t xml:space="preserve">DAS INFRAÇÕES ADMINISTRATIVAS E SANÇÕES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Comete infração administrativa, nos termos da lei, o licitante que, com dolo ou culpa: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6" w:name="_heading=h.28h4qwu"/>
      <w:r>
        <w:rPr>
          <w:rFonts w:ascii="Cambria" w:hAnsi="Cambria" w:cs="Cambria"/>
          <w:sz w:val="14"/>
          <w:szCs w:val="14"/>
        </w:rPr>
      </w:r>
      <w:bookmarkEnd w:id="46"/>
      <w:r>
        <w:rPr>
          <w:rFonts w:ascii="Cambria" w:hAnsi="Cambria" w:eastAsia="Arial" w:cs="Cambria"/>
          <w:b w:val="0"/>
          <w:i w:val="0"/>
          <w:smallCaps w:val="0"/>
          <w:strike w:val="0"/>
          <w:color w:val="000000"/>
          <w:sz w:val="14"/>
          <w:szCs w:val="14"/>
          <w:u w:val="none"/>
          <w:shd w:val="clear" w:color="auto" w:fill="auto"/>
          <w:vertAlign w:val="baseline"/>
          <w:rtl w:val="0"/>
        </w:rPr>
        <w:t xml:space="preserve">deixar de entregar a documentação exigida para o certame ou não entregar qualquer documento que tenha sido solicitado pelo Agente de Contratação/Comissão durante o certame;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7" w:name="_heading=h.nmf14n"/>
      <w:r>
        <w:rPr>
          <w:rFonts w:ascii="Cambria" w:hAnsi="Cambria" w:cs="Cambria"/>
          <w:sz w:val="14"/>
          <w:szCs w:val="14"/>
        </w:rPr>
      </w:r>
      <w:bookmarkEnd w:id="47"/>
      <w:r>
        <w:rPr>
          <w:rFonts w:ascii="Cambria" w:hAnsi="Cambria" w:eastAsia="Arial" w:cs="Cambria"/>
          <w:b w:val="0"/>
          <w:i w:val="0"/>
          <w:smallCaps w:val="0"/>
          <w:strike w:val="0"/>
          <w:color w:val="000000"/>
          <w:sz w:val="14"/>
          <w:szCs w:val="14"/>
          <w:u w:val="none"/>
          <w:shd w:val="clear" w:color="auto" w:fill="auto"/>
          <w:vertAlign w:val="baseline"/>
          <w:rtl w:val="0"/>
        </w:rPr>
        <w:t xml:space="preserve">Salvo em decorrência de fato superveniente devidamente justificado, não mantiver a proposta em especial quando:</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enviar a proposta adequada ao último lance ofertado ou após a negociação; </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recusar-se a enviar o detalhamento da proposta quando exigível; </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pedir para ser desclassificado quando encerrada a etapa competitiva; </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deixar de apresentar amostra; ou</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apresentar proposta ou amostra em desacordo com as especificações do edital;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8" w:name="_heading=h.37m2jsg"/>
      <w:r>
        <w:rPr>
          <w:rFonts w:ascii="Cambria" w:hAnsi="Cambria" w:cs="Cambria"/>
          <w:sz w:val="14"/>
          <w:szCs w:val="14"/>
        </w:rPr>
      </w:r>
      <w:bookmarkEnd w:id="48"/>
      <w:r>
        <w:rPr>
          <w:rFonts w:ascii="Cambria" w:hAnsi="Cambria" w:eastAsia="Arial" w:cs="Cambria"/>
          <w:b w:val="0"/>
          <w:i w:val="0"/>
          <w:smallCaps w:val="0"/>
          <w:strike w:val="0"/>
          <w:color w:val="000000"/>
          <w:sz w:val="14"/>
          <w:szCs w:val="14"/>
          <w:u w:val="none"/>
          <w:shd w:val="clear" w:color="auto" w:fill="auto"/>
          <w:vertAlign w:val="baseline"/>
          <w:rtl w:val="0"/>
        </w:rPr>
        <w:t xml:space="preserve">não celebrar o contrato ou não entregar a documentação exigida para a contratação, quando convocado dentro do prazo de validade de sua proposta;</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recusar-se, sem justificativa, a assinar o contrato ou a ata de registro de preço, ou a aceitar ou retirar o instrumento equivalente no prazo estabelecido pela Administração;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9" w:name="_heading=h.1mrcu09"/>
      <w:r>
        <w:rPr>
          <w:rFonts w:ascii="Cambria" w:hAnsi="Cambria" w:cs="Cambria"/>
          <w:sz w:val="14"/>
          <w:szCs w:val="14"/>
        </w:rPr>
      </w:r>
      <w:bookmarkEnd w:id="49"/>
      <w:r>
        <w:rPr>
          <w:rFonts w:ascii="Cambria" w:hAnsi="Cambria" w:eastAsia="Arial" w:cs="Cambria"/>
          <w:b w:val="0"/>
          <w:i w:val="0"/>
          <w:smallCaps w:val="0"/>
          <w:strike w:val="0"/>
          <w:color w:val="000000"/>
          <w:sz w:val="14"/>
          <w:szCs w:val="14"/>
          <w:u w:val="none"/>
          <w:shd w:val="clear" w:color="auto" w:fill="auto"/>
          <w:vertAlign w:val="baseline"/>
          <w:rtl w:val="0"/>
        </w:rPr>
        <w:t xml:space="preserve">apresentar declaração ou documentação falsa exigida para o certame ou prestar declaração falsa durante a licitação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0" w:name="_heading=h.46r0co2"/>
      <w:r>
        <w:rPr>
          <w:rFonts w:ascii="Cambria" w:hAnsi="Cambria" w:cs="Cambria"/>
          <w:sz w:val="14"/>
          <w:szCs w:val="14"/>
        </w:rPr>
      </w:r>
      <w:bookmarkEnd w:id="50"/>
      <w:r>
        <w:rPr>
          <w:rFonts w:ascii="Cambria" w:hAnsi="Cambria" w:eastAsia="Arial" w:cs="Cambria"/>
          <w:b w:val="0"/>
          <w:i w:val="0"/>
          <w:smallCaps w:val="0"/>
          <w:strike w:val="0"/>
          <w:color w:val="000000"/>
          <w:sz w:val="14"/>
          <w:szCs w:val="14"/>
          <w:u w:val="none"/>
          <w:shd w:val="clear" w:color="auto" w:fill="auto"/>
          <w:vertAlign w:val="baseline"/>
          <w:rtl w:val="0"/>
        </w:rPr>
        <w:t xml:space="preserve">fraudar a licitação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1" w:name="_heading=h.2lwamvv"/>
      <w:r>
        <w:rPr>
          <w:rFonts w:ascii="Cambria" w:hAnsi="Cambria" w:cs="Cambria"/>
          <w:sz w:val="14"/>
          <w:szCs w:val="14"/>
        </w:rPr>
      </w:r>
      <w:bookmarkEnd w:id="51"/>
      <w:r>
        <w:rPr>
          <w:rFonts w:ascii="Cambria" w:hAnsi="Cambria" w:eastAsia="Arial" w:cs="Cambria"/>
          <w:b w:val="0"/>
          <w:i w:val="0"/>
          <w:smallCaps w:val="0"/>
          <w:strike w:val="0"/>
          <w:color w:val="000000"/>
          <w:sz w:val="14"/>
          <w:szCs w:val="14"/>
          <w:u w:val="none"/>
          <w:shd w:val="clear" w:color="auto" w:fill="auto"/>
          <w:vertAlign w:val="baseline"/>
          <w:rtl w:val="0"/>
        </w:rPr>
        <w:t xml:space="preserve">comportar-se de modo inidôneo ou cometer fraude de qualquer natureza, em especial quando:</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induzir deliberadamente a erro no julgamento; </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apresentar amostra falsificada ou deteriorada;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2" w:name="_heading=h.111kx3o"/>
      <w:r>
        <w:rPr>
          <w:rFonts w:ascii="Cambria" w:hAnsi="Cambria" w:cs="Cambria"/>
          <w:sz w:val="14"/>
          <w:szCs w:val="14"/>
        </w:rPr>
      </w:r>
      <w:bookmarkEnd w:id="52"/>
      <w:r>
        <w:rPr>
          <w:rFonts w:ascii="Cambria" w:hAnsi="Cambria" w:eastAsia="Arial" w:cs="Cambria"/>
          <w:b w:val="0"/>
          <w:i w:val="0"/>
          <w:smallCaps w:val="0"/>
          <w:strike w:val="0"/>
          <w:color w:val="000000"/>
          <w:sz w:val="14"/>
          <w:szCs w:val="14"/>
          <w:u w:val="none"/>
          <w:shd w:val="clear" w:color="auto" w:fill="auto"/>
          <w:vertAlign w:val="baseline"/>
          <w:rtl w:val="0"/>
        </w:rPr>
        <w:t xml:space="preserve">praticar atos ilícitos com vistas a frustrar os objetivos da licitação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3" w:name="_heading=h.3l18frh"/>
      <w:r>
        <w:rPr>
          <w:rFonts w:ascii="Cambria" w:hAnsi="Cambria" w:cs="Cambria"/>
          <w:sz w:val="14"/>
          <w:szCs w:val="14"/>
        </w:rPr>
      </w:r>
      <w:bookmarkEnd w:id="53"/>
      <w:r>
        <w:rPr>
          <w:rFonts w:ascii="Cambria" w:hAnsi="Cambria" w:eastAsia="Arial" w:cs="Cambria"/>
          <w:b w:val="0"/>
          <w:i w:val="0"/>
          <w:smallCaps w:val="0"/>
          <w:strike w:val="0"/>
          <w:color w:val="000000"/>
          <w:sz w:val="14"/>
          <w:szCs w:val="14"/>
          <w:u w:val="none"/>
          <w:shd w:val="clear" w:color="auto" w:fill="auto"/>
          <w:vertAlign w:val="baseline"/>
          <w:rtl w:val="0"/>
        </w:rPr>
        <w:t xml:space="preserve">praticar ato lesivo previsto no </w:t>
      </w:r>
      <w:hyperlink r:id="rId43" w:tooltip="https://www.planalto.gov.br/ccivil_03/_ato2011-2014/2013/lei/l12846.htm#art5"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5º da Lei n.º 12.846, de 2013</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Com fulcro na </w:t>
      </w:r>
      <w:hyperlink r:id="rId44" w:tooltip="http://www.planalto.gov.br/ccivil_03/_ato2019-2022/2021/lei/L14133.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a Administração poderá, garantida a prévia defesa, aplicar aos licitantes e/ou adjudicatários as seguintes sanções, sem prejuízo das responsabilidades civil e criminal: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advertência;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multa;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impedimento de licitar e contratar; 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declaração de inidoneidade para licitar ou contratar, enquanto perdurarem os motivos determinantes da punição ou até que seja promovida sua reabilitação perante a própria autoridade que aplicou a penalidade.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Na aplicação das sanções serão considerados: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natureza e a gravidade da infração cometida.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as peculiaridades do caso concreto;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as circunstâncias agravantes ou atenuantes;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danos que dela provierem para a Administração Pública;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implantação ou o aperfeiçoamento de programa de integridade, conforme normas e orientações dos órgãos de controle.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41"/>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 multa será recolhida em percentual de 30% incidente sobre o valor do contrato licitado, recolhida no prazo máximo de </w:t>
      </w:r>
      <w:r>
        <w:rPr>
          <w:rFonts w:ascii="Cambria" w:hAnsi="Cambria" w:eastAsia="Arial" w:cs="Cambria"/>
          <w:b/>
          <w:bCs/>
          <w:i w:val="0"/>
          <w:smallCaps w:val="0"/>
          <w:strike w:val="0"/>
          <w:color w:val="000000" w:themeColor="text1"/>
          <w:sz w:val="14"/>
          <w:szCs w:val="14"/>
          <w:u w:val="none"/>
          <w:shd w:val="clear" w:color="auto" w:fill="auto"/>
          <w:vertAlign w:val="baseline"/>
          <w:rtl w:val="0"/>
        </w:rPr>
        <w:t xml:space="preserve">10 (dez) dias</w:t>
      </w:r>
      <w:r>
        <w:rPr>
          <w:rFonts w:ascii="Cambria" w:hAnsi="Cambria" w:eastAsia="Arial" w:cs="Cambria"/>
          <w:b w:val="0"/>
          <w:i w:val="0"/>
          <w:smallCaps w:val="0"/>
          <w:strike w:val="0"/>
          <w:color w:val="ff0000"/>
          <w:sz w:val="14"/>
          <w:szCs w:val="14"/>
          <w:u w:val="none"/>
          <w:shd w:val="clear" w:color="auto" w:fill="auto"/>
          <w:vertAlign w:val="baseline"/>
          <w:rtl w:val="0"/>
        </w:rPr>
        <w:t xml:space="preserve"> </w:t>
      </w:r>
      <w:r>
        <w:rPr>
          <w:rFonts w:ascii="Cambria" w:hAnsi="Cambria" w:eastAsia="Arial" w:cs="Cambria"/>
          <w:b w:val="0"/>
          <w:i w:val="0"/>
          <w:smallCaps w:val="0"/>
          <w:strike w:val="0"/>
          <w:color w:val="000000"/>
          <w:sz w:val="14"/>
          <w:szCs w:val="14"/>
          <w:u w:val="none"/>
          <w:shd w:val="clear" w:color="auto" w:fill="auto"/>
          <w:vertAlign w:val="baseline"/>
          <w:rtl w:val="0"/>
        </w:rPr>
        <w:t xml:space="preserve">úteis, a contar da comunicação oficial.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4" w:name="_heading=h.206ipza"/>
      <w:r>
        <w:rPr>
          <w:rFonts w:ascii="Cambria" w:hAnsi="Cambria" w:cs="Cambria"/>
          <w:sz w:val="14"/>
          <w:szCs w:val="14"/>
        </w:rPr>
      </w:r>
      <w:bookmarkEnd w:id="54"/>
      <w:r>
        <w:rPr>
          <w:rFonts w:ascii="Cambria" w:hAnsi="Cambria" w:eastAsia="Arial" w:cs="Cambria"/>
          <w:b w:val="0"/>
          <w:i w:val="0"/>
          <w:smallCaps w:val="0"/>
          <w:strike w:val="0"/>
          <w:color w:val="000000"/>
          <w:sz w:val="14"/>
          <w:szCs w:val="14"/>
          <w:u w:val="none"/>
          <w:shd w:val="clear" w:color="auto" w:fill="auto"/>
          <w:vertAlign w:val="baseline"/>
          <w:rtl w:val="0"/>
        </w:rPr>
        <w:t xml:space="preserve">Para as infrações previstas nos itens 12.1.1, 12.1.2 e 12.1.3, a multa será de </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15%</w:t>
      </w:r>
      <w:r>
        <w:rPr>
          <w:rFonts w:ascii="Cambria" w:hAnsi="Cambria" w:eastAsia="Arial" w:cs="Cambria"/>
          <w:b w:val="0"/>
          <w:i w:val="0"/>
          <w:smallCaps w:val="0"/>
          <w:strike w:val="0"/>
          <w:color w:val="0000ff"/>
          <w:sz w:val="14"/>
          <w:szCs w:val="14"/>
          <w:u w:val="none"/>
          <w:shd w:val="clear" w:color="auto" w:fill="auto"/>
          <w:vertAlign w:val="baseline"/>
          <w:rtl w:val="0"/>
        </w:rPr>
        <w:t xml:space="preserve"> </w:t>
      </w:r>
      <w:r>
        <w:rPr>
          <w:rFonts w:ascii="Cambria" w:hAnsi="Cambria" w:eastAsia="Arial" w:cs="Cambria"/>
          <w:b w:val="0"/>
          <w:i w:val="0"/>
          <w:smallCaps w:val="0"/>
          <w:strike w:val="0"/>
          <w:color w:val="000000"/>
          <w:sz w:val="14"/>
          <w:szCs w:val="14"/>
          <w:u w:val="none"/>
          <w:shd w:val="clear" w:color="auto" w:fill="auto"/>
          <w:vertAlign w:val="baseline"/>
          <w:rtl w:val="0"/>
        </w:rPr>
        <w:t xml:space="preserve">do valor do contrato licitado.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Para as infrações previstas nos itens 12.1.4, 12.1.5, 12.1.6, 12.1.7 e 12.1.8, a multa será de</w:t>
      </w:r>
      <w:r>
        <w:rPr>
          <w:rFonts w:ascii="Cambria" w:hAnsi="Cambria" w:eastAsia="Arial" w:cs="Cambria"/>
          <w:b w:val="0"/>
          <w:i w:val="0"/>
          <w:smallCaps w:val="0"/>
          <w:strike w:val="0"/>
          <w:color w:val="000000"/>
          <w:sz w:val="14"/>
          <w:szCs w:val="14"/>
          <w:u w:val="none"/>
          <w:shd w:val="clear" w:color="auto" w:fill="auto"/>
          <w:vertAlign w:val="baseline"/>
          <w:rtl w:val="0"/>
        </w:rPr>
        <w:t xml:space="preserve"> </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30%</w:t>
      </w:r>
      <w:r>
        <w:rPr>
          <w:rFonts w:ascii="Cambria" w:hAnsi="Cambria" w:eastAsia="Arial" w:cs="Cambria"/>
          <w:b w:val="0"/>
          <w:i w:val="0"/>
          <w:smallCaps w:val="0"/>
          <w:strike w:val="0"/>
          <w:color w:val="0000ff"/>
          <w:sz w:val="14"/>
          <w:szCs w:val="14"/>
          <w:u w:val="none"/>
          <w:shd w:val="clear" w:color="auto" w:fill="auto"/>
          <w:vertAlign w:val="baseline"/>
          <w:rtl w:val="0"/>
        </w:rPr>
        <w:t xml:space="preserve"> </w:t>
      </w:r>
      <w:r>
        <w:rPr>
          <w:rFonts w:ascii="Cambria" w:hAnsi="Cambria" w:eastAsia="Arial" w:cs="Cambria"/>
          <w:b w:val="0"/>
          <w:i w:val="0"/>
          <w:smallCaps w:val="0"/>
          <w:strike w:val="0"/>
          <w:color w:val="000000"/>
          <w:sz w:val="14"/>
          <w:szCs w:val="14"/>
          <w:u w:val="none"/>
          <w:shd w:val="clear" w:color="auto" w:fill="auto"/>
          <w:vertAlign w:val="baseline"/>
          <w:rtl w:val="0"/>
        </w:rPr>
        <w:t xml:space="preserve">do valor do contrato licitado.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As sanções de advertência, impedimento de licitar e contratar e declaração de inidoneidade para licitar ou contratar poderão ser aplicadas, cumulativamente ou não, à penalidade de multa.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Na aplicação da sanção de multa será facultada a defesa do interessado no prazo de 15 (quinze) dias úteis, contado da data de sua intimação.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42"/>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 sanção de impedimento de licitar e contratar será aplicada ao responsável em decorrência das infrações administrativas relacionadas nos itens 12.1.1, 12.1.2 e 12.1.3, </w:t>
      </w:r>
      <w:r>
        <w:rPr>
          <w:rFonts w:ascii="Cambria" w:hAnsi="Cambria" w:eastAsia="Arial" w:cs="Cambria"/>
          <w:b w:val="0"/>
          <w:i w:val="0"/>
          <w:smallCaps w:val="0"/>
          <w:strike w:val="0"/>
          <w:color w:val="000000"/>
          <w:sz w:val="14"/>
          <w:szCs w:val="14"/>
          <w:u w:val="none"/>
          <w:shd w:val="clear" w:color="auto" w:fill="auto"/>
          <w:vertAlign w:val="baseline"/>
          <w:rtl w:val="0"/>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Poderá ser aplicada ao responsável a sanção de declaração de inidoneidade para licitar ou contratar, em decorrência da prática das infrações dispostas nos itens 12.1.4, 12.1.5, 12</w:t>
      </w:r>
      <w:r>
        <w:rPr>
          <w:rFonts w:ascii="Cambria" w:hAnsi="Cambria" w:eastAsia="Arial" w:cs="Cambria"/>
          <w:b w:val="0"/>
          <w:i w:val="0"/>
          <w:smallCaps w:val="0"/>
          <w:strike w:val="0"/>
          <w:color w:val="000000"/>
          <w:sz w:val="14"/>
          <w:szCs w:val="14"/>
          <w:u w:val="none"/>
          <w:shd w:val="clear" w:color="auto" w:fill="auto"/>
          <w:vertAlign w:val="baseline"/>
          <w:rtl w:val="0"/>
        </w:rPr>
        <w:t xml:space="preserve">.1.6, 12.1.7 e 12.1.8, bem como pelas infrações administrativas previstas nos itens 12.1.1, 12.1.2 e 12.1.3 que justifiquem a imposição de penalidade mais grave que a sanção de impedimento de licitar e contratar, cuja duração observará o prazo previsto no </w:t>
      </w:r>
      <w:hyperlink r:id="rId45" w:tooltip="http://www.planalto.gov.br/ccivil_03/_ato2019-2022/2021/lei/L14133.htm#art156%C2%A75"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156, §5º, da Lei n.º 14.133/2021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recusa injustificada do adjudicatário em assinar o contrato ou a ata de registro de preço, ou em aceitar ou retirar o instrumento equivale</w:t>
      </w:r>
      <w:r>
        <w:rPr>
          <w:rFonts w:ascii="Cambria" w:hAnsi="Cambria" w:eastAsia="Arial" w:cs="Cambria"/>
          <w:b w:val="0"/>
          <w:i w:val="0"/>
          <w:smallCaps w:val="0"/>
          <w:strike w:val="0"/>
          <w:color w:val="000000"/>
          <w:sz w:val="14"/>
          <w:szCs w:val="14"/>
          <w:u w:val="none"/>
          <w:shd w:val="clear" w:color="auto" w:fill="auto"/>
          <w:vertAlign w:val="baseline"/>
          <w:rtl w:val="0"/>
        </w:rPr>
        <w:t xml:space="preserve">nte no prazo estabelecido pela Administração, descrita no item 12.1.3, caracterizará o descumprimento total da obrigação assumida e o sujeitará às penalidades e à imediata perda da garantia de proposta em favor do órgão ou entidade promotora da licitação.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43"/>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 apuração de </w:t>
      </w:r>
      <w:r>
        <w:rPr>
          <w:rFonts w:ascii="Cambria" w:hAnsi="Cambria" w:eastAsia="Arial" w:cs="Cambria"/>
          <w:b w:val="0"/>
          <w:i w:val="0"/>
          <w:smallCaps w:val="0"/>
          <w:strike w:val="0"/>
          <w:color w:val="000000"/>
          <w:sz w:val="14"/>
          <w:szCs w:val="14"/>
          <w:u w:val="none"/>
          <w:shd w:val="clear" w:color="auto" w:fill="auto"/>
          <w:vertAlign w:val="baseline"/>
          <w:rtl w:val="0"/>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Cambria" w:hAnsi="Cambria" w:eastAsia="Arial" w:cs="Cambria"/>
          <w:b w:val="0"/>
          <w:i w:val="0"/>
          <w:smallCaps w:val="0"/>
          <w:strike w:val="0"/>
          <w:color w:val="000000"/>
          <w:sz w:val="14"/>
          <w:szCs w:val="14"/>
          <w:u w:val="none"/>
          <w:shd w:val="clear" w:color="auto" w:fill="auto"/>
          <w:vertAlign w:val="baseline"/>
          <w:rtl w:val="0"/>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Caberá recurso no prazo de 15 (quinze) dias úteis da aplicação das sanções de advertência, multa e impedimento de licitar e contratar, contado da data da intimação, o qual será dirigido à autoridade que tiver profer</w:t>
      </w:r>
      <w:r>
        <w:rPr>
          <w:rFonts w:ascii="Cambria" w:hAnsi="Cambria" w:eastAsia="Arial" w:cs="Cambria"/>
          <w:b w:val="0"/>
          <w:i w:val="0"/>
          <w:smallCaps w:val="0"/>
          <w:strike w:val="0"/>
          <w:color w:val="000000"/>
          <w:sz w:val="14"/>
          <w:szCs w:val="14"/>
          <w:u w:val="none"/>
          <w:shd w:val="clear" w:color="auto" w:fill="auto"/>
          <w:vertAlign w:val="baseline"/>
          <w:rtl w:val="0"/>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Caberá a apresentaç</w:t>
      </w:r>
      <w:r>
        <w:rPr>
          <w:rFonts w:ascii="Cambria" w:hAnsi="Cambria" w:eastAsia="Arial" w:cs="Cambria"/>
          <w:b w:val="0"/>
          <w:i w:val="0"/>
          <w:smallCaps w:val="0"/>
          <w:strike w:val="0"/>
          <w:color w:val="000000"/>
          <w:sz w:val="14"/>
          <w:szCs w:val="14"/>
          <w:u w:val="none"/>
          <w:shd w:val="clear" w:color="auto" w:fill="auto"/>
          <w:vertAlign w:val="baseline"/>
          <w:rtl w:val="0"/>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recurso e o pedido de reconsideração terão efeito suspensivo do ato ou da decisão recorrida até que sobrevenha decisão final da autoridade competente.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44"/>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 aplicação das sanções previstas neste edital não exclui, em hipótese alguma, a obrigação de reparação integral dos danos causados.</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5" w:name="_heading=h.4k668n3"/>
      <w:r>
        <w:rPr>
          <w:rFonts w:ascii="Cambria" w:hAnsi="Cambria" w:cs="Cambria"/>
          <w:sz w:val="14"/>
          <w:szCs w:val="14"/>
        </w:rPr>
      </w:r>
      <w:bookmarkEnd w:id="55"/>
      <w:r>
        <w:rPr>
          <w:rFonts w:ascii="Cambria" w:hAnsi="Cambria" w:eastAsia="Arial" w:cs="Cambria"/>
          <w:b/>
          <w:i w:val="0"/>
          <w:smallCaps w:val="0"/>
          <w:strike w:val="0"/>
          <w:color w:val="000000"/>
          <w:sz w:val="14"/>
          <w:szCs w:val="14"/>
          <w:u w:val="none"/>
          <w:shd w:val="clear" w:color="auto" w:fill="auto"/>
          <w:vertAlign w:val="baseline"/>
          <w:rtl w:val="0"/>
        </w:rPr>
        <w:t xml:space="preserve">DA IMPUGNAÇÃO AO EDITAL E DO PEDIDO DE ESCLARECIMENTO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Qualquer pessoa é parte legítima para impugnar este Edital por irregularidade na aplicação da </w:t>
      </w:r>
      <w:hyperlink r:id="rId46" w:tooltip="http://www.planalto.gov.br/ccivil_03/_ato2019-2022/2021/lei/L14133.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devendo protocolar o pedido até 3 (três) dias úteis antes da data da abertura do certame.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resposta à impugnação ou ao pedido de esclarecimento será divulgado em sítio eletrônico oficial no prazo de até 3 (três) dias úteis, limitado ao último dia útil anterior à data da abertura do certame.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45"/>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 impugnação e o pedido de esclarecimento poderão ser realizados por forma eletrônica, </w:t>
      </w:r>
      <w:r>
        <w:rPr>
          <w:rFonts w:ascii="Cambria" w:hAnsi="Cambria" w:eastAsia="Arial" w:cs="Cambria"/>
          <w:b/>
          <w:bCs/>
          <w:i w:val="0"/>
          <w:smallCaps w:val="0"/>
          <w:strike w:val="0"/>
          <w:color w:val="000000"/>
          <w:sz w:val="14"/>
          <w:szCs w:val="14"/>
          <w:u w:val="none"/>
          <w:shd w:val="clear" w:color="auto" w:fill="auto"/>
          <w:vertAlign w:val="baseline"/>
          <w:rtl w:val="0"/>
        </w:rPr>
        <w:t xml:space="preserve">EXCLUSIVAMENTE</w:t>
      </w:r>
      <w:r>
        <w:rPr>
          <w:rFonts w:ascii="Cambria" w:hAnsi="Cambria" w:eastAsia="Arial" w:cs="Cambria"/>
          <w:b w:val="0"/>
          <w:i w:val="0"/>
          <w:smallCaps w:val="0"/>
          <w:strike w:val="0"/>
          <w:color w:val="000000"/>
          <w:sz w:val="14"/>
          <w:szCs w:val="14"/>
          <w:u w:val="none"/>
          <w:shd w:val="clear" w:color="auto" w:fill="auto"/>
          <w:vertAlign w:val="baseline"/>
          <w:rtl w:val="0"/>
        </w:rPr>
        <w:t xml:space="preserve"> , portal Banrisul Pregão,  </w:t>
      </w:r>
      <w:hyperlink r:id="rId47" w:tooltip="http://www.santabarbaradosul.rs.gov.br" w:history="1">
        <w:r>
          <w:rPr>
            <w:rStyle w:val="988"/>
            <w:rFonts w:ascii="Cambria" w:hAnsi="Cambria" w:eastAsia="Arial" w:cs="Cambria"/>
            <w:b w:val="0"/>
            <w:i w:val="0"/>
            <w:smallCaps w:val="0"/>
            <w:strike w:val="0"/>
            <w:sz w:val="14"/>
            <w:szCs w:val="14"/>
            <w:shd w:val="clear" w:color="auto" w:fill="auto"/>
            <w:vertAlign w:val="baseline"/>
            <w:rtl w:val="0"/>
          </w:rPr>
          <w:t xml:space="preserve">www.santabarbaradosul.rs.gov.br</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e e-mail: </w:t>
      </w:r>
      <w:hyperlink r:id="rId48" w:tooltip="mailto:licita@santabarbaradosul.rs.gov.br." w:history="1">
        <w:r>
          <w:rPr>
            <w:rStyle w:val="988"/>
            <w:rFonts w:ascii="Cambria" w:hAnsi="Cambria" w:eastAsia="Arial" w:cs="Cambria"/>
            <w:b w:val="0"/>
            <w:i w:val="0"/>
            <w:smallCaps w:val="0"/>
            <w:strike w:val="0"/>
            <w:sz w:val="14"/>
            <w:szCs w:val="14"/>
            <w:shd w:val="clear" w:color="auto" w:fill="auto"/>
            <w:vertAlign w:val="baseline"/>
            <w:rtl w:val="0"/>
          </w:rPr>
          <w:t xml:space="preserve">licita@santabarbaradosul.rs.gov.br.</w:t>
        </w:r>
        <w:r>
          <w:rPr>
            <w:rStyle w:val="988"/>
            <w:rFonts w:ascii="Cambria" w:hAnsi="Cambria" w:cs="Cambria"/>
            <w:sz w:val="16"/>
            <w:szCs w:val="16"/>
          </w:rPr>
        </w:r>
        <w:r>
          <w:rPr>
            <w:rStyle w:val="988"/>
            <w:rFonts w:ascii="Cambria" w:hAnsi="Cambria" w:cs="Cambria"/>
            <w:sz w:val="18"/>
            <w:szCs w:val="18"/>
          </w:rPr>
        </w:r>
      </w:hyperlink>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As impugnações e pedidos de esclarecimentos não suspendem os prazos previstos no certame.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46"/>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 concessão de efeito suspensivo à impugnação é medida excepcional e deverá ser motivada pelo agente de contratação, nos autos do processo de licitação.</w:t>
      </w:r>
      <w:r>
        <w:rPr>
          <w:rFonts w:ascii="Cambria" w:hAnsi="Cambria" w:cs="Cambria"/>
          <w:sz w:val="14"/>
          <w:szCs w:val="14"/>
        </w:rPr>
      </w:r>
      <w:r/>
    </w:p>
    <w:p>
      <w:pPr>
        <w:numPr>
          <w:ilvl w:val="1"/>
          <w:numId w:val="1"/>
        </w:numPr>
        <w:ind w:left="0" w:right="0" w:firstLine="0"/>
        <w:jc w:val="both"/>
        <w:keepLines w:val="0"/>
        <w:keepNext w:val="0"/>
        <w:pageBreakBefore w:val="0"/>
        <w:spacing w:before="288" w:after="288" w:line="312"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Acolhida a impugnação, será definida e publicada nova data para a realização do certame.</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6" w:name="_heading=h.2zbgiuw"/>
      <w:r>
        <w:rPr>
          <w:rFonts w:ascii="Cambria" w:hAnsi="Cambria" w:cs="Cambria"/>
          <w:sz w:val="14"/>
          <w:szCs w:val="14"/>
        </w:rPr>
      </w:r>
      <w:bookmarkEnd w:id="56"/>
      <w:r>
        <w:rPr>
          <w:rFonts w:ascii="Cambria" w:hAnsi="Cambria" w:eastAsia="Arial" w:cs="Cambria"/>
          <w:b/>
          <w:i w:val="0"/>
          <w:smallCaps w:val="0"/>
          <w:strike w:val="0"/>
          <w:color w:val="000000"/>
          <w:sz w:val="14"/>
          <w:szCs w:val="14"/>
          <w:u w:val="none"/>
          <w:shd w:val="clear" w:color="auto" w:fill="auto"/>
          <w:vertAlign w:val="baseline"/>
          <w:rtl w:val="0"/>
        </w:rPr>
        <w:t xml:space="preserve">DAS DISPOSIÇÕES GERAIS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Será divulgada ata da sessão pública no sistema eletrônico.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havendo expediente ou ocorrendo qualquer fato superveniente que</w:t>
      </w:r>
      <w:r>
        <w:rPr>
          <w:rFonts w:ascii="Cambria" w:hAnsi="Cambria" w:eastAsia="Arial" w:cs="Cambria"/>
          <w:b w:val="0"/>
          <w:i w:val="0"/>
          <w:smallCaps w:val="0"/>
          <w:strike w:val="0"/>
          <w:color w:val="000000"/>
          <w:sz w:val="14"/>
          <w:szCs w:val="14"/>
          <w:u w:val="none"/>
          <w:shd w:val="clear" w:color="auto" w:fill="auto"/>
          <w:vertAlign w:val="baseline"/>
          <w:rtl w:val="0"/>
        </w:rPr>
        <w:t xml:space="preserve"> impeça a realização do certame na data marcada, a sessão será automaticamente transferida para o primeiro dia útil subsequente, no mesmo horário anteriormente estabelecido, desde que não haja comunicação em contrário, pelo Agente de Contratação/ Comissão.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Todas as referências de tempo no Edital, no aviso e durante a sessão pública observarão o horário de Brasília - DF.</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homologação do resultado desta licitação não implicará direito à contratação.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licitantes assumem todos os custos de preparação e apresentação de suas propostas e a Administração não será, em nenhum caso, responsável por esses custos, independentemente da condução ou do resultado do processo licitatório.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Na contagem dos prazos estabelecidos neste Edital e seus Anexos, excluir-se-á o dia do início e incluir-se-á o do vencimento. Só se iniciam e vencem os prazos em dias de expediente na Administração.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desatendimento de exigências formais não essenciais não importará o afastamento do licitante, desde que seja possível o aproveitamento do ato, observados os princípios da isonomia e do interesse público.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Em caso de divergência entre disposições deste Edital e de seus anexos ou demais peças que compõem o processo, prevalecerá as deste Edital.</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Edital e seus anexos estão disponíveis, na íntegra, no Portal Nacional de Contratações Públicas (PNCP) e endereço eletrônico www.santabarbaradosul.rs.gov.br</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Integram este Edital, para todos os fins e efeitos, os seguintes anexos: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bCs w:val="0"/>
          <w:i w:val="0"/>
          <w:smallCaps w:val="0"/>
          <w:strike w:val="0"/>
          <w:color w:val="000000"/>
          <w:sz w:val="14"/>
          <w:szCs w:val="14"/>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ANEXO I – Termo de Referencia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bCs w:val="0"/>
          <w:i w:val="0"/>
          <w:smallCaps w:val="0"/>
          <w:strike w:val="0"/>
          <w:color w:val="000000"/>
          <w:sz w:val="14"/>
          <w:szCs w:val="14"/>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r>
      <w:r>
        <w:rPr>
          <w:rFonts w:ascii="Cambria" w:hAnsi="Cambria" w:eastAsia="Arial" w:cs="Cambria"/>
          <w:b w:val="0"/>
          <w:i w:val="0"/>
          <w:smallCaps w:val="0"/>
          <w:strike w:val="0"/>
          <w:color w:val="000000"/>
          <w:sz w:val="14"/>
          <w:szCs w:val="14"/>
          <w:u w:val="none"/>
          <w:shd w:val="clear" w:color="auto" w:fill="auto"/>
          <w:vertAlign w:val="baseline"/>
          <w:rtl w:val="0"/>
        </w:rPr>
        <w:t xml:space="preserve"> ANEXO II – Modelo de Proposta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r>
      <w:r>
        <w:rPr>
          <w:rFonts w:ascii="Cambria" w:hAnsi="Cambria" w:eastAsia="Arial" w:cs="Cambria"/>
          <w:b w:val="0"/>
          <w:i w:val="0"/>
          <w:smallCaps w:val="0"/>
          <w:strike w:val="0"/>
          <w:color w:val="000000"/>
          <w:sz w:val="14"/>
          <w:szCs w:val="14"/>
          <w:u w:val="none"/>
          <w:shd w:val="clear" w:color="auto" w:fill="auto"/>
          <w:vertAlign w:val="baseline"/>
          <w:rtl w:val="0"/>
        </w:rPr>
        <w:t xml:space="preserve">ANEXO III – Minuta de Contrato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ANEXO IV – Autorização da Autoridade Superior Competente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ANEXO V – Extrato de Publicação do Edital</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ANEXO VI – Projeto Básico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ANEXO VII – Estudo Técnico Preliminar</w:t>
      </w:r>
      <w:r>
        <w:rPr>
          <w:rFonts w:ascii="Cambria" w:hAnsi="Cambria" w:cs="Cambria"/>
          <w:sz w:val="14"/>
          <w:szCs w:val="14"/>
        </w:rPr>
      </w:r>
      <w:r/>
    </w:p>
    <w:p>
      <w:pPr>
        <w:ind w:left="0" w:right="0" w:firstLine="0"/>
        <w:jc w:val="right"/>
        <w:spacing w:before="288" w:after="288" w:line="312" w:lineRule="auto"/>
        <w:rPr>
          <w:highlight w:val="none"/>
        </w:rPr>
      </w:pPr>
      <w:r>
        <w:rPr>
          <w:rFonts w:ascii="Cambria" w:hAnsi="Cambria" w:eastAsia="Arial" w:cs="Cambria"/>
          <w:color w:val="000000"/>
          <w:sz w:val="14"/>
          <w:szCs w:val="14"/>
          <w:rtl w:val="0"/>
        </w:rPr>
        <w:t xml:space="preserve">Santa Bárbara do Sul/RS, 22 de agosto de 2024</w:t>
      </w:r>
      <w:r>
        <w:rPr>
          <w:rFonts w:ascii="Cambria" w:hAnsi="Cambria" w:cs="Cambria"/>
          <w:color w:val="000000"/>
          <w:sz w:val="14"/>
          <w:szCs w:val="14"/>
          <w:highlight w:val="none"/>
        </w:rPr>
      </w:r>
      <w:r/>
    </w:p>
    <w:p>
      <w:pPr>
        <w:ind w:left="0" w:right="0" w:firstLine="0"/>
        <w:jc w:val="right"/>
        <w:spacing w:before="288" w:after="288" w:line="312" w:lineRule="auto"/>
        <w:rPr>
          <w:rFonts w:ascii="Cambria" w:hAnsi="Cambria" w:cs="Cambria"/>
          <w:color w:val="000000"/>
          <w:sz w:val="14"/>
          <w:szCs w:val="14"/>
          <w:highlight w:val="none"/>
        </w:rPr>
      </w:pPr>
      <w:r>
        <w:rPr>
          <w:rFonts w:ascii="Cambria" w:hAnsi="Cambria" w:cs="Cambria"/>
          <w:color w:val="000000"/>
          <w:sz w:val="14"/>
          <w:szCs w:val="14"/>
          <w:highlight w:val="none"/>
        </w:rPr>
      </w:r>
      <w:r>
        <w:rPr>
          <w:rFonts w:ascii="Cambria" w:hAnsi="Cambria" w:cs="Cambria"/>
          <w:color w:val="000000"/>
          <w:sz w:val="14"/>
          <w:szCs w:val="14"/>
          <w:highlight w:val="none"/>
        </w:rPr>
      </w:r>
      <w:r/>
    </w:p>
    <w:p>
      <w:pPr>
        <w:ind w:left="0" w:right="0" w:firstLine="0"/>
        <w:jc w:val="right"/>
        <w:spacing w:before="288" w:after="288" w:line="312" w:lineRule="auto"/>
        <w:rPr>
          <w:rFonts w:ascii="Cambria" w:hAnsi="Cambria" w:cs="Cambria"/>
          <w:color w:val="000000"/>
          <w:sz w:val="14"/>
          <w:szCs w:val="14"/>
          <w:highlight w:val="none"/>
        </w:rPr>
      </w:pPr>
      <w:r>
        <w:rPr>
          <w:rFonts w:ascii="Cambria" w:hAnsi="Cambria" w:cs="Cambria"/>
          <w:color w:val="000000"/>
          <w:sz w:val="14"/>
          <w:szCs w:val="14"/>
          <w:highlight w:val="none"/>
        </w:rPr>
      </w:r>
      <w:r>
        <w:rPr>
          <w:rFonts w:ascii="Cambria" w:hAnsi="Cambria" w:cs="Cambria"/>
          <w:color w:val="000000"/>
          <w:sz w:val="14"/>
          <w:szCs w:val="14"/>
          <w:highlight w:val="none"/>
        </w:rPr>
      </w:r>
      <w:r/>
    </w:p>
    <w:p>
      <w:pPr>
        <w:ind w:left="0" w:right="0" w:firstLine="0"/>
        <w:jc w:val="right"/>
        <w:spacing w:before="288" w:after="288" w:line="312" w:lineRule="auto"/>
        <w:rPr>
          <w:rFonts w:ascii="Cambria" w:hAnsi="Cambria" w:cs="Cambria"/>
          <w:color w:val="000000"/>
          <w:sz w:val="14"/>
          <w:szCs w:val="14"/>
          <w:highlight w:val="none"/>
        </w:rPr>
      </w:pPr>
      <w:r>
        <w:rPr>
          <w:rFonts w:ascii="Cambria" w:hAnsi="Cambria" w:cs="Cambria"/>
          <w:color w:val="000000"/>
          <w:sz w:val="14"/>
          <w:szCs w:val="14"/>
          <w:highlight w:val="none"/>
        </w:rPr>
      </w:r>
      <w:r>
        <w:rPr>
          <w:rFonts w:ascii="Cambria" w:hAnsi="Cambria" w:cs="Cambria"/>
          <w:color w:val="000000"/>
          <w:sz w:val="14"/>
          <w:szCs w:val="14"/>
          <w:highlight w:val="none"/>
        </w:rPr>
      </w:r>
      <w:r/>
    </w:p>
    <w:p>
      <w:pPr>
        <w:ind w:left="0" w:right="0" w:firstLine="0"/>
        <w:jc w:val="right"/>
        <w:spacing w:before="288" w:after="288" w:line="312" w:lineRule="auto"/>
        <w:rPr>
          <w:rFonts w:ascii="Cambria" w:hAnsi="Cambria" w:cs="Cambria"/>
          <w:color w:val="000000"/>
          <w:sz w:val="14"/>
          <w:szCs w:val="14"/>
          <w:highlight w:val="none"/>
        </w:rPr>
      </w:pPr>
      <w:r>
        <w:rPr>
          <w:rFonts w:ascii="Cambria" w:hAnsi="Cambria" w:cs="Cambria"/>
          <w:color w:val="000000"/>
          <w:sz w:val="14"/>
          <w:szCs w:val="14"/>
          <w:highlight w:val="none"/>
        </w:rPr>
      </w:r>
      <w:r>
        <w:rPr>
          <w:rFonts w:ascii="Cambria" w:hAnsi="Cambria" w:cs="Cambria"/>
          <w:color w:val="000000"/>
          <w:sz w:val="14"/>
          <w:szCs w:val="14"/>
          <w:highlight w:val="none"/>
        </w:rPr>
      </w:r>
      <w:r/>
    </w:p>
    <w:p>
      <w:pPr>
        <w:ind w:left="0" w:right="0" w:firstLine="0"/>
        <w:jc w:val="right"/>
        <w:spacing w:before="288" w:after="288" w:line="312" w:lineRule="auto"/>
        <w:rPr>
          <w:rFonts w:ascii="Cambria" w:hAnsi="Cambria" w:cs="Cambria"/>
          <w:color w:val="000000"/>
          <w:sz w:val="14"/>
          <w:szCs w:val="14"/>
          <w:highlight w:val="none"/>
        </w:rPr>
      </w:pPr>
      <w:r>
        <w:rPr>
          <w:highlight w:val="none"/>
        </w:rPr>
      </w:r>
      <w:r>
        <w:rPr>
          <w:highlight w:val="none"/>
        </w:rPr>
      </w:r>
      <w:r/>
    </w:p>
    <w:p>
      <w:pPr>
        <w:ind w:left="0" w:right="0" w:firstLine="0"/>
        <w:jc w:val="center"/>
        <w:spacing w:before="288" w:after="288" w:line="240" w:lineRule="auto"/>
        <w:rPr>
          <w:rFonts w:ascii="Cambria" w:hAnsi="Cambria" w:cs="Cambria"/>
          <w:b/>
          <w:bCs/>
          <w:color w:val="000000" w:themeColor="text1"/>
          <w:sz w:val="14"/>
          <w:szCs w:val="14"/>
          <w:highlight w:val="none"/>
        </w:rPr>
      </w:pPr>
      <w:r>
        <w:rPr>
          <w:rFonts w:ascii="Cambria" w:hAnsi="Cambria" w:eastAsia="Arial" w:cs="Cambria"/>
          <w:b/>
          <w:color w:val="000000" w:themeColor="text1"/>
          <w:sz w:val="14"/>
          <w:szCs w:val="14"/>
          <w:rtl w:val="0"/>
        </w:rPr>
        <w:t xml:space="preserve">Mário Roberto Utzig Filho</w:t>
      </w:r>
      <w:r>
        <w:rPr>
          <w:rFonts w:ascii="Cambria" w:hAnsi="Cambria" w:cs="Cambria"/>
          <w:sz w:val="14"/>
          <w:szCs w:val="14"/>
        </w:rPr>
      </w:r>
      <w:r/>
    </w:p>
    <w:p>
      <w:pPr>
        <w:ind w:left="0" w:right="0" w:firstLine="0"/>
        <w:jc w:val="center"/>
        <w:spacing w:before="288" w:after="288" w:line="240" w:lineRule="auto"/>
        <w:rPr>
          <w:rFonts w:ascii="Cambria" w:hAnsi="Cambria" w:cs="Cambria"/>
          <w:b/>
          <w:bCs/>
          <w:color w:val="000000" w:themeColor="text1"/>
          <w:sz w:val="14"/>
          <w:szCs w:val="14"/>
          <w:highlight w:val="none"/>
        </w:rPr>
      </w:pPr>
      <w:r>
        <w:rPr>
          <w:rFonts w:ascii="Cambria" w:hAnsi="Cambria" w:eastAsia="Arial" w:cs="Cambria"/>
          <w:b/>
          <w:color w:val="000000" w:themeColor="text1"/>
          <w:sz w:val="14"/>
          <w:szCs w:val="14"/>
          <w:highlight w:val="none"/>
          <w:rtl w:val="0"/>
        </w:rPr>
        <w:t xml:space="preserve">Prefeito</w:t>
      </w:r>
      <w:r>
        <w:rPr>
          <w:rFonts w:ascii="Cambria" w:hAnsi="Cambria" w:cs="Cambria"/>
          <w:sz w:val="14"/>
          <w:szCs w:val="14"/>
        </w:rPr>
      </w:r>
      <w:r/>
    </w:p>
    <w:p>
      <w:pPr>
        <w:ind w:left="0" w:right="0" w:firstLine="0"/>
        <w:jc w:val="center"/>
        <w:spacing w:before="288" w:after="288" w:line="240" w:lineRule="auto"/>
        <w:rPr>
          <w:rFonts w:ascii="Cambria" w:hAnsi="Cambria" w:cs="Cambria"/>
          <w:b/>
          <w:bCs/>
          <w:color w:val="000000" w:themeColor="text1"/>
          <w:sz w:val="14"/>
          <w:szCs w:val="14"/>
          <w:highlight w:val="none"/>
        </w:rPr>
      </w:pPr>
      <w:r>
        <w:rPr>
          <w:rFonts w:ascii="Cambria" w:hAnsi="Cambria" w:eastAsia="Arial" w:cs="Cambria"/>
          <w:b/>
          <w:bCs/>
          <w:color w:val="000000" w:themeColor="text1"/>
          <w:sz w:val="14"/>
          <w:szCs w:val="14"/>
          <w:highlight w:val="none"/>
        </w:rPr>
      </w:r>
      <w:r>
        <w:rPr>
          <w:rFonts w:ascii="Cambria" w:hAnsi="Cambria" w:cs="Cambria"/>
          <w:sz w:val="14"/>
          <w:szCs w:val="14"/>
        </w:rPr>
      </w:r>
      <w:r/>
    </w:p>
    <w:p>
      <w:pPr>
        <w:ind w:left="0" w:right="0" w:firstLine="0"/>
        <w:jc w:val="center"/>
        <w:spacing w:before="288" w:after="288" w:line="240" w:lineRule="auto"/>
        <w:rPr>
          <w:rFonts w:ascii="Cambria" w:hAnsi="Cambria" w:cs="Cambria"/>
          <w:b/>
          <w:bCs/>
          <w:color w:val="000000" w:themeColor="text1"/>
          <w:sz w:val="14"/>
          <w:szCs w:val="14"/>
          <w:highlight w:val="none"/>
        </w:rPr>
      </w:pPr>
      <w:r>
        <w:rPr>
          <w:rFonts w:ascii="Cambria" w:hAnsi="Cambria" w:eastAsia="Arial" w:cs="Cambria"/>
          <w:b/>
          <w:bCs/>
          <w:color w:val="000000" w:themeColor="text1"/>
          <w:sz w:val="14"/>
          <w:szCs w:val="14"/>
          <w:highlight w:val="none"/>
        </w:rPr>
      </w:r>
      <w:r>
        <w:rPr>
          <w:rFonts w:ascii="Cambria" w:hAnsi="Cambria" w:cs="Cambria"/>
          <w:sz w:val="14"/>
          <w:szCs w:val="14"/>
        </w:rPr>
      </w:r>
      <w:r/>
    </w:p>
    <w:p>
      <w:pPr>
        <w:ind w:left="0" w:right="0" w:firstLine="0"/>
        <w:jc w:val="center"/>
        <w:spacing w:before="288" w:after="288" w:line="240" w:lineRule="auto"/>
        <w:rPr>
          <w:rFonts w:ascii="Cambria" w:hAnsi="Cambria" w:cs="Cambria"/>
          <w:b/>
          <w:bCs/>
          <w:color w:val="000000" w:themeColor="text1"/>
          <w:sz w:val="14"/>
          <w:szCs w:val="14"/>
          <w:highlight w:val="none"/>
        </w:rPr>
      </w:pPr>
      <w:r>
        <w:rPr>
          <w:rFonts w:ascii="Cambria" w:hAnsi="Cambria" w:cs="Cambria"/>
          <w:b/>
          <w:bCs/>
          <w:color w:val="000000" w:themeColor="text1"/>
          <w:sz w:val="14"/>
          <w:szCs w:val="14"/>
        </w:rPr>
        <w:t xml:space="preserve">Eroni Barbosa</w:t>
      </w:r>
      <w:r>
        <w:rPr>
          <w:b/>
          <w:bCs/>
        </w:rPr>
      </w:r>
      <w:r/>
    </w:p>
    <w:p>
      <w:pPr>
        <w:ind w:left="0" w:right="0" w:firstLine="0"/>
        <w:jc w:val="center"/>
        <w:spacing w:before="288" w:after="288" w:line="240" w:lineRule="auto"/>
        <w:rPr>
          <w:rFonts w:ascii="Cambria" w:hAnsi="Cambria" w:cs="Cambria"/>
          <w:b/>
          <w:bCs/>
          <w:color w:val="000000" w:themeColor="text1"/>
          <w:sz w:val="14"/>
          <w:szCs w:val="14"/>
        </w:rPr>
      </w:pPr>
      <w:r>
        <w:rPr>
          <w:rFonts w:ascii="Cambria" w:hAnsi="Cambria" w:cs="Cambria"/>
          <w:b/>
          <w:bCs/>
          <w:color w:val="000000" w:themeColor="text1"/>
          <w:sz w:val="14"/>
          <w:szCs w:val="14"/>
          <w:highlight w:val="none"/>
        </w:rPr>
        <w:t xml:space="preserve">Assessora de Compras, Licitações e Contratos</w:t>
      </w:r>
      <w:r>
        <w:rPr>
          <w:b/>
          <w:bCs/>
        </w:rPr>
      </w:r>
      <w:r/>
    </w:p>
    <w:p>
      <w:pPr>
        <w:ind w:left="0" w:right="0" w:firstLine="0"/>
        <w:jc w:val="center"/>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left"/>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left"/>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left"/>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left"/>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center"/>
        <w:rPr>
          <w:rFonts w:ascii="Cambria" w:hAnsi="Cambria" w:cs="Cambria"/>
          <w:sz w:val="14"/>
          <w:szCs w:val="14"/>
        </w:rPr>
      </w:pPr>
      <w:r>
        <w:rPr>
          <w:rFonts w:ascii="Cambria" w:hAnsi="Cambria" w:cs="Cambria"/>
          <w:b/>
          <w:sz w:val="14"/>
          <w:szCs w:val="14"/>
        </w:rPr>
        <w:t xml:space="preserve">ANEXO II</w:t>
      </w:r>
      <w:r>
        <w:rPr>
          <w:rFonts w:ascii="Cambria" w:hAnsi="Cambria" w:cs="Cambria"/>
          <w:sz w:val="14"/>
          <w:szCs w:val="14"/>
        </w:rPr>
      </w:r>
      <w:r/>
    </w:p>
    <w:p>
      <w:pPr>
        <w:ind w:left="0" w:right="0" w:firstLine="0"/>
        <w:jc w:val="center"/>
        <w:shd w:val="clear" w:color="ffffff" w:themeColor="background1" w:fill="ffffff" w:themeFill="background1"/>
        <w:rPr>
          <w:rFonts w:ascii="Cambria" w:hAnsi="Cambria" w:cs="Cambria"/>
          <w:sz w:val="14"/>
          <w:szCs w:val="14"/>
          <w:highlight w:val="none"/>
        </w:rPr>
      </w:pPr>
      <w:r>
        <w:rPr>
          <w:rFonts w:ascii="Cambria" w:hAnsi="Cambria" w:cs="Cambria"/>
          <w:b/>
          <w:sz w:val="14"/>
          <w:szCs w:val="14"/>
        </w:rPr>
        <w:t xml:space="preserve">PROPOSTA FINANCEIRA</w:t>
      </w:r>
      <w:r>
        <w:rPr>
          <w:rFonts w:ascii="Cambria" w:hAnsi="Cambria" w:cs="Cambria"/>
          <w:sz w:val="14"/>
          <w:szCs w:val="14"/>
        </w:rPr>
      </w:r>
      <w:r/>
    </w:p>
    <w:p>
      <w:pPr>
        <w:ind w:left="0" w:right="0" w:firstLine="0"/>
        <w:jc w:val="center"/>
        <w:shd w:val="clear" w:color="ffffff" w:themeColor="background1" w:fill="ffffff" w:themeFill="background1"/>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center"/>
        <w:shd w:val="clear" w:color="ffffff" w:themeColor="background1" w:fill="ffffff" w:themeFill="background1"/>
        <w:rPr>
          <w:rFonts w:ascii="Cambria" w:hAnsi="Cambria" w:cs="Cambria"/>
          <w:sz w:val="14"/>
          <w:szCs w:val="14"/>
        </w:rPr>
      </w:pPr>
      <w:r>
        <w:rPr>
          <w:rFonts w:ascii="Cambria" w:hAnsi="Cambria" w:cs="Cambria"/>
          <w:sz w:val="14"/>
          <w:szCs w:val="14"/>
          <w:highlight w:val="none"/>
        </w:rPr>
      </w:r>
      <w:r>
        <w:rPr>
          <w:rFonts w:ascii="Cambria" w:hAnsi="Cambria" w:cs="Cambria"/>
          <w:sz w:val="14"/>
          <w:szCs w:val="14"/>
          <w:highlight w:val="none"/>
        </w:rPr>
      </w:r>
      <w:r/>
    </w:p>
    <w:tbl>
      <w:tblPr>
        <w:tblStyle w:val="978"/>
        <w:tblW w:w="9645" w:type="dxa"/>
        <w:tblInd w:w="147" w:type="dxa"/>
        <w:tblLayout w:type="fixed"/>
        <w:tblCellMar>
          <w:left w:w="70" w:type="dxa"/>
          <w:top w:w="0" w:type="dxa"/>
          <w:right w:w="70" w:type="dxa"/>
          <w:bottom w:w="0" w:type="dxa"/>
        </w:tblCellMar>
        <w:tblLook w:val="04A0" w:firstRow="1" w:lastRow="0" w:firstColumn="1" w:lastColumn="0" w:noHBand="0" w:noVBand="1"/>
      </w:tblPr>
      <w:tblGrid>
        <w:gridCol w:w="4066"/>
        <w:gridCol w:w="2943"/>
        <w:gridCol w:w="2635"/>
      </w:tblGrid>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Fornecedor:</w:t>
            </w:r>
            <w:r>
              <w:rPr>
                <w:rFonts w:ascii="Cambria" w:hAnsi="Cambria" w:cs="Cambria"/>
                <w:sz w:val="14"/>
                <w:szCs w:val="14"/>
              </w:rPr>
            </w:r>
            <w:r/>
          </w:p>
        </w:tc>
      </w:tr>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Endereço:</w:t>
            </w:r>
            <w:r>
              <w:rPr>
                <w:rFonts w:ascii="Cambria" w:hAnsi="Cambria" w:cs="Cambria"/>
                <w:sz w:val="14"/>
                <w:szCs w:val="14"/>
              </w:rPr>
            </w:r>
            <w:r/>
          </w:p>
        </w:tc>
      </w:tr>
      <w:tr>
        <w:trPr/>
        <w:tc>
          <w:tcPr>
            <w:gridSpan w:val="2"/>
            <w:tcBorders>
              <w:top w:val="single" w:color="000000" w:sz="6" w:space="0"/>
              <w:left w:val="single" w:color="000000" w:sz="6" w:space="0"/>
              <w:bottom w:val="single" w:color="000000" w:sz="6" w:space="0"/>
              <w:right w:val="single" w:color="000000" w:sz="6" w:space="0"/>
            </w:tcBorders>
            <w:tcW w:w="7009"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Cidade:</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W w:w="2635"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Estado:</w:t>
            </w:r>
            <w:r>
              <w:rPr>
                <w:rFonts w:ascii="Cambria" w:hAnsi="Cambria" w:cs="Cambria"/>
                <w:sz w:val="14"/>
                <w:szCs w:val="14"/>
              </w:rPr>
            </w:r>
            <w:r/>
          </w:p>
        </w:tc>
      </w:tr>
      <w:tr>
        <w:trPr/>
        <w:tc>
          <w:tcPr>
            <w:tcBorders>
              <w:top w:val="single" w:color="000000" w:sz="6" w:space="0"/>
              <w:left w:val="single" w:color="000000" w:sz="6" w:space="0"/>
              <w:bottom w:val="single" w:color="000000" w:sz="6" w:space="0"/>
              <w:right w:val="single" w:color="000000" w:sz="6" w:space="0"/>
            </w:tcBorders>
            <w:tcW w:w="4066"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CNPJ:</w:t>
            </w:r>
            <w:r>
              <w:rPr>
                <w:rFonts w:ascii="Cambria" w:hAnsi="Cambria" w:cs="Cambria"/>
                <w:sz w:val="14"/>
                <w:szCs w:val="14"/>
              </w:rPr>
            </w:r>
            <w:r/>
          </w:p>
        </w:tc>
        <w:tc>
          <w:tcPr>
            <w:gridSpan w:val="2"/>
            <w:tcBorders>
              <w:top w:val="single" w:color="000000" w:sz="6" w:space="0"/>
              <w:left w:val="single" w:color="000000" w:sz="6" w:space="0"/>
              <w:bottom w:val="single" w:color="000000" w:sz="6" w:space="0"/>
              <w:right w:val="single" w:color="000000" w:sz="6" w:space="0"/>
            </w:tcBorders>
            <w:tcW w:w="5578"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Inscrição Estadual:</w:t>
            </w:r>
            <w:r>
              <w:rPr>
                <w:rFonts w:ascii="Cambria" w:hAnsi="Cambria" w:cs="Cambria"/>
                <w:sz w:val="14"/>
                <w:szCs w:val="14"/>
              </w:rPr>
            </w:r>
            <w:r/>
          </w:p>
        </w:tc>
      </w:tr>
      <w:tr>
        <w:trPr/>
        <w:tc>
          <w:tcPr>
            <w:tcBorders>
              <w:top w:val="single" w:color="000000" w:sz="6" w:space="0"/>
              <w:left w:val="single" w:color="000000" w:sz="6" w:space="0"/>
              <w:bottom w:val="single" w:color="000000" w:sz="6" w:space="0"/>
              <w:right w:val="single" w:color="000000" w:sz="6" w:space="0"/>
            </w:tcBorders>
            <w:tcW w:w="4066" w:type="dxa"/>
            <w:textDirection w:val="lrTb"/>
            <w:noWrap w:val="false"/>
          </w:tcPr>
          <w:p>
            <w:pPr>
              <w:ind w:left="0" w:right="0" w:firstLine="0"/>
              <w:jc w:val="left"/>
              <w:spacing w:before="0" w:after="0"/>
              <w:widowControl w:val="off"/>
              <w:rPr>
                <w:rFonts w:ascii="Cambria" w:hAnsi="Cambria" w:cs="Cambria"/>
                <w:bCs/>
                <w:sz w:val="14"/>
                <w:szCs w:val="14"/>
              </w:rPr>
            </w:pPr>
            <w:r>
              <w:rPr>
                <w:rFonts w:ascii="Cambria" w:hAnsi="Cambria" w:cs="Cambria"/>
                <w:b/>
                <w:sz w:val="14"/>
                <w:szCs w:val="14"/>
              </w:rPr>
              <w:t xml:space="preserve">Banco:</w:t>
            </w:r>
            <w:r>
              <w:rPr>
                <w:rFonts w:ascii="Cambria" w:hAnsi="Cambria" w:cs="Cambria"/>
                <w:sz w:val="14"/>
                <w:szCs w:val="14"/>
              </w:rPr>
            </w:r>
            <w:r/>
          </w:p>
        </w:tc>
        <w:tc>
          <w:tcPr>
            <w:gridSpan w:val="2"/>
            <w:tcBorders>
              <w:top w:val="single" w:color="000000" w:sz="6" w:space="0"/>
              <w:left w:val="single" w:color="000000" w:sz="6" w:space="0"/>
              <w:bottom w:val="single" w:color="000000" w:sz="6" w:space="0"/>
              <w:right w:val="single" w:color="000000" w:sz="6" w:space="0"/>
            </w:tcBorders>
            <w:tcW w:w="5578" w:type="dxa"/>
            <w:textDirection w:val="lrTb"/>
            <w:noWrap w:val="false"/>
          </w:tcPr>
          <w:p>
            <w:pPr>
              <w:ind w:left="0" w:right="0" w:firstLine="0"/>
              <w:jc w:val="left"/>
              <w:spacing w:before="0" w:after="0"/>
              <w:widowControl w:val="off"/>
              <w:rPr>
                <w:rFonts w:ascii="Cambria" w:hAnsi="Cambria" w:cs="Cambria"/>
                <w:bCs/>
                <w:sz w:val="14"/>
                <w:szCs w:val="14"/>
              </w:rPr>
            </w:pPr>
            <w:r>
              <w:rPr>
                <w:rFonts w:ascii="Cambria" w:hAnsi="Cambria" w:cs="Cambria"/>
                <w:b/>
                <w:sz w:val="14"/>
                <w:szCs w:val="14"/>
              </w:rPr>
              <w:t xml:space="preserve">Agência:</w:t>
            </w:r>
            <w:r>
              <w:rPr>
                <w:rFonts w:ascii="Cambria" w:hAnsi="Cambria" w:cs="Cambria"/>
                <w:sz w:val="14"/>
                <w:szCs w:val="14"/>
              </w:rPr>
            </w:r>
            <w:r/>
          </w:p>
        </w:tc>
      </w:tr>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bCs/>
                <w:sz w:val="14"/>
                <w:szCs w:val="14"/>
              </w:rPr>
            </w:pPr>
            <w:r>
              <w:rPr>
                <w:rFonts w:ascii="Cambria" w:hAnsi="Cambria" w:cs="Cambria"/>
                <w:b/>
                <w:sz w:val="14"/>
                <w:szCs w:val="14"/>
              </w:rPr>
              <w:t xml:space="preserve">C.C:</w:t>
            </w:r>
            <w:r>
              <w:rPr>
                <w:rFonts w:ascii="Cambria" w:hAnsi="Cambria" w:cs="Cambria"/>
                <w:sz w:val="14"/>
                <w:szCs w:val="14"/>
              </w:rPr>
            </w:r>
            <w:r/>
          </w:p>
        </w:tc>
      </w:tr>
    </w:tbl>
    <w:p>
      <w:pPr>
        <w:ind w:left="0" w:right="0" w:firstLine="0"/>
        <w:tabs>
          <w:tab w:val="left" w:pos="792" w:leader="none"/>
        </w:tabs>
        <w:rPr>
          <w:rFonts w:ascii="Cambria" w:hAnsi="Cambria" w:cs="Cambria"/>
          <w:sz w:val="14"/>
          <w:szCs w:val="14"/>
        </w:rPr>
      </w:pPr>
      <w:r>
        <w:rPr>
          <w:rFonts w:ascii="Cambria" w:hAnsi="Cambria" w:cs="Cambria"/>
          <w:sz w:val="14"/>
          <w:szCs w:val="14"/>
        </w:rPr>
      </w:r>
      <w:r>
        <w:rPr>
          <w:rFonts w:ascii="Cambria" w:hAnsi="Cambria" w:cs="Cambria"/>
          <w:sz w:val="14"/>
          <w:szCs w:val="14"/>
        </w:rPr>
      </w:r>
      <w:r/>
    </w:p>
    <w:tbl>
      <w:tblPr>
        <w:tblStyle w:val="978"/>
        <w:tblW w:w="9710" w:type="dxa"/>
        <w:tblInd w:w="76" w:type="dxa"/>
        <w:tblLayout w:type="fixed"/>
        <w:tblCellMar>
          <w:left w:w="70" w:type="dxa"/>
          <w:top w:w="0" w:type="dxa"/>
          <w:right w:w="70" w:type="dxa"/>
          <w:bottom w:w="0" w:type="dxa"/>
        </w:tblCellMar>
        <w:tblLook w:val="04A0" w:firstRow="1" w:lastRow="0" w:firstColumn="1" w:lastColumn="0" w:noHBand="0" w:noVBand="1"/>
      </w:tblPr>
      <w:tblGrid>
        <w:gridCol w:w="9710"/>
      </w:tblGrid>
      <w:tr>
        <w:trPr/>
        <w:tc>
          <w:tcPr>
            <w:tcBorders>
              <w:top w:val="single" w:color="000000" w:sz="6" w:space="0"/>
              <w:left w:val="single" w:color="000000" w:sz="6" w:space="0"/>
              <w:bottom w:val="single" w:color="000000" w:sz="6" w:space="0"/>
              <w:right w:val="single" w:color="000000" w:sz="6" w:space="0"/>
            </w:tcBorders>
            <w:tcW w:w="9710" w:type="dxa"/>
            <w:textDirection w:val="lrTb"/>
            <w:noWrap w:val="false"/>
          </w:tcPr>
          <w:p>
            <w:pPr>
              <w:ind w:left="1276" w:right="567" w:firstLine="0"/>
              <w:jc w:val="center"/>
              <w:rPr>
                <w:rFonts w:ascii="Cambria" w:hAnsi="Cambria" w:cs="Cambria"/>
                <w:color w:val="000000"/>
                <w:sz w:val="14"/>
                <w:szCs w:val="14"/>
              </w:rPr>
            </w:pPr>
            <w:r>
              <w:rPr>
                <w:rFonts w:ascii="Cambria" w:hAnsi="Cambria" w:cs="Cambria"/>
                <w:b w:val="0"/>
                <w:i/>
                <w:iCs/>
                <w:color w:val="000000" w:themeColor="text1"/>
                <w:sz w:val="14"/>
                <w:szCs w:val="14"/>
              </w:rPr>
              <w:t xml:space="preserve">Objeto:</w:t>
            </w:r>
            <w:r>
              <w:rPr>
                <w:rFonts w:ascii="Cambria" w:hAnsi="Cambria" w:cs="Cambria"/>
                <w:color w:val="000000" w:themeColor="text1"/>
                <w:sz w:val="14"/>
                <w:szCs w:val="14"/>
              </w:rPr>
              <w:t xml:space="preserve">CONTRATAÇÃO DE EMPRESA PARA REVITALIZAÇÃO ESTÁDIO MUNICIPAL JOSÉ ANTÔNIO DUMONCEL</w:t>
            </w:r>
            <w:r>
              <w:rPr>
                <w:rFonts w:ascii="Cambria" w:hAnsi="Cambria" w:cs="Cambria"/>
                <w:color w:val="000000" w:themeColor="text1"/>
                <w:sz w:val="14"/>
                <w:szCs w:val="14"/>
              </w:rPr>
            </w:r>
            <w:r/>
          </w:p>
        </w:tc>
      </w:tr>
    </w:tbl>
    <w:p>
      <w:pPr>
        <w:ind w:left="0" w:right="0" w:firstLine="0"/>
        <w:jc w:val="both"/>
        <w:rPr>
          <w:rFonts w:ascii="Cambria" w:hAnsi="Cambria" w:cs="Cambria"/>
          <w:sz w:val="14"/>
          <w:szCs w:val="14"/>
        </w:rPr>
      </w:pPr>
      <w:r>
        <w:rPr>
          <w:rFonts w:ascii="Cambria" w:hAnsi="Cambria" w:cs="Cambria"/>
          <w:sz w:val="14"/>
          <w:szCs w:val="14"/>
        </w:rPr>
      </w:r>
      <w:r>
        <w:rPr>
          <w:rFonts w:ascii="Cambria" w:hAnsi="Cambria" w:cs="Cambria"/>
          <w:sz w:val="14"/>
          <w:szCs w:val="14"/>
        </w:rPr>
      </w:r>
      <w:r/>
    </w:p>
    <w:tbl>
      <w:tblPr>
        <w:tblStyle w:val="1017"/>
        <w:tblW w:w="0" w:type="auto"/>
        <w:tblLayout w:type="fixed"/>
        <w:tblLook w:val="04A0" w:firstRow="1" w:lastRow="0" w:firstColumn="1" w:lastColumn="0" w:noHBand="0" w:noVBand="1"/>
      </w:tblPr>
      <w:tblGrid>
        <w:gridCol w:w="1012"/>
        <w:gridCol w:w="4394"/>
        <w:gridCol w:w="1276"/>
        <w:gridCol w:w="1276"/>
        <w:gridCol w:w="1984"/>
      </w:tblGrid>
      <w:tr>
        <w:trPr/>
        <w:tc>
          <w:tcPr>
            <w:tcW w:w="1012" w:type="dxa"/>
            <w:textDirection w:val="lrTb"/>
            <w:noWrap w:val="false"/>
          </w:tcPr>
          <w:p>
            <w:pPr>
              <w:pStyle w:val="1101"/>
              <w:ind w:left="0" w:right="0" w:firstLine="0"/>
              <w:jc w:val="center"/>
              <w:rPr>
                <w:rFonts w:ascii="Cambria" w:hAnsi="Cambria" w:cs="Cambria"/>
                <w:sz w:val="18"/>
                <w:szCs w:val="18"/>
                <w:highlight w:val="none"/>
              </w:rPr>
            </w:pPr>
            <w:r>
              <w:rPr>
                <w:rFonts w:ascii="Cambria" w:hAnsi="Cambria" w:cs="Cambria"/>
                <w:b/>
                <w:bCs/>
                <w:sz w:val="18"/>
                <w:szCs w:val="18"/>
                <w:highlight w:val="none"/>
              </w:rPr>
              <w:t xml:space="preserve">ITEM</w:t>
            </w:r>
            <w:r>
              <w:rPr>
                <w:sz w:val="18"/>
                <w:szCs w:val="18"/>
              </w:rPr>
            </w:r>
            <w:r/>
          </w:p>
        </w:tc>
        <w:tc>
          <w:tcPr>
            <w:tcW w:w="4394" w:type="dxa"/>
            <w:textDirection w:val="lrTb"/>
            <w:noWrap w:val="false"/>
          </w:tcPr>
          <w:p>
            <w:pPr>
              <w:pStyle w:val="1101"/>
              <w:ind w:left="0" w:right="0" w:firstLine="0"/>
              <w:jc w:val="center"/>
              <w:rPr>
                <w:rFonts w:ascii="Cambria" w:hAnsi="Cambria" w:cs="Cambria"/>
                <w:sz w:val="18"/>
                <w:szCs w:val="18"/>
                <w:highlight w:val="none"/>
              </w:rPr>
            </w:pPr>
            <w:r>
              <w:rPr>
                <w:rFonts w:ascii="Cambria" w:hAnsi="Cambria" w:cs="Cambria"/>
                <w:b/>
                <w:bCs/>
                <w:sz w:val="18"/>
                <w:szCs w:val="18"/>
                <w:highlight w:val="none"/>
              </w:rPr>
              <w:t xml:space="preserve">ESPECIFICAÇÃO</w:t>
            </w:r>
            <w:r>
              <w:rPr>
                <w:sz w:val="18"/>
                <w:szCs w:val="18"/>
              </w:rPr>
            </w:r>
            <w:r/>
          </w:p>
        </w:tc>
        <w:tc>
          <w:tcPr>
            <w:tcW w:w="1276" w:type="dxa"/>
            <w:textDirection w:val="lrTb"/>
            <w:noWrap w:val="false"/>
          </w:tcPr>
          <w:p>
            <w:pPr>
              <w:pStyle w:val="1101"/>
              <w:ind w:left="0" w:right="0" w:firstLine="0"/>
              <w:jc w:val="center"/>
              <w:rPr>
                <w:rFonts w:ascii="Cambria" w:hAnsi="Cambria" w:cs="Cambria"/>
                <w:sz w:val="18"/>
                <w:szCs w:val="18"/>
                <w:highlight w:val="none"/>
              </w:rPr>
            </w:pPr>
            <w:r>
              <w:rPr>
                <w:rFonts w:ascii="Cambria" w:hAnsi="Cambria" w:cs="Cambria"/>
                <w:b/>
                <w:bCs/>
                <w:sz w:val="18"/>
                <w:szCs w:val="18"/>
                <w:highlight w:val="none"/>
              </w:rPr>
              <w:t xml:space="preserve">UNIDADE</w:t>
            </w:r>
            <w:r>
              <w:rPr>
                <w:sz w:val="18"/>
                <w:szCs w:val="18"/>
              </w:rPr>
            </w:r>
            <w:r/>
          </w:p>
        </w:tc>
        <w:tc>
          <w:tcPr>
            <w:tcW w:w="1276" w:type="dxa"/>
            <w:textDirection w:val="lrTb"/>
            <w:noWrap w:val="false"/>
          </w:tcPr>
          <w:p>
            <w:pPr>
              <w:pStyle w:val="1101"/>
              <w:ind w:left="0" w:right="0" w:firstLine="0"/>
              <w:jc w:val="center"/>
              <w:rPr>
                <w:rFonts w:ascii="Cambria" w:hAnsi="Cambria" w:cs="Cambria"/>
                <w:sz w:val="18"/>
                <w:szCs w:val="18"/>
                <w:highlight w:val="none"/>
              </w:rPr>
            </w:pPr>
            <w:r>
              <w:rPr>
                <w:rFonts w:ascii="Cambria" w:hAnsi="Cambria" w:cs="Cambria"/>
                <w:b/>
                <w:bCs/>
                <w:sz w:val="18"/>
                <w:szCs w:val="18"/>
                <w:highlight w:val="none"/>
              </w:rPr>
              <w:t xml:space="preserve">QUANTIDADE</w:t>
            </w:r>
            <w:r>
              <w:rPr>
                <w:sz w:val="18"/>
                <w:szCs w:val="18"/>
              </w:rPr>
            </w:r>
            <w:r/>
          </w:p>
        </w:tc>
        <w:tc>
          <w:tcPr>
            <w:tcW w:w="1984" w:type="dxa"/>
            <w:textDirection w:val="lrTb"/>
            <w:noWrap w:val="false"/>
          </w:tcPr>
          <w:p>
            <w:pPr>
              <w:pStyle w:val="1101"/>
              <w:ind w:left="0" w:right="0" w:firstLine="0"/>
              <w:jc w:val="center"/>
              <w:rPr>
                <w:rFonts w:ascii="Cambria" w:hAnsi="Cambria" w:cs="Cambria"/>
                <w:sz w:val="18"/>
                <w:szCs w:val="18"/>
                <w:highlight w:val="none"/>
              </w:rPr>
            </w:pPr>
            <w:r>
              <w:rPr>
                <w:rFonts w:ascii="Cambria" w:hAnsi="Cambria" w:cs="Cambria"/>
                <w:b/>
                <w:bCs/>
                <w:sz w:val="18"/>
                <w:szCs w:val="18"/>
                <w:highlight w:val="none"/>
              </w:rPr>
              <w:t xml:space="preserve">VALOR TOTAL</w:t>
            </w:r>
            <w:r>
              <w:rPr>
                <w:sz w:val="18"/>
                <w:szCs w:val="18"/>
              </w:rPr>
            </w:r>
            <w:r/>
          </w:p>
        </w:tc>
      </w:tr>
      <w:tr>
        <w:trPr/>
        <w:tc>
          <w:tcPr>
            <w:tcW w:w="1012" w:type="dxa"/>
            <w:vAlign w:val="center"/>
            <w:vMerge w:val="restart"/>
            <w:textDirection w:val="lrTb"/>
            <w:noWrap w:val="false"/>
          </w:tcPr>
          <w:p>
            <w:pPr>
              <w:pStyle w:val="1101"/>
              <w:ind w:left="0" w:right="0" w:firstLine="0"/>
              <w:jc w:val="center"/>
              <w:rPr>
                <w:rFonts w:ascii="Cambria" w:hAnsi="Cambria" w:cs="Cambria"/>
                <w:sz w:val="18"/>
                <w:szCs w:val="18"/>
                <w:highlight w:val="none"/>
              </w:rPr>
            </w:pPr>
            <w:r>
              <w:rPr>
                <w:rFonts w:ascii="Cambria" w:hAnsi="Cambria" w:cs="Cambria"/>
                <w:b/>
                <w:bCs/>
                <w:sz w:val="18"/>
                <w:szCs w:val="18"/>
                <w:highlight w:val="none"/>
              </w:rPr>
              <w:t xml:space="preserve">01</w:t>
            </w:r>
            <w:r>
              <w:rPr>
                <w:sz w:val="18"/>
                <w:szCs w:val="18"/>
              </w:rPr>
            </w:r>
            <w:r/>
          </w:p>
        </w:tc>
        <w:tc>
          <w:tcPr>
            <w:tcW w:w="4394" w:type="dxa"/>
            <w:vAlign w:val="center"/>
            <w:vMerge w:val="restart"/>
            <w:textDirection w:val="lrTb"/>
            <w:noWrap w:val="false"/>
          </w:tcPr>
          <w:p>
            <w:pPr>
              <w:ind w:left="1276" w:right="567" w:firstLine="0"/>
              <w:jc w:val="center"/>
              <w:rPr>
                <w:rFonts w:ascii="Cambria" w:hAnsi="Cambria" w:cs="Cambria"/>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CONTRATAÇÃO DE EMPRESA PARA REVITALIZAÇÃO ESTÁDIO MUNICIPAL JOSÉ ANTÔNIO DUMONCEL</w:t>
            </w:r>
            <w:r>
              <w:rPr>
                <w:rFonts w:ascii="Cambria" w:hAnsi="Cambria" w:cs="Cambria"/>
                <w:sz w:val="18"/>
                <w:szCs w:val="18"/>
              </w:rPr>
            </w:r>
            <w:r/>
          </w:p>
        </w:tc>
        <w:tc>
          <w:tcPr>
            <w:tcW w:w="1276" w:type="dxa"/>
            <w:vAlign w:val="center"/>
            <w:vMerge w:val="restart"/>
            <w:textDirection w:val="lrTb"/>
            <w:noWrap w:val="false"/>
          </w:tcPr>
          <w:p>
            <w:pPr>
              <w:pStyle w:val="1101"/>
              <w:ind w:left="0" w:right="0" w:firstLine="0"/>
              <w:jc w:val="center"/>
              <w:rPr>
                <w:rFonts w:ascii="Cambria" w:hAnsi="Cambria" w:cs="Cambria"/>
                <w:sz w:val="18"/>
                <w:szCs w:val="18"/>
                <w:highlight w:val="none"/>
              </w:rPr>
            </w:pPr>
            <w:r>
              <w:rPr>
                <w:rFonts w:ascii="Cambria" w:hAnsi="Cambria" w:cs="Cambria"/>
                <w:b/>
                <w:bCs/>
                <w:sz w:val="18"/>
                <w:szCs w:val="18"/>
                <w:highlight w:val="none"/>
              </w:rPr>
              <w:t xml:space="preserve">UN</w:t>
            </w:r>
            <w:r>
              <w:rPr>
                <w:sz w:val="18"/>
                <w:szCs w:val="18"/>
              </w:rPr>
            </w:r>
            <w:r/>
          </w:p>
        </w:tc>
        <w:tc>
          <w:tcPr>
            <w:tcW w:w="1276" w:type="dxa"/>
            <w:vAlign w:val="center"/>
            <w:vMerge w:val="restart"/>
            <w:textDirection w:val="lrTb"/>
            <w:noWrap w:val="false"/>
          </w:tcPr>
          <w:p>
            <w:pPr>
              <w:pStyle w:val="1101"/>
              <w:ind w:left="0" w:right="0" w:firstLine="0"/>
              <w:jc w:val="center"/>
              <w:rPr>
                <w:rFonts w:ascii="Cambria" w:hAnsi="Cambria" w:cs="Cambria"/>
                <w:sz w:val="18"/>
                <w:szCs w:val="18"/>
                <w:highlight w:val="none"/>
              </w:rPr>
            </w:pPr>
            <w:r>
              <w:rPr>
                <w:rFonts w:ascii="Cambria" w:hAnsi="Cambria" w:cs="Cambria"/>
                <w:b/>
                <w:bCs/>
                <w:sz w:val="18"/>
                <w:szCs w:val="18"/>
                <w:highlight w:val="none"/>
              </w:rPr>
              <w:t xml:space="preserve">01</w:t>
            </w:r>
            <w:r>
              <w:rPr>
                <w:sz w:val="18"/>
                <w:szCs w:val="18"/>
              </w:rPr>
            </w:r>
            <w:r/>
          </w:p>
        </w:tc>
        <w:tc>
          <w:tcPr>
            <w:tcW w:w="1984" w:type="dxa"/>
            <w:vAlign w:val="center"/>
            <w:vMerge w:val="restart"/>
            <w:textDirection w:val="lrTb"/>
            <w:noWrap w:val="false"/>
          </w:tcPr>
          <w:p>
            <w:pPr>
              <w:ind w:left="0" w:right="0" w:firstLine="0"/>
              <w:rPr>
                <w:rFonts w:ascii="Cambria" w:hAnsi="Cambria" w:cs="Cambria"/>
                <w:sz w:val="18"/>
                <w:szCs w:val="18"/>
              </w:rPr>
            </w:pPr>
            <w:r>
              <w:rPr>
                <w:rFonts w:ascii="Cambria" w:hAnsi="Cambria" w:cs="Cambria"/>
                <w:sz w:val="18"/>
                <w:szCs w:val="18"/>
              </w:rPr>
            </w:r>
            <w:r>
              <w:rPr>
                <w:sz w:val="18"/>
                <w:szCs w:val="18"/>
              </w:rPr>
            </w:r>
            <w:r/>
          </w:p>
        </w:tc>
      </w:tr>
    </w:tbl>
    <w:p>
      <w:pPr>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rPr>
          <w:rFonts w:ascii="Cambria" w:hAnsi="Cambria" w:cs="Cambria"/>
          <w:sz w:val="14"/>
          <w:szCs w:val="14"/>
        </w:rPr>
      </w:pPr>
      <w:r>
        <w:rPr>
          <w:rFonts w:ascii="Cambria" w:hAnsi="Cambria" w:cs="Cambria"/>
          <w:sz w:val="14"/>
          <w:szCs w:val="14"/>
        </w:rPr>
      </w:r>
      <w:r>
        <w:rPr>
          <w:rFonts w:ascii="Cambria" w:hAnsi="Cambria" w:cs="Cambria"/>
          <w:sz w:val="14"/>
          <w:szCs w:val="14"/>
        </w:rPr>
      </w:r>
      <w:r/>
    </w:p>
    <w:tbl>
      <w:tblPr>
        <w:tblStyle w:val="1017"/>
        <w:tblW w:w="963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6"/>
        <w:gridCol w:w="7370"/>
      </w:tblGrid>
      <w:tr>
        <w:trPr/>
        <w:tc>
          <w:tcPr>
            <w:tcW w:w="2266" w:type="dxa"/>
            <w:textDirection w:val="lrTb"/>
            <w:noWrap w:val="false"/>
          </w:tcPr>
          <w:p>
            <w:pPr>
              <w:pStyle w:val="971"/>
              <w:ind w:left="0" w:right="0" w:firstLine="0"/>
              <w:jc w:val="both"/>
              <w:spacing w:before="0" w:after="0"/>
              <w:widowControl w:val="off"/>
              <w:rPr>
                <w:rFonts w:ascii="Cambria" w:hAnsi="Cambria" w:cs="Cambria"/>
                <w:sz w:val="14"/>
                <w:szCs w:val="14"/>
              </w:rPr>
            </w:pPr>
            <w:r>
              <w:rPr>
                <w:rFonts w:ascii="Cambria" w:hAnsi="Cambria" w:eastAsia="Ecofont_Spranq_eco_Sans" w:cs="Cambria"/>
                <w:bCs/>
                <w:i/>
                <w:color w:val="auto"/>
                <w:sz w:val="14"/>
                <w:szCs w:val="14"/>
                <w:lang w:val="pt-BR" w:bidi="ar-SA"/>
              </w:rPr>
              <w:t xml:space="preserve">05</w:t>
            </w:r>
            <w:r/>
          </w:p>
          <w:p>
            <w:pPr>
              <w:pStyle w:val="971"/>
              <w:ind w:left="0" w:right="0" w:firstLine="0"/>
              <w:jc w:val="both"/>
              <w:spacing w:before="0" w:after="0"/>
              <w:widowControl w:val="off"/>
              <w:rPr>
                <w:rFonts w:ascii="Cambria" w:hAnsi="Cambria" w:cs="Cambria"/>
                <w:sz w:val="14"/>
                <w:szCs w:val="14"/>
              </w:rPr>
            </w:pPr>
            <w:r>
              <w:rPr>
                <w:rFonts w:ascii="Cambria" w:hAnsi="Cambria" w:eastAsia="Ecofont_Spranq_eco_Sans" w:cs="Cambria"/>
                <w:bCs/>
                <w:i/>
                <w:color w:val="auto"/>
                <w:sz w:val="14"/>
                <w:szCs w:val="14"/>
                <w:lang w:val="pt-BR" w:bidi="ar-SA"/>
              </w:rPr>
              <w:t xml:space="preserve">27 0812 0007 1068</w:t>
            </w:r>
            <w:r/>
          </w:p>
          <w:p>
            <w:pPr>
              <w:pStyle w:val="971"/>
              <w:ind w:left="0" w:right="0" w:firstLine="0"/>
              <w:jc w:val="both"/>
              <w:spacing w:before="0" w:after="0"/>
              <w:widowControl w:val="off"/>
              <w:rPr>
                <w:rFonts w:ascii="Cambria" w:hAnsi="Cambria" w:cs="Cambria"/>
                <w:sz w:val="14"/>
                <w:szCs w:val="14"/>
              </w:rPr>
            </w:pPr>
            <w:r>
              <w:rPr>
                <w:rFonts w:ascii="Cambria" w:hAnsi="Cambria" w:eastAsia="Ecofont_Spranq_eco_Sans" w:cs="Cambria"/>
                <w:bCs/>
                <w:i/>
                <w:color w:val="auto"/>
                <w:sz w:val="14"/>
                <w:szCs w:val="14"/>
                <w:lang w:val="pt-BR" w:bidi="ar-SA"/>
              </w:rPr>
              <w:t xml:space="preserve">4490 51</w:t>
            </w:r>
            <w:r>
              <w:rPr>
                <w:rFonts w:ascii="Cambria" w:hAnsi="Cambria" w:cs="Cambria"/>
                <w:sz w:val="14"/>
                <w:szCs w:val="14"/>
              </w:rPr>
            </w:r>
            <w:r/>
          </w:p>
        </w:tc>
        <w:tc>
          <w:tcPr>
            <w:tcW w:w="7370" w:type="dxa"/>
            <w:textDirection w:val="lrTb"/>
            <w:noWrap w:val="false"/>
          </w:tcPr>
          <w:p>
            <w:pPr>
              <w:pStyle w:val="971"/>
              <w:ind w:left="0" w:right="0" w:firstLine="0"/>
              <w:jc w:val="both"/>
              <w:spacing w:before="0" w:after="0"/>
              <w:widowControl w:val="off"/>
              <w:rPr>
                <w:rFonts w:ascii="Cambria" w:hAnsi="Cambria" w:cs="Cambria"/>
                <w:sz w:val="14"/>
                <w:szCs w:val="14"/>
              </w:rPr>
            </w:pPr>
            <w:r>
              <w:rPr>
                <w:rFonts w:ascii="Cambria" w:hAnsi="Cambria" w:eastAsia="Ecofont_Spranq_eco_Sans" w:cs="Cambria"/>
                <w:bCs/>
                <w:i/>
                <w:sz w:val="14"/>
                <w:szCs w:val="14"/>
                <w:lang w:val="pt-BR" w:bidi="ar-SA"/>
              </w:rPr>
              <w:t xml:space="preserve">Secretaria de Educação, Cultura, Desporto e Lazer</w:t>
            </w:r>
            <w:r/>
          </w:p>
          <w:p>
            <w:pPr>
              <w:pStyle w:val="971"/>
              <w:ind w:left="0" w:right="0" w:firstLine="0"/>
              <w:jc w:val="both"/>
              <w:spacing w:before="0" w:after="0"/>
              <w:widowControl w:val="off"/>
              <w:rPr>
                <w:rFonts w:ascii="Cambria" w:hAnsi="Cambria" w:cs="Cambria"/>
                <w:sz w:val="14"/>
                <w:szCs w:val="14"/>
              </w:rPr>
            </w:pPr>
            <w:r>
              <w:rPr>
                <w:rFonts w:ascii="Cambria" w:hAnsi="Cambria" w:cs="Cambria"/>
                <w:sz w:val="14"/>
                <w:szCs w:val="14"/>
              </w:rPr>
              <w:t xml:space="preserve">Revitalização estádio José Antônio Dumoncel</w:t>
            </w:r>
            <w:r/>
          </w:p>
          <w:p>
            <w:pPr>
              <w:pStyle w:val="971"/>
              <w:ind w:left="0" w:right="0" w:firstLine="0"/>
              <w:jc w:val="both"/>
              <w:spacing w:before="0" w:after="0"/>
              <w:widowControl w:val="off"/>
              <w:rPr>
                <w:rFonts w:ascii="Cambria" w:hAnsi="Cambria" w:cs="Cambria"/>
                <w:sz w:val="14"/>
                <w:szCs w:val="14"/>
              </w:rPr>
            </w:pPr>
            <w:r>
              <w:rPr>
                <w:rFonts w:ascii="Cambria" w:hAnsi="Cambria" w:eastAsia="Ecofont_Spranq_eco_Sans" w:cs="Cambria"/>
                <w:bCs/>
                <w:i/>
                <w:sz w:val="14"/>
                <w:szCs w:val="14"/>
                <w:lang w:val="pt-BR" w:bidi="ar-SA"/>
              </w:rPr>
              <w:t xml:space="preserve">Obras e Instalações</w:t>
            </w:r>
            <w:r>
              <w:rPr>
                <w:rFonts w:ascii="Cambria" w:hAnsi="Cambria" w:cs="Cambria"/>
                <w:sz w:val="14"/>
                <w:szCs w:val="14"/>
              </w:rPr>
            </w:r>
            <w:r/>
          </w:p>
        </w:tc>
      </w:tr>
    </w:tbl>
    <w:p>
      <w:pPr>
        <w:ind w:left="0" w:right="0" w:firstLine="0"/>
        <w:jc w:val="both"/>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rPr>
          <w:rFonts w:ascii="Cambria" w:hAnsi="Cambria" w:cs="Cambria"/>
          <w:sz w:val="14"/>
          <w:szCs w:val="14"/>
        </w:rPr>
      </w:pPr>
      <w:r>
        <w:rPr>
          <w:rFonts w:ascii="Cambria" w:hAnsi="Cambria" w:cs="Cambria"/>
          <w:b/>
          <w:bCs/>
          <w:sz w:val="14"/>
          <w:szCs w:val="14"/>
        </w:rPr>
      </w:r>
      <w:r>
        <w:rPr>
          <w:rFonts w:ascii="Cambria" w:hAnsi="Cambria" w:cs="Cambria"/>
          <w:sz w:val="14"/>
          <w:szCs w:val="14"/>
        </w:rPr>
      </w:r>
      <w:r/>
    </w:p>
    <w:p>
      <w:pPr>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r>
      <w:r/>
    </w:p>
    <w:tbl>
      <w:tblPr>
        <w:tblStyle w:val="978"/>
        <w:tblW w:w="9645" w:type="dxa"/>
        <w:tblInd w:w="142" w:type="dxa"/>
        <w:tblLayout w:type="fixed"/>
        <w:tblCellMar>
          <w:left w:w="71" w:type="dxa"/>
          <w:top w:w="0" w:type="dxa"/>
          <w:right w:w="71" w:type="dxa"/>
          <w:bottom w:w="0" w:type="dxa"/>
        </w:tblCellMar>
        <w:tblLook w:val="04A0" w:firstRow="1" w:lastRow="0" w:firstColumn="1" w:lastColumn="0" w:noHBand="0" w:noVBand="1"/>
      </w:tblPr>
      <w:tblGrid>
        <w:gridCol w:w="5171"/>
        <w:gridCol w:w="361"/>
        <w:gridCol w:w="4113"/>
      </w:tblGrid>
      <w:tr>
        <w:trPr>
          <w:trHeight w:val="2271"/>
        </w:trPr>
        <w:tc>
          <w:tcPr>
            <w:tcW w:w="5171"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Validade da proposta: (mínimo 60 dias):______</w:t>
            </w:r>
            <w:r>
              <w:rPr>
                <w:rFonts w:ascii="Cambria" w:hAnsi="Cambria" w:cs="Cambria"/>
                <w:sz w:val="14"/>
                <w:szCs w:val="14"/>
              </w:rPr>
            </w:r>
            <w:r/>
          </w:p>
          <w:p>
            <w:pPr>
              <w:ind w:left="0" w:right="0" w:firstLine="0"/>
              <w:jc w:val="left"/>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Data: ______ / ____________ de 2024</w:t>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left"/>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________________________________________</w:t>
            </w:r>
            <w:r>
              <w:rPr>
                <w:rFonts w:ascii="Cambria" w:hAnsi="Cambria" w:cs="Cambria"/>
                <w:sz w:val="14"/>
                <w:szCs w:val="14"/>
              </w:rPr>
            </w:r>
            <w:r/>
          </w:p>
          <w:p>
            <w:pPr>
              <w:ind w:left="0" w:right="0" w:firstLine="0"/>
              <w:jc w:val="left"/>
              <w:spacing w:before="0" w:after="0"/>
              <w:widowControl w:val="off"/>
              <w:rPr>
                <w:rFonts w:ascii="Cambria" w:hAnsi="Cambria" w:cs="Cambria"/>
                <w:bCs/>
                <w:sz w:val="14"/>
                <w:szCs w:val="14"/>
              </w:rPr>
            </w:pPr>
            <w:r>
              <w:rPr>
                <w:rFonts w:ascii="Cambria" w:hAnsi="Cambria" w:cs="Cambria"/>
                <w:b/>
                <w:sz w:val="14"/>
                <w:szCs w:val="14"/>
              </w:rPr>
              <w:t xml:space="preserve">Assinatura e Identificação do Proponente Legal</w:t>
            </w:r>
            <w:r>
              <w:rPr>
                <w:rFonts w:ascii="Cambria" w:hAnsi="Cambria" w:cs="Cambria"/>
                <w:sz w:val="14"/>
                <w:szCs w:val="14"/>
              </w:rPr>
            </w:r>
            <w:r/>
          </w:p>
        </w:tc>
        <w:tc>
          <w:tcPr>
            <w:tcW w:w="361"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W w:w="4113" w:type="dxa"/>
            <w:textDirection w:val="lrTb"/>
            <w:noWrap w:val="false"/>
          </w:tcPr>
          <w:p>
            <w:pPr>
              <w:ind w:left="0" w:right="0" w:firstLine="0"/>
              <w:jc w:val="center"/>
              <w:spacing w:before="0" w:after="0"/>
              <w:widowControl w:val="off"/>
              <w:rPr>
                <w:rFonts w:ascii="Cambria" w:hAnsi="Cambria" w:cs="Cambria"/>
                <w:sz w:val="14"/>
                <w:szCs w:val="14"/>
              </w:rPr>
            </w:pPr>
            <w:r>
              <w:rPr>
                <w:rFonts w:ascii="Cambria" w:hAnsi="Cambria" w:cs="Cambria"/>
                <w:b/>
                <w:sz w:val="14"/>
                <w:szCs w:val="14"/>
              </w:rPr>
              <w:t xml:space="preserve">Carimbo do CNPJ</w:t>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b/>
                <w:bCs/>
                <w:sz w:val="14"/>
                <w:szCs w:val="14"/>
              </w:rPr>
            </w:pPr>
            <w:r>
              <w:rPr>
                <w:rFonts w:ascii="Cambria" w:hAnsi="Cambria" w:cs="Cambria"/>
                <w:sz w:val="14"/>
                <w:szCs w:val="14"/>
              </w:rPr>
            </w:r>
            <w:r>
              <w:rPr>
                <w:rFonts w:ascii="Cambria" w:hAnsi="Cambria" w:cs="Cambria"/>
                <w:sz w:val="14"/>
                <w:szCs w:val="14"/>
              </w:rPr>
            </w:r>
            <w:r/>
          </w:p>
        </w:tc>
      </w:tr>
    </w:tbl>
    <w:p>
      <w:pPr>
        <w:ind w:left="0" w:right="0" w:firstLine="0"/>
        <w:rPr>
          <w:rFonts w:ascii="Cambria" w:hAnsi="Cambria" w:cs="Cambria"/>
          <w:sz w:val="14"/>
          <w:szCs w:val="14"/>
        </w:rPr>
      </w:pPr>
      <w:r>
        <w:rPr>
          <w:rFonts w:ascii="Cambria" w:hAnsi="Cambria" w:cs="Cambria"/>
          <w:b/>
          <w:bCs/>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center"/>
        <w:rPr>
          <w:rFonts w:ascii="Cambria" w:hAnsi="Cambria" w:cs="Cambria"/>
          <w:b/>
          <w:bCs/>
          <w:sz w:val="14"/>
          <w:szCs w:val="14"/>
        </w:rPr>
      </w:pPr>
      <w:r>
        <w:rPr>
          <w:rFonts w:ascii="Cambria" w:hAnsi="Cambria" w:cs="Cambria"/>
          <w:b/>
          <w:bCs/>
          <w:sz w:val="14"/>
          <w:szCs w:val="14"/>
        </w:rPr>
        <w:t xml:space="preserve">ANEXO II</w:t>
      </w:r>
      <w:r>
        <w:rPr>
          <w:rFonts w:ascii="Cambria" w:hAnsi="Cambria" w:cs="Cambria"/>
          <w:b/>
          <w:bCs/>
          <w:sz w:val="14"/>
          <w:szCs w:val="14"/>
        </w:rPr>
        <w:t xml:space="preserve">I</w:t>
      </w:r>
      <w:r>
        <w:rPr>
          <w:b/>
          <w:bCs/>
        </w:rPr>
      </w:r>
      <w:r/>
    </w:p>
    <w:p>
      <w:pPr>
        <w:ind w:left="0" w:right="0" w:firstLine="0"/>
        <w:jc w:val="center"/>
        <w:spacing w:before="120" w:after="288" w:line="276" w:lineRule="auto"/>
        <w:rPr>
          <w:rFonts w:ascii="Cambria" w:hAnsi="Cambria" w:cs="Cambria"/>
          <w:b/>
          <w:bCs/>
          <w:color w:val="000000" w:themeColor="text1"/>
          <w:sz w:val="14"/>
          <w:szCs w:val="14"/>
        </w:rPr>
      </w:pPr>
      <w:r>
        <w:rPr>
          <w:rFonts w:ascii="Cambria" w:hAnsi="Cambria" w:cs="Cambria"/>
          <w:b/>
          <w:bCs/>
          <w:color w:val="000000" w:themeColor="text1"/>
          <w:sz w:val="14"/>
          <w:szCs w:val="14"/>
          <w:shd w:val="clear" w:color="ffffff" w:themeColor="background1" w:fill="ffffff" w:themeFill="background1"/>
        </w:rPr>
        <w:t xml:space="preserve">MINUTA DE CONTRATO</w:t>
      </w:r>
      <w:r>
        <w:rPr>
          <w:rFonts w:ascii="Cambria" w:hAnsi="Cambria" w:cs="Cambria"/>
          <w:b/>
          <w:bCs/>
          <w:color w:val="000000" w:themeColor="text1"/>
          <w:sz w:val="14"/>
          <w:szCs w:val="14"/>
        </w:rPr>
        <w:br/>
        <w:t xml:space="preserve">Lei nº 14.133, de 1º de abril de 2021</w:t>
      </w:r>
      <w:r>
        <w:rPr>
          <w:rFonts w:ascii="Cambria" w:hAnsi="Cambria" w:cs="Cambria"/>
          <w:b/>
          <w:bCs/>
          <w:color w:val="000000" w:themeColor="text1"/>
          <w:sz w:val="14"/>
          <w:szCs w:val="14"/>
        </w:rPr>
        <w:br/>
        <w:t xml:space="preserve">SERVIÇO</w:t>
      </w:r>
      <w:r>
        <w:rPr>
          <w:rFonts w:ascii="Cambria" w:hAnsi="Cambria" w:cs="Cambria"/>
          <w:b/>
          <w:bCs/>
          <w:color w:val="000000" w:themeColor="text1"/>
          <w:sz w:val="14"/>
          <w:szCs w:val="14"/>
          <w:highlight w:val="none"/>
        </w:rPr>
        <w:t xml:space="preserve">S</w:t>
      </w:r>
      <w:r>
        <w:rPr>
          <w:rFonts w:ascii="Cambria" w:hAnsi="Cambria" w:cs="Cambria"/>
          <w:b/>
          <w:bCs/>
          <w:color w:val="000000" w:themeColor="text1"/>
          <w:sz w:val="14"/>
          <w:szCs w:val="14"/>
          <w:highlight w:val="none"/>
        </w:rPr>
        <w:t xml:space="preserve"> </w:t>
      </w:r>
      <w:r>
        <w:rPr>
          <w:rFonts w:ascii="Cambria" w:hAnsi="Cambria" w:cs="Cambria"/>
          <w:b/>
          <w:bCs/>
          <w:color w:val="000000" w:themeColor="text1"/>
          <w:sz w:val="14"/>
          <w:szCs w:val="14"/>
          <w:highlight w:val="none"/>
        </w:rPr>
        <w:t xml:space="preserve">COMUNS DE ENGENHARIA</w:t>
      </w:r>
      <w:r>
        <w:rPr>
          <w:rFonts w:ascii="Cambria" w:hAnsi="Cambria" w:cs="Cambria"/>
          <w:b/>
          <w:bCs/>
          <w:color w:val="000000" w:themeColor="text1"/>
          <w:sz w:val="14"/>
          <w:szCs w:val="14"/>
          <w:highlight w:val="none"/>
        </w:rPr>
        <w:t xml:space="preserve"> – LICITAÇ</w:t>
      </w:r>
      <w:r>
        <w:rPr>
          <w:rFonts w:ascii="Cambria" w:hAnsi="Cambria" w:cs="Cambria"/>
          <w:b/>
          <w:bCs/>
          <w:color w:val="000000" w:themeColor="text1"/>
          <w:sz w:val="14"/>
          <w:szCs w:val="14"/>
        </w:rPr>
        <w:t xml:space="preserve">ÃO</w:t>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eastAsia="Arial" w:cs="Cambria"/>
          <w:b/>
          <w:bCs/>
          <w:i/>
          <w:iCs/>
          <w:sz w:val="14"/>
          <w:szCs w:val="14"/>
        </w:rPr>
        <w:t xml:space="preserve">MUNICÍPIO DE SANTA BÁRBARA DO SUL</w:t>
      </w:r>
      <w:r>
        <w:rPr>
          <w:rFonts w:ascii="Cambria" w:hAnsi="Cambria" w:eastAsia="Arial" w:cs="Cambria"/>
          <w:i/>
          <w:iCs/>
          <w:sz w:val="14"/>
          <w:szCs w:val="14"/>
        </w:rPr>
        <w:t xml:space="preserve"> </w:t>
      </w:r>
      <w:r>
        <w:rPr>
          <w:rFonts w:ascii="Cambria" w:hAnsi="Cambria" w:eastAsia="Arial" w:cs="Cambria"/>
          <w:b/>
          <w:bCs/>
          <w:i/>
          <w:iCs/>
          <w:sz w:val="14"/>
          <w:szCs w:val="14"/>
        </w:rPr>
        <w:t xml:space="preserve">/ RS</w:t>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eastAsia="Arial" w:cs="Cambria"/>
          <w:color w:val="000000" w:themeColor="text1"/>
          <w:sz w:val="14"/>
          <w:szCs w:val="14"/>
        </w:rPr>
        <w:t xml:space="preserve">(Processo Administrativo n° 139/2024)</w:t>
      </w:r>
      <w:r>
        <w:rPr>
          <w:rFonts w:ascii="Cambria" w:hAnsi="Cambria" w:cs="Cambria"/>
          <w:sz w:val="14"/>
          <w:szCs w:val="14"/>
        </w:rPr>
      </w:r>
      <w:r/>
    </w:p>
    <w:p>
      <w:pPr>
        <w:pStyle w:val="1091"/>
        <w:ind w:left="0" w:right="0" w:firstLine="0"/>
        <w:spacing w:before="120" w:after="288" w:line="312" w:lineRule="auto"/>
        <w:rPr>
          <w:rFonts w:ascii="Cambria" w:hAnsi="Cambria" w:cs="Cambria"/>
          <w:sz w:val="14"/>
          <w:szCs w:val="14"/>
        </w:rPr>
      </w:pPr>
      <w:r>
        <w:rPr>
          <w:rFonts w:ascii="Cambria" w:hAnsi="Cambria" w:cs="Cambria"/>
          <w:sz w:val="14"/>
          <w:szCs w:val="14"/>
        </w:rPr>
        <w:t xml:space="preserve">CONTRATO ADMINISTRATIVO Nº ......../...., QUE FAZEM ENTRE SI O MUNICÍPIO DE SANTA BÁRBARA DO SUL-RS, POR INTERMÉDIO DO (A) ......................................................... E .............................................................  </w:t>
      </w:r>
      <w:r>
        <w:rPr>
          <w:rFonts w:ascii="Cambria" w:hAnsi="Cambria" w:cs="Cambria"/>
          <w:sz w:val="14"/>
          <w:szCs w:val="14"/>
        </w:rPr>
      </w:r>
      <w:r/>
    </w:p>
    <w:p>
      <w:pPr>
        <w:ind w:left="0" w:right="0" w:firstLine="0"/>
        <w:jc w:val="both"/>
        <w:spacing w:before="120" w:after="120" w:line="276" w:lineRule="auto"/>
        <w:rPr>
          <w:rFonts w:ascii="Cambria" w:hAnsi="Cambria" w:cs="Cambria"/>
          <w:sz w:val="14"/>
          <w:szCs w:val="14"/>
        </w:rPr>
      </w:pPr>
      <w:r>
        <w:rPr>
          <w:rFonts w:ascii="Cambria" w:hAnsi="Cambria" w:eastAsia="Arial" w:cs="Cambria"/>
          <w:i/>
          <w:iCs/>
          <w:color w:val="000000" w:themeColor="text1"/>
          <w:sz w:val="14"/>
          <w:szCs w:val="14"/>
        </w:rPr>
        <w:t xml:space="preserve">O Município de </w:t>
      </w:r>
      <w:r>
        <w:rPr>
          <w:rFonts w:ascii="Cambria" w:hAnsi="Cambria" w:eastAsia="Arial" w:cs="Cambria"/>
          <w:i/>
          <w:iCs/>
          <w:color w:val="000000" w:themeColor="text1"/>
          <w:sz w:val="14"/>
          <w:szCs w:val="14"/>
        </w:rPr>
        <w:t xml:space="preserve">Santa Bárbara do Sul</w:t>
      </w:r>
      <w:r>
        <w:rPr>
          <w:rFonts w:ascii="Cambria" w:hAnsi="Cambria" w:eastAsia="Arial" w:cs="Cambria"/>
          <w:i/>
          <w:iCs/>
          <w:color w:val="000000" w:themeColor="text1"/>
          <w:sz w:val="14"/>
          <w:szCs w:val="14"/>
        </w:rPr>
        <w:t xml:space="preserve">/RS, </w:t>
      </w:r>
      <w:r>
        <w:rPr>
          <w:rFonts w:ascii="Cambria" w:hAnsi="Cambria" w:eastAsia="Arial" w:cs="Cambria"/>
          <w:color w:val="000000" w:themeColor="text1"/>
          <w:sz w:val="14"/>
          <w:szCs w:val="14"/>
        </w:rPr>
        <w:t xml:space="preserve">por intermédio do(a) .................................... (</w:t>
      </w:r>
      <w:r>
        <w:rPr>
          <w:rFonts w:ascii="Cambria" w:hAnsi="Cambria" w:eastAsia="Arial" w:cs="Cambria"/>
          <w:i/>
          <w:iCs/>
          <w:color w:val="000000" w:themeColor="text1"/>
          <w:sz w:val="14"/>
          <w:szCs w:val="14"/>
        </w:rPr>
        <w:t xml:space="preserve">órgão contratante</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com sede no(a)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na cidade de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/Estado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inscrito(a) no CNPJ sob o nº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neste ato representado(a) pelo(a) </w:t>
      </w:r>
      <w:r>
        <w:rPr>
          <w:rFonts w:ascii="Cambria" w:hAnsi="Cambria" w:eastAsia="Arial" w:cs="Cambria"/>
          <w:color w:val="000000" w:themeColor="text1"/>
          <w:sz w:val="14"/>
          <w:szCs w:val="14"/>
        </w:rPr>
        <w:t xml:space="preserve">......................... (</w:t>
      </w:r>
      <w:r>
        <w:rPr>
          <w:rFonts w:ascii="Cambria" w:hAnsi="Cambria" w:eastAsia="Arial" w:cs="Cambria"/>
          <w:i/>
          <w:iCs/>
          <w:color w:val="000000" w:themeColor="text1"/>
          <w:sz w:val="14"/>
          <w:szCs w:val="14"/>
        </w:rPr>
        <w:t xml:space="preserve">cargo e nome</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nomeado(a) pela Portaria nº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de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de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de 20</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publicada no</w:t>
      </w:r>
      <w:r>
        <w:rPr>
          <w:rFonts w:ascii="Cambria" w:hAnsi="Cambria" w:eastAsia="Arial" w:cs="Cambria"/>
          <w:i/>
          <w:iCs/>
          <w:color w:val="000000" w:themeColor="text1"/>
          <w:sz w:val="14"/>
          <w:szCs w:val="14"/>
        </w:rPr>
        <w:t xml:space="preserve"> ......... </w:t>
      </w:r>
      <w:r>
        <w:rPr>
          <w:rFonts w:ascii="Cambria" w:hAnsi="Cambria" w:eastAsia="Arial" w:cs="Cambria"/>
          <w:color w:val="000000" w:themeColor="text1"/>
          <w:sz w:val="14"/>
          <w:szCs w:val="14"/>
        </w:rPr>
        <w:t xml:space="preserve">de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de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de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portador da Matrícula Funcional nº .........., doravante denominado CONTRATANTE, e o(a)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w:t>
      </w:r>
      <w:r>
        <w:rPr>
          <w:rFonts w:ascii="Cambria" w:hAnsi="Cambria" w:eastAsia="Arial" w:cs="Cambria"/>
          <w:i/>
          <w:iCs/>
          <w:color w:val="000000" w:themeColor="text1"/>
          <w:sz w:val="14"/>
          <w:szCs w:val="14"/>
        </w:rPr>
        <w:t xml:space="preserve">inscrito(a) no CNPJ/MF sob o nº ............................, sediado(a) na</w:t>
      </w:r>
      <w:r>
        <w:rPr>
          <w:rFonts w:ascii="Cambria" w:hAnsi="Cambria" w:eastAsia="Arial" w:cs="Cambria"/>
          <w:color w:val="000000" w:themeColor="text1"/>
          <w:sz w:val="14"/>
          <w:szCs w:val="14"/>
        </w:rPr>
        <w:t xml:space="preserv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doravante designado CONTRATADO, </w:t>
      </w:r>
      <w:r>
        <w:rPr>
          <w:rFonts w:ascii="Cambria" w:hAnsi="Cambria" w:eastAsia="Arial" w:cs="Cambria"/>
          <w:i/>
          <w:iCs/>
          <w:color w:val="000000" w:themeColor="text1"/>
          <w:sz w:val="14"/>
          <w:szCs w:val="14"/>
        </w:rPr>
        <w:t xml:space="preserve">neste ato representado(a) por</w:t>
      </w:r>
      <w:r>
        <w:rPr>
          <w:rFonts w:ascii="Cambria" w:hAnsi="Cambria" w:eastAsia="Arial" w:cs="Cambria"/>
          <w:color w:val="000000" w:themeColor="text1"/>
          <w:sz w:val="14"/>
          <w:szCs w:val="14"/>
        </w:rPr>
        <w:t xml:space="preserve"> </w:t>
      </w:r>
      <w:r>
        <w:rPr>
          <w:rFonts w:ascii="Cambria" w:hAnsi="Cambria" w:eastAsia="Arial" w:cs="Cambria"/>
          <w:color w:val="000000" w:themeColor="text1"/>
          <w:sz w:val="14"/>
          <w:szCs w:val="14"/>
        </w:rPr>
        <w:t xml:space="preserve">.................................. </w:t>
      </w:r>
      <w:r>
        <w:rPr>
          <w:rFonts w:ascii="Cambria" w:hAnsi="Cambria" w:eastAsia="Arial" w:cs="Cambria"/>
          <w:color w:val="000000" w:themeColor="text1"/>
          <w:sz w:val="14"/>
          <w:szCs w:val="14"/>
        </w:rPr>
        <w:t xml:space="preserve">(nome e função no contratado)</w:t>
      </w:r>
      <w:r>
        <w:rPr>
          <w:rFonts w:ascii="Cambria" w:hAnsi="Cambria" w:eastAsia="Arial" w:cs="Cambria"/>
          <w:color w:val="000000" w:themeColor="text1"/>
          <w:sz w:val="14"/>
          <w:szCs w:val="14"/>
        </w:rPr>
        <w:t xml:space="preserve">, </w:t>
      </w:r>
      <w:r>
        <w:rPr>
          <w:rFonts w:ascii="Cambria" w:hAnsi="Cambria" w:eastAsia="Arial" w:cs="Cambria"/>
          <w:i/>
          <w:iCs/>
          <w:color w:val="000000" w:themeColor="text1"/>
          <w:sz w:val="14"/>
          <w:szCs w:val="14"/>
        </w:rPr>
        <w:t xml:space="preserve">conforme atos constitutivos da empresa </w:t>
      </w:r>
      <w:r>
        <w:rPr>
          <w:rFonts w:ascii="Cambria" w:hAnsi="Cambria" w:eastAsia="Arial" w:cs="Cambria"/>
          <w:b/>
          <w:bCs/>
          <w:i/>
          <w:iCs/>
          <w:color w:val="000000" w:themeColor="text1"/>
          <w:sz w:val="14"/>
          <w:szCs w:val="14"/>
        </w:rPr>
        <w:t xml:space="preserve">OU</w:t>
      </w:r>
      <w:r>
        <w:rPr>
          <w:rFonts w:ascii="Cambria" w:hAnsi="Cambria" w:eastAsia="Arial" w:cs="Cambria"/>
          <w:i/>
          <w:iCs/>
          <w:color w:val="000000" w:themeColor="text1"/>
          <w:sz w:val="14"/>
          <w:szCs w:val="14"/>
        </w:rPr>
        <w:t xml:space="preserve"> procuração apresentada nos autos, </w:t>
      </w:r>
      <w:r>
        <w:rPr>
          <w:rFonts w:ascii="Cambria" w:hAnsi="Cambria" w:eastAsia="Arial" w:cs="Cambria"/>
          <w:color w:val="000000" w:themeColor="text1"/>
          <w:sz w:val="14"/>
          <w:szCs w:val="14"/>
        </w:rPr>
        <w:t xml:space="preserve">tendo em vista o que consta no Processo nº </w:t>
      </w:r>
      <w:r>
        <w:rPr>
          <w:rFonts w:ascii="Cambria" w:hAnsi="Cambria" w:eastAsia="Arial" w:cs="Cambria"/>
          <w:color w:val="000000" w:themeColor="text1"/>
          <w:sz w:val="14"/>
          <w:szCs w:val="14"/>
        </w:rPr>
        <w:t xml:space="preserve">.............................. </w:t>
      </w:r>
      <w:r>
        <w:rPr>
          <w:rFonts w:ascii="Cambria" w:hAnsi="Cambria" w:eastAsia="Arial" w:cs="Cambria"/>
          <w:color w:val="000000" w:themeColor="text1"/>
          <w:sz w:val="14"/>
          <w:szCs w:val="14"/>
        </w:rPr>
        <w:t xml:space="preserve">e em observância às disposições da </w:t>
      </w:r>
      <w:hyperlink r:id="rId49" w:tooltip="http://www.planalto.gov.br/ccivil_03/_ato2019-2022/2021/lei/L14133.htm" w:history="1">
        <w:r>
          <w:rPr>
            <w:rStyle w:val="988"/>
            <w:rFonts w:ascii="Cambria" w:hAnsi="Cambria" w:eastAsia="Segoe UI" w:cs="Cambria"/>
            <w:color w:val="000000" w:themeColor="text1"/>
            <w:sz w:val="14"/>
            <w:szCs w:val="14"/>
          </w:rPr>
          <w:t xml:space="preserve">Lei nº 14.133, de 1º de abril de 2021</w:t>
        </w:r>
      </w:hyperlink>
      <w:r>
        <w:rPr>
          <w:rFonts w:ascii="Cambria" w:hAnsi="Cambria" w:eastAsia="Arial" w:cs="Cambria"/>
          <w:color w:val="000000" w:themeColor="text1"/>
          <w:sz w:val="14"/>
          <w:szCs w:val="14"/>
        </w:rPr>
        <w:t xml:space="preserve">, e demais legislação aplicável, resolvem celebrar o presente Termo de Contrato, decorrente </w:t>
      </w:r>
      <w:r>
        <w:rPr>
          <w:rFonts w:ascii="Cambria" w:hAnsi="Cambria" w:eastAsia="Arial" w:cs="Cambria"/>
          <w:i/>
          <w:iCs/>
          <w:color w:val="000000" w:themeColor="text1"/>
          <w:sz w:val="14"/>
          <w:szCs w:val="14"/>
        </w:rPr>
        <w:t xml:space="preserve">do Pregão Eletrônico n. .../...</w:t>
      </w:r>
      <w:r>
        <w:rPr>
          <w:rFonts w:ascii="Cambria" w:hAnsi="Cambria" w:eastAsia="Arial" w:cs="Cambria"/>
          <w:color w:val="000000" w:themeColor="text1"/>
          <w:sz w:val="14"/>
          <w:szCs w:val="14"/>
        </w:rPr>
        <w:t xml:space="preserve">, mediante as cláusulas e co</w:t>
      </w:r>
      <w:r>
        <w:rPr>
          <w:rFonts w:ascii="Cambria" w:hAnsi="Cambria" w:eastAsia="Arial" w:cs="Cambria"/>
          <w:color w:val="000000" w:themeColor="text1"/>
          <w:sz w:val="14"/>
          <w:szCs w:val="14"/>
        </w:rPr>
        <w:t xml:space="preserve">ndições a seguir enunciadas.</w:t>
      </w:r>
      <w:r>
        <w:rPr>
          <w:rFonts w:ascii="Cambria" w:hAnsi="Cambria" w:cs="Cambria"/>
          <w:sz w:val="14"/>
          <w:szCs w:val="14"/>
        </w:rPr>
      </w:r>
      <w:r/>
    </w:p>
    <w:p>
      <w:pPr>
        <w:pStyle w:val="1010"/>
        <w:numPr>
          <w:ilvl w:val="0"/>
          <w:numId w:val="10"/>
        </w:numPr>
        <w:ind w:left="0" w:right="0" w:firstLine="0"/>
        <w:spacing w:before="120" w:after="288" w:line="312" w:lineRule="auto"/>
        <w:rPr>
          <w:rFonts w:ascii="Cambria" w:hAnsi="Cambria" w:cs="Cambria"/>
          <w:sz w:val="14"/>
          <w:szCs w:val="14"/>
        </w:rPr>
      </w:pPr>
      <w:r>
        <w:rPr>
          <w:rFonts w:ascii="Cambria" w:hAnsi="Cambria" w:cs="Cambria"/>
          <w:sz w:val="14"/>
          <w:szCs w:val="14"/>
        </w:rPr>
        <w:t xml:space="preserve">CLÁUSULA PRIMEIRA – OBJETO (</w:t>
      </w:r>
      <w:hyperlink r:id="rId50" w:tooltip="http://www.planalto.gov.br/ccivil_03/_ato2019-2022/2021/lei/L14133.htm#art92" w:anchor="art92" w:history="1">
        <w:r>
          <w:rPr>
            <w:rStyle w:val="988"/>
            <w:rFonts w:ascii="Cambria" w:hAnsi="Cambria" w:cs="Cambria"/>
            <w:sz w:val="14"/>
            <w:szCs w:val="14"/>
          </w:rPr>
          <w:t xml:space="preserve">art. 92, I e II</w:t>
        </w:r>
      </w:hyperlink>
      <w:r>
        <w:rPr>
          <w:rFonts w:ascii="Cambria" w:hAnsi="Cambria" w:cs="Cambria"/>
          <w:sz w:val="14"/>
          <w:szCs w:val="14"/>
        </w:rPr>
        <w:t xml:space="preserv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O </w:t>
      </w:r>
      <w:r>
        <w:rPr>
          <w:rFonts w:ascii="Cambria" w:hAnsi="Cambria" w:cs="Cambria"/>
          <w:sz w:val="14"/>
          <w:szCs w:val="14"/>
        </w:rPr>
        <w:t xml:space="preserve">objeto</w:t>
      </w:r>
      <w:r>
        <w:rPr>
          <w:rFonts w:ascii="Cambria" w:hAnsi="Cambria" w:cs="Cambria"/>
          <w:sz w:val="14"/>
          <w:szCs w:val="14"/>
        </w:rPr>
        <w:t xml:space="preserve"> do presente instrumento é a contratação de serviços </w:t>
      </w:r>
      <w:r>
        <w:rPr>
          <w:rFonts w:ascii="Cambria" w:hAnsi="Cambria" w:cs="Cambria"/>
          <w:sz w:val="14"/>
          <w:szCs w:val="14"/>
        </w:rPr>
        <w:t xml:space="preserve">comuns</w:t>
      </w:r>
      <w:r>
        <w:rPr>
          <w:rFonts w:ascii="Cambria" w:hAnsi="Cambria" w:cs="Cambria"/>
          <w:sz w:val="14"/>
          <w:szCs w:val="14"/>
        </w:rPr>
        <w:t xml:space="preserve"> </w:t>
      </w:r>
      <w:r>
        <w:rPr>
          <w:rFonts w:ascii="Cambria" w:hAnsi="Cambria" w:cs="Cambria"/>
          <w:sz w:val="14"/>
          <w:szCs w:val="14"/>
        </w:rPr>
        <w:t xml:space="preserve">de engenharia</w:t>
      </w:r>
      <w:r>
        <w:rPr>
          <w:rFonts w:ascii="Cambria" w:hAnsi="Cambria" w:cs="Cambria"/>
          <w:sz w:val="14"/>
          <w:szCs w:val="14"/>
        </w:rPr>
        <w:t xml:space="preserve"> </w:t>
      </w:r>
      <w:r>
        <w:rPr>
          <w:rFonts w:ascii="Cambria" w:hAnsi="Cambria" w:cs="Cambria"/>
          <w:sz w:val="14"/>
          <w:szCs w:val="14"/>
        </w:rPr>
        <w:t xml:space="preserve">de</w:t>
      </w:r>
      <w:r>
        <w:rPr>
          <w:rFonts w:ascii="Cambria" w:hAnsi="Cambria" w:cs="Cambria"/>
          <w:color w:val="000000" w:themeColor="text1"/>
          <w:sz w:val="14"/>
          <w:szCs w:val="14"/>
        </w:rPr>
        <w:t xml:space="preserve"> </w:t>
      </w:r>
      <w:r>
        <w:rPr>
          <w:rFonts w:ascii="Cambria" w:hAnsi="Cambria" w:cs="Cambria"/>
          <w:color w:val="000000" w:themeColor="text1"/>
          <w:sz w:val="14"/>
          <w:szCs w:val="14"/>
        </w:rPr>
        <w:t xml:space="preserve">..........................</w:t>
      </w:r>
      <w:r>
        <w:rPr>
          <w:rFonts w:ascii="Cambria" w:hAnsi="Cambria" w:cs="Cambria"/>
          <w:color w:val="000000" w:themeColor="text1"/>
          <w:sz w:val="14"/>
          <w:szCs w:val="14"/>
        </w:rPr>
        <w:t xml:space="preserve">, n</w:t>
      </w:r>
      <w:r>
        <w:rPr>
          <w:rFonts w:ascii="Cambria" w:hAnsi="Cambria" w:cs="Cambria"/>
          <w:sz w:val="14"/>
          <w:szCs w:val="14"/>
        </w:rPr>
        <w:t xml:space="preserve">as condições estabelecidas no Termo de Referência.</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Objeto</w:t>
      </w:r>
      <w:r>
        <w:rPr>
          <w:rFonts w:ascii="Cambria" w:hAnsi="Cambria" w:cs="Cambria"/>
          <w:sz w:val="14"/>
          <w:szCs w:val="14"/>
        </w:rPr>
        <w:t xml:space="preserve"> da contratação:</w:t>
      </w:r>
      <w:r>
        <w:rPr>
          <w:rFonts w:ascii="Cambria" w:hAnsi="Cambria" w:cs="Cambria"/>
          <w:sz w:val="14"/>
          <w:szCs w:val="14"/>
        </w:rPr>
      </w:r>
      <w:r/>
    </w:p>
    <w:tbl>
      <w:tblPr>
        <w:tblW w:w="9926" w:type="dxa"/>
        <w:tblInd w:w="-147" w:type="dxa"/>
        <w:tblLayout w:type="fixed"/>
        <w:tblLook w:val="04A0" w:firstRow="1" w:lastRow="0" w:firstColumn="1" w:lastColumn="0" w:noHBand="0" w:noVBand="1"/>
      </w:tblPr>
      <w:tblGrid>
        <w:gridCol w:w="993"/>
        <w:gridCol w:w="2130"/>
        <w:gridCol w:w="992"/>
        <w:gridCol w:w="1843"/>
        <w:gridCol w:w="1134"/>
        <w:gridCol w:w="1559"/>
        <w:gridCol w:w="1276"/>
      </w:tblGrid>
      <w:tr>
        <w:trPr>
          <w:trHeight w:val="417"/>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76" w:lineRule="auto"/>
              <w:widowControl w:val="off"/>
              <w:rPr>
                <w:rFonts w:ascii="Cambria" w:hAnsi="Cambria" w:cs="Cambria"/>
                <w:sz w:val="14"/>
                <w:szCs w:val="14"/>
              </w:rPr>
            </w:pPr>
            <w:r>
              <w:rPr>
                <w:rFonts w:ascii="Cambria" w:hAnsi="Cambria" w:cs="Cambria"/>
                <w:sz w:val="14"/>
                <w:szCs w:val="14"/>
              </w:rPr>
            </w:r>
            <w:r>
              <w:rPr>
                <w:rFonts w:ascii="Cambria" w:hAnsi="Cambria" w:eastAsia="Arial" w:cs="Cambria"/>
                <w:b/>
                <w:bCs/>
                <w:color w:val="000000" w:themeColor="text1"/>
                <w:sz w:val="14"/>
                <w:szCs w:val="14"/>
              </w:rPr>
              <w:t xml:space="preserve">ITEM</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130"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b/>
                <w:bCs/>
                <w:color w:val="000000" w:themeColor="text1"/>
                <w:sz w:val="14"/>
                <w:szCs w:val="14"/>
              </w:rPr>
              <w:t xml:space="preserve">ESPECIFICAÇÃO</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2"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b/>
                <w:bCs/>
                <w:color w:val="000000" w:themeColor="text1"/>
                <w:sz w:val="14"/>
                <w:szCs w:val="14"/>
              </w:rPr>
              <w:t xml:space="preserve">CATSER</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43"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b/>
                <w:bCs/>
                <w:color w:val="000000" w:themeColor="text1"/>
                <w:sz w:val="14"/>
                <w:szCs w:val="14"/>
              </w:rPr>
              <w:t xml:space="preserve">UNIDADE DE MEDIDA</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76" w:lineRule="auto"/>
              <w:widowControl w:val="off"/>
              <w:rPr>
                <w:rFonts w:ascii="Cambria" w:hAnsi="Cambria" w:cs="Cambria"/>
                <w:sz w:val="14"/>
                <w:szCs w:val="14"/>
              </w:rPr>
            </w:pPr>
            <w:r>
              <w:rPr>
                <w:rFonts w:ascii="Cambria" w:hAnsi="Cambria" w:eastAsia="Arial" w:cs="Cambria"/>
                <w:b/>
                <w:bCs/>
                <w:sz w:val="14"/>
                <w:szCs w:val="14"/>
              </w:rPr>
              <w:t xml:space="preserve">QUANTIDADE</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9" w:type="dxa"/>
            <w:textDirection w:val="lrTb"/>
            <w:noWrap w:val="false"/>
          </w:tcPr>
          <w:p>
            <w:pPr>
              <w:ind w:left="0" w:right="0" w:firstLine="0"/>
              <w:jc w:val="center"/>
              <w:spacing w:before="120" w:after="288" w:line="276" w:lineRule="auto"/>
              <w:widowControl w:val="off"/>
              <w:rPr>
                <w:rFonts w:ascii="Cambria" w:hAnsi="Cambria" w:cs="Cambria"/>
                <w:sz w:val="14"/>
                <w:szCs w:val="14"/>
              </w:rPr>
            </w:pPr>
            <w:r>
              <w:rPr>
                <w:rFonts w:ascii="Cambria" w:hAnsi="Cambria" w:eastAsia="Arial" w:cs="Cambria"/>
                <w:b/>
                <w:bCs/>
                <w:sz w:val="14"/>
                <w:szCs w:val="14"/>
              </w:rPr>
              <w:t xml:space="preserve">VALOR UNITÁRIO</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6" w:type="dxa"/>
            <w:textDirection w:val="lrTb"/>
            <w:noWrap w:val="false"/>
          </w:tcPr>
          <w:p>
            <w:pPr>
              <w:ind w:left="0" w:right="0" w:firstLine="0"/>
              <w:jc w:val="center"/>
              <w:spacing w:before="120" w:after="288" w:line="276" w:lineRule="auto"/>
              <w:widowControl w:val="off"/>
              <w:rPr>
                <w:rFonts w:ascii="Cambria" w:hAnsi="Cambria" w:cs="Cambria"/>
                <w:sz w:val="14"/>
                <w:szCs w:val="14"/>
              </w:rPr>
            </w:pPr>
            <w:r>
              <w:rPr>
                <w:rFonts w:ascii="Cambria" w:hAnsi="Cambria" w:eastAsia="Arial" w:cs="Cambria"/>
                <w:b/>
                <w:bCs/>
                <w:sz w:val="14"/>
                <w:szCs w:val="14"/>
              </w:rPr>
              <w:t xml:space="preserve">VALOR TOTAL</w:t>
            </w:r>
            <w:r>
              <w:rPr>
                <w:rFonts w:ascii="Cambria" w:hAnsi="Cambria" w:cs="Cambria"/>
                <w:sz w:val="14"/>
                <w:szCs w:val="14"/>
              </w:rPr>
            </w:r>
            <w:r/>
          </w:p>
        </w:tc>
      </w:tr>
      <w:tr>
        <w:trPr>
          <w:trHeight w:val="184"/>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b/>
                <w:bCs/>
                <w:color w:val="000000" w:themeColor="text1"/>
                <w:sz w:val="14"/>
                <w:szCs w:val="14"/>
              </w:rPr>
              <w:t xml:space="preserve">1</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130"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color w:val="000000"/>
                <w:sz w:val="14"/>
                <w:szCs w:val="14"/>
              </w:rPr>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2"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color w:val="000000"/>
                <w:sz w:val="14"/>
                <w:szCs w:val="14"/>
              </w:rPr>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43"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color w:val="000000"/>
                <w:sz w:val="14"/>
                <w:szCs w:val="14"/>
              </w:rPr>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color w:val="000000"/>
                <w:sz w:val="14"/>
                <w:szCs w:val="14"/>
              </w:rPr>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9"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color w:val="000000"/>
                <w:sz w:val="14"/>
                <w:szCs w:val="14"/>
              </w:rPr>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6"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color w:val="000000"/>
                <w:sz w:val="14"/>
                <w:szCs w:val="14"/>
              </w:rPr>
            </w:r>
            <w:r>
              <w:rPr>
                <w:rFonts w:ascii="Cambria" w:hAnsi="Cambria" w:cs="Cambria"/>
                <w:sz w:val="14"/>
                <w:szCs w:val="14"/>
              </w:rPr>
            </w:r>
            <w:r/>
          </w:p>
        </w:tc>
      </w:tr>
    </w:tbl>
    <w:p>
      <w:pPr>
        <w:pStyle w:val="1030"/>
        <w:ind w:left="0" w:right="0" w:firstLine="0"/>
        <w:rPr>
          <w:rFonts w:ascii="Cambria" w:hAnsi="Cambria" w:cs="Cambria"/>
          <w:sz w:val="14"/>
          <w:szCs w:val="14"/>
        </w:rPr>
      </w:pPr>
      <w:r>
        <w:rPr>
          <w:rFonts w:ascii="Cambria" w:hAnsi="Cambria" w:cs="Cambria"/>
          <w:sz w:val="14"/>
          <w:szCs w:val="14"/>
        </w:rPr>
        <w:t xml:space="preserve">Vinculam</w:t>
      </w:r>
      <w:r>
        <w:rPr>
          <w:rFonts w:ascii="Cambria" w:hAnsi="Cambria" w:cs="Cambria"/>
          <w:sz w:val="14"/>
          <w:szCs w:val="14"/>
        </w:rPr>
        <w:t xml:space="preserve"> esta contratação, independentemente de transcrição:</w:t>
      </w:r>
      <w:r>
        <w:rPr>
          <w:rFonts w:ascii="Cambria" w:hAnsi="Cambria" w:cs="Cambria"/>
          <w:sz w:val="14"/>
          <w:szCs w:val="14"/>
        </w:rPr>
      </w:r>
      <w:r/>
    </w:p>
    <w:p>
      <w:pPr>
        <w:pStyle w:val="1032"/>
        <w:ind w:left="0" w:right="0" w:firstLine="0"/>
        <w:rPr>
          <w:rFonts w:ascii="Cambria" w:hAnsi="Cambria" w:cs="Cambria"/>
          <w:sz w:val="14"/>
          <w:szCs w:val="14"/>
        </w:rPr>
      </w:pPr>
      <w:r>
        <w:rPr>
          <w:rFonts w:ascii="Cambria" w:hAnsi="Cambria" w:cs="Cambria"/>
          <w:sz w:val="14"/>
          <w:szCs w:val="14"/>
        </w:rPr>
        <w:t xml:space="preserve">O Termo de Referência;</w:t>
      </w:r>
      <w:r>
        <w:rPr>
          <w:rFonts w:ascii="Cambria" w:hAnsi="Cambria" w:cs="Cambria"/>
          <w:sz w:val="14"/>
          <w:szCs w:val="14"/>
        </w:rPr>
      </w:r>
      <w:r/>
    </w:p>
    <w:p>
      <w:pPr>
        <w:pStyle w:val="1032"/>
        <w:ind w:left="0" w:right="0" w:firstLine="0"/>
        <w:rPr>
          <w:rFonts w:ascii="Cambria" w:hAnsi="Cambria" w:cs="Cambria"/>
          <w:sz w:val="14"/>
          <w:szCs w:val="14"/>
        </w:rPr>
      </w:pPr>
      <w:r>
        <w:rPr>
          <w:rFonts w:ascii="Cambria" w:hAnsi="Cambria" w:cs="Cambria"/>
          <w:sz w:val="14"/>
          <w:szCs w:val="14"/>
        </w:rPr>
        <w:t xml:space="preserve">O Edital da Licitação;</w:t>
      </w:r>
      <w:r>
        <w:rPr>
          <w:rFonts w:ascii="Cambria" w:hAnsi="Cambria" w:cs="Cambria"/>
          <w:sz w:val="14"/>
          <w:szCs w:val="14"/>
        </w:rPr>
      </w:r>
      <w:r/>
    </w:p>
    <w:p>
      <w:pPr>
        <w:pStyle w:val="1032"/>
        <w:ind w:left="0" w:right="0" w:firstLine="0"/>
        <w:rPr>
          <w:rFonts w:ascii="Cambria" w:hAnsi="Cambria" w:cs="Cambria"/>
          <w:sz w:val="14"/>
          <w:szCs w:val="14"/>
        </w:rPr>
      </w:pPr>
      <w:r>
        <w:rPr>
          <w:rFonts w:ascii="Cambria" w:hAnsi="Cambria" w:cs="Cambria"/>
          <w:sz w:val="14"/>
          <w:szCs w:val="14"/>
        </w:rPr>
        <w:t xml:space="preserve">A Proposta do contratado;</w:t>
      </w:r>
      <w:r>
        <w:rPr>
          <w:rFonts w:ascii="Cambria" w:hAnsi="Cambria" w:cs="Cambria"/>
          <w:sz w:val="14"/>
          <w:szCs w:val="14"/>
        </w:rPr>
      </w:r>
      <w:r/>
    </w:p>
    <w:p>
      <w:pPr>
        <w:pStyle w:val="1032"/>
        <w:ind w:left="0" w:right="0" w:firstLine="0"/>
        <w:rPr>
          <w:rFonts w:ascii="Cambria" w:hAnsi="Cambria" w:cs="Cambria"/>
          <w:sz w:val="14"/>
          <w:szCs w:val="14"/>
        </w:rPr>
      </w:pPr>
      <w:r>
        <w:rPr>
          <w:rFonts w:ascii="Cambria" w:hAnsi="Cambria" w:cs="Cambria"/>
          <w:sz w:val="14"/>
          <w:szCs w:val="14"/>
        </w:rPr>
        <w:t xml:space="preserve">Eventuais anexos dos documentos supracitados.</w:t>
      </w:r>
      <w:r>
        <w:rPr>
          <w:rFonts w:ascii="Cambria" w:hAnsi="Cambria" w:cs="Cambria"/>
          <w:sz w:val="14"/>
          <w:szCs w:val="14"/>
        </w:rPr>
      </w:r>
      <w:r/>
    </w:p>
    <w:p>
      <w:pPr>
        <w:pStyle w:val="1030"/>
        <w:ind w:left="0" w:right="0" w:firstLine="0"/>
        <w:rPr>
          <w:rFonts w:ascii="Cambria" w:hAnsi="Cambria" w:cs="Cambria"/>
          <w:color w:val="000000" w:themeColor="text1"/>
          <w:sz w:val="14"/>
          <w:szCs w:val="14"/>
        </w:rPr>
      </w:pPr>
      <w:r>
        <w:rPr>
          <w:rFonts w:ascii="Cambria" w:hAnsi="Cambria" w:cs="Cambria"/>
          <w:sz w:val="14"/>
          <w:szCs w:val="14"/>
        </w:rPr>
      </w:r>
      <w:r>
        <w:rPr>
          <w:rFonts w:ascii="Cambria" w:hAnsi="Cambria" w:cs="Cambria"/>
          <w:sz w:val="14"/>
          <w:szCs w:val="14"/>
        </w:rPr>
        <w:t xml:space="preserve">O regime de </w:t>
      </w:r>
      <w:r>
        <w:rPr>
          <w:rFonts w:ascii="Cambria" w:hAnsi="Cambria" w:cs="Cambria"/>
          <w:sz w:val="14"/>
          <w:szCs w:val="14"/>
        </w:rPr>
        <w:t xml:space="preserve">execução</w:t>
      </w:r>
      <w:r>
        <w:rPr>
          <w:rFonts w:ascii="Cambria" w:hAnsi="Cambria" w:cs="Cambria"/>
          <w:sz w:val="14"/>
          <w:szCs w:val="14"/>
        </w:rPr>
        <w:t xml:space="preserve"> é o </w:t>
      </w:r>
      <w:r>
        <w:rPr>
          <w:rFonts w:ascii="Cambria" w:hAnsi="Cambria" w:cs="Cambria"/>
          <w:color w:val="000000" w:themeColor="text1"/>
          <w:sz w:val="14"/>
          <w:szCs w:val="14"/>
        </w:rPr>
        <w:t xml:space="preserve">de empreitada por preço globa fornecimento e prestação de serviço associado</w:t>
      </w:r>
      <w:r>
        <w:rPr>
          <w:rFonts w:ascii="Cambria" w:hAnsi="Cambria" w:cs="Cambria"/>
          <w:color w:val="000000" w:themeColor="text1"/>
          <w:sz w:val="14"/>
          <w:szCs w:val="14"/>
        </w:rPr>
        <w:t xml:space="preserve">.</w:t>
      </w:r>
      <w:r>
        <w:rPr>
          <w:rFonts w:ascii="Cambria" w:hAnsi="Cambria" w:cs="Cambria"/>
          <w:sz w:val="14"/>
          <w:szCs w:val="14"/>
        </w:rPr>
      </w:r>
      <w:r/>
    </w:p>
    <w:p>
      <w:pPr>
        <w:pStyle w:val="1010"/>
        <w:ind w:left="0" w:right="0" w:firstLine="0"/>
        <w:rPr>
          <w:rFonts w:ascii="Cambria" w:hAnsi="Cambria" w:cs="Cambria"/>
          <w:sz w:val="14"/>
          <w:szCs w:val="14"/>
        </w:rPr>
      </w:pPr>
      <w:r>
        <w:rPr>
          <w:rFonts w:ascii="Cambria" w:hAnsi="Cambria" w:cs="Cambria"/>
          <w:sz w:val="14"/>
          <w:szCs w:val="14"/>
        </w:rPr>
        <w:t xml:space="preserve">CLÁUSULA SEGUNDA – VIGÊNCIA E PRORROGAÇÃO</w:t>
      </w:r>
      <w:r>
        <w:rPr>
          <w:rFonts w:ascii="Cambria" w:hAnsi="Cambria" w:cs="Cambria"/>
          <w:sz w:val="14"/>
          <w:szCs w:val="14"/>
        </w:rPr>
      </w:r>
      <w:r/>
    </w:p>
    <w:p>
      <w:pPr>
        <w:pStyle w:val="1080"/>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r>
      <w:r>
        <w:rPr>
          <w:rFonts w:ascii="Cambria" w:hAnsi="Cambria" w:cs="Cambria"/>
          <w:color w:val="000000" w:themeColor="text1"/>
          <w:sz w:val="14"/>
          <w:szCs w:val="14"/>
          <w:highlight w:val="none"/>
        </w:rPr>
        <w:t xml:space="preserve">O prazo de vigência da contratação é de 06 (seis) meses contados da assinatura na forma </w:t>
      </w:r>
      <w:hyperlink r:id="rId51" w:tooltip="http://www.planalto.gov.br/ccivil_03/_ato2019-2022/2021/lei/L14133.htm#art105" w:anchor="art105" w:history="1">
        <w:r>
          <w:rPr>
            <w:rStyle w:val="988"/>
            <w:rFonts w:ascii="Cambria" w:hAnsi="Cambria" w:cs="Cambria"/>
            <w:color w:val="000000" w:themeColor="text1"/>
            <w:sz w:val="14"/>
            <w:szCs w:val="14"/>
            <w:highlight w:val="none"/>
          </w:rPr>
          <w:t xml:space="preserve">do artigo 105 da Lei n° 14.133, de 2021</w:t>
        </w:r>
      </w:hyperlink>
      <w:r>
        <w:rPr>
          <w:rFonts w:ascii="Cambria" w:hAnsi="Cambria" w:cs="Cambria"/>
          <w:color w:val="000000" w:themeColor="text1"/>
          <w:sz w:val="14"/>
          <w:szCs w:val="14"/>
          <w:highlight w:val="none"/>
        </w:rPr>
        <w:t xml:space="preserve">.</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 prazo de vigência será automaticamente prorrogado, independentemente de termo aditivo, quando o objeto não for concluído no período firmado acima, ressalvadas as providências cabíveis no caso de culpa do contratado, previstas neste instrumento.</w:t>
      </w:r>
      <w:r>
        <w:rPr>
          <w:rFonts w:ascii="Cambria" w:hAnsi="Cambria" w:cs="Cambria"/>
          <w:sz w:val="14"/>
          <w:szCs w:val="14"/>
        </w:rPr>
      </w:r>
      <w:r/>
    </w:p>
    <w:p>
      <w:pPr>
        <w:pStyle w:val="1080"/>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rPr>
        <w:t xml:space="preserve">A</w:t>
      </w:r>
      <w:r>
        <w:rPr>
          <w:rFonts w:ascii="Cambria" w:hAnsi="Cambria" w:cs="Cambria"/>
          <w:color w:val="000000" w:themeColor="text1"/>
          <w:sz w:val="14"/>
          <w:szCs w:val="14"/>
          <w:highlight w:val="none"/>
        </w:rPr>
        <w:t xml:space="preserve"> prorrogação de que trata este item é condicionada ao ateste, pela autoridade competente, de que as condições e os preços permanecem vantajosos para a Administração, permitida a negociação com o contratado</w:t>
      </w:r>
      <w:r>
        <w:rPr>
          <w:rFonts w:ascii="Cambria" w:hAnsi="Cambria" w:cs="Cambria"/>
          <w:color w:val="000000" w:themeColor="text1"/>
          <w:sz w:val="14"/>
          <w:szCs w:val="14"/>
          <w:highlight w:val="none"/>
        </w:rPr>
        <w:t xml:space="preserve">, ,</w:t>
      </w:r>
      <w:r>
        <w:rPr>
          <w:rFonts w:ascii="Cambria" w:hAnsi="Cambria" w:cs="Cambria"/>
          <w:color w:val="000000" w:themeColor="text1"/>
          <w:sz w:val="14"/>
          <w:szCs w:val="14"/>
          <w:highlight w:val="none"/>
        </w:rPr>
        <w:t xml:space="preserve"> </w:t>
      </w:r>
      <w:r>
        <w:rPr>
          <w:rFonts w:ascii="Cambria" w:hAnsi="Cambria" w:cs="Cambria"/>
          <w:color w:val="000000" w:themeColor="text1"/>
          <w:sz w:val="14"/>
          <w:szCs w:val="14"/>
          <w:highlight w:val="none"/>
        </w:rPr>
        <w:t xml:space="preserve">atentando, ainda, para o cumprimento dos seguintes requisitos: </w:t>
      </w:r>
      <w:r>
        <w:rPr>
          <w:rFonts w:ascii="Cambria" w:hAnsi="Cambria" w:cs="Cambria"/>
          <w:sz w:val="14"/>
          <w:szCs w:val="14"/>
        </w:rPr>
      </w:r>
      <w:r/>
    </w:p>
    <w:p>
      <w:pPr>
        <w:pStyle w:val="1030"/>
        <w:numPr>
          <w:ilvl w:val="1"/>
          <w:numId w:val="19"/>
        </w:numPr>
        <w:ind w:left="0" w:right="0" w:firstLine="0"/>
        <w:rPr>
          <w:rFonts w:ascii="Cambria" w:hAnsi="Cambria" w:cs="Cambria"/>
          <w:color w:val="000000" w:themeColor="text1"/>
          <w:sz w:val="14"/>
          <w:szCs w:val="14"/>
          <w:highlight w:val="none"/>
        </w:rPr>
      </w:pPr>
      <w:r>
        <w:rPr>
          <w:rFonts w:ascii="Cambria" w:hAnsi="Cambria" w:cs="Cambria"/>
          <w:i/>
          <w:color w:val="000000" w:themeColor="text1"/>
          <w:sz w:val="14"/>
          <w:szCs w:val="14"/>
          <w:highlight w:val="none"/>
        </w:rPr>
        <w:t xml:space="preserve">Estar formalmente demonstrado no processo que a forma de prestação dos serviços tem natureza continuada;</w:t>
      </w:r>
      <w:r>
        <w:rPr>
          <w:rFonts w:ascii="Cambria" w:hAnsi="Cambria" w:cs="Cambria"/>
          <w:sz w:val="14"/>
          <w:szCs w:val="14"/>
        </w:rPr>
      </w:r>
      <w:r/>
    </w:p>
    <w:p>
      <w:pPr>
        <w:pStyle w:val="1030"/>
        <w:numPr>
          <w:ilvl w:val="1"/>
          <w:numId w:val="19"/>
        </w:numPr>
        <w:ind w:left="0" w:right="0" w:firstLine="0"/>
        <w:rPr>
          <w:rFonts w:ascii="Cambria" w:hAnsi="Cambria" w:cs="Cambria"/>
          <w:color w:val="000000" w:themeColor="text1"/>
          <w:sz w:val="14"/>
          <w:szCs w:val="14"/>
          <w:highlight w:val="none"/>
        </w:rPr>
      </w:pPr>
      <w:r>
        <w:rPr>
          <w:rFonts w:ascii="Cambria" w:hAnsi="Cambria" w:cs="Cambria"/>
          <w:i/>
          <w:color w:val="000000" w:themeColor="text1"/>
          <w:sz w:val="14"/>
          <w:szCs w:val="14"/>
          <w:highlight w:val="none"/>
        </w:rPr>
        <w:t xml:space="preserve">Seja juntado relatório que discorra sobre a execução do contrato, com informações de que os serviços tenham sido prestados regularmente;  </w:t>
      </w:r>
      <w:r>
        <w:rPr>
          <w:rFonts w:ascii="Cambria" w:hAnsi="Cambria" w:cs="Cambria"/>
          <w:sz w:val="14"/>
          <w:szCs w:val="14"/>
        </w:rPr>
      </w:r>
      <w:r/>
    </w:p>
    <w:p>
      <w:pPr>
        <w:pStyle w:val="1030"/>
        <w:numPr>
          <w:ilvl w:val="1"/>
          <w:numId w:val="19"/>
        </w:numPr>
        <w:ind w:left="0" w:right="0" w:firstLine="0"/>
        <w:rPr>
          <w:rFonts w:ascii="Cambria" w:hAnsi="Cambria" w:cs="Cambria"/>
          <w:color w:val="000000" w:themeColor="text1"/>
          <w:sz w:val="14"/>
          <w:szCs w:val="14"/>
          <w:highlight w:val="none"/>
        </w:rPr>
      </w:pPr>
      <w:r>
        <w:rPr>
          <w:rFonts w:ascii="Cambria" w:hAnsi="Cambria" w:cs="Cambria"/>
          <w:i/>
          <w:color w:val="000000" w:themeColor="text1"/>
          <w:sz w:val="14"/>
          <w:szCs w:val="14"/>
          <w:highlight w:val="none"/>
        </w:rPr>
        <w:t xml:space="preserve">Seja juntada justificativa e motivo, por escrito, de que a Administração mantém interesse na realização do serviço;  </w:t>
      </w:r>
      <w:r>
        <w:rPr>
          <w:rFonts w:ascii="Cambria" w:hAnsi="Cambria" w:cs="Cambria"/>
          <w:sz w:val="14"/>
          <w:szCs w:val="14"/>
        </w:rPr>
      </w:r>
      <w:r/>
    </w:p>
    <w:p>
      <w:pPr>
        <w:pStyle w:val="1030"/>
        <w:numPr>
          <w:ilvl w:val="1"/>
          <w:numId w:val="19"/>
        </w:numPr>
        <w:ind w:left="0" w:right="0" w:firstLine="0"/>
        <w:rPr>
          <w:rFonts w:ascii="Cambria" w:hAnsi="Cambria" w:cs="Cambria"/>
          <w:color w:val="000000" w:themeColor="text1"/>
          <w:sz w:val="14"/>
          <w:szCs w:val="14"/>
          <w:highlight w:val="none"/>
        </w:rPr>
      </w:pPr>
      <w:r>
        <w:rPr>
          <w:rFonts w:ascii="Cambria" w:hAnsi="Cambria" w:cs="Cambria"/>
          <w:i/>
          <w:color w:val="000000" w:themeColor="text1"/>
          <w:sz w:val="14"/>
          <w:szCs w:val="14"/>
          <w:highlight w:val="none"/>
        </w:rPr>
        <w:t xml:space="preserve">Haja manifestação expressa do contratado informando o interesse na prorrogação; </w:t>
      </w:r>
      <w:r>
        <w:rPr>
          <w:rFonts w:ascii="Cambria" w:hAnsi="Cambria" w:cs="Cambria"/>
          <w:sz w:val="14"/>
          <w:szCs w:val="14"/>
        </w:rPr>
      </w:r>
      <w:r/>
    </w:p>
    <w:p>
      <w:pPr>
        <w:pStyle w:val="1030"/>
        <w:numPr>
          <w:ilvl w:val="1"/>
          <w:numId w:val="19"/>
        </w:numPr>
        <w:ind w:left="0" w:right="0" w:firstLine="0"/>
        <w:rPr>
          <w:rFonts w:ascii="Cambria" w:hAnsi="Cambria" w:cs="Cambria"/>
          <w:color w:val="000000" w:themeColor="text1"/>
          <w:sz w:val="14"/>
          <w:szCs w:val="14"/>
          <w:highlight w:val="none"/>
        </w:rPr>
      </w:pPr>
      <w:r>
        <w:rPr>
          <w:rFonts w:ascii="Cambria" w:hAnsi="Cambria" w:cs="Cambria"/>
          <w:i/>
          <w:color w:val="000000" w:themeColor="text1"/>
          <w:sz w:val="14"/>
          <w:szCs w:val="14"/>
          <w:highlight w:val="none"/>
        </w:rPr>
        <w:t xml:space="preserve">Seja comprovado que o contratado mantém as condições iniciais de habilitação.</w:t>
      </w:r>
      <w:r>
        <w:rPr>
          <w:rFonts w:ascii="Cambria" w:hAnsi="Cambria" w:cs="Cambria"/>
          <w:sz w:val="14"/>
          <w:szCs w:val="14"/>
        </w:rPr>
      </w:r>
      <w:r/>
    </w:p>
    <w:p>
      <w:pPr>
        <w:pStyle w:val="1080"/>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O contratado não tem direito subjetivo à prorrogação contratual.</w:t>
      </w:r>
      <w:r>
        <w:rPr>
          <w:rFonts w:ascii="Cambria" w:hAnsi="Cambria" w:cs="Cambria"/>
          <w:sz w:val="14"/>
          <w:szCs w:val="14"/>
        </w:rPr>
      </w:r>
      <w:r/>
    </w:p>
    <w:p>
      <w:pPr>
        <w:pStyle w:val="1080"/>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A prorrogação de contrato deverá ser promovida mediante celebração de termo aditivo. </w:t>
      </w:r>
      <w:r>
        <w:rPr>
          <w:rFonts w:ascii="Cambria" w:hAnsi="Cambria" w:cs="Cambria"/>
          <w:sz w:val="14"/>
          <w:szCs w:val="14"/>
        </w:rPr>
      </w:r>
      <w:r/>
    </w:p>
    <w:p>
      <w:pPr>
        <w:pStyle w:val="1080"/>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Nas eventuais prorrogações contratuais, os custos não renováveis já pagos ou amortizados ao longo do primeiro período de vigência da contratação deverão ser reduzidos ou eliminados como condição para a renovação.</w:t>
      </w:r>
      <w:r>
        <w:rPr>
          <w:rFonts w:ascii="Cambria" w:hAnsi="Cambria" w:cs="Cambria"/>
          <w:sz w:val="14"/>
          <w:szCs w:val="14"/>
        </w:rPr>
      </w:r>
      <w:r/>
    </w:p>
    <w:p>
      <w:pPr>
        <w:pStyle w:val="1080"/>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O contrato não poderá ser prorrogado quando o contratado tiver sido penalizado nas sanções de declaração de inidoneidade ou impedimento de licitar e contratar com poder público, observadas as abrangências de aplicação.</w:t>
      </w:r>
      <w:r>
        <w:rPr>
          <w:rFonts w:ascii="Cambria" w:hAnsi="Cambria" w:cs="Cambria"/>
          <w:sz w:val="14"/>
          <w:szCs w:val="14"/>
        </w:rPr>
      </w:r>
      <w:r/>
    </w:p>
    <w:p>
      <w:pPr>
        <w:pStyle w:val="1010"/>
        <w:ind w:left="0" w:right="0" w:firstLine="0"/>
        <w:rPr>
          <w:rFonts w:ascii="Cambria" w:hAnsi="Cambria" w:cs="Cambria"/>
          <w:sz w:val="14"/>
          <w:szCs w:val="14"/>
        </w:rPr>
      </w:pPr>
      <w:r>
        <w:rPr>
          <w:rFonts w:ascii="Cambria" w:hAnsi="Cambria" w:cs="Cambria"/>
          <w:sz w:val="14"/>
          <w:szCs w:val="14"/>
        </w:rPr>
      </w:r>
      <w:bookmarkStart w:id="0" w:name="undefined"/>
      <w:r>
        <w:rPr>
          <w:rFonts w:ascii="Cambria" w:hAnsi="Cambria" w:cs="Cambria"/>
          <w:sz w:val="14"/>
          <w:szCs w:val="14"/>
        </w:rPr>
      </w:r>
      <w:bookmarkStart w:id="0" w:name="undefined"/>
      <w:r>
        <w:rPr>
          <w:rFonts w:ascii="Cambria" w:hAnsi="Cambria" w:cs="Cambria"/>
          <w:sz w:val="14"/>
          <w:szCs w:val="14"/>
        </w:rPr>
      </w:r>
      <w:bookmarkEnd w:id="0"/>
      <w:r>
        <w:rPr>
          <w:rFonts w:ascii="Cambria" w:hAnsi="Cambria" w:cs="Cambria"/>
          <w:sz w:val="14"/>
          <w:szCs w:val="14"/>
        </w:rPr>
        <w:t xml:space="preserve">CLÁUSULA TERCEIRA – MODELOS DE EXECUÇÃO E GESTÃO CONTRATUAIS (</w:t>
      </w:r>
      <w:hyperlink r:id="rId52" w:tooltip="http://www.planalto.gov.br/ccivil_03/_ato2019-2022/2021/lei/L14133.htm#art92" w:anchor="art92" w:history="1">
        <w:r>
          <w:rPr>
            <w:rStyle w:val="988"/>
            <w:rFonts w:ascii="Cambria" w:hAnsi="Cambria" w:cs="Cambria"/>
            <w:sz w:val="14"/>
            <w:szCs w:val="14"/>
          </w:rPr>
          <w:t xml:space="preserve">art. 92, IV, VII e XVIII)</w:t>
        </w:r>
      </w:hyperlink>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O regime de execução contratual, os modelos de gestão e de execução, assim como os prazos e condições de conclusão, entrega, observação e recebimento do objeto constam no Termo de Referência, anexo a este Contrato.</w:t>
      </w:r>
      <w:r>
        <w:rPr>
          <w:rFonts w:ascii="Cambria" w:hAnsi="Cambria" w:cs="Cambria"/>
          <w:sz w:val="14"/>
          <w:szCs w:val="14"/>
        </w:rPr>
      </w:r>
      <w:r/>
    </w:p>
    <w:p>
      <w:pPr>
        <w:pStyle w:val="1010"/>
        <w:ind w:left="0" w:right="0" w:firstLine="0"/>
        <w:rPr>
          <w:rFonts w:ascii="Cambria" w:hAnsi="Cambria" w:cs="Cambria"/>
          <w:sz w:val="14"/>
          <w:szCs w:val="14"/>
        </w:rPr>
      </w:pPr>
      <w:r>
        <w:rPr>
          <w:rFonts w:ascii="Cambria" w:hAnsi="Cambria" w:cs="Cambria"/>
          <w:sz w:val="14"/>
          <w:szCs w:val="14"/>
        </w:rPr>
        <w:t xml:space="preserve">CLÁUSULA QUARTA – SUBCONTRATAÇÃO</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Não será admitida a subcontratação do objeto contratual.</w:t>
      </w:r>
      <w:r>
        <w:rPr>
          <w:rFonts w:ascii="Cambria" w:hAnsi="Cambria" w:cs="Cambria"/>
          <w:sz w:val="14"/>
          <w:szCs w:val="14"/>
        </w:rPr>
      </w:r>
      <w:r/>
    </w:p>
    <w:p>
      <w:pPr>
        <w:pStyle w:val="1010"/>
        <w:ind w:left="0" w:right="0" w:firstLine="0"/>
        <w:rPr>
          <w:rFonts w:ascii="Cambria" w:hAnsi="Cambria" w:cs="Cambria"/>
          <w:sz w:val="14"/>
          <w:szCs w:val="14"/>
        </w:rPr>
      </w:pPr>
      <w:r>
        <w:rPr>
          <w:rFonts w:ascii="Cambria" w:hAnsi="Cambria" w:cs="Cambria"/>
          <w:sz w:val="14"/>
          <w:szCs w:val="14"/>
        </w:rPr>
        <w:t xml:space="preserve">CLÁUSULA QUINTA </w:t>
      </w:r>
      <w:r>
        <w:rPr>
          <w:rFonts w:ascii="Cambria" w:hAnsi="Cambria" w:cs="Cambria"/>
          <w:sz w:val="14"/>
          <w:szCs w:val="14"/>
        </w:rPr>
        <w:t xml:space="preserve">–</w:t>
      </w:r>
      <w:r>
        <w:rPr>
          <w:rFonts w:ascii="Cambria" w:hAnsi="Cambria" w:cs="Cambria"/>
          <w:sz w:val="14"/>
          <w:szCs w:val="14"/>
        </w:rPr>
        <w:t xml:space="preserve"> PREÇO</w:t>
      </w:r>
      <w:r>
        <w:rPr>
          <w:rFonts w:ascii="Cambria" w:hAnsi="Cambria" w:cs="Cambria"/>
          <w:sz w:val="14"/>
          <w:szCs w:val="14"/>
        </w:rPr>
        <w:t xml:space="preserve"> </w:t>
      </w:r>
      <w:r>
        <w:rPr>
          <w:rFonts w:ascii="Cambria" w:hAnsi="Cambria" w:cs="Cambria"/>
          <w:sz w:val="14"/>
          <w:szCs w:val="14"/>
        </w:rPr>
        <w:t xml:space="preserve">(</w:t>
      </w:r>
      <w:hyperlink r:id="rId53" w:tooltip="http://www.planalto.gov.br/ccivil_03/_ato2019-2022/2021/lei/L14133.htm#art92" w:anchor="art92" w:history="1">
        <w:r>
          <w:rPr>
            <w:rStyle w:val="988"/>
            <w:rFonts w:ascii="Cambria" w:hAnsi="Cambria" w:cs="Cambria"/>
            <w:sz w:val="14"/>
            <w:szCs w:val="14"/>
          </w:rPr>
          <w:t xml:space="preserve">art. 92, V</w:t>
        </w:r>
      </w:hyperlink>
      <w:r>
        <w:rPr>
          <w:rFonts w:ascii="Cambria" w:hAnsi="Cambria" w:cs="Cambria"/>
          <w:sz w:val="14"/>
          <w:szCs w:val="14"/>
        </w:rPr>
        <w:t xml:space="preserve">)</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 valor total da contratação é de R$.......... (.....)</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No valor acima estão incluídas todas as despesas ordinárias diretas e indiretas decorrentes da execução do objeto, </w:t>
      </w:r>
      <w:r>
        <w:rPr>
          <w:rFonts w:ascii="Cambria" w:hAnsi="Cambria" w:cs="Cambria"/>
          <w:sz w:val="14"/>
          <w:szCs w:val="14"/>
        </w:rPr>
        <w:t xml:space="preserve">inclusive</w:t>
      </w:r>
      <w:r>
        <w:rPr>
          <w:rFonts w:ascii="Cambria" w:hAnsi="Cambria" w:cs="Cambria"/>
          <w:sz w:val="14"/>
          <w:szCs w:val="14"/>
        </w:rPr>
        <w:t xml:space="preserve"> tributos e/ou impostos, encargos sociais, trabalhistas, previdenciários, fiscais e comerciais incidentes, taxa de administração, frete, seguro e outros necessários ao cumprimento integral do objeto da contratação.</w:t>
      </w:r>
      <w:r>
        <w:rPr>
          <w:rFonts w:ascii="Cambria" w:hAnsi="Cambria" w:cs="Cambria"/>
          <w:sz w:val="14"/>
          <w:szCs w:val="14"/>
        </w:rPr>
      </w:r>
      <w:r/>
    </w:p>
    <w:p>
      <w:pPr>
        <w:pStyle w:val="1010"/>
        <w:ind w:left="0" w:right="0" w:firstLine="0"/>
        <w:rPr>
          <w:rFonts w:ascii="Cambria" w:hAnsi="Cambria" w:cs="Cambria"/>
          <w:sz w:val="14"/>
          <w:szCs w:val="14"/>
        </w:rPr>
      </w:pPr>
      <w:r>
        <w:rPr>
          <w:rFonts w:ascii="Cambria" w:hAnsi="Cambria" w:cs="Cambria"/>
          <w:sz w:val="14"/>
          <w:szCs w:val="14"/>
        </w:rPr>
        <w:t xml:space="preserve">CLÁUSULA SEXTA - PAGAMENTO (</w:t>
      </w:r>
      <w:hyperlink r:id="rId54" w:tooltip="http://www.planalto.gov.br/ccivil_03/_ato2019-2022/2021/lei/L14133.htm#art92" w:anchor="art92" w:history="1">
        <w:r>
          <w:rPr>
            <w:rStyle w:val="988"/>
            <w:rFonts w:ascii="Cambria" w:hAnsi="Cambria" w:cs="Cambria"/>
            <w:sz w:val="14"/>
            <w:szCs w:val="14"/>
          </w:rPr>
          <w:t xml:space="preserve">art. 92, V e VI</w:t>
        </w:r>
      </w:hyperlink>
      <w:r>
        <w:rPr>
          <w:rFonts w:ascii="Cambria" w:hAnsi="Cambria" w:cs="Cambria"/>
          <w:sz w:val="14"/>
          <w:szCs w:val="14"/>
        </w:rPr>
        <w:t xml:space="preserv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O prazo </w:t>
      </w:r>
      <w:r>
        <w:rPr>
          <w:rFonts w:ascii="Cambria" w:hAnsi="Cambria" w:cs="Cambria"/>
          <w:sz w:val="14"/>
          <w:szCs w:val="14"/>
        </w:rPr>
        <w:t xml:space="preserve">para</w:t>
      </w:r>
      <w:r>
        <w:rPr>
          <w:rFonts w:ascii="Cambria" w:hAnsi="Cambria" w:cs="Cambria"/>
          <w:sz w:val="14"/>
          <w:szCs w:val="14"/>
        </w:rPr>
        <w:t xml:space="preserve"> pagamento </w:t>
      </w:r>
      <w:r>
        <w:rPr>
          <w:rFonts w:ascii="Cambria" w:hAnsi="Cambria" w:cs="Cambria"/>
          <w:color w:val="auto"/>
          <w:sz w:val="14"/>
          <w:szCs w:val="14"/>
          <w:lang w:eastAsia="en-US"/>
        </w:rPr>
        <w:t xml:space="preserve">ao contratado</w:t>
      </w:r>
      <w:r>
        <w:rPr>
          <w:rFonts w:ascii="Cambria" w:hAnsi="Cambria" w:cs="Cambria"/>
          <w:sz w:val="14"/>
          <w:szCs w:val="14"/>
        </w:rPr>
        <w:t xml:space="preserve"> e demais condições a ele referentes encontram-se definidos no Termo de Referência, anexo a este Contrato.</w:t>
      </w:r>
      <w:r>
        <w:rPr>
          <w:rFonts w:ascii="Cambria" w:hAnsi="Cambria" w:cs="Cambria"/>
          <w:sz w:val="14"/>
          <w:szCs w:val="14"/>
        </w:rPr>
      </w:r>
      <w:r/>
    </w:p>
    <w:p>
      <w:pPr>
        <w:pStyle w:val="1010"/>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CLÁUSULA SÉTIMA - REAJUSTE (</w:t>
      </w:r>
      <w:hyperlink r:id="rId55" w:tooltip="http://www.planalto.gov.br/ccivil_03/_ato2019-2022/2021/lei/L14133.htm#art92" w:anchor="art92" w:history="1">
        <w:r>
          <w:rPr>
            <w:rStyle w:val="988"/>
            <w:rFonts w:ascii="Cambria" w:hAnsi="Cambria" w:cs="Cambria"/>
            <w:sz w:val="14"/>
            <w:szCs w:val="14"/>
          </w:rPr>
          <w:t xml:space="preserve">art. 92, V</w:t>
        </w:r>
      </w:hyperlink>
      <w:r>
        <w:rPr>
          <w:rFonts w:ascii="Cambria" w:hAnsi="Cambria" w:cs="Cambria"/>
          <w:sz w:val="14"/>
          <w:szCs w:val="14"/>
        </w:rPr>
        <w:t xml:space="preserv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Os preços inicialmente </w:t>
      </w:r>
      <w:r>
        <w:rPr>
          <w:rFonts w:ascii="Cambria" w:hAnsi="Cambria" w:cs="Cambria"/>
          <w:sz w:val="14"/>
          <w:szCs w:val="14"/>
        </w:rPr>
        <w:t xml:space="preserve">contratados</w:t>
      </w:r>
      <w:r>
        <w:rPr>
          <w:rFonts w:ascii="Cambria" w:hAnsi="Cambria" w:cs="Cambria"/>
          <w:sz w:val="14"/>
          <w:szCs w:val="14"/>
        </w:rPr>
        <w:t xml:space="preserve"> são fixos e irreajustáveis no prazo de um ano contado da data do orçamento estimado</w:t>
      </w:r>
      <w:r>
        <w:rPr>
          <w:rFonts w:ascii="Cambria" w:hAnsi="Cambria" w:cs="Cambria"/>
          <w:sz w:val="14"/>
          <w:szCs w:val="14"/>
        </w:rPr>
        <w:t xml:space="preserve">.</w:t>
      </w:r>
      <w:r>
        <w:rPr>
          <w:rFonts w:ascii="Cambria" w:hAnsi="Cambria" w:cs="Cambria"/>
          <w:sz w:val="14"/>
          <w:szCs w:val="14"/>
        </w:rPr>
      </w:r>
      <w:r/>
    </w:p>
    <w:p>
      <w:pPr>
        <w:pStyle w:val="1032"/>
        <w:ind w:left="0" w:right="0" w:firstLine="0"/>
        <w:rPr>
          <w:rFonts w:ascii="Cambria" w:hAnsi="Cambria" w:cs="Cambria"/>
          <w:color w:val="000000" w:themeColor="text1"/>
          <w:sz w:val="14"/>
          <w:szCs w:val="14"/>
        </w:rPr>
      </w:pPr>
      <w:r>
        <w:rPr>
          <w:rFonts w:ascii="Cambria" w:hAnsi="Cambria" w:cs="Cambria"/>
          <w:sz w:val="14"/>
          <w:szCs w:val="14"/>
        </w:rPr>
        <w:t xml:space="preserve">O orçamento estimado pela Administração baseou-se nas planilhas referenciais </w:t>
      </w:r>
      <w:r>
        <w:rPr>
          <w:rFonts w:ascii="Cambria" w:hAnsi="Cambria" w:cs="Cambria"/>
          <w:color w:val="000000" w:themeColor="text1"/>
          <w:sz w:val="14"/>
          <w:szCs w:val="14"/>
        </w:rPr>
        <w:t xml:space="preserve">elaboradas com base no SINAPI.</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Após o interregno de um an</w:t>
      </w:r>
      <w:r>
        <w:rPr>
          <w:rFonts w:ascii="Cambria" w:hAnsi="Cambria" w:cs="Cambria"/>
          <w:sz w:val="14"/>
          <w:szCs w:val="14"/>
          <w:highlight w:val="none"/>
        </w:rPr>
        <w:t xml:space="preserve">o, </w:t>
      </w:r>
      <w:r>
        <w:rPr>
          <w:rFonts w:ascii="Cambria" w:hAnsi="Cambria" w:cs="Cambria"/>
          <w:sz w:val="14"/>
          <w:szCs w:val="14"/>
          <w:highlight w:val="none"/>
        </w:rPr>
        <w:t xml:space="preserve">e </w:t>
      </w:r>
      <w:r>
        <w:rPr>
          <w:rFonts w:ascii="Cambria" w:hAnsi="Cambria" w:cs="Cambria"/>
          <w:sz w:val="14"/>
          <w:szCs w:val="14"/>
          <w:highlight w:val="none"/>
        </w:rPr>
        <w:t xml:space="preserve">independentemente de pedido do </w:t>
      </w:r>
      <w:r>
        <w:rPr>
          <w:rFonts w:ascii="Cambria" w:hAnsi="Cambria" w:cs="Cambria"/>
          <w:sz w:val="14"/>
          <w:szCs w:val="14"/>
          <w:highlight w:val="none"/>
        </w:rPr>
        <w:t xml:space="preserve">contratado</w:t>
      </w:r>
      <w:r>
        <w:rPr>
          <w:rFonts w:ascii="Cambria" w:hAnsi="Cambria" w:cs="Cambria"/>
          <w:sz w:val="14"/>
          <w:szCs w:val="14"/>
          <w:highlight w:val="none"/>
        </w:rPr>
        <w:t xml:space="preserve">,</w:t>
      </w:r>
      <w:r>
        <w:rPr>
          <w:rFonts w:ascii="Cambria" w:hAnsi="Cambria" w:cs="Cambria"/>
          <w:sz w:val="14"/>
          <w:szCs w:val="14"/>
          <w:highlight w:val="none"/>
        </w:rPr>
        <w:t xml:space="preserve"> </w:t>
      </w:r>
      <w:r>
        <w:rPr>
          <w:rFonts w:ascii="Cambria" w:hAnsi="Cambria" w:cs="Cambria"/>
          <w:sz w:val="14"/>
          <w:szCs w:val="14"/>
          <w:highlight w:val="none"/>
        </w:rPr>
        <w:t xml:space="preserve">os</w:t>
      </w:r>
      <w:r>
        <w:rPr>
          <w:rFonts w:ascii="Cambria" w:hAnsi="Cambria" w:cs="Cambria"/>
          <w:sz w:val="14"/>
          <w:szCs w:val="14"/>
        </w:rPr>
        <w:t xml:space="preserve"> preços iniciais serão reajustados, mediante a aplicação, pelo contratante, do índice IPCA</w:t>
      </w:r>
      <w:r>
        <w:rPr>
          <w:rFonts w:ascii="Cambria" w:hAnsi="Cambria" w:cs="Cambria"/>
          <w:i/>
          <w:iCs/>
          <w:sz w:val="14"/>
          <w:szCs w:val="14"/>
        </w:rPr>
        <w:t xml:space="preserve">,</w:t>
      </w:r>
      <w:r>
        <w:rPr>
          <w:rFonts w:ascii="Cambria" w:hAnsi="Cambria" w:cs="Cambria"/>
          <w:sz w:val="14"/>
          <w:szCs w:val="14"/>
        </w:rPr>
        <w:t xml:space="preserve"> exclusivamente para as obrigações iniciadas e concluídas após a ocorrência da anualidade</w:t>
      </w:r>
      <w:r>
        <w:rPr>
          <w:rFonts w:ascii="Cambria" w:hAnsi="Cambria" w:cs="Cambria"/>
          <w:sz w:val="14"/>
          <w:szCs w:val="14"/>
        </w:rPr>
        <w:t xml:space="preserv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Nos </w:t>
      </w:r>
      <w:r>
        <w:rPr>
          <w:rFonts w:ascii="Cambria" w:hAnsi="Cambria" w:cs="Cambria"/>
          <w:sz w:val="14"/>
          <w:szCs w:val="14"/>
        </w:rPr>
        <w:t xml:space="preserve">reajustes</w:t>
      </w:r>
      <w:r>
        <w:rPr>
          <w:rFonts w:ascii="Cambria" w:hAnsi="Cambria" w:cs="Cambria"/>
          <w:sz w:val="14"/>
          <w:szCs w:val="14"/>
        </w:rPr>
        <w:t xml:space="preserve"> subsequentes ao primeiro, o interregno mínimo de um ano será contado a partir dos efeitos financeiros do último reajuste.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No c</w:t>
      </w:r>
      <w:r>
        <w:rPr>
          <w:rFonts w:ascii="Cambria" w:hAnsi="Cambria" w:cs="Cambria"/>
          <w:sz w:val="14"/>
          <w:szCs w:val="14"/>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rFonts w:ascii="Cambria" w:hAnsi="Cambria" w:cs="Cambria"/>
          <w:sz w:val="14"/>
          <w:szCs w:val="14"/>
        </w:rPr>
      </w:r>
      <w:r/>
    </w:p>
    <w:p>
      <w:pPr>
        <w:pStyle w:val="1081"/>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Fica o Contratado obrigado a apresentar memória de cálculo referente ao reajustamento de preços do valor remanescente, sempre que este ocorrer.</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Nas aferições finais, o(s) índice(s) utilizado(s) para reajuste será(</w:t>
      </w:r>
      <w:r>
        <w:rPr>
          <w:rFonts w:ascii="Cambria" w:hAnsi="Cambria" w:cs="Cambria"/>
          <w:sz w:val="14"/>
          <w:szCs w:val="14"/>
        </w:rPr>
        <w:t xml:space="preserve">ão</w:t>
      </w:r>
      <w:r>
        <w:rPr>
          <w:rFonts w:ascii="Cambria" w:hAnsi="Cambria" w:cs="Cambria"/>
          <w:sz w:val="14"/>
          <w:szCs w:val="14"/>
        </w:rPr>
        <w:t xml:space="preserve">), obrigatoriamente, o(s) definitivo(s).</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Caso o(s) índice(s) estabelecido(s) para reajustamento venha(m) a ser extinto(s) ou de qualquer forma não possa(m) mais ser utilizado(s), será(</w:t>
      </w:r>
      <w:r>
        <w:rPr>
          <w:rFonts w:ascii="Cambria" w:hAnsi="Cambria" w:cs="Cambria"/>
          <w:sz w:val="14"/>
          <w:szCs w:val="14"/>
        </w:rPr>
        <w:t xml:space="preserve">ão</w:t>
      </w:r>
      <w:r>
        <w:rPr>
          <w:rFonts w:ascii="Cambria" w:hAnsi="Cambria" w:cs="Cambria"/>
          <w:sz w:val="14"/>
          <w:szCs w:val="14"/>
        </w:rPr>
        <w:t xml:space="preserve">) adotado(s), em substituição, o(s) que vier(em) a ser determinado(s) pela legislação então em vigor.</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Na ausência de previsão legal quanto ao índice substituto, as partes elegerão novo índice oficial, para reajustamento do preço do valor remanescente, por meio de termo aditivo. </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O reajuste será realizado por apostilamento.</w:t>
      </w:r>
      <w:r>
        <w:rPr>
          <w:rFonts w:ascii="Cambria" w:hAnsi="Cambria" w:cs="Cambria"/>
          <w:sz w:val="14"/>
          <w:szCs w:val="14"/>
        </w:rPr>
      </w:r>
      <w:r/>
    </w:p>
    <w:p>
      <w:pPr>
        <w:pStyle w:val="1010"/>
        <w:ind w:left="0" w:right="0" w:firstLine="0"/>
        <w:rPr>
          <w:rFonts w:ascii="Cambria" w:hAnsi="Cambria" w:cs="Cambria"/>
          <w:sz w:val="14"/>
          <w:szCs w:val="14"/>
        </w:rPr>
      </w:pPr>
      <w:r>
        <w:rPr>
          <w:rFonts w:ascii="Cambria" w:hAnsi="Cambria" w:cs="Cambria"/>
          <w:sz w:val="14"/>
          <w:szCs w:val="14"/>
        </w:rPr>
        <w:t xml:space="preserve">CLÁUSULA OITAVA - OBRIGAÇÕES DO CONTRATANTE </w:t>
      </w:r>
      <w:hyperlink r:id="rId56" w:tooltip="http://www.planalto.gov.br/ccivil_03/_ato2019-2022/2021/lei/L14133.htm#art92" w:anchor="art92" w:history="1">
        <w:r>
          <w:rPr>
            <w:rStyle w:val="988"/>
            <w:rFonts w:ascii="Cambria" w:hAnsi="Cambria" w:cs="Cambria"/>
            <w:sz w:val="14"/>
            <w:szCs w:val="14"/>
          </w:rPr>
          <w:t xml:space="preserve">(art. 92, X, XI e XIV</w:t>
        </w:r>
      </w:hyperlink>
      <w:r>
        <w:rPr>
          <w:rFonts w:ascii="Cambria" w:hAnsi="Cambria" w:cs="Cambria"/>
          <w:sz w:val="14"/>
          <w:szCs w:val="14"/>
        </w:rPr>
        <w:t xml:space="preserv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São obrigações do Contratante: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Exigir o cumprimento de todas as obrigações assumidas pelo Contratado, de acordo com o contrato e seus anexos;</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Receber o objeto no prazo e condições estabelecidas no Termo de Referência;</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Notif</w:t>
      </w:r>
      <w:r>
        <w:rPr>
          <w:rFonts w:ascii="Cambria" w:hAnsi="Cambria" w:cs="Cambria"/>
          <w:sz w:val="14"/>
          <w:szCs w:val="14"/>
        </w:rPr>
        <w:t xml:space="preserve">icar o Contratado por escrito da ocorrência de eventuais imperfeições, falhas ou irregularidades constatadas no curso da execução dos serviços, fixando prazo para a sua correção, certificando-se de que as soluções por ele propostas sejam as mais adequadas.</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Notificar o Contratado, por escrito, sobre vícios, defeitos ou incorreções verificadas no objeto fornecido, para que seja por ele substituído, reparado ou corrigido, no total ou em parte, às suas expensas;</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Acompanhar e fiscalizar a execução do contrato e o cumprimento das obrigações pelo Contratado;</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Comunicar a </w:t>
      </w:r>
      <w:r>
        <w:rPr>
          <w:rFonts w:ascii="Cambria" w:hAnsi="Cambria" w:cs="Cambria"/>
          <w:sz w:val="14"/>
          <w:szCs w:val="14"/>
        </w:rPr>
        <w:t xml:space="preserve">empresa</w:t>
      </w:r>
      <w:r>
        <w:rPr>
          <w:rFonts w:ascii="Cambria" w:hAnsi="Cambria" w:cs="Cambria"/>
          <w:sz w:val="14"/>
          <w:szCs w:val="14"/>
        </w:rPr>
        <w:t xml:space="preserve"> para emissão de Nota Fiscal no que </w:t>
      </w:r>
      <w:r>
        <w:rPr>
          <w:rFonts w:ascii="Cambria" w:hAnsi="Cambria" w:cs="Cambria"/>
          <w:sz w:val="14"/>
          <w:szCs w:val="14"/>
        </w:rPr>
        <w:t xml:space="preserve">se refere</w:t>
      </w:r>
      <w:r>
        <w:rPr>
          <w:rFonts w:ascii="Cambria" w:hAnsi="Cambria" w:cs="Cambria"/>
          <w:sz w:val="14"/>
          <w:szCs w:val="14"/>
        </w:rPr>
        <w:t xml:space="preserve"> à parcela incontroversa da execução do objeto, para efeito de liquidação e pagamento, quando houver controvérsia sobre a execução do objeto, quanto à dimensão, qualidade e quantidade, conforme o </w:t>
      </w:r>
      <w:hyperlink r:id="rId57" w:tooltip="http://www.planalto.gov.br/ccivil_03/_ato2019-2022/2021/lei/L14133.htm" w:history="1">
        <w:r>
          <w:rPr>
            <w:rStyle w:val="988"/>
            <w:rFonts w:ascii="Cambria" w:hAnsi="Cambria" w:cs="Cambria"/>
            <w:sz w:val="14"/>
            <w:szCs w:val="14"/>
          </w:rPr>
          <w:t xml:space="preserve">art. 143 da Lei nº 14.133, de 2021</w:t>
        </w:r>
      </w:hyperlink>
      <w:r>
        <w:rPr>
          <w:rFonts w:ascii="Cambria" w:hAnsi="Cambria" w:cs="Cambria"/>
          <w:sz w:val="14"/>
          <w:szCs w:val="14"/>
        </w:rPr>
        <w:t xml:space="preserv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Efetuar o pagamento ao Contratado do valor correspondente à execução do objeto, no prazo, forma e condições estabelecidos no presente Contrato e no Termo de Referência;</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Aplicar ao Contratado as sanções previstas na lei e neste Contrato; </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Cientificar o órgão de representação judicial da Advocacia-Geral da União para adoção das medidas cabíveis quando do descumprimento de obrigações pelo Contratado;</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Explicitamente</w:t>
      </w:r>
      <w:r>
        <w:rPr>
          <w:rFonts w:ascii="Cambria" w:hAnsi="Cambria" w:cs="Cambria"/>
          <w:sz w:val="14"/>
          <w:szCs w:val="14"/>
        </w:rPr>
        <w:t xml:space="preserve"> emitir decisão sobre todas as solicitações e reclamações relacionadas à execução do presente Contrato, ressalvados os requerimentos manifestamente impertinentes, meramente protelatórios ou de nenhum interesse para a boa execução do ajuste.</w:t>
      </w:r>
      <w:r>
        <w:rPr>
          <w:rFonts w:ascii="Cambria" w:hAnsi="Cambria" w:cs="Cambria"/>
          <w:sz w:val="14"/>
          <w:szCs w:val="14"/>
        </w:rPr>
      </w:r>
      <w:r/>
    </w:p>
    <w:p>
      <w:pPr>
        <w:pStyle w:val="1032"/>
        <w:ind w:left="0" w:right="0" w:firstLine="0"/>
        <w:rPr>
          <w:rFonts w:ascii="Cambria" w:hAnsi="Cambria" w:cs="Cambria"/>
          <w:sz w:val="14"/>
          <w:szCs w:val="14"/>
        </w:rPr>
      </w:pPr>
      <w:r>
        <w:rPr>
          <w:rFonts w:ascii="Cambria" w:hAnsi="Cambria" w:cs="Cambria"/>
          <w:sz w:val="14"/>
          <w:szCs w:val="14"/>
        </w:rPr>
        <w:t xml:space="preserve"> </w:t>
      </w:r>
      <w:r>
        <w:rPr>
          <w:rFonts w:ascii="Cambria" w:hAnsi="Cambria" w:cs="Cambria"/>
          <w:sz w:val="14"/>
          <w:szCs w:val="14"/>
        </w:rPr>
        <w:t xml:space="preserve">A </w:t>
      </w:r>
      <w:r>
        <w:rPr>
          <w:rFonts w:ascii="Cambria" w:hAnsi="Cambria" w:cs="Cambria"/>
          <w:sz w:val="14"/>
          <w:szCs w:val="14"/>
        </w:rPr>
        <w:t xml:space="preserve">Administração</w:t>
      </w:r>
      <w:r>
        <w:rPr>
          <w:rFonts w:ascii="Cambria" w:hAnsi="Cambria" w:cs="Cambria"/>
          <w:sz w:val="14"/>
          <w:szCs w:val="14"/>
        </w:rPr>
        <w:t xml:space="preserve"> terá o prazo d</w:t>
      </w:r>
      <w:r>
        <w:rPr>
          <w:rFonts w:ascii="Cambria" w:hAnsi="Cambria" w:cs="Cambria"/>
          <w:color w:val="000000" w:themeColor="text1"/>
          <w:sz w:val="14"/>
          <w:szCs w:val="14"/>
        </w:rPr>
        <w:t xml:space="preserve">e</w:t>
      </w:r>
      <w:r>
        <w:rPr>
          <w:rFonts w:ascii="Cambria" w:hAnsi="Cambria" w:cs="Cambria"/>
          <w:i/>
          <w:iCs/>
          <w:color w:val="000000" w:themeColor="text1"/>
          <w:sz w:val="14"/>
          <w:szCs w:val="14"/>
        </w:rPr>
        <w:t xml:space="preserve"> 10 (dez)</w:t>
      </w:r>
      <w:r>
        <w:rPr>
          <w:rFonts w:ascii="Cambria" w:hAnsi="Cambria" w:cs="Cambria"/>
          <w:color w:val="000000" w:themeColor="text1"/>
          <w:sz w:val="14"/>
          <w:szCs w:val="14"/>
        </w:rPr>
        <w:t xml:space="preserve">, a</w:t>
      </w:r>
      <w:r>
        <w:rPr>
          <w:rFonts w:ascii="Cambria" w:hAnsi="Cambria" w:cs="Cambria"/>
          <w:sz w:val="14"/>
          <w:szCs w:val="14"/>
        </w:rPr>
        <w:t xml:space="preserve"> contar da data do protocolo do requerimento para decidir, admitida a prorrogação motivada, por igual período. </w:t>
      </w:r>
      <w:r>
        <w:rPr>
          <w:rFonts w:ascii="Cambria" w:hAnsi="Cambria" w:cs="Cambria"/>
          <w:sz w:val="14"/>
          <w:szCs w:val="14"/>
        </w:rPr>
      </w:r>
      <w:r/>
    </w:p>
    <w:p>
      <w:pPr>
        <w:pStyle w:val="1030"/>
        <w:ind w:left="0" w:right="0" w:firstLine="0"/>
        <w:rPr>
          <w:rFonts w:ascii="Cambria" w:hAnsi="Cambria" w:cs="Cambria"/>
          <w:color w:val="000000" w:themeColor="text1"/>
          <w:sz w:val="14"/>
          <w:szCs w:val="14"/>
        </w:rPr>
      </w:pPr>
      <w:r>
        <w:rPr>
          <w:rFonts w:ascii="Cambria" w:hAnsi="Cambria" w:cs="Cambria"/>
          <w:sz w:val="14"/>
          <w:szCs w:val="14"/>
        </w:rPr>
      </w:r>
      <w:r>
        <w:rPr>
          <w:rFonts w:ascii="Cambria" w:hAnsi="Cambria" w:cs="Cambria"/>
          <w:sz w:val="14"/>
          <w:szCs w:val="14"/>
        </w:rPr>
        <w:t xml:space="preserve">Responder eventuais pedidos de reestabelecimento do equilíbrio econômico-financeiro feitos pelo contratado no prazo máximo d</w:t>
      </w:r>
      <w:r>
        <w:rPr>
          <w:rFonts w:ascii="Cambria" w:hAnsi="Cambria" w:cs="Cambria"/>
          <w:color w:val="000000" w:themeColor="text1"/>
          <w:sz w:val="14"/>
          <w:szCs w:val="14"/>
        </w:rPr>
        <w:t xml:space="preserve">e </w:t>
      </w:r>
      <w:r>
        <w:rPr>
          <w:rFonts w:ascii="Cambria" w:hAnsi="Cambria" w:cs="Cambria"/>
          <w:color w:val="000000" w:themeColor="text1"/>
          <w:sz w:val="14"/>
          <w:szCs w:val="14"/>
        </w:rPr>
        <w:t xml:space="preserve">10 (dez) dias úteis.</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r>
      <w:bookmarkStart w:id="0" w:name="undefined"/>
      <w:r>
        <w:rPr>
          <w:rFonts w:ascii="Cambria" w:hAnsi="Cambria" w:cs="Cambria"/>
          <w:color w:val="000000" w:themeColor="text1"/>
          <w:sz w:val="14"/>
          <w:szCs w:val="14"/>
        </w:rPr>
      </w:r>
      <w:bookmarkEnd w:id="0"/>
      <w:r>
        <w:rPr>
          <w:rFonts w:ascii="Cambria" w:hAnsi="Cambria" w:cs="Cambria"/>
          <w:color w:val="000000" w:themeColor="text1"/>
          <w:sz w:val="14"/>
          <w:szCs w:val="14"/>
        </w:rPr>
        <w:t xml:space="preserve">Notificar os </w:t>
      </w:r>
      <w:r>
        <w:rPr>
          <w:rFonts w:ascii="Cambria" w:hAnsi="Cambria" w:cs="Cambria"/>
          <w:color w:val="000000" w:themeColor="text1"/>
          <w:sz w:val="14"/>
          <w:szCs w:val="14"/>
        </w:rPr>
        <w:t xml:space="preserve">emitentes</w:t>
      </w:r>
      <w:r>
        <w:rPr>
          <w:rFonts w:ascii="Cambria" w:hAnsi="Cambria" w:cs="Cambria"/>
          <w:color w:val="000000" w:themeColor="text1"/>
          <w:sz w:val="14"/>
          <w:szCs w:val="14"/>
        </w:rPr>
        <w:t xml:space="preserve"> das garantias quanto ao início de processo administrativo para apuração de descumprimento de cláusulas contratuais.</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Comunicar o </w:t>
      </w:r>
      <w:r>
        <w:rPr>
          <w:rFonts w:ascii="Cambria" w:hAnsi="Cambria" w:cs="Cambria"/>
          <w:sz w:val="14"/>
          <w:szCs w:val="14"/>
        </w:rPr>
        <w:t xml:space="preserve">Contratado</w:t>
      </w:r>
      <w:r>
        <w:rPr>
          <w:rFonts w:ascii="Cambria" w:hAnsi="Cambria" w:cs="Cambria"/>
          <w:sz w:val="14"/>
          <w:szCs w:val="14"/>
        </w:rPr>
        <w:t xml:space="preserve"> na hipótese de posterior alteração do projeto pelo Contratante, no caso </w:t>
      </w:r>
      <w:hyperlink r:id="rId58" w:tooltip="http://www.planalto.gov.br/ccivil_03/_ato2019-2022/2021/lei/L14133.htm#art93§2" w:anchor="art93§2" w:history="1">
        <w:r>
          <w:rPr>
            <w:rStyle w:val="988"/>
            <w:rFonts w:ascii="Cambria" w:hAnsi="Cambria" w:cs="Cambria"/>
            <w:sz w:val="14"/>
            <w:szCs w:val="14"/>
          </w:rPr>
          <w:t xml:space="preserve">do art. 93, §2º, da Lei nº 14.133, de 2021</w:t>
        </w:r>
      </w:hyperlink>
      <w:r>
        <w:rPr>
          <w:rFonts w:ascii="Cambria" w:hAnsi="Cambria" w:cs="Cambria"/>
          <w:sz w:val="14"/>
          <w:szCs w:val="14"/>
        </w:rPr>
        <w:t xml:space="preserv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Fornecer</w:t>
      </w:r>
      <w:r>
        <w:rPr>
          <w:rFonts w:ascii="Cambria" w:hAnsi="Cambria" w:cs="Cambria"/>
          <w:sz w:val="14"/>
          <w:szCs w:val="14"/>
        </w:rPr>
        <w:t xml:space="preserve"> por escrito as informações necessárias para o desenvolvimento dos serviços objeto do contrato.</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Realizar avaliações periódicas da qualidade dos serviços, após </w:t>
      </w:r>
      <w:r>
        <w:rPr>
          <w:rFonts w:ascii="Cambria" w:hAnsi="Cambria" w:cs="Cambria"/>
          <w:sz w:val="14"/>
          <w:szCs w:val="14"/>
        </w:rPr>
        <w:t xml:space="preserve">seu</w:t>
      </w:r>
      <w:r>
        <w:rPr>
          <w:rFonts w:ascii="Cambria" w:hAnsi="Cambria" w:cs="Cambria"/>
          <w:sz w:val="14"/>
          <w:szCs w:val="14"/>
        </w:rPr>
        <w:t xml:space="preserve"> recebimento.</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Exigir do Contratado que providencie a seguinte documentação como condição indispensável para o recebimento definitivo de objeto, quando for o caso:</w:t>
      </w:r>
      <w:r>
        <w:rPr>
          <w:rFonts w:ascii="Cambria" w:hAnsi="Cambria" w:cs="Cambria"/>
          <w:sz w:val="14"/>
          <w:szCs w:val="14"/>
        </w:rPr>
      </w:r>
      <w:r/>
    </w:p>
    <w:p>
      <w:pPr>
        <w:pStyle w:val="1030"/>
        <w:numPr>
          <w:ilvl w:val="0"/>
          <w:numId w:val="16"/>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"as </w:t>
      </w:r>
      <w:r>
        <w:rPr>
          <w:rFonts w:ascii="Cambria" w:hAnsi="Cambria" w:cs="Cambria"/>
          <w:i/>
          <w:color w:val="000000" w:themeColor="text1"/>
          <w:sz w:val="14"/>
          <w:szCs w:val="14"/>
        </w:rPr>
        <w:t xml:space="preserve">built</w:t>
      </w:r>
      <w:r>
        <w:rPr>
          <w:rFonts w:ascii="Cambria" w:hAnsi="Cambria" w:cs="Cambria"/>
          <w:i/>
          <w:color w:val="000000" w:themeColor="text1"/>
          <w:sz w:val="14"/>
          <w:szCs w:val="14"/>
        </w:rPr>
        <w:t xml:space="preserve">", elaborado pelo responsável por sua execução;</w:t>
      </w:r>
      <w:r>
        <w:rPr>
          <w:rFonts w:ascii="Cambria" w:hAnsi="Cambria" w:cs="Cambria"/>
          <w:sz w:val="14"/>
          <w:szCs w:val="14"/>
        </w:rPr>
      </w:r>
      <w:r/>
    </w:p>
    <w:p>
      <w:pPr>
        <w:pStyle w:val="1030"/>
        <w:numPr>
          <w:ilvl w:val="0"/>
          <w:numId w:val="16"/>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comprovação das ligações definitivas de energia, água, telefone e gás;</w:t>
      </w:r>
      <w:r>
        <w:rPr>
          <w:rFonts w:ascii="Cambria" w:hAnsi="Cambria" w:cs="Cambria"/>
          <w:sz w:val="14"/>
          <w:szCs w:val="14"/>
        </w:rPr>
      </w:r>
      <w:r/>
    </w:p>
    <w:p>
      <w:pPr>
        <w:pStyle w:val="1030"/>
        <w:numPr>
          <w:ilvl w:val="0"/>
          <w:numId w:val="16"/>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laudo de vistoria do corpo de bombeiros aprovando o serviço;</w:t>
      </w:r>
      <w:r>
        <w:rPr>
          <w:rFonts w:ascii="Cambria" w:hAnsi="Cambria" w:cs="Cambria"/>
          <w:sz w:val="14"/>
          <w:szCs w:val="14"/>
        </w:rPr>
      </w:r>
      <w:r/>
    </w:p>
    <w:p>
      <w:pPr>
        <w:pStyle w:val="1030"/>
        <w:numPr>
          <w:ilvl w:val="0"/>
          <w:numId w:val="16"/>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carta "habite-se", emitida pela prefeitura; e</w:t>
      </w:r>
      <w:r>
        <w:rPr>
          <w:rFonts w:ascii="Cambria" w:hAnsi="Cambria" w:cs="Cambria"/>
          <w:sz w:val="14"/>
          <w:szCs w:val="14"/>
        </w:rPr>
      </w:r>
      <w:r/>
    </w:p>
    <w:p>
      <w:pPr>
        <w:pStyle w:val="1030"/>
        <w:numPr>
          <w:ilvl w:val="0"/>
          <w:numId w:val="16"/>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certidão negativa de débitos previdenciários específica para o registro da obra junto ao Cartório de Registro de Imóveis;</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Arquivar, entre outros documentos, de projetos, "as </w:t>
      </w:r>
      <w:r>
        <w:rPr>
          <w:rFonts w:ascii="Cambria" w:hAnsi="Cambria" w:cs="Cambria"/>
          <w:color w:val="000000" w:themeColor="text1"/>
          <w:sz w:val="14"/>
          <w:szCs w:val="14"/>
        </w:rPr>
        <w:t xml:space="preserve">built</w:t>
      </w:r>
      <w:r>
        <w:rPr>
          <w:rFonts w:ascii="Cambria" w:hAnsi="Cambria" w:cs="Cambria"/>
          <w:color w:val="000000" w:themeColor="text1"/>
          <w:sz w:val="14"/>
          <w:szCs w:val="14"/>
        </w:rPr>
        <w:t xml:space="preserve">", especificações técnicas, orçamentos, termos de recebimento, contratos e aditamentos, relatórios de inspeções técnicas após o recebimento do serviço e notificações expedidas.</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Assegurar que o a</w:t>
      </w:r>
      <w:r>
        <w:rPr>
          <w:rFonts w:ascii="Cambria" w:hAnsi="Cambria" w:cs="Cambria"/>
          <w:sz w:val="14"/>
          <w:szCs w:val="14"/>
        </w:rPr>
        <w:t xml:space="preserve">mbiente de trabalho, inclusive seus equipamentos e instalações, apresentem condições adequadas ao cumprimento, pelo Contratado, das normas de segurança e saúde no trabalho, quando o serviço for executado em suas dependências, ou em local por ela designado.</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N</w:t>
      </w:r>
      <w:r>
        <w:rPr>
          <w:rFonts w:ascii="Cambria" w:hAnsi="Cambria" w:cs="Cambria"/>
          <w:sz w:val="14"/>
          <w:szCs w:val="14"/>
        </w:rPr>
        <w:t xml:space="preserve">ão responder por quaisquer compromissos assumidos pelo Contratado com terceiros, ainda que vinculados à execução do contrato, bem como por qualquer dano causado a terceiros em decorrência de ato do Contratado, de seus empregados, prepostos ou subordinados.</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Previamente à expedição da ordem de serviço, verificar pendências, liberar áreas e/ou adotar providências cabíveis para a regularidade do início da sua execução.</w:t>
      </w:r>
      <w:r>
        <w:rPr>
          <w:rFonts w:ascii="Cambria" w:hAnsi="Cambria" w:cs="Cambria"/>
          <w:sz w:val="14"/>
          <w:szCs w:val="14"/>
        </w:rPr>
      </w:r>
      <w:r/>
    </w:p>
    <w:p>
      <w:pPr>
        <w:pStyle w:val="1010"/>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CLÁUSULA NONA - OBRIGAÇÕES DO CONTRATADO (</w:t>
      </w:r>
      <w:hyperlink r:id="rId59" w:tooltip="http://www.planalto.gov.br/ccivil_03/_ato2019-2022/2021/lei/L14133.htm#art92" w:anchor="art92" w:history="1">
        <w:r>
          <w:rPr>
            <w:rStyle w:val="988"/>
            <w:rFonts w:ascii="Cambria" w:hAnsi="Cambria" w:cs="Cambria"/>
            <w:sz w:val="14"/>
            <w:szCs w:val="14"/>
          </w:rPr>
          <w:t xml:space="preserve">art. 92, XIV, XVI e XVII</w:t>
        </w:r>
      </w:hyperlink>
      <w:r>
        <w:rPr>
          <w:rFonts w:ascii="Cambria" w:hAnsi="Cambria" w:cs="Cambria"/>
          <w:sz w:val="14"/>
          <w:szCs w:val="14"/>
        </w:rPr>
        <w:t xml:space="preserv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O Contratado deve cumprir todas as obrigações constantes deste Contrato e de seus anexos, assumindo como exclusivamente seus os riscos e as despesas decorrentes da boa e perfeita execução do objeto, observando, ainda, as obrigações a seguir dispostas:</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Manter preposto aceito pela Administração no local do serviço para representá-lo na execução do contrato.</w:t>
      </w:r>
      <w:r>
        <w:rPr>
          <w:rFonts w:ascii="Cambria" w:hAnsi="Cambria" w:cs="Cambria"/>
          <w:sz w:val="14"/>
          <w:szCs w:val="14"/>
        </w:rPr>
      </w:r>
      <w:r/>
    </w:p>
    <w:p>
      <w:pPr>
        <w:pStyle w:val="1032"/>
        <w:ind w:left="0" w:right="0" w:firstLine="0"/>
        <w:rPr>
          <w:rFonts w:ascii="Cambria" w:hAnsi="Cambria" w:cs="Cambria"/>
          <w:sz w:val="14"/>
          <w:szCs w:val="14"/>
        </w:rPr>
      </w:pPr>
      <w:r>
        <w:rPr>
          <w:rFonts w:ascii="Cambria" w:hAnsi="Cambria" w:cs="Cambria"/>
          <w:sz w:val="14"/>
          <w:szCs w:val="14"/>
        </w:rPr>
        <w:t xml:space="preserve">A indicação ou a manutenção do preposto da empresa poderá ser recusada pelo órgão ou entidade, desde que devidamente justificada, devendo a empresa designar outro para o exercício da atividade.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Atender às </w:t>
      </w:r>
      <w:r>
        <w:rPr>
          <w:rFonts w:ascii="Cambria" w:hAnsi="Cambria" w:cs="Cambria"/>
          <w:sz w:val="14"/>
          <w:szCs w:val="14"/>
        </w:rPr>
        <w:t xml:space="preserve">determinações</w:t>
      </w:r>
      <w:r>
        <w:rPr>
          <w:rFonts w:ascii="Cambria" w:hAnsi="Cambria" w:cs="Cambria"/>
          <w:sz w:val="14"/>
          <w:szCs w:val="14"/>
        </w:rPr>
        <w:t xml:space="preserve"> regulares emitidas pelo fiscal do contrato ou autoridade superior (</w:t>
      </w:r>
      <w:hyperlink r:id="rId60" w:tooltip="http://www.planalto.gov.br/ccivil_03/_ato2019-2022/2021/lei/L14133.htm#art137" w:anchor="art137" w:history="1">
        <w:r>
          <w:rPr>
            <w:rStyle w:val="988"/>
            <w:rFonts w:ascii="Cambria" w:hAnsi="Cambria" w:cs="Cambria"/>
            <w:sz w:val="14"/>
            <w:szCs w:val="14"/>
          </w:rPr>
          <w:t xml:space="preserve">art. 137, II</w:t>
        </w:r>
      </w:hyperlink>
      <w:r>
        <w:rPr>
          <w:rFonts w:ascii="Cambria" w:hAnsi="Cambria" w:cs="Cambria"/>
          <w:sz w:val="14"/>
          <w:szCs w:val="14"/>
        </w:rPr>
        <w:t xml:space="preserve">)</w:t>
      </w:r>
      <w:r>
        <w:rPr>
          <w:rFonts w:ascii="Cambria" w:hAnsi="Cambria" w:cs="Cambria"/>
          <w:color w:val="000000" w:themeColor="text1"/>
          <w:sz w:val="14"/>
          <w:szCs w:val="14"/>
        </w:rPr>
        <w:t xml:space="preserve"> e </w:t>
      </w:r>
      <w:r>
        <w:rPr>
          <w:rFonts w:ascii="Cambria" w:hAnsi="Cambria" w:cs="Cambria"/>
          <w:sz w:val="14"/>
          <w:szCs w:val="14"/>
        </w:rPr>
        <w:t xml:space="preserve">prestar todo esclarecimento ou informação por eles solicitados</w:t>
      </w:r>
      <w:r>
        <w:rPr>
          <w:rFonts w:ascii="Cambria" w:hAnsi="Cambria" w:cs="Cambria"/>
          <w:sz w:val="14"/>
          <w:szCs w:val="14"/>
        </w:rPr>
        <w:t xml:space="preserv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Alocar os empregados necessários ao perfeito cumprimento das cláusulas deste contrato, com habilitação e conhecimento adequados, fornecendo os materiais, equipamentos, ferramentas e utensílios demandados, cuja </w:t>
      </w:r>
      <w:r>
        <w:rPr>
          <w:rFonts w:ascii="Cambria" w:hAnsi="Cambria" w:cs="Cambria"/>
          <w:sz w:val="14"/>
          <w:szCs w:val="14"/>
        </w:rPr>
        <w:t xml:space="preserve">quantidade</w:t>
      </w:r>
      <w:r>
        <w:rPr>
          <w:rFonts w:ascii="Cambria" w:hAnsi="Cambria" w:cs="Cambria"/>
          <w:sz w:val="14"/>
          <w:szCs w:val="14"/>
        </w:rPr>
        <w:t xml:space="preserve">, qualidade e tecnologia deverão atender às recomendações de boa técnica e a legislação de regência;</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R</w:t>
      </w:r>
      <w:r>
        <w:rPr>
          <w:rFonts w:ascii="Cambria" w:hAnsi="Cambria" w:cs="Cambria"/>
          <w:sz w:val="14"/>
          <w:szCs w:val="14"/>
        </w:rPr>
        <w:t xml:space="preserve">eparar, corrigir, remover, reconstruir ou substituir, às suas expensas, no total ou em parte, no prazo fixado pelo fiscal do contrato, os serviços nos quais se verificarem vícios, defeitos ou incorreções resultantes da execução ou dos materiais empregados;</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Responsabilizar-se pelos vícios e danos decorrentes da execução do objeto, de acordo com o </w:t>
      </w:r>
      <w:hyperlink r:id="rId61" w:tooltip="https://www.planalto.gov.br/ccivil_03/leis/l8078compilado.htm" w:history="1">
        <w:r>
          <w:rPr>
            <w:rStyle w:val="988"/>
            <w:rFonts w:ascii="Cambria" w:hAnsi="Cambria" w:cs="Cambria"/>
            <w:sz w:val="14"/>
            <w:szCs w:val="14"/>
          </w:rPr>
          <w:t xml:space="preserve">Código de Defesa do Consumidor (Lei nº 8.078, de 1990</w:t>
        </w:r>
      </w:hyperlink>
      <w:r>
        <w:rPr>
          <w:rFonts w:ascii="Cambria" w:hAnsi="Cambria" w:cs="Cambria"/>
          <w:sz w:val="14"/>
          <w:szCs w:val="14"/>
        </w:rPr>
        <w:t xml:space="preserve">), bem como por todo e qualquer dano causado à Administração ou terceiros, não reduzindo essa responsabilidade a fiscalização ou o acompanhamento da execução contratual pelo </w:t>
      </w:r>
      <w:r>
        <w:rPr>
          <w:rFonts w:ascii="Cambria" w:hAnsi="Cambria" w:cs="Cambria"/>
          <w:sz w:val="14"/>
          <w:szCs w:val="14"/>
        </w:rPr>
        <w:t xml:space="preserve">Contratante</w:t>
      </w:r>
      <w:r>
        <w:rPr>
          <w:rFonts w:ascii="Cambria" w:hAnsi="Cambria" w:cs="Cambria"/>
          <w:sz w:val="14"/>
          <w:szCs w:val="14"/>
        </w:rPr>
        <w:t xml:space="preserve">, que ficará autorizado a descontar dos pagamentos devidos ou da garantia, caso exigida no edital, o valor correspondente aos danos sofridos;</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Efetuar </w:t>
      </w:r>
      <w:r>
        <w:rPr>
          <w:rFonts w:ascii="Cambria" w:hAnsi="Cambria" w:cs="Cambria"/>
          <w:sz w:val="14"/>
          <w:szCs w:val="14"/>
        </w:rPr>
        <w:t xml:space="preserve">comunicação</w:t>
      </w:r>
      <w:r>
        <w:rPr>
          <w:rFonts w:ascii="Cambria" w:hAnsi="Cambria" w:cs="Cambria"/>
          <w:sz w:val="14"/>
          <w:szCs w:val="14"/>
        </w:rPr>
        <w:t xml:space="preserve"> ao Contratante, assim que tiver ciência da impossibilidade de realização ou finalização do serviço no prazo estabelecido, para adoção de ações de contingência cabíveis. </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Não contratar, durante a vigência do contrato, cônjuge, companheiro ou parente em linha reta, colateral ou por afinidade, até o terceiro grau, de dirigente do contratante ou do fiscal ou gestor do contrato, nos termos do </w:t>
      </w:r>
      <w:hyperlink r:id="rId62" w:tooltip="http://www.planalto.gov.br/ccivil_03/_ato2019-2022/2021/lei/L14133.htm#art48" w:anchor="art48" w:history="1">
        <w:r>
          <w:rPr>
            <w:rStyle w:val="988"/>
            <w:rFonts w:ascii="Cambria" w:hAnsi="Cambria" w:cs="Cambria"/>
            <w:sz w:val="14"/>
            <w:szCs w:val="14"/>
          </w:rPr>
          <w:t xml:space="preserve">artigo 48, parágrafo único, da Lei nº 14.133, de 2021</w:t>
        </w:r>
      </w:hyperlink>
      <w:r>
        <w:rPr>
          <w:rFonts w:ascii="Cambria" w:hAnsi="Cambria" w:cs="Cambria"/>
          <w:sz w:val="14"/>
          <w:szCs w:val="14"/>
        </w:rPr>
        <w:t xml:space="preserv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color w:val="000000" w:themeColor="text1"/>
          <w:sz w:val="14"/>
          <w:szCs w:val="14"/>
        </w:rPr>
        <w:t xml:space="preserve">Q</w:t>
      </w:r>
      <w:r>
        <w:rPr>
          <w:rFonts w:ascii="Cambria" w:hAnsi="Cambria" w:cs="Cambria"/>
          <w:color w:val="000000" w:themeColor="text1"/>
          <w:sz w:val="14"/>
          <w:szCs w:val="14"/>
        </w:rPr>
        <w:t xml:space="preserve">uando não for possível a verificação da regularidade no Sistema de Cadastro </w:t>
      </w:r>
      <w:r>
        <w:rPr>
          <w:rFonts w:ascii="Cambria" w:hAnsi="Cambria" w:cs="Cambria"/>
          <w:sz w:val="14"/>
          <w:szCs w:val="14"/>
        </w:rPr>
        <w:t xml:space="preserve">de Fornecedores – SICAF, o contratado deverá entregar ao setor responsável pela fiscalização do contrato, até o dia trinta do mês seguinte ao da prestação dos serviços, os seguintes documentos: </w:t>
      </w:r>
      <w:r>
        <w:rPr>
          <w:rFonts w:ascii="Cambria" w:hAnsi="Cambria" w:cs="Cambria"/>
          <w:sz w:val="14"/>
          <w:szCs w:val="14"/>
        </w:rPr>
      </w:r>
      <w:r/>
    </w:p>
    <w:p>
      <w:pPr>
        <w:pStyle w:val="1030"/>
        <w:numPr>
          <w:ilvl w:val="0"/>
          <w:numId w:val="20"/>
        </w:numPr>
        <w:ind w:left="0" w:right="0" w:firstLine="0"/>
        <w:rPr>
          <w:rFonts w:ascii="Cambria" w:hAnsi="Cambria" w:cs="Cambria"/>
          <w:sz w:val="14"/>
          <w:szCs w:val="14"/>
        </w:rPr>
      </w:pPr>
      <w:r>
        <w:rPr>
          <w:rFonts w:ascii="Cambria" w:hAnsi="Cambria" w:cs="Cambria"/>
          <w:sz w:val="14"/>
          <w:szCs w:val="14"/>
        </w:rPr>
        <w:t xml:space="preserve">prova de regularidade relativa à Seguridade Social; </w:t>
      </w:r>
      <w:r>
        <w:rPr>
          <w:rFonts w:ascii="Cambria" w:hAnsi="Cambria" w:cs="Cambria"/>
          <w:sz w:val="14"/>
          <w:szCs w:val="14"/>
        </w:rPr>
      </w:r>
      <w:r/>
    </w:p>
    <w:p>
      <w:pPr>
        <w:pStyle w:val="1030"/>
        <w:numPr>
          <w:ilvl w:val="0"/>
          <w:numId w:val="20"/>
        </w:numPr>
        <w:ind w:left="0" w:right="0" w:firstLine="0"/>
        <w:rPr>
          <w:rFonts w:ascii="Cambria" w:hAnsi="Cambria" w:cs="Cambria"/>
          <w:sz w:val="14"/>
          <w:szCs w:val="14"/>
        </w:rPr>
      </w:pPr>
      <w:r>
        <w:rPr>
          <w:rFonts w:ascii="Cambria" w:hAnsi="Cambria" w:cs="Cambria"/>
          <w:sz w:val="14"/>
          <w:szCs w:val="14"/>
        </w:rPr>
        <w:t xml:space="preserve">certidão conjunta relativa aos tributos federais e à Dívida Ativa da União;</w:t>
      </w:r>
      <w:r>
        <w:rPr>
          <w:rFonts w:ascii="Cambria" w:hAnsi="Cambria" w:cs="Cambria"/>
          <w:sz w:val="14"/>
          <w:szCs w:val="14"/>
        </w:rPr>
      </w:r>
      <w:r/>
    </w:p>
    <w:p>
      <w:pPr>
        <w:pStyle w:val="1030"/>
        <w:numPr>
          <w:ilvl w:val="0"/>
          <w:numId w:val="20"/>
        </w:numPr>
        <w:ind w:left="0" w:right="0" w:firstLine="0"/>
        <w:rPr>
          <w:rFonts w:ascii="Cambria" w:hAnsi="Cambria" w:cs="Cambria"/>
          <w:sz w:val="14"/>
          <w:szCs w:val="14"/>
        </w:rPr>
      </w:pPr>
      <w:r>
        <w:rPr>
          <w:rFonts w:ascii="Cambria" w:hAnsi="Cambria" w:cs="Cambria"/>
          <w:sz w:val="14"/>
          <w:szCs w:val="14"/>
        </w:rPr>
        <w:t xml:space="preserve">certidões que comprovem a regularidade perante a Fazenda Municipal ou Distrital do domicílio ou sede do contratado; </w:t>
      </w:r>
      <w:r>
        <w:rPr>
          <w:rFonts w:ascii="Cambria" w:hAnsi="Cambria" w:cs="Cambria"/>
          <w:sz w:val="14"/>
          <w:szCs w:val="14"/>
        </w:rPr>
      </w:r>
      <w:r/>
    </w:p>
    <w:p>
      <w:pPr>
        <w:pStyle w:val="1030"/>
        <w:numPr>
          <w:ilvl w:val="0"/>
          <w:numId w:val="20"/>
        </w:numPr>
        <w:ind w:left="0" w:right="0" w:firstLine="0"/>
        <w:rPr>
          <w:rFonts w:ascii="Cambria" w:hAnsi="Cambria" w:cs="Cambria"/>
          <w:sz w:val="14"/>
          <w:szCs w:val="14"/>
        </w:rPr>
      </w:pPr>
      <w:r>
        <w:rPr>
          <w:rFonts w:ascii="Cambria" w:hAnsi="Cambria" w:cs="Cambria"/>
          <w:sz w:val="14"/>
          <w:szCs w:val="14"/>
        </w:rPr>
        <w:t xml:space="preserve">Certidão de Regularidade do FGTS – CRF; e</w:t>
      </w:r>
      <w:r>
        <w:rPr>
          <w:rFonts w:ascii="Cambria" w:hAnsi="Cambria" w:cs="Cambria"/>
          <w:sz w:val="14"/>
          <w:szCs w:val="14"/>
        </w:rPr>
      </w:r>
      <w:r/>
    </w:p>
    <w:p>
      <w:pPr>
        <w:pStyle w:val="1030"/>
        <w:numPr>
          <w:ilvl w:val="0"/>
          <w:numId w:val="20"/>
        </w:numPr>
        <w:ind w:left="0" w:right="0" w:firstLine="0"/>
        <w:rPr>
          <w:rFonts w:ascii="Cambria" w:hAnsi="Cambria" w:cs="Cambria"/>
          <w:sz w:val="14"/>
          <w:szCs w:val="14"/>
        </w:rPr>
      </w:pPr>
      <w:r>
        <w:rPr>
          <w:rFonts w:ascii="Cambria" w:hAnsi="Cambria" w:cs="Cambria"/>
          <w:sz w:val="14"/>
          <w:szCs w:val="14"/>
        </w:rPr>
        <w:t xml:space="preserve">Certidão Negativa de Débitos Trabalhistas – CNDT; </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Responsabilizar-se pelo cumprimento das obrigações previstas em Acordo, Convenção, Dissídio Coletivo de Tr</w:t>
      </w:r>
      <w:r>
        <w:rPr>
          <w:rFonts w:ascii="Cambria" w:hAnsi="Cambria" w:cs="Cambria"/>
          <w:sz w:val="14"/>
          <w:szCs w:val="14"/>
        </w:rPr>
        <w:t xml:space="preserve">abalho ou equivalentes das categorias abrangidas pelo contrato, por todas as obrigações trabalhistas, sociais, previdenciárias, tributárias e as demais previstas em legislação específica, cuja inadimplência não transfere a responsabilidade ao Contratante; </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Comunicar ao Fiscal do contrato, no prazo de 24 (vinte e quatro) horas, qualquer ocorrência anormal ou acidente que se verifique no local dos serviços.</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Prestar todo esclarecimento ou informação solicitada pelo Contratante ou por seus prepostos, garantindo-lhes o acesso, a qualquer tempo, ao local dos trabalhos, bem como aos documentos relativos à execução do empreendimento.</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Paralisar, por determinação do Contratante, qualquer atividade que não esteja sendo executada de acordo com a boa técnica ou que ponha em risco a segurança de pessoas ou bens de terceiros.</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Promover a guarda, manutenção e vigilância de materiais, ferramentas, e tudo o que for necessário à execução do objeto, durante a vigência do contrato.</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Conduzir os trabalhos com estrita observância às normas da legislação pertinente, cumprindo as determinações dos Poderes Públicos, mantendo sempre limpo o local dos serviços e nas melhores condições de segurança, higiene e disciplina.</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Submeter previamente, por escrito, ao Contratante, para análise e aprovação, quaisquer mudanças nos métodos executivos que fujam às especificações do memorial descritivo ou instrumento congênere.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Não permitir a utilização de qualquer trabalho do menor de dezesseis anos, exceto na condição de aprendiz para os maiores de quatorze anos, nem permitir a utilização do trabalho do menor de dezoito anos em trabalho noturno, perigoso ou insalubre;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 Manter durante toda a vigência do contrato, em compatibilidade com as obrigações assumidas, todas as condições exigidas para habilitação na licitação; </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Cumprir</w:t>
      </w:r>
      <w:r>
        <w:rPr>
          <w:rFonts w:ascii="Cambria" w:hAnsi="Cambria" w:cs="Cambria"/>
          <w:sz w:val="14"/>
          <w:szCs w:val="14"/>
        </w:rPr>
        <w:t xml:space="preserve">, durante todo o período de execução do contrato, a reserva de cargos prevista em lei para pessoa com deficiência, para reabilitado da Previdência Social ou para aprendiz, bem como as reservas de cargos previstas na legislação (</w:t>
      </w:r>
      <w:hyperlink r:id="rId63" w:tooltip="http://www.planalto.gov.br/ccivil_03/_ato2019-2022/2021/lei/L14133.htm#art116" w:anchor="art116" w:history="1">
        <w:r>
          <w:rPr>
            <w:rStyle w:val="988"/>
            <w:rFonts w:ascii="Cambria" w:hAnsi="Cambria" w:cs="Cambria"/>
            <w:sz w:val="14"/>
            <w:szCs w:val="14"/>
          </w:rPr>
          <w:t xml:space="preserve">art. 116</w:t>
        </w:r>
      </w:hyperlink>
      <w:r>
        <w:rPr>
          <w:rFonts w:ascii="Cambria" w:hAnsi="Cambria" w:cs="Cambria"/>
          <w:sz w:val="14"/>
          <w:szCs w:val="14"/>
        </w:rPr>
        <w:t xml:space="preserv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Comprovar a reserva de cargos a que se refere a cláusula acima, no prazo fixado pelo fiscal do contrato, com a </w:t>
      </w:r>
      <w:r>
        <w:rPr>
          <w:rFonts w:ascii="Cambria" w:hAnsi="Cambria" w:cs="Cambria"/>
          <w:sz w:val="14"/>
          <w:szCs w:val="14"/>
        </w:rPr>
        <w:t xml:space="preserve">indicação</w:t>
      </w:r>
      <w:r>
        <w:rPr>
          <w:rFonts w:ascii="Cambria" w:hAnsi="Cambria" w:cs="Cambria"/>
          <w:sz w:val="14"/>
          <w:szCs w:val="14"/>
        </w:rPr>
        <w:t xml:space="preserve"> dos empregados que preencheram as referidas vagas (</w:t>
      </w:r>
      <w:hyperlink r:id="rId64" w:tooltip="http://www.planalto.gov.br/ccivil_03/_ato2019-2022/2021/lei/L14133.htm#art116" w:anchor="art116" w:history="1">
        <w:r>
          <w:rPr>
            <w:rStyle w:val="988"/>
            <w:rFonts w:ascii="Cambria" w:hAnsi="Cambria" w:cs="Cambria"/>
            <w:sz w:val="14"/>
            <w:szCs w:val="14"/>
          </w:rPr>
          <w:t xml:space="preserve">art. 116, parágrafo único</w:t>
        </w:r>
      </w:hyperlink>
      <w:r>
        <w:rPr>
          <w:rFonts w:ascii="Cambria" w:hAnsi="Cambria" w:cs="Cambria"/>
          <w:sz w:val="14"/>
          <w:szCs w:val="14"/>
        </w:rPr>
        <w:t xml:space="preserv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Guardar sigilo sobre todas as informações obtidas em decorrência do cumprimento do contrato;</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Arcar com o ônus decorrente de eventual equívoco no dimensionamento dos quantitativos de sua proposta, inclusive quant</w:t>
      </w:r>
      <w:r>
        <w:rPr>
          <w:rFonts w:ascii="Cambria" w:hAnsi="Cambria" w:cs="Cambria"/>
          <w:sz w:val="14"/>
          <w:szCs w:val="14"/>
        </w:rPr>
        <w:t xml:space="preserve">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5" w:tooltip="http://www.planalto.gov.br/ccivil_03/_ato2019-2022/2021/lei/L14133.htm#art124" w:anchor="art124" w:history="1">
        <w:r>
          <w:rPr>
            <w:rStyle w:val="988"/>
            <w:rFonts w:ascii="Cambria" w:hAnsi="Cambria" w:cs="Cambria"/>
            <w:sz w:val="14"/>
            <w:szCs w:val="14"/>
          </w:rPr>
          <w:t xml:space="preserve">art. 124, II, d, da Lei nº 14.133, de 2021</w:t>
        </w:r>
      </w:hyperlink>
      <w:r>
        <w:rPr>
          <w:rFonts w:ascii="Cambria" w:hAnsi="Cambria" w:cs="Cambria"/>
          <w:sz w:val="14"/>
          <w:szCs w:val="14"/>
        </w:rPr>
        <w:t xml:space="preserv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Cumprir, além </w:t>
      </w:r>
      <w:r>
        <w:rPr>
          <w:rFonts w:ascii="Cambria" w:hAnsi="Cambria" w:cs="Cambria"/>
          <w:sz w:val="14"/>
          <w:szCs w:val="14"/>
        </w:rPr>
        <w:t xml:space="preserve">dos</w:t>
      </w:r>
      <w:r>
        <w:rPr>
          <w:rFonts w:ascii="Cambria" w:hAnsi="Cambria" w:cs="Cambria"/>
          <w:sz w:val="14"/>
          <w:szCs w:val="14"/>
        </w:rPr>
        <w:t xml:space="preserve"> postulados legais vigentes de âmbito federal, estadual ou municipal, as normas de segurança do Contratante;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Manter os empregados nos horários predeterminados pelo Contratante.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Apresentar os empregados devidamente identificados por meio de crachá.</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Apresentar ao Contratante, quando for o caso, a relação nominal dos empregados que adentrarão no órgão para a execução do serviço.</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Observar os preceitos da legislação sobre a jornada de trabalho, conforme a categoria profissional.</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Atender às solicitaçõ</w:t>
      </w:r>
      <w:r>
        <w:rPr>
          <w:rFonts w:ascii="Cambria" w:hAnsi="Cambria" w:cs="Cambria"/>
          <w:sz w:val="14"/>
          <w:szCs w:val="14"/>
        </w:rPr>
        <w:t xml:space="preserve">es do Contratante quanto à substituição dos empregados alocados, no prazo fixado pela fiscalização do contrato, nos casos em que ficar constatado descumprimento das obrigações relativas à execução do serviço, conforme descrito nas especificações do objeto.</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Instruir seus empregados quanto à necessidade de acatar as Normas Internas do Contratante.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Instruir</w:t>
      </w:r>
      <w:r>
        <w:rPr>
          <w:rFonts w:ascii="Cambria" w:hAnsi="Cambria" w:cs="Cambria"/>
          <w:sz w:val="14"/>
          <w:szCs w:val="14"/>
        </w:rPr>
        <w:t xml:space="preserve"> seus empregados a respeito das atividades a serem desempenhadas, alertando-os a não executarem atividades não abrangidas pelo contrato, devendo o Contratado relatar ao Contratante toda e qualquer ocorrência neste sentido, a fim de evitar desvio de função.</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Instruir os seus empregados, quanto à prevenção de incêndios nas áreas do Contratante.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Adotar as providências e precauções necessárias, inclusive consulta nos respectivos órgãos, se necessário for, a fim de que não venham a ser danificadas as redes </w:t>
      </w:r>
      <w:r>
        <w:rPr>
          <w:rFonts w:ascii="Cambria" w:hAnsi="Cambria" w:cs="Cambria"/>
          <w:sz w:val="14"/>
          <w:szCs w:val="14"/>
        </w:rPr>
        <w:t xml:space="preserve">hidrossanitárias</w:t>
      </w:r>
      <w:r>
        <w:rPr>
          <w:rFonts w:ascii="Cambria" w:hAnsi="Cambria" w:cs="Cambria"/>
          <w:sz w:val="14"/>
          <w:szCs w:val="14"/>
        </w:rPr>
        <w:t xml:space="preserve">, elétricas e de comunicação.</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Estar registrada ou inscrita no Conselho Profissional competente, conforme as áreas de atuação previstas no Termo de Referência, em plena validade.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Obter junto aos órgãos competentes, conforme o caso, as licenças necessárias e demais documentos e autorizações exigíveis, na forma da legislação aplicável.</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Elaborar o Diário de Obra, incluindo diariame</w:t>
      </w:r>
      <w:r>
        <w:rPr>
          <w:rFonts w:ascii="Cambria" w:hAnsi="Cambria" w:cs="Cambria"/>
          <w:sz w:val="14"/>
          <w:szCs w:val="14"/>
        </w:rPr>
        <w:t xml:space="preserve">nte, pelo Engenheiro preposto responsável, as informações sobre o andamento do empreendimento, tais como, número de funcionários, de equipamentos, condições de trabalho, condições meteorológicas, serviços executados, registro de ocorrências e outros fatos </w:t>
      </w:r>
      <w:r>
        <w:rPr>
          <w:rFonts w:ascii="Cambria" w:hAnsi="Cambria" w:cs="Cambria"/>
          <w:sz w:val="14"/>
          <w:szCs w:val="14"/>
        </w:rPr>
        <w:t xml:space="preserve">relacionados, bem como os comunicados à Fiscalização e situação das atividades em relação ao cronograma previsto.</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Refazer, às suas expensas, os tra</w:t>
      </w:r>
      <w:r>
        <w:rPr>
          <w:rFonts w:ascii="Cambria" w:hAnsi="Cambria" w:cs="Cambria"/>
          <w:sz w:val="14"/>
          <w:szCs w:val="14"/>
        </w:rPr>
        <w:t xml:space="preserve">balhos executados em desacordo com o estabelecido nas especificações, bem como substituir aqueles realizados com materiais defeituosos ou com vício de construção, pelo prazo de 05 (cinco) anos, contado da data de emissão do Termo de Recebimento Definitivo.</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Utilizar </w:t>
      </w:r>
      <w:r>
        <w:rPr>
          <w:rFonts w:ascii="Cambria" w:hAnsi="Cambria" w:cs="Cambria"/>
          <w:sz w:val="14"/>
          <w:szCs w:val="14"/>
        </w:rPr>
        <w:t xml:space="preserve">somente</w:t>
      </w:r>
      <w:r>
        <w:rPr>
          <w:rFonts w:ascii="Cambria" w:hAnsi="Cambria" w:cs="Cambria"/>
          <w:sz w:val="14"/>
          <w:szCs w:val="14"/>
        </w:rPr>
        <w:t xml:space="preserve"> matéria-prima florestal procedente, nos termos do </w:t>
      </w:r>
      <w:hyperlink r:id="rId66" w:tooltip="http://www.planalto.gov.br/ccivil_03/_ato2004-2006/2006/decreto/d5975.htm#art11" w:anchor="art11" w:history="1">
        <w:r>
          <w:rPr>
            <w:rStyle w:val="988"/>
            <w:rFonts w:ascii="Cambria" w:hAnsi="Cambria" w:cs="Cambria"/>
            <w:sz w:val="14"/>
            <w:szCs w:val="14"/>
          </w:rPr>
          <w:t xml:space="preserve">artigo 11 do Decreto n° 5.975, de 2006</w:t>
        </w:r>
      </w:hyperlink>
      <w:r>
        <w:rPr>
          <w:rFonts w:ascii="Cambria" w:hAnsi="Cambria" w:cs="Cambria"/>
          <w:sz w:val="14"/>
          <w:szCs w:val="14"/>
        </w:rPr>
        <w:t xml:space="preserve">, de: </w:t>
      </w:r>
      <w:r>
        <w:rPr>
          <w:rFonts w:ascii="Cambria" w:hAnsi="Cambria" w:cs="Cambria"/>
          <w:sz w:val="14"/>
          <w:szCs w:val="14"/>
        </w:rPr>
      </w:r>
      <w:r/>
    </w:p>
    <w:p>
      <w:pPr>
        <w:pStyle w:val="1030"/>
        <w:numPr>
          <w:ilvl w:val="0"/>
          <w:numId w:val="21"/>
        </w:numPr>
        <w:ind w:left="0" w:right="0" w:firstLine="0"/>
        <w:rPr>
          <w:rFonts w:ascii="Cambria" w:hAnsi="Cambria" w:cs="Cambria"/>
          <w:sz w:val="14"/>
          <w:szCs w:val="14"/>
        </w:rPr>
      </w:pPr>
      <w:r>
        <w:rPr>
          <w:rFonts w:ascii="Cambria" w:hAnsi="Cambria" w:cs="Cambria"/>
          <w:sz w:val="14"/>
          <w:szCs w:val="14"/>
        </w:rPr>
        <w:t xml:space="preserve">manejo florestal, realizado por meio de Plano de Manejo Florestal Sustentável - PMFS devidamente aprovado pelo órgão competente do Sistema Nacional do Meio Ambiente - SISNAMA;</w:t>
      </w:r>
      <w:r>
        <w:rPr>
          <w:rFonts w:ascii="Cambria" w:hAnsi="Cambria" w:cs="Cambria"/>
          <w:sz w:val="14"/>
          <w:szCs w:val="14"/>
        </w:rPr>
      </w:r>
      <w:r/>
    </w:p>
    <w:p>
      <w:pPr>
        <w:pStyle w:val="1030"/>
        <w:numPr>
          <w:ilvl w:val="0"/>
          <w:numId w:val="21"/>
        </w:numPr>
        <w:ind w:left="0" w:right="0" w:firstLine="0"/>
        <w:rPr>
          <w:rFonts w:ascii="Cambria" w:hAnsi="Cambria" w:cs="Cambria"/>
          <w:sz w:val="14"/>
          <w:szCs w:val="14"/>
        </w:rPr>
      </w:pPr>
      <w:r>
        <w:rPr>
          <w:rFonts w:ascii="Cambria" w:hAnsi="Cambria" w:cs="Cambria"/>
          <w:sz w:val="14"/>
          <w:szCs w:val="14"/>
        </w:rPr>
        <w:t xml:space="preserve">supressão da vegetação natural, devidamente autorizada pelo órgão competente do Sistema Nacional do Meio Ambiente - SISNAMA; </w:t>
      </w:r>
      <w:r>
        <w:rPr>
          <w:rFonts w:ascii="Cambria" w:hAnsi="Cambria" w:cs="Cambria"/>
          <w:sz w:val="14"/>
          <w:szCs w:val="14"/>
        </w:rPr>
      </w:r>
      <w:r/>
    </w:p>
    <w:p>
      <w:pPr>
        <w:pStyle w:val="1030"/>
        <w:numPr>
          <w:ilvl w:val="0"/>
          <w:numId w:val="21"/>
        </w:numPr>
        <w:ind w:left="0" w:right="0" w:firstLine="0"/>
        <w:rPr>
          <w:rFonts w:ascii="Cambria" w:hAnsi="Cambria" w:cs="Cambria"/>
          <w:sz w:val="14"/>
          <w:szCs w:val="14"/>
        </w:rPr>
      </w:pPr>
      <w:r>
        <w:rPr>
          <w:rFonts w:ascii="Cambria" w:hAnsi="Cambria" w:cs="Cambria"/>
          <w:sz w:val="14"/>
          <w:szCs w:val="14"/>
        </w:rPr>
        <w:t xml:space="preserve">florestas plantadas; e </w:t>
      </w:r>
      <w:r>
        <w:rPr>
          <w:rFonts w:ascii="Cambria" w:hAnsi="Cambria" w:cs="Cambria"/>
          <w:sz w:val="14"/>
          <w:szCs w:val="14"/>
        </w:rPr>
      </w:r>
      <w:r/>
    </w:p>
    <w:p>
      <w:pPr>
        <w:pStyle w:val="1030"/>
        <w:numPr>
          <w:ilvl w:val="0"/>
          <w:numId w:val="21"/>
        </w:numPr>
        <w:ind w:left="0" w:right="0" w:firstLine="0"/>
        <w:rPr>
          <w:rFonts w:ascii="Cambria" w:hAnsi="Cambria" w:cs="Cambria"/>
          <w:sz w:val="14"/>
          <w:szCs w:val="14"/>
        </w:rPr>
      </w:pPr>
      <w:r>
        <w:rPr>
          <w:rFonts w:ascii="Cambria" w:hAnsi="Cambria" w:cs="Cambria"/>
          <w:sz w:val="14"/>
          <w:szCs w:val="14"/>
        </w:rPr>
        <w:t xml:space="preserve">outras fontes de biomassa florestal, definidas em normas específicas do órgão ambiental competente.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Comprovar</w:t>
      </w:r>
      <w:r>
        <w:rPr>
          <w:rFonts w:ascii="Cambria" w:hAnsi="Cambria" w:cs="Cambria"/>
          <w:sz w:val="14"/>
          <w:szCs w:val="14"/>
        </w:rPr>
        <w:t xml:space="preserve"> a procedência legal dos produtos ou subprodutos florestais utilizados em cada etapa da execução contratual, nos termos do </w:t>
      </w:r>
      <w:hyperlink r:id="rId67" w:tooltip="https://www.gov.br/compras/pt-br/acesso-a-informacao/legislacao/instrucoes-normativas/instrucao-normativa-no-01-de-19-de-janeiro-de-2010" w:history="1">
        <w:r>
          <w:rPr>
            <w:rStyle w:val="988"/>
            <w:rFonts w:ascii="Cambria" w:hAnsi="Cambria" w:cs="Cambria"/>
            <w:sz w:val="14"/>
            <w:szCs w:val="14"/>
          </w:rPr>
          <w:t xml:space="preserve">artigo 4°, inciso IX, da Instrução Normativa SLTI/MP n° 1, de 19/01/2010</w:t>
        </w:r>
      </w:hyperlink>
      <w:r>
        <w:rPr>
          <w:rFonts w:ascii="Cambria" w:hAnsi="Cambria" w:cs="Cambria"/>
          <w:sz w:val="14"/>
          <w:szCs w:val="14"/>
        </w:rPr>
        <w:t xml:space="preserve">, por ocasião da respectiva medição, mediante a apresentação dos seguintes documentos, conforme o caso: </w:t>
      </w:r>
      <w:r>
        <w:rPr>
          <w:rFonts w:ascii="Cambria" w:hAnsi="Cambria" w:cs="Cambria"/>
          <w:sz w:val="14"/>
          <w:szCs w:val="14"/>
        </w:rPr>
      </w:r>
      <w:r/>
    </w:p>
    <w:p>
      <w:pPr>
        <w:pStyle w:val="980"/>
        <w:numPr>
          <w:ilvl w:val="0"/>
          <w:numId w:val="22"/>
        </w:numPr>
        <w:contextualSpacing w:val="0"/>
        <w:ind w:left="0" w:right="0" w:firstLine="0"/>
        <w:jc w:val="both"/>
        <w:spacing w:before="120" w:after="120" w:line="276" w:lineRule="auto"/>
        <w:rPr>
          <w:rFonts w:ascii="Cambria" w:hAnsi="Cambria" w:cs="Cambria"/>
          <w:sz w:val="14"/>
          <w:szCs w:val="14"/>
        </w:rPr>
      </w:pPr>
      <w:r>
        <w:rPr>
          <w:rFonts w:ascii="Cambria" w:hAnsi="Cambria" w:eastAsia="Calibri" w:cs="Cambria"/>
          <w:sz w:val="14"/>
          <w:szCs w:val="14"/>
          <w:lang w:eastAsia="en-US"/>
        </w:rPr>
        <w:t xml:space="preserve">Cópias autenticadas das notas fiscais de aquisição dos produtos ou subprodutos florestais; </w:t>
      </w:r>
      <w:r>
        <w:rPr>
          <w:rFonts w:ascii="Cambria" w:hAnsi="Cambria" w:cs="Cambria"/>
          <w:sz w:val="14"/>
          <w:szCs w:val="14"/>
        </w:rPr>
      </w:r>
      <w:r/>
    </w:p>
    <w:p>
      <w:pPr>
        <w:pStyle w:val="980"/>
        <w:numPr>
          <w:ilvl w:val="0"/>
          <w:numId w:val="22"/>
        </w:numPr>
        <w:contextualSpacing w:val="0"/>
        <w:ind w:left="0" w:right="0" w:firstLine="0"/>
        <w:jc w:val="both"/>
        <w:spacing w:before="120" w:after="120" w:line="276" w:lineRule="auto"/>
        <w:rPr>
          <w:rFonts w:ascii="Cambria" w:hAnsi="Cambria" w:cs="Cambria"/>
          <w:sz w:val="14"/>
          <w:szCs w:val="14"/>
        </w:rPr>
      </w:pPr>
      <w:r>
        <w:rPr>
          <w:rFonts w:ascii="Cambria" w:hAnsi="Cambria" w:eastAsia="Calibri" w:cs="Cambria"/>
          <w:sz w:val="14"/>
          <w:szCs w:val="14"/>
          <w:lang w:eastAsia="en-US"/>
        </w:rPr>
        <w:t xml:space="preserve">Cópia dos Comprovantes de Registro do fornecedor e do transportador dos produtos ou subprodutos florestai</w:t>
      </w:r>
      <w:r>
        <w:rPr>
          <w:rFonts w:ascii="Cambria" w:hAnsi="Cambria" w:eastAsia="Calibri" w:cs="Cambria"/>
          <w:sz w:val="14"/>
          <w:szCs w:val="14"/>
          <w:lang w:eastAsia="en-US"/>
        </w:rPr>
        <w:t xml:space="preserve">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8" w:tooltip="https://www.planalto.gov.br/ccivil_03/leis/l6938.htm#art17" w:anchor="art17" w:history="1">
        <w:r>
          <w:rPr>
            <w:rStyle w:val="988"/>
            <w:rFonts w:ascii="Cambria" w:hAnsi="Cambria" w:eastAsia="Calibri" w:cs="Cambria"/>
            <w:sz w:val="14"/>
            <w:szCs w:val="14"/>
            <w:lang w:eastAsia="en-US"/>
          </w:rPr>
          <w:t xml:space="preserve">artigo 17, inciso II, da Lei n° 6.938, de 1981</w:t>
        </w:r>
      </w:hyperlink>
      <w:r>
        <w:rPr>
          <w:rFonts w:ascii="Cambria" w:hAnsi="Cambria" w:eastAsia="Calibri" w:cs="Cambria"/>
          <w:sz w:val="14"/>
          <w:szCs w:val="14"/>
          <w:lang w:eastAsia="en-US"/>
        </w:rPr>
        <w:t xml:space="preserve">, e legislação correlata;</w:t>
      </w:r>
      <w:r>
        <w:rPr>
          <w:rFonts w:ascii="Cambria" w:hAnsi="Cambria" w:cs="Cambria"/>
          <w:sz w:val="14"/>
          <w:szCs w:val="14"/>
        </w:rPr>
      </w:r>
      <w:r/>
    </w:p>
    <w:p>
      <w:pPr>
        <w:pStyle w:val="980"/>
        <w:numPr>
          <w:ilvl w:val="0"/>
          <w:numId w:val="22"/>
        </w:numPr>
        <w:contextualSpacing w:val="0"/>
        <w:ind w:left="0" w:right="0" w:firstLine="0"/>
        <w:jc w:val="both"/>
        <w:spacing w:before="120" w:after="120" w:line="276" w:lineRule="auto"/>
        <w:rPr>
          <w:rFonts w:ascii="Cambria" w:hAnsi="Cambria" w:cs="Cambria"/>
          <w:sz w:val="14"/>
          <w:szCs w:val="14"/>
        </w:rPr>
      </w:pPr>
      <w:r>
        <w:rPr>
          <w:rFonts w:ascii="Cambria" w:hAnsi="Cambria" w:eastAsia="Calibri" w:cs="Cambria"/>
          <w:sz w:val="14"/>
          <w:szCs w:val="14"/>
          <w:lang w:eastAsia="en-US"/>
        </w:rPr>
        <w:t xml:space="preserve">Documento de Origem Florestal – DOF, instituído p</w:t>
      </w:r>
      <w:r>
        <w:rPr>
          <w:rFonts w:ascii="Cambria" w:hAnsi="Cambria" w:eastAsia="Calibri" w:cs="Cambria"/>
          <w:sz w:val="14"/>
          <w:szCs w:val="14"/>
          <w:lang w:eastAsia="en-US"/>
        </w:rPr>
        <w:t xml:space="preserve">ela </w:t>
      </w:r>
      <w:hyperlink r:id="rId69" w:tooltip="http://www.ibama.gov.br/component/legislacao/?view=legislacao&amp;legislacao=112647" w:history="1">
        <w:r>
          <w:rPr>
            <w:rFonts w:ascii="Cambria" w:hAnsi="Cambria" w:cs="Cambria"/>
            <w:sz w:val="14"/>
            <w:szCs w:val="14"/>
            <w:lang w:eastAsia="en-US"/>
          </w:rPr>
          <w:t xml:space="preserve">Portaria n° 253, de 18/08/2006</w:t>
        </w:r>
      </w:hyperlink>
      <w:r>
        <w:rPr>
          <w:rFonts w:ascii="Cambria" w:hAnsi="Cambria" w:eastAsia="Calibri" w:cs="Cambria"/>
          <w:sz w:val="14"/>
          <w:szCs w:val="14"/>
          <w:lang w:eastAsia="en-US"/>
        </w:rPr>
        <w:t xml:space="preserve">, do Ministério do Meio Ambiente, e </w:t>
      </w:r>
      <w:hyperlink r:id="rId70" w:tooltip="http://www.ibama.gov.br/phocadownload/sinaflor/2018/2018-06-13-Ibama-IN-IBAMA-21-24-12-2014-SINAFLOR-DOF-compilada.pdf" w:history="1">
        <w:r>
          <w:rPr>
            <w:rFonts w:ascii="Cambria" w:hAnsi="Cambria" w:cs="Cambria"/>
            <w:sz w:val="14"/>
            <w:szCs w:val="14"/>
            <w:lang w:eastAsia="en-US"/>
          </w:rPr>
          <w:t xml:space="preserve">Instrução Normativa IBAMA n° 21, de 24/12/2014</w:t>
        </w:r>
      </w:hyperlink>
      <w:r>
        <w:rPr>
          <w:rFonts w:ascii="Cambria" w:hAnsi="Cambria" w:eastAsia="Calibri" w:cs="Cambria"/>
          <w:sz w:val="14"/>
          <w:szCs w:val="14"/>
          <w:lang w:eastAsia="en-US"/>
        </w:rPr>
        <w:t xml:space="preserve">, quando se tratar de produtos ou subprodutos florestais de origem nativa cujo transporte e armazenamento exijam a emissão de tal licença obrigatória; e</w:t>
      </w:r>
      <w:r>
        <w:rPr>
          <w:rFonts w:ascii="Cambria" w:hAnsi="Cambria" w:cs="Cambria"/>
          <w:sz w:val="14"/>
          <w:szCs w:val="14"/>
        </w:rPr>
      </w:r>
      <w:r/>
    </w:p>
    <w:p>
      <w:pPr>
        <w:pStyle w:val="1032"/>
        <w:ind w:left="0" w:right="0" w:firstLine="0"/>
        <w:rPr>
          <w:rFonts w:ascii="Cambria" w:hAnsi="Cambria" w:cs="Cambria"/>
          <w:sz w:val="14"/>
          <w:szCs w:val="14"/>
        </w:rPr>
      </w:pPr>
      <w:r>
        <w:rPr>
          <w:rFonts w:ascii="Cambria" w:hAnsi="Cambria" w:cs="Cambria"/>
          <w:sz w:val="14"/>
          <w:szCs w:val="14"/>
          <w:lang w:eastAsia="en-US"/>
        </w:rPr>
        <w:t xml:space="preserve">Caso os produtos ou subprodutos florestais util</w:t>
      </w:r>
      <w:r>
        <w:rPr>
          <w:rFonts w:ascii="Cambria" w:hAnsi="Cambria" w:cs="Cambria"/>
          <w:sz w:val="14"/>
          <w:szCs w:val="14"/>
          <w:lang w:eastAsia="en-US"/>
        </w:rPr>
        <w:t xml:space="preserve">izados na execução contratual tenham origem em Estado que possua documento de controle próprio, o Contratado deverá apresentá-lo, em complementação ao DOF, a fim de demonstrar a regularidade do transporte e armazenamento nos limites do território estadual.</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lang w:eastAsia="en-US"/>
        </w:rPr>
        <w:t xml:space="preserve">Observar as </w:t>
      </w:r>
      <w:r>
        <w:rPr>
          <w:rFonts w:ascii="Cambria" w:hAnsi="Cambria" w:cs="Cambria"/>
          <w:sz w:val="14"/>
          <w:szCs w:val="14"/>
        </w:rPr>
        <w:t xml:space="preserve">diretrizes</w:t>
      </w:r>
      <w:r>
        <w:rPr>
          <w:rFonts w:ascii="Cambria" w:hAnsi="Cambria" w:cs="Cambria"/>
          <w:sz w:val="14"/>
          <w:szCs w:val="14"/>
          <w:lang w:eastAsia="en-US"/>
        </w:rPr>
        <w:t xml:space="preserve">, critérios e procedimentos para a gestão dos resíduos da construção civil </w:t>
      </w:r>
      <w:r>
        <w:rPr>
          <w:rFonts w:ascii="Cambria" w:hAnsi="Cambria" w:cs="Cambria"/>
          <w:sz w:val="14"/>
          <w:szCs w:val="14"/>
        </w:rPr>
        <w:t xml:space="preserve">estabelecidos</w:t>
      </w:r>
      <w:r>
        <w:rPr>
          <w:rFonts w:ascii="Cambria" w:hAnsi="Cambria" w:cs="Cambria"/>
          <w:sz w:val="14"/>
          <w:szCs w:val="14"/>
          <w:lang w:eastAsia="en-US"/>
        </w:rPr>
        <w:t xml:space="preserve"> na Resolução nº 307, de 05/07/2002, com as alterações posteriores, do Conselho Nacional de Meio Ambiente - CONAMA, conforme </w:t>
      </w:r>
      <w:hyperlink r:id="rId71" w:tooltip="https://www.gov.br/compras/pt-br/acesso-a-informacao/legislacao/instrucoes-normativas/instrucao-normativa-no-01-de-19-de-janeiro-de-2010#art4§2" w:anchor="art4§2" w:history="1">
        <w:r>
          <w:rPr>
            <w:rStyle w:val="988"/>
            <w:rFonts w:ascii="Cambria" w:hAnsi="Cambria" w:eastAsia="Calibri" w:cs="Cambria"/>
            <w:sz w:val="14"/>
            <w:szCs w:val="14"/>
            <w:lang w:eastAsia="en-US"/>
          </w:rPr>
          <w:t xml:space="preserve">artigo 4°, §§ 2° e 3°, da Instrução Normativa SLTI/MP n° 1, de 19/01/2010</w:t>
        </w:r>
      </w:hyperlink>
      <w:r>
        <w:rPr>
          <w:rFonts w:ascii="Cambria" w:hAnsi="Cambria" w:cs="Cambria"/>
          <w:sz w:val="14"/>
          <w:szCs w:val="14"/>
          <w:lang w:eastAsia="en-US"/>
        </w:rPr>
        <w:t xml:space="preserve">, nos seguintes termos:</w:t>
      </w:r>
      <w:r>
        <w:rPr>
          <w:rFonts w:ascii="Cambria" w:hAnsi="Cambria" w:cs="Cambria"/>
          <w:sz w:val="14"/>
          <w:szCs w:val="14"/>
        </w:rPr>
      </w:r>
      <w:r/>
    </w:p>
    <w:p>
      <w:pPr>
        <w:pStyle w:val="1032"/>
        <w:ind w:left="0" w:right="0" w:firstLine="0"/>
        <w:rPr>
          <w:rFonts w:ascii="Cambria" w:hAnsi="Cambria" w:cs="Cambria"/>
          <w:sz w:val="14"/>
          <w:szCs w:val="14"/>
        </w:rPr>
      </w:pPr>
      <w:r>
        <w:rPr>
          <w:rFonts w:ascii="Cambria" w:hAnsi="Cambria" w:cs="Cambria"/>
          <w:sz w:val="14"/>
          <w:szCs w:val="14"/>
          <w:lang w:eastAsia="en-US"/>
        </w:rPr>
        <w:t xml:space="preserve">O gerenciamento dos resíduos originário</w:t>
      </w:r>
      <w:r>
        <w:rPr>
          <w:rFonts w:ascii="Cambria" w:hAnsi="Cambria" w:cs="Cambria"/>
          <w:sz w:val="14"/>
          <w:szCs w:val="14"/>
          <w:lang w:eastAsia="en-US"/>
        </w:rPr>
        <w:t xml:space="preserve">s da contratação deverá obedecer às diretrizes técnicas e procedimentos do Programa Municipal de Gerenciamento de Resíduos da Construção Civil, ou do Projeto de Gerenciamento de Resíduos da Construção Civil apresentado ao órgão competente, conforme o caso.</w:t>
      </w:r>
      <w:r>
        <w:rPr>
          <w:rFonts w:ascii="Cambria" w:hAnsi="Cambria" w:cs="Cambria"/>
          <w:sz w:val="14"/>
          <w:szCs w:val="14"/>
        </w:rPr>
      </w:r>
      <w:r/>
    </w:p>
    <w:p>
      <w:pPr>
        <w:pStyle w:val="1032"/>
        <w:ind w:left="0" w:right="0" w:firstLine="0"/>
        <w:rPr>
          <w:rFonts w:ascii="Cambria" w:hAnsi="Cambria" w:cs="Cambria"/>
          <w:sz w:val="14"/>
          <w:szCs w:val="14"/>
        </w:rPr>
      </w:pPr>
      <w:r>
        <w:rPr>
          <w:rFonts w:ascii="Cambria" w:hAnsi="Cambria" w:cs="Cambria"/>
          <w:sz w:val="14"/>
          <w:szCs w:val="14"/>
          <w:lang w:eastAsia="en-US"/>
        </w:rPr>
        <w:t xml:space="preserve">Nos termos dos </w:t>
      </w:r>
      <w:hyperlink r:id="rId72" w:tooltip="https://cetesb.sp.gov.br/licenciamento/documentos/2002_Res_CONAMA_307.pdf" w:history="1">
        <w:r>
          <w:rPr>
            <w:rStyle w:val="988"/>
            <w:rFonts w:ascii="Cambria" w:hAnsi="Cambria" w:eastAsia="Calibri" w:cs="Cambria"/>
            <w:sz w:val="14"/>
            <w:szCs w:val="14"/>
            <w:lang w:eastAsia="en-US"/>
          </w:rPr>
          <w:t xml:space="preserve">artigos 3° e 10° da Resolução CONAMA n° 307, de 05/07/2002</w:t>
        </w:r>
      </w:hyperlink>
      <w:r>
        <w:rPr>
          <w:rFonts w:ascii="Cambria" w:hAnsi="Cambria" w:cs="Cambria"/>
          <w:sz w:val="14"/>
          <w:szCs w:val="14"/>
          <w:lang w:eastAsia="en-US"/>
        </w:rPr>
        <w:t xml:space="preserve">, o Contratado deverá providenciar a destinação ambientalmente adequada dos resíduos da construção civil originários da contratação, obedecendo, no que couber, aos seguintes procedimentos:</w:t>
      </w:r>
      <w:r>
        <w:rPr>
          <w:rFonts w:ascii="Cambria" w:hAnsi="Cambria" w:cs="Cambria"/>
          <w:sz w:val="14"/>
          <w:szCs w:val="14"/>
        </w:rPr>
      </w:r>
      <w:r/>
    </w:p>
    <w:p>
      <w:pPr>
        <w:pStyle w:val="1033"/>
        <w:ind w:left="0" w:right="0" w:firstLine="0"/>
        <w:rPr>
          <w:rFonts w:ascii="Cambria" w:hAnsi="Cambria" w:cs="Cambria"/>
          <w:sz w:val="14"/>
          <w:szCs w:val="14"/>
        </w:rPr>
      </w:pPr>
      <w:r>
        <w:rPr>
          <w:rFonts w:ascii="Cambria" w:hAnsi="Cambria" w:cs="Cambria"/>
          <w:sz w:val="14"/>
          <w:szCs w:val="14"/>
          <w:lang w:eastAsia="en-US"/>
        </w:rPr>
        <w:t xml:space="preserve">resíduos Classe A (reutilizáveis ou recicláveis como agregados): deverão ser reutilizados ou reciclados na forma de agregados, ou encaminhados a aterros de resíduos classe A de </w:t>
      </w:r>
      <w:r>
        <w:rPr>
          <w:rFonts w:ascii="Cambria" w:hAnsi="Cambria" w:cs="Cambria"/>
          <w:sz w:val="14"/>
          <w:szCs w:val="14"/>
          <w:lang w:eastAsia="en-US"/>
        </w:rPr>
        <w:t xml:space="preserve">preservação</w:t>
      </w:r>
      <w:r>
        <w:rPr>
          <w:rFonts w:ascii="Cambria" w:hAnsi="Cambria" w:cs="Cambria"/>
          <w:sz w:val="14"/>
          <w:szCs w:val="14"/>
          <w:lang w:eastAsia="en-US"/>
        </w:rPr>
        <w:t xml:space="preserve"> de material para usos futuros. </w:t>
      </w:r>
      <w:r>
        <w:rPr>
          <w:rFonts w:ascii="Cambria" w:hAnsi="Cambria" w:cs="Cambria"/>
          <w:sz w:val="14"/>
          <w:szCs w:val="14"/>
        </w:rPr>
      </w:r>
      <w:r/>
    </w:p>
    <w:p>
      <w:pPr>
        <w:pStyle w:val="1033"/>
        <w:ind w:left="0" w:right="0" w:firstLine="0"/>
        <w:rPr>
          <w:rFonts w:ascii="Cambria" w:hAnsi="Cambria" w:cs="Cambria"/>
          <w:sz w:val="14"/>
          <w:szCs w:val="14"/>
        </w:rPr>
      </w:pPr>
      <w:r>
        <w:rPr>
          <w:rFonts w:ascii="Cambria" w:hAnsi="Cambria" w:cs="Cambria"/>
          <w:sz w:val="14"/>
          <w:szCs w:val="14"/>
          <w:lang w:eastAsia="en-US"/>
        </w:rPr>
        <w:t xml:space="preserve">resíduos Classe B (recicláveis para outras destinações): deverão ser reutilizados, reciclados ou encaminhados a áreas de armazenamento temporário, sendo dispostos de modo a permitir a sua utilização ou reciclagem futura.</w:t>
      </w:r>
      <w:r>
        <w:rPr>
          <w:rFonts w:ascii="Cambria" w:hAnsi="Cambria" w:cs="Cambria"/>
          <w:sz w:val="14"/>
          <w:szCs w:val="14"/>
        </w:rPr>
      </w:r>
      <w:r/>
    </w:p>
    <w:p>
      <w:pPr>
        <w:pStyle w:val="1033"/>
        <w:ind w:left="0" w:right="0" w:firstLine="0"/>
        <w:rPr>
          <w:rFonts w:ascii="Cambria" w:hAnsi="Cambria" w:cs="Cambria"/>
          <w:sz w:val="14"/>
          <w:szCs w:val="14"/>
        </w:rPr>
      </w:pPr>
      <w:r>
        <w:rPr>
          <w:rFonts w:ascii="Cambria" w:hAnsi="Cambria" w:cs="Cambria"/>
          <w:sz w:val="14"/>
          <w:szCs w:val="14"/>
          <w:lang w:eastAsia="en-US"/>
        </w:rPr>
        <w:t xml:space="preserve">resíduos Classe C (para os quais não foram desenvolvidas tecnologias ou aplicações economicamente viáveis que permitam a sua reciclagem/recuperação): deverão ser armazenados, transportados e destinados em conformidade com as normas técnicas específicas.</w:t>
      </w:r>
      <w:r>
        <w:rPr>
          <w:rFonts w:ascii="Cambria" w:hAnsi="Cambria" w:cs="Cambria"/>
          <w:sz w:val="14"/>
          <w:szCs w:val="14"/>
        </w:rPr>
      </w:r>
      <w:r/>
    </w:p>
    <w:p>
      <w:pPr>
        <w:pStyle w:val="1033"/>
        <w:ind w:left="0" w:right="0" w:firstLine="0"/>
        <w:rPr>
          <w:rFonts w:ascii="Cambria" w:hAnsi="Cambria" w:cs="Cambria"/>
          <w:sz w:val="14"/>
          <w:szCs w:val="14"/>
        </w:rPr>
      </w:pPr>
      <w:r>
        <w:rPr>
          <w:rFonts w:ascii="Cambria" w:hAnsi="Cambria" w:cs="Cambria"/>
          <w:sz w:val="14"/>
          <w:szCs w:val="14"/>
          <w:lang w:eastAsia="en-US"/>
        </w:rPr>
        <w:t xml:space="preserve">resíduos Classe D (perigosos, contaminados ou prejudiciais à saúde): deverão ser armazenados, transportados, reutilizados e destinados em conformidade com as normas técnicas específicas.</w:t>
      </w:r>
      <w:r>
        <w:rPr>
          <w:rFonts w:ascii="Cambria" w:hAnsi="Cambria" w:cs="Cambria"/>
          <w:sz w:val="14"/>
          <w:szCs w:val="14"/>
        </w:rPr>
      </w:r>
      <w:r/>
    </w:p>
    <w:p>
      <w:pPr>
        <w:pStyle w:val="1032"/>
        <w:ind w:left="0" w:right="0" w:firstLine="0"/>
        <w:rPr>
          <w:rFonts w:ascii="Cambria" w:hAnsi="Cambria" w:cs="Cambria"/>
          <w:sz w:val="14"/>
          <w:szCs w:val="14"/>
        </w:rPr>
      </w:pPr>
      <w:r>
        <w:rPr>
          <w:rFonts w:ascii="Cambria" w:hAnsi="Cambria" w:cs="Cambria"/>
          <w:sz w:val="14"/>
          <w:szCs w:val="14"/>
          <w:lang w:eastAsia="en-US"/>
        </w:rPr>
        <w:t xml:space="preserve">Em nenhuma hipótese o Contratado poderá dispor os resíduos originários da contratação em aterros de resíduos sólidos urbanos, áreas de “bota fora”, encostas, corpos d´água, lotes vagos e áreas protegidas por Lei, bem como em áreas não licenciadas.</w:t>
      </w:r>
      <w:r>
        <w:rPr>
          <w:rFonts w:ascii="Cambria" w:hAnsi="Cambria" w:cs="Cambria"/>
          <w:sz w:val="14"/>
          <w:szCs w:val="14"/>
        </w:rPr>
      </w:r>
      <w:r/>
    </w:p>
    <w:p>
      <w:pPr>
        <w:pStyle w:val="1032"/>
        <w:ind w:left="0" w:right="0" w:firstLine="0"/>
        <w:rPr>
          <w:rFonts w:ascii="Cambria" w:hAnsi="Cambria" w:cs="Cambria"/>
          <w:sz w:val="14"/>
          <w:szCs w:val="14"/>
        </w:rPr>
      </w:pPr>
      <w:r>
        <w:rPr>
          <w:rFonts w:ascii="Cambria" w:hAnsi="Cambria" w:cs="Cambria"/>
          <w:sz w:val="14"/>
          <w:szCs w:val="14"/>
          <w:lang w:eastAsia="en-US"/>
        </w:rPr>
        <w:t xml:space="preserve">Para fins de fiscal</w:t>
      </w:r>
      <w:r>
        <w:rPr>
          <w:rFonts w:ascii="Cambria" w:hAnsi="Cambria" w:cs="Cambria"/>
          <w:sz w:val="14"/>
          <w:szCs w:val="14"/>
          <w:lang w:eastAsia="en-US"/>
        </w:rPr>
        <w:t xml:space="preserve">ização do fiel cumprimento do Programa Municipal de Gerenciamento de Resíduos da Construção Civil, ou do Projeto de Gerenciamento de Resíduos da Construção Civil, conforme o caso, o Contratado comprovará, sob pena de multa, que todos os resíduos removidos </w:t>
      </w:r>
      <w:r>
        <w:rPr>
          <w:rFonts w:ascii="Cambria" w:hAnsi="Cambria" w:cs="Cambria"/>
          <w:sz w:val="14"/>
          <w:szCs w:val="14"/>
          <w:lang w:eastAsia="en-US"/>
        </w:rPr>
        <w:t xml:space="preserve">estão acompanhados de Controle de Transporte de Resíduos, em conformidade com as normas da Agência Brasileira de Normas Técnicas - ABNT, ABNT NBR </w:t>
      </w:r>
      <w:r>
        <w:rPr>
          <w:rFonts w:ascii="Cambria" w:hAnsi="Cambria" w:cs="Cambria"/>
          <w:sz w:val="14"/>
          <w:szCs w:val="14"/>
          <w:lang w:eastAsia="en-US"/>
        </w:rPr>
        <w:t xml:space="preserve">ns</w:t>
      </w:r>
      <w:r>
        <w:rPr>
          <w:rFonts w:ascii="Cambria" w:hAnsi="Cambria" w:cs="Cambria"/>
          <w:sz w:val="14"/>
          <w:szCs w:val="14"/>
          <w:lang w:eastAsia="en-US"/>
        </w:rPr>
        <w:t xml:space="preserve">. 15.112, 15.113, 15.114, 15.115 e 15.116, de 2004.</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lang w:eastAsia="en-US"/>
        </w:rPr>
        <w:t xml:space="preserve">Observar as </w:t>
      </w:r>
      <w:r>
        <w:rPr>
          <w:rFonts w:ascii="Cambria" w:hAnsi="Cambria" w:cs="Cambria"/>
          <w:sz w:val="14"/>
          <w:szCs w:val="14"/>
        </w:rPr>
        <w:t xml:space="preserve">seguintes</w:t>
      </w:r>
      <w:r>
        <w:rPr>
          <w:rFonts w:ascii="Cambria" w:hAnsi="Cambria" w:cs="Cambria"/>
          <w:sz w:val="14"/>
          <w:szCs w:val="14"/>
          <w:lang w:eastAsia="en-US"/>
        </w:rPr>
        <w:t xml:space="preserve"> diretrizes de caráter ambiental:</w:t>
      </w:r>
      <w:r>
        <w:rPr>
          <w:rFonts w:ascii="Cambria" w:hAnsi="Cambria" w:cs="Cambria"/>
          <w:sz w:val="14"/>
          <w:szCs w:val="14"/>
        </w:rPr>
      </w:r>
      <w:r/>
    </w:p>
    <w:p>
      <w:pPr>
        <w:pStyle w:val="1032"/>
        <w:ind w:left="0" w:right="0" w:firstLine="0"/>
        <w:rPr>
          <w:rFonts w:ascii="Cambria" w:hAnsi="Cambria" w:cs="Cambria"/>
          <w:sz w:val="14"/>
          <w:szCs w:val="14"/>
        </w:rPr>
      </w:pPr>
      <w:r>
        <w:rPr>
          <w:rFonts w:ascii="Cambria" w:hAnsi="Cambria" w:cs="Cambria"/>
          <w:sz w:val="14"/>
          <w:szCs w:val="14"/>
          <w:lang w:eastAsia="en-US"/>
        </w:rPr>
      </w:r>
      <w:r>
        <w:rPr>
          <w:rFonts w:ascii="Cambria" w:hAnsi="Cambria" w:cs="Cambria"/>
          <w:sz w:val="14"/>
          <w:szCs w:val="14"/>
        </w:rPr>
      </w:r>
      <w:r/>
    </w:p>
    <w:p>
      <w:pPr>
        <w:pStyle w:val="1032"/>
        <w:ind w:left="0" w:right="0" w:firstLine="0"/>
        <w:rPr>
          <w:rFonts w:ascii="Cambria" w:hAnsi="Cambria" w:cs="Cambria"/>
          <w:sz w:val="14"/>
          <w:szCs w:val="14"/>
        </w:rPr>
      </w:pPr>
      <w:r>
        <w:rPr>
          <w:rFonts w:ascii="Cambria" w:hAnsi="Cambria" w:cs="Cambria"/>
          <w:sz w:val="14"/>
          <w:szCs w:val="14"/>
          <w:lang w:eastAsia="en-US"/>
        </w:rPr>
        <w:t xml:space="preserve">Qualquer</w:t>
      </w:r>
      <w:r>
        <w:rPr>
          <w:rFonts w:ascii="Cambria" w:hAnsi="Cambria" w:cs="Cambria"/>
          <w:sz w:val="14"/>
          <w:szCs w:val="14"/>
        </w:rPr>
        <w:t xml:space="preserve"> instalação, equipamento ou processo, situado em local fixo, que</w:t>
      </w:r>
      <w:r>
        <w:rPr>
          <w:rFonts w:ascii="Cambria" w:hAnsi="Cambria" w:cs="Cambria"/>
          <w:sz w:val="14"/>
          <w:szCs w:val="14"/>
          <w:lang w:eastAsia="en-US"/>
        </w:rPr>
        <w:t xml:space="preserve"> </w:t>
      </w:r>
      <w:r>
        <w:rPr>
          <w:rFonts w:ascii="Cambria" w:hAnsi="Cambria" w:cs="Cambria"/>
          <w:sz w:val="14"/>
          <w:szCs w:val="14"/>
        </w:rPr>
        <w:t xml:space="preserve">libere</w:t>
      </w:r>
      <w:r>
        <w:rPr>
          <w:rFonts w:ascii="Cambria" w:hAnsi="Cambria" w:cs="Cambria"/>
          <w:sz w:val="14"/>
          <w:szCs w:val="14"/>
          <w:lang w:eastAsia="en-US"/>
        </w:rPr>
        <w:t xml:space="preserve"> ou emita matéria para a atmosfera, por emissão pontual ou fugitiva, </w:t>
      </w:r>
      <w:r>
        <w:rPr>
          <w:rFonts w:ascii="Cambria" w:hAnsi="Cambria" w:cs="Cambria"/>
          <w:sz w:val="14"/>
          <w:szCs w:val="14"/>
        </w:rPr>
        <w:t xml:space="preserve">utilizado</w:t>
      </w:r>
      <w:r>
        <w:rPr>
          <w:rFonts w:ascii="Cambria" w:hAnsi="Cambria" w:cs="Cambria"/>
          <w:sz w:val="14"/>
          <w:szCs w:val="14"/>
          <w:lang w:eastAsia="en-US"/>
        </w:rPr>
        <w:t xml:space="preserve"> na execução contratual, deverá respeitar os limites máximos de emissão de poluentes admitidos na </w:t>
      </w:r>
      <w:hyperlink r:id="rId73" w:tooltip="http://www.ipaam.am.gov.br/wp-content/uploads/2021/01/Conama-382-Poluentes-atmosfericos.pdf" w:history="1">
        <w:r>
          <w:rPr>
            <w:rStyle w:val="988"/>
            <w:rFonts w:ascii="Cambria" w:hAnsi="Cambria" w:eastAsia="Calibri" w:cs="Cambria"/>
            <w:sz w:val="14"/>
            <w:szCs w:val="14"/>
            <w:lang w:eastAsia="en-US"/>
          </w:rPr>
          <w:t xml:space="preserve">Resolução CONAMA n° 382, de 26/12/2006</w:t>
        </w:r>
      </w:hyperlink>
      <w:r>
        <w:rPr>
          <w:rFonts w:ascii="Cambria" w:hAnsi="Cambria" w:cs="Cambria"/>
          <w:sz w:val="14"/>
          <w:szCs w:val="14"/>
          <w:lang w:eastAsia="en-US"/>
        </w:rPr>
        <w:t xml:space="preserve">, e legislação correlata, de acordo com o poluente e o tipo de fonte.</w:t>
      </w:r>
      <w:r>
        <w:rPr>
          <w:rFonts w:ascii="Cambria" w:hAnsi="Cambria" w:cs="Cambria"/>
          <w:sz w:val="14"/>
          <w:szCs w:val="14"/>
        </w:rPr>
      </w:r>
      <w:r/>
    </w:p>
    <w:p>
      <w:pPr>
        <w:pStyle w:val="1032"/>
        <w:ind w:left="0" w:right="0" w:firstLine="0"/>
        <w:rPr>
          <w:rFonts w:ascii="Cambria" w:hAnsi="Cambria" w:cs="Cambria"/>
          <w:sz w:val="14"/>
          <w:szCs w:val="14"/>
        </w:rPr>
      </w:pPr>
      <w:r>
        <w:rPr>
          <w:rFonts w:ascii="Cambria" w:hAnsi="Cambria" w:cs="Cambria"/>
          <w:sz w:val="14"/>
          <w:szCs w:val="14"/>
          <w:lang w:eastAsia="en-US"/>
        </w:rPr>
        <w:t xml:space="preserve">Na execução contratual, conforme o caso, a emissão de ruídos não poderá ultrapassar os níveis </w:t>
      </w:r>
      <w:r>
        <w:rPr>
          <w:rFonts w:ascii="Cambria" w:hAnsi="Cambria" w:cs="Cambria"/>
          <w:sz w:val="14"/>
          <w:szCs w:val="14"/>
        </w:rPr>
        <w:t xml:space="preserve">considerados</w:t>
      </w:r>
      <w:r>
        <w:rPr>
          <w:rFonts w:ascii="Cambria" w:hAnsi="Cambria" w:cs="Cambria"/>
          <w:sz w:val="14"/>
          <w:szCs w:val="14"/>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w:t>
      </w:r>
      <w:r>
        <w:rPr>
          <w:rFonts w:ascii="Cambria" w:hAnsi="Cambria" w:cs="Cambria"/>
          <w:sz w:val="14"/>
          <w:szCs w:val="14"/>
          <w:lang w:eastAsia="en-US"/>
        </w:rPr>
        <w:t xml:space="preserve">da Associação Brasileira de Normas Técnicas - ABNT, nos termos da </w:t>
      </w:r>
      <w:hyperlink r:id="rId74" w:tooltip="http://www.ibama.gov.br/sophia/cnia/legislacao/MMA/RE0001-080390.PDF" w:history="1">
        <w:r>
          <w:rPr>
            <w:rStyle w:val="988"/>
            <w:rFonts w:ascii="Cambria" w:hAnsi="Cambria" w:cs="Cambria"/>
            <w:sz w:val="14"/>
            <w:szCs w:val="14"/>
          </w:rPr>
          <w:t xml:space="preserve">Resolução CONAMA n° 01, de 08/03/90</w:t>
        </w:r>
      </w:hyperlink>
      <w:r>
        <w:rPr>
          <w:rFonts w:ascii="Cambria" w:hAnsi="Cambria" w:cs="Cambria"/>
          <w:sz w:val="14"/>
          <w:szCs w:val="14"/>
          <w:lang w:eastAsia="en-US"/>
        </w:rPr>
        <w:t xml:space="preserve">, e legislação correlata.</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Nos termos do </w:t>
      </w:r>
      <w:hyperlink r:id="rId75" w:tooltip="https://www.gov.br/compras/pt-br/acesso-a-informacao/legislacao/instrucoes-normativas/instrucao-normativa-no-01-de-19-de-janeiro-de-2010" w:history="1">
        <w:r>
          <w:rPr>
            <w:rStyle w:val="988"/>
            <w:rFonts w:ascii="Cambria" w:hAnsi="Cambria" w:cs="Cambria"/>
            <w:sz w:val="14"/>
            <w:szCs w:val="14"/>
          </w:rPr>
          <w:t xml:space="preserve">artigo 4°, § 3°, da Instrução Normativa SLTI/MP n° 1, de 19/01/2010</w:t>
        </w:r>
      </w:hyperlink>
      <w:r>
        <w:rPr>
          <w:rFonts w:ascii="Cambria" w:hAnsi="Cambria" w:cs="Cambria"/>
          <w:sz w:val="14"/>
          <w:szCs w:val="14"/>
        </w:rPr>
        <w:t xml:space="preserve">, deverão ser utilizados, na execução contratual, agregados reciclados, sempre que existir a oferta de tais materiais, capacidade de suprimento e custo inferior em relação aos agregados naturais, inserindo-se na planilha de formação de </w:t>
      </w:r>
      <w:r>
        <w:rPr>
          <w:rFonts w:ascii="Cambria" w:hAnsi="Cambria" w:cs="Cambria"/>
          <w:sz w:val="14"/>
          <w:szCs w:val="14"/>
        </w:rPr>
        <w:t xml:space="preserve">preços</w:t>
      </w:r>
      <w:r>
        <w:rPr>
          <w:rFonts w:ascii="Cambria" w:hAnsi="Cambria" w:cs="Cambria"/>
          <w:sz w:val="14"/>
          <w:szCs w:val="14"/>
        </w:rPr>
        <w:t xml:space="preserve"> os custos correspondentes.</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Responder por qualquer acidente de trabalho na execução dos serviços, p</w:t>
      </w:r>
      <w:r>
        <w:rPr>
          <w:rFonts w:ascii="Cambria" w:hAnsi="Cambria" w:cs="Cambria"/>
          <w:sz w:val="14"/>
          <w:szCs w:val="14"/>
        </w:rPr>
        <w:t xml:space="preserve">or uso indevido de patentes registradas em nome de terceiros, por danos resultantes de defeitos ou incorreções dos serviços ou dos bens do Contratante, de seus funcionários ou de terceiros, ainda que ocorridos em via pública junto ao serviço de engenharia.</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Realizar, conforme o caso, por meio de laboratórios previamente a</w:t>
      </w:r>
      <w:r>
        <w:rPr>
          <w:rFonts w:ascii="Cambria" w:hAnsi="Cambria" w:cs="Cambria"/>
          <w:sz w:val="14"/>
          <w:szCs w:val="14"/>
        </w:rPr>
        <w:t xml:space="preserve">provados pela fiscalização e sob suas custas, os testes, ensaios, exames e provas que lhe caibam necessárias ao controle de qualidade dos materiais, serviços e equipamentos a serem aplicados nos trabalhos, conforme procedimento previsto nas especificações.</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Providenciar, conforme o caso, as ligações definitivas das utilidades previstas no projeto (água, esgoto, gás, energia elétrica</w:t>
      </w:r>
      <w:r>
        <w:rPr>
          <w:rFonts w:ascii="Cambria" w:hAnsi="Cambria" w:cs="Cambria"/>
          <w:sz w:val="14"/>
          <w:szCs w:val="14"/>
        </w:rPr>
        <w:t xml:space="preserve">, telefone etc.), bem como atuar junto aos órgãos federais, estaduais e municipais e concessionárias de serviços públicos para a obtenção de licenças e regularização dos serviços e atividades concluídas (ex.: Habite-se, Licença Ambiental de Operação etc.).</w:t>
      </w:r>
      <w:r>
        <w:rPr>
          <w:rFonts w:ascii="Cambria" w:hAnsi="Cambria" w:cs="Cambria"/>
          <w:sz w:val="14"/>
          <w:szCs w:val="14"/>
        </w:rPr>
      </w:r>
      <w:r/>
    </w:p>
    <w:p>
      <w:pPr>
        <w:pStyle w:val="1010"/>
        <w:ind w:left="0" w:right="0" w:firstLine="0"/>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t xml:space="preserve">CLÁUSULA DÉCIMA- OBRIGAÇÕES PERTINENTES À LGPD</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As partes deverão cumprir a </w:t>
      </w:r>
      <w:hyperlink r:id="rId76" w:tooltip="https://www.planalto.gov.br/ccivil_03/_ato2015-2018/2018/lei/l13709.htm" w:history="1">
        <w:r>
          <w:rPr>
            <w:rStyle w:val="988"/>
            <w:rFonts w:ascii="Cambria" w:hAnsi="Cambria" w:cs="Cambria"/>
            <w:color w:val="000000" w:themeColor="text1"/>
            <w:sz w:val="14"/>
            <w:szCs w:val="14"/>
          </w:rPr>
          <w:t xml:space="preserve">Lei nº 13.709, de 14 de agosto de 2018 (LGPD)</w:t>
        </w:r>
      </w:hyperlink>
      <w:r>
        <w:rPr>
          <w:rFonts w:ascii="Cambria" w:hAnsi="Cambria" w:cs="Cambria"/>
          <w:color w:val="000000" w:themeColor="text1"/>
          <w:sz w:val="14"/>
          <w:szCs w:val="14"/>
        </w:rPr>
        <w:t xml:space="preserve">, quanto a todos os dados pessoais a </w:t>
      </w:r>
      <w:r>
        <w:rPr>
          <w:rFonts w:ascii="Cambria" w:hAnsi="Cambria" w:cs="Cambria"/>
          <w:color w:val="000000" w:themeColor="text1"/>
          <w:sz w:val="14"/>
          <w:szCs w:val="14"/>
        </w:rPr>
        <w:t xml:space="preserve">que</w:t>
      </w:r>
      <w:r>
        <w:rPr>
          <w:rFonts w:ascii="Cambria" w:hAnsi="Cambria" w:cs="Cambria"/>
          <w:color w:val="000000" w:themeColor="text1"/>
          <w:sz w:val="14"/>
          <w:szCs w:val="14"/>
        </w:rPr>
        <w:t xml:space="preserve"> tenham acesso em razão do certame ou do contrato administrativo que eventualmente venha a ser firmado, a partir da apresentação da proposta no procedimento de contratação, independentemente de declaração ou de aceitação expressa. </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Os </w:t>
      </w:r>
      <w:r>
        <w:rPr>
          <w:rFonts w:ascii="Cambria" w:hAnsi="Cambria" w:cs="Cambria"/>
          <w:color w:val="000000" w:themeColor="text1"/>
          <w:sz w:val="14"/>
          <w:szCs w:val="14"/>
        </w:rPr>
        <w:t xml:space="preserve">dados</w:t>
      </w:r>
      <w:r>
        <w:rPr>
          <w:rFonts w:ascii="Cambria" w:hAnsi="Cambria" w:cs="Cambria"/>
          <w:color w:val="000000" w:themeColor="text1"/>
          <w:sz w:val="14"/>
          <w:szCs w:val="14"/>
        </w:rPr>
        <w:t xml:space="preserve"> obtidos somente poderão ser utilizados para as finalidades que justificaram seu acesso e de acordo com a boa-fé e com os princípios do </w:t>
      </w:r>
      <w:hyperlink r:id="rId77" w:tooltip="https://www.planalto.gov.br/ccivil_03/_ato2015-2018/2018/lei/l13709.htm#art6" w:anchor="art6" w:history="1">
        <w:r>
          <w:rPr>
            <w:rStyle w:val="988"/>
            <w:rFonts w:ascii="Cambria" w:hAnsi="Cambria" w:cs="Cambria"/>
            <w:color w:val="000000" w:themeColor="text1"/>
            <w:sz w:val="14"/>
            <w:szCs w:val="14"/>
          </w:rPr>
          <w:t xml:space="preserve">art. 6º da LGPD</w:t>
        </w:r>
      </w:hyperlink>
      <w:r>
        <w:rPr>
          <w:rFonts w:ascii="Cambria" w:hAnsi="Cambria" w:cs="Cambria"/>
          <w:color w:val="000000" w:themeColor="text1"/>
          <w:sz w:val="14"/>
          <w:szCs w:val="14"/>
        </w:rPr>
        <w:t xml:space="preserve">. </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É </w:t>
      </w:r>
      <w:r>
        <w:rPr>
          <w:rFonts w:ascii="Cambria" w:hAnsi="Cambria" w:cs="Cambria"/>
          <w:color w:val="000000" w:themeColor="text1"/>
          <w:sz w:val="14"/>
          <w:szCs w:val="14"/>
        </w:rPr>
        <w:t xml:space="preserve">vedado</w:t>
      </w:r>
      <w:r>
        <w:rPr>
          <w:rFonts w:ascii="Cambria" w:hAnsi="Cambria" w:cs="Cambria"/>
          <w:color w:val="000000" w:themeColor="text1"/>
          <w:sz w:val="14"/>
          <w:szCs w:val="14"/>
        </w:rPr>
        <w:t xml:space="preserve"> o compartilhamento com terceiros dos dados obtidos fora das hipóteses permitidas em Lei.</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 </w:t>
      </w:r>
      <w:r>
        <w:rPr>
          <w:rFonts w:ascii="Cambria" w:hAnsi="Cambria" w:cs="Cambria"/>
          <w:color w:val="000000" w:themeColor="text1"/>
          <w:sz w:val="14"/>
          <w:szCs w:val="14"/>
        </w:rPr>
        <w:t xml:space="preserve">Administração</w:t>
      </w:r>
      <w:r>
        <w:rPr>
          <w:rFonts w:ascii="Cambria" w:hAnsi="Cambria" w:cs="Cambria"/>
          <w:color w:val="000000" w:themeColor="text1"/>
          <w:sz w:val="14"/>
          <w:szCs w:val="14"/>
        </w:rPr>
        <w:t xml:space="preserve"> deverá ser informada no prazo de 5 (cinco) dias úteis sobre todos os contratos de </w:t>
      </w:r>
      <w:r>
        <w:rPr>
          <w:rFonts w:ascii="Cambria" w:hAnsi="Cambria" w:cs="Cambria"/>
          <w:color w:val="000000" w:themeColor="text1"/>
          <w:sz w:val="14"/>
          <w:szCs w:val="14"/>
        </w:rPr>
        <w:t xml:space="preserve">suboperação</w:t>
      </w:r>
      <w:r>
        <w:rPr>
          <w:rFonts w:ascii="Cambria" w:hAnsi="Cambria" w:cs="Cambria"/>
          <w:color w:val="000000" w:themeColor="text1"/>
          <w:sz w:val="14"/>
          <w:szCs w:val="14"/>
        </w:rPr>
        <w:t xml:space="preserve"> firmados ou que venham a ser celebrados pelo Contratado. </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Terminado o tratamento dos dados nos termos do </w:t>
      </w:r>
      <w:hyperlink r:id="rId78" w:tooltip="https://www.planalto.gov.br/ccivil_03/_ato2015-2018/2018/lei/l13709.htm#art15" w:anchor="art15" w:history="1">
        <w:r>
          <w:rPr>
            <w:rStyle w:val="988"/>
            <w:rFonts w:ascii="Cambria" w:hAnsi="Cambria" w:cs="Cambria"/>
            <w:color w:val="000000" w:themeColor="text1"/>
            <w:sz w:val="14"/>
            <w:szCs w:val="14"/>
          </w:rPr>
          <w:t xml:space="preserve">art. 15 da LGPD</w:t>
        </w:r>
      </w:hyperlink>
      <w:r>
        <w:rPr>
          <w:rFonts w:ascii="Cambria" w:hAnsi="Cambria" w:cs="Cambria"/>
          <w:color w:val="000000" w:themeColor="text1"/>
          <w:sz w:val="14"/>
          <w:szCs w:val="14"/>
        </w:rPr>
        <w:t xml:space="preserve">, é dever do contratado eliminá-los, com exceção </w:t>
      </w:r>
      <w:r>
        <w:rPr>
          <w:rFonts w:ascii="Cambria" w:hAnsi="Cambria" w:cs="Cambria"/>
          <w:color w:val="000000" w:themeColor="text1"/>
          <w:sz w:val="14"/>
          <w:szCs w:val="14"/>
        </w:rPr>
        <w:t xml:space="preserve">das</w:t>
      </w:r>
      <w:r>
        <w:rPr>
          <w:rFonts w:ascii="Cambria" w:hAnsi="Cambria" w:cs="Cambria"/>
          <w:color w:val="000000" w:themeColor="text1"/>
          <w:sz w:val="14"/>
          <w:szCs w:val="14"/>
        </w:rPr>
        <w:t xml:space="preserve"> hipóteses do </w:t>
      </w:r>
      <w:hyperlink r:id="rId79" w:tooltip="https://www.planalto.gov.br/ccivil_03/_ato2015-2018/2018/lei/l13709.htm#art16" w:anchor="art16" w:history="1">
        <w:r>
          <w:rPr>
            <w:rStyle w:val="988"/>
            <w:rFonts w:ascii="Cambria" w:hAnsi="Cambria" w:cs="Cambria"/>
            <w:color w:val="000000" w:themeColor="text1"/>
            <w:sz w:val="14"/>
            <w:szCs w:val="14"/>
          </w:rPr>
          <w:t xml:space="preserve">art. 16 da LGPD</w:t>
        </w:r>
      </w:hyperlink>
      <w:r>
        <w:rPr>
          <w:rFonts w:ascii="Cambria" w:hAnsi="Cambria" w:cs="Cambria"/>
          <w:color w:val="000000" w:themeColor="text1"/>
          <w:sz w:val="14"/>
          <w:szCs w:val="14"/>
        </w:rPr>
        <w:t xml:space="preserve">, incluindo aquelas em que houver necessidade de guarda de documentação para fins de comprovação do cumprimento de obrigações legais ou contratuais e somente enquanto não prescritas essas obrigações. </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t xml:space="preserve">É dever do contratado orientar e treinar seus empregados sobre os deveres, requisitos e responsabilidades decorrentes da LGPD. </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 </w:t>
      </w:r>
      <w:r>
        <w:rPr>
          <w:rFonts w:ascii="Cambria" w:hAnsi="Cambria" w:cs="Cambria"/>
          <w:color w:val="000000" w:themeColor="text1"/>
          <w:sz w:val="14"/>
          <w:szCs w:val="14"/>
        </w:rPr>
        <w:t xml:space="preserve">Contratado</w:t>
      </w:r>
      <w:r>
        <w:rPr>
          <w:rFonts w:ascii="Cambria" w:hAnsi="Cambria" w:cs="Cambria"/>
          <w:color w:val="000000" w:themeColor="text1"/>
          <w:sz w:val="14"/>
          <w:szCs w:val="14"/>
        </w:rPr>
        <w:t xml:space="preserve"> deverá exigir de </w:t>
      </w:r>
      <w:r>
        <w:rPr>
          <w:rFonts w:ascii="Cambria" w:hAnsi="Cambria" w:cs="Cambria"/>
          <w:color w:val="000000" w:themeColor="text1"/>
          <w:sz w:val="14"/>
          <w:szCs w:val="14"/>
        </w:rPr>
        <w:t xml:space="preserve">suboperadores</w:t>
      </w:r>
      <w:r>
        <w:rPr>
          <w:rFonts w:ascii="Cambria" w:hAnsi="Cambria" w:cs="Cambria"/>
          <w:color w:val="000000" w:themeColor="text1"/>
          <w:sz w:val="14"/>
          <w:szCs w:val="14"/>
        </w:rPr>
        <w:t xml:space="preserve"> e subcontratados o cumprimento dos deveres da presente cláusula, permanecendo integralmente responsável por garantir sua observância.</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t xml:space="preserve">O Contratante poderá realizar diligência para aferir o cumprimento dessa cláusula, devendo o Contratado atender prontamente eventuais pedidos de comprovação formulados. </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 </w:t>
      </w:r>
      <w:r>
        <w:rPr>
          <w:rFonts w:ascii="Cambria" w:hAnsi="Cambria" w:cs="Cambria"/>
          <w:color w:val="000000" w:themeColor="text1"/>
          <w:sz w:val="14"/>
          <w:szCs w:val="14"/>
        </w:rPr>
        <w:t xml:space="preserve">Contratado</w:t>
      </w:r>
      <w:r>
        <w:rPr>
          <w:rFonts w:ascii="Cambria" w:hAnsi="Cambria" w:cs="Cambria"/>
          <w:color w:val="000000" w:themeColor="text1"/>
          <w:sz w:val="14"/>
          <w:szCs w:val="14"/>
        </w:rPr>
        <w:t xml:space="preserve"> deverá prestar, no prazo fixado pelo Contratante, prorrogável justificadamente, quaisquer informações acerca dos dados pessoais para cumprimento da LGPD, inclusive quanto a eventual descarte realizado. </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Bancos de dados formados a partir de contratos administrativos, notadamente aqueles que se proponham a armazenar dados pessoais, devem ser mantidos em ambiente virtual controlado, com registro </w:t>
      </w:r>
      <w:r>
        <w:rPr>
          <w:rFonts w:ascii="Cambria" w:hAnsi="Cambria" w:cs="Cambria"/>
          <w:color w:val="000000" w:themeColor="text1"/>
          <w:sz w:val="14"/>
          <w:szCs w:val="14"/>
        </w:rPr>
        <w:t xml:space="preserve">individual rastreável de </w:t>
      </w:r>
      <w:r>
        <w:rPr>
          <w:rFonts w:ascii="Cambria" w:hAnsi="Cambria" w:cs="Cambria"/>
          <w:color w:val="000000" w:themeColor="text1"/>
          <w:sz w:val="14"/>
          <w:szCs w:val="14"/>
        </w:rPr>
        <w:t xml:space="preserve">tratamentos</w:t>
      </w:r>
      <w:r>
        <w:rPr>
          <w:rFonts w:ascii="Cambria" w:hAnsi="Cambria" w:cs="Cambria"/>
          <w:color w:val="000000" w:themeColor="text1"/>
          <w:sz w:val="14"/>
          <w:szCs w:val="14"/>
        </w:rPr>
        <w:t xml:space="preserve"> realizados (</w:t>
      </w:r>
      <w:hyperlink r:id="rId80" w:tooltip="https://www.planalto.gov.br/ccivil_03/_ato2015-2018/2018/lei/l13709.htm" w:history="1">
        <w:r>
          <w:rPr>
            <w:rStyle w:val="988"/>
            <w:rFonts w:ascii="Cambria" w:hAnsi="Cambria" w:cs="Cambria"/>
            <w:color w:val="000000" w:themeColor="text1"/>
            <w:sz w:val="14"/>
            <w:szCs w:val="14"/>
          </w:rPr>
          <w:t xml:space="preserve">LGPD, art. 37</w:t>
        </w:r>
      </w:hyperlink>
      <w:r>
        <w:rPr>
          <w:rFonts w:ascii="Cambria" w:hAnsi="Cambria" w:cs="Cambria"/>
          <w:color w:val="000000" w:themeColor="text1"/>
          <w:sz w:val="14"/>
          <w:szCs w:val="14"/>
        </w:rPr>
        <w:t xml:space="preserve">), com cada acesso, data, horário e registro da finalidade, para efeito de responsabilização, em caso de eventuais omissões, desvios ou abusos.</w:t>
      </w:r>
      <w:r>
        <w:rPr>
          <w:rFonts w:ascii="Cambria" w:hAnsi="Cambria" w:cs="Cambria"/>
          <w:sz w:val="14"/>
          <w:szCs w:val="14"/>
        </w:rPr>
      </w:r>
      <w:r/>
    </w:p>
    <w:p>
      <w:pPr>
        <w:pStyle w:val="1081"/>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Os </w:t>
      </w:r>
      <w:r>
        <w:rPr>
          <w:rFonts w:ascii="Cambria" w:hAnsi="Cambria" w:cs="Cambria"/>
          <w:color w:val="000000" w:themeColor="text1"/>
          <w:sz w:val="14"/>
          <w:szCs w:val="14"/>
        </w:rPr>
        <w:t xml:space="preserve">referidos</w:t>
      </w:r>
      <w:r>
        <w:rPr>
          <w:rFonts w:ascii="Cambria" w:hAnsi="Cambria" w:cs="Cambria"/>
          <w:color w:val="000000" w:themeColor="text1"/>
          <w:sz w:val="14"/>
          <w:szCs w:val="14"/>
        </w:rPr>
        <w:t xml:space="preserve"> bancos de dados devem ser desenvolvidos em formato interoperável, a fim de garantir a reutilização desses dados pela Administração nas hipóteses previstas na LGPD.</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 contrato está sujeito a ser alterado nos procedimentos pertinentes ao tratamento de dados pessoais, quando indicado pela autoridade competente, em especial a ANPD por meio de opiniões técnicas ou recomendações, editadas na forma da LGPD.</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t xml:space="preserve">Os </w:t>
      </w:r>
      <w:r>
        <w:rPr>
          <w:rFonts w:ascii="Cambria" w:hAnsi="Cambria" w:cs="Cambria"/>
          <w:color w:val="000000" w:themeColor="text1"/>
          <w:sz w:val="14"/>
          <w:szCs w:val="14"/>
        </w:rPr>
        <w:t xml:space="preserve">contratos</w:t>
      </w:r>
      <w:r>
        <w:rPr>
          <w:rFonts w:ascii="Cambria" w:hAnsi="Cambria" w:cs="Cambria"/>
          <w:color w:val="000000" w:themeColor="text1"/>
          <w:sz w:val="14"/>
          <w:szCs w:val="14"/>
        </w:rPr>
        <w:t xml:space="preserve"> e convênios de que trata o </w:t>
      </w:r>
      <w:hyperlink r:id="rId81" w:tooltip="https://www.planalto.gov.br/ccivil_03/_ato2015-2018/2018/lei/l13709.htm#art26§1" w:anchor="art26§1" w:history="1">
        <w:r>
          <w:rPr>
            <w:rStyle w:val="988"/>
            <w:rFonts w:ascii="Cambria" w:hAnsi="Cambria" w:cs="Cambria"/>
            <w:color w:val="000000" w:themeColor="text1"/>
            <w:sz w:val="14"/>
            <w:szCs w:val="14"/>
          </w:rPr>
          <w:t xml:space="preserve">§ 1º do art. 26 da LGPD</w:t>
        </w:r>
      </w:hyperlink>
      <w:r>
        <w:rPr>
          <w:rFonts w:ascii="Cambria" w:hAnsi="Cambria" w:cs="Cambria"/>
          <w:color w:val="000000" w:themeColor="text1"/>
          <w:sz w:val="14"/>
          <w:szCs w:val="14"/>
        </w:rPr>
        <w:t xml:space="preserve"> deverão ser comunicados à autoridade nacional.</w:t>
      </w:r>
      <w:r>
        <w:rPr>
          <w:rFonts w:ascii="Cambria" w:hAnsi="Cambria" w:cs="Cambria"/>
          <w:sz w:val="14"/>
          <w:szCs w:val="14"/>
        </w:rPr>
      </w:r>
      <w:r/>
    </w:p>
    <w:p>
      <w:pPr>
        <w:pStyle w:val="1010"/>
        <w:ind w:left="0" w:right="0" w:firstLine="0"/>
        <w:rPr>
          <w:rFonts w:ascii="Cambria" w:hAnsi="Cambria" w:cs="Cambria"/>
          <w:sz w:val="14"/>
          <w:szCs w:val="14"/>
        </w:rPr>
      </w:pPr>
      <w:r>
        <w:rPr>
          <w:rFonts w:ascii="Cambria" w:hAnsi="Cambria" w:cs="Cambria"/>
          <w:sz w:val="14"/>
          <w:szCs w:val="14"/>
        </w:rPr>
        <w:t xml:space="preserve">CLÁUSULA DÉCIMA PRIMEIRA – GARANTIA DE EXECUÇÃO (</w:t>
      </w:r>
      <w:hyperlink r:id="rId82" w:tooltip="http://www.planalto.gov.br/ccivil_03/_ato2019-2022/2021/lei/L14133.htm#art92" w:anchor="art92" w:history="1">
        <w:r>
          <w:rPr>
            <w:rStyle w:val="988"/>
            <w:rFonts w:ascii="Cambria" w:hAnsi="Cambria" w:cs="Cambria"/>
            <w:sz w:val="14"/>
            <w:szCs w:val="14"/>
          </w:rPr>
          <w:t xml:space="preserve">art. 92, XII</w:t>
        </w:r>
      </w:hyperlink>
      <w:r>
        <w:rPr>
          <w:rFonts w:ascii="Cambria" w:hAnsi="Cambria" w:cs="Cambria"/>
          <w:sz w:val="14"/>
          <w:szCs w:val="14"/>
        </w:rPr>
        <w:t xml:space="preserve">)</w:t>
      </w:r>
      <w:r>
        <w:rPr>
          <w:rFonts w:ascii="Cambria" w:hAnsi="Cambria" w:cs="Cambria"/>
          <w:sz w:val="14"/>
          <w:szCs w:val="14"/>
        </w:rPr>
      </w:r>
      <w:r/>
    </w:p>
    <w:p>
      <w:pPr>
        <w:pStyle w:val="1080"/>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r>
      <w:bookmarkStart w:id="0" w:name="undefined"/>
      <w:r>
        <w:rPr>
          <w:rFonts w:ascii="Cambria" w:hAnsi="Cambria" w:cs="Cambria"/>
          <w:color w:val="000000" w:themeColor="text1"/>
          <w:sz w:val="14"/>
          <w:szCs w:val="14"/>
          <w:highlight w:val="none"/>
        </w:rPr>
        <w:t xml:space="preserve">A contratação conta com garantia de execução, nos moldes do </w:t>
      </w:r>
      <w:hyperlink r:id="rId83" w:tooltip="http://www.planalto.gov.br/ccivil_03/_ato2019-2022/2021/lei/L14133.htm#art96" w:anchor="art96" w:history="1">
        <w:r>
          <w:rPr>
            <w:rStyle w:val="988"/>
            <w:rFonts w:ascii="Cambria" w:hAnsi="Cambria" w:cs="Cambria"/>
            <w:color w:val="000000" w:themeColor="text1"/>
            <w:sz w:val="14"/>
            <w:szCs w:val="14"/>
            <w:highlight w:val="none"/>
          </w:rPr>
          <w:t xml:space="preserve">art. 96 da Lei nº 14.133, de 2021</w:t>
        </w:r>
      </w:hyperlink>
      <w:r>
        <w:rPr>
          <w:rFonts w:ascii="Cambria" w:hAnsi="Cambria" w:cs="Cambria"/>
          <w:color w:val="000000" w:themeColor="text1"/>
          <w:sz w:val="14"/>
          <w:szCs w:val="14"/>
          <w:highlight w:val="none"/>
        </w:rPr>
        <w:t xml:space="preserve">, </w:t>
      </w:r>
      <w:r>
        <w:rPr>
          <w:rFonts w:ascii="Cambria" w:hAnsi="Cambria" w:cs="Cambria"/>
          <w:color w:val="000000" w:themeColor="text1"/>
          <w:sz w:val="14"/>
          <w:szCs w:val="14"/>
          <w:highlight w:val="none"/>
        </w:rPr>
        <w:t xml:space="preserve"> </w:t>
      </w:r>
      <w:r>
        <w:rPr>
          <w:rFonts w:ascii="Cambria" w:hAnsi="Cambria" w:cs="Cambria"/>
          <w:color w:val="000000" w:themeColor="text1"/>
          <w:sz w:val="14"/>
          <w:szCs w:val="14"/>
          <w:highlight w:val="none"/>
        </w:rPr>
        <w:t xml:space="preserve">em valor correspondente a 5% (cinco por cento) do valor inicial do contrato.</w:t>
      </w:r>
      <w:r>
        <w:rPr>
          <w:rStyle w:val="1004"/>
          <w:rFonts w:ascii="Cambria" w:hAnsi="Cambria" w:cs="Cambria"/>
          <w:color w:val="000000" w:themeColor="text1"/>
          <w:sz w:val="14"/>
          <w:szCs w:val="14"/>
          <w:highlight w:val="none"/>
        </w:rPr>
      </w:r>
      <w:bookmarkEnd w:id="0"/>
      <w:r>
        <w:rPr>
          <w:rFonts w:ascii="Cambria" w:hAnsi="Cambria" w:cs="Cambria"/>
          <w:sz w:val="14"/>
          <w:szCs w:val="14"/>
        </w:rPr>
      </w:r>
      <w:r/>
    </w:p>
    <w:p>
      <w:pPr>
        <w:pStyle w:val="1081"/>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Em caso de inadimplemento pelo Contratado, a seguradora deverá assumir a execução e concluir o objeto do contrato (</w:t>
      </w:r>
      <w:hyperlink r:id="rId84" w:tooltip="http://www.planalto.gov.br/ccivil_03/_ato2019-2022/2021/lei/L14133.htm#art102" w:anchor="art102" w:history="1">
        <w:r>
          <w:rPr>
            <w:rStyle w:val="988"/>
            <w:rFonts w:ascii="Cambria" w:hAnsi="Cambria" w:cs="Cambria"/>
            <w:color w:val="000000" w:themeColor="text1"/>
            <w:sz w:val="14"/>
            <w:szCs w:val="14"/>
            <w:highlight w:val="none"/>
          </w:rPr>
          <w:t xml:space="preserve">Lei nº 14.133/2021, art. 102</w:t>
        </w:r>
      </w:hyperlink>
      <w:r>
        <w:rPr>
          <w:rFonts w:ascii="Cambria" w:hAnsi="Cambria" w:cs="Cambria"/>
          <w:color w:val="000000" w:themeColor="text1"/>
          <w:sz w:val="14"/>
          <w:szCs w:val="14"/>
          <w:highlight w:val="none"/>
        </w:rPr>
        <w:t xml:space="preserve">).</w:t>
      </w:r>
      <w:r>
        <w:rPr>
          <w:rFonts w:ascii="Cambria" w:hAnsi="Cambria" w:cs="Cambria"/>
          <w:sz w:val="14"/>
          <w:szCs w:val="14"/>
        </w:rPr>
      </w:r>
      <w:r/>
    </w:p>
    <w:p>
      <w:pPr>
        <w:pStyle w:val="1081"/>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 seguradora figura como interveniente anuente do presente contrato, e nesta qualidade também deverá figurar dos termos aditivos que vierem a ser firmados, e poderá:</w:t>
      </w:r>
      <w:r>
        <w:rPr>
          <w:rFonts w:ascii="Cambria" w:hAnsi="Cambria" w:cs="Cambria"/>
          <w:sz w:val="14"/>
          <w:szCs w:val="14"/>
        </w:rPr>
      </w:r>
      <w:r/>
    </w:p>
    <w:p>
      <w:pPr>
        <w:pStyle w:val="1032"/>
        <w:numPr>
          <w:ilvl w:val="2"/>
          <w:numId w:val="17"/>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Ter livre acesso às instalações em que for executado o contrato principal.</w:t>
      </w:r>
      <w:r>
        <w:rPr>
          <w:rFonts w:ascii="Cambria" w:hAnsi="Cambria" w:cs="Cambria"/>
          <w:sz w:val="14"/>
          <w:szCs w:val="14"/>
        </w:rPr>
      </w:r>
      <w:r/>
    </w:p>
    <w:p>
      <w:pPr>
        <w:pStyle w:val="1032"/>
        <w:numPr>
          <w:ilvl w:val="2"/>
          <w:numId w:val="17"/>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Acompanhar a execução do contrato principal.</w:t>
      </w:r>
      <w:r>
        <w:rPr>
          <w:rFonts w:ascii="Cambria" w:hAnsi="Cambria" w:cs="Cambria"/>
          <w:sz w:val="14"/>
          <w:szCs w:val="14"/>
        </w:rPr>
      </w:r>
      <w:r/>
    </w:p>
    <w:p>
      <w:pPr>
        <w:pStyle w:val="1032"/>
        <w:numPr>
          <w:ilvl w:val="2"/>
          <w:numId w:val="17"/>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Ter acesso a auditoria técnica e contábil.</w:t>
      </w:r>
      <w:r>
        <w:rPr>
          <w:rFonts w:ascii="Cambria" w:hAnsi="Cambria" w:cs="Cambria"/>
          <w:sz w:val="14"/>
          <w:szCs w:val="14"/>
        </w:rPr>
      </w:r>
      <w:r/>
    </w:p>
    <w:p>
      <w:pPr>
        <w:pStyle w:val="1032"/>
        <w:numPr>
          <w:ilvl w:val="2"/>
          <w:numId w:val="17"/>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Requerer esclarecimentos ao responsável técnico pela obra ou pelo fornecimento.</w:t>
      </w:r>
      <w:r>
        <w:rPr>
          <w:rFonts w:ascii="Cambria" w:hAnsi="Cambria" w:cs="Cambria"/>
          <w:sz w:val="14"/>
          <w:szCs w:val="14"/>
        </w:rPr>
      </w:r>
      <w:r/>
    </w:p>
    <w:p>
      <w:pPr>
        <w:pStyle w:val="1081"/>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 emissão de empenho em nome da seguradora, ou a quem ela indicar para a conclusão do contrato, será autorizada desde que demonstrada sua regularidade fiscal.</w:t>
      </w:r>
      <w:r>
        <w:rPr>
          <w:rFonts w:ascii="Cambria" w:hAnsi="Cambria" w:cs="Cambria"/>
          <w:sz w:val="14"/>
          <w:szCs w:val="14"/>
        </w:rPr>
      </w:r>
      <w:r/>
    </w:p>
    <w:p>
      <w:pPr>
        <w:pStyle w:val="1081"/>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 seguradora poderá subcontratar a conclusão do contrato, total ou parcialmente.</w:t>
      </w:r>
      <w:r>
        <w:rPr>
          <w:rFonts w:ascii="Cambria" w:hAnsi="Cambria" w:cs="Cambria"/>
          <w:sz w:val="14"/>
          <w:szCs w:val="14"/>
        </w:rPr>
      </w:r>
      <w:r/>
    </w:p>
    <w:p>
      <w:pPr>
        <w:pStyle w:val="1081"/>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Na hipótese de inadimplemento do contratado, serão observadas as seguintes disposições:</w:t>
      </w:r>
      <w:r>
        <w:rPr>
          <w:rFonts w:ascii="Cambria" w:hAnsi="Cambria" w:cs="Cambria"/>
          <w:sz w:val="14"/>
          <w:szCs w:val="14"/>
        </w:rPr>
      </w:r>
      <w:r/>
    </w:p>
    <w:p>
      <w:pPr>
        <w:pStyle w:val="1032"/>
        <w:numPr>
          <w:ilvl w:val="2"/>
          <w:numId w:val="18"/>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Caso a seguradora execute e conclua o objeto do contrato, estará isenta da obrigação de pagar a importância segurada indicada na apólice.</w:t>
      </w:r>
      <w:r>
        <w:rPr>
          <w:rFonts w:ascii="Cambria" w:hAnsi="Cambria" w:cs="Cambria"/>
          <w:sz w:val="14"/>
          <w:szCs w:val="14"/>
        </w:rPr>
      </w:r>
      <w:r/>
    </w:p>
    <w:p>
      <w:pPr>
        <w:pStyle w:val="1032"/>
        <w:numPr>
          <w:ilvl w:val="2"/>
          <w:numId w:val="18"/>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Caso a seguradora não assuma a execução do contrato, pagará a integralidade da importância segurada indicada na apólice.</w:t>
      </w:r>
      <w:r>
        <w:rPr>
          <w:rFonts w:ascii="Cambria" w:hAnsi="Cambria" w:cs="Cambria"/>
          <w:sz w:val="14"/>
          <w:szCs w:val="14"/>
        </w:rPr>
      </w:r>
      <w:r/>
    </w:p>
    <w:p>
      <w:pPr>
        <w:pStyle w:val="1030"/>
        <w:ind w:left="0" w:right="0" w:firstLine="0"/>
        <w:spacing w:after="288" w:line="312" w:lineRule="auto"/>
        <w:rPr>
          <w:rFonts w:ascii="Cambria" w:hAnsi="Cambria" w:cs="Cambria"/>
          <w:color w:val="000000" w:themeColor="text1"/>
          <w:sz w:val="14"/>
          <w:szCs w:val="14"/>
          <w:highlight w:val="none"/>
        </w:rPr>
      </w:pPr>
      <w:r>
        <w:rPr>
          <w:rFonts w:ascii="Cambria" w:hAnsi="Cambria" w:cs="Cambria"/>
          <w:i/>
          <w:color w:val="000000" w:themeColor="text1"/>
          <w:sz w:val="14"/>
          <w:szCs w:val="14"/>
          <w:highlight w:val="none"/>
        </w:rPr>
        <w:t xml:space="preserve">O contratado apresentará, no prazo máximo de 10 (dez) dias úteis, prorrogáveis por igual período, a critério do contrat</w:t>
      </w:r>
      <w:r>
        <w:rPr>
          <w:rFonts w:ascii="Cambria" w:hAnsi="Cambria" w:cs="Cambria"/>
          <w:i/>
          <w:color w:val="000000" w:themeColor="text1"/>
          <w:sz w:val="14"/>
          <w:szCs w:val="14"/>
          <w:highlight w:val="none"/>
        </w:rPr>
        <w:t xml:space="preserve">ante, contado da assinatura do contrato, comprovante de prestação de garantia, podendo optar por caução em dinheiro ou títulos da dívida pública ou, ainda, pela fiança bancária, em valor correspondente a 05% (cinco por cento) do valor inicial do </w:t>
      </w:r>
      <w:r>
        <w:rPr>
          <w:rFonts w:ascii="Cambria" w:hAnsi="Cambria" w:cs="Cambria"/>
          <w:i/>
          <w:color w:val="000000" w:themeColor="text1"/>
          <w:sz w:val="14"/>
          <w:szCs w:val="14"/>
          <w:highlight w:val="none"/>
        </w:rPr>
        <w:t xml:space="preserve">contrato</w:t>
      </w:r>
      <w:r>
        <w:rPr>
          <w:rFonts w:ascii="Cambria" w:hAnsi="Cambria" w:cs="Cambria"/>
          <w:i/>
          <w:color w:val="000000" w:themeColor="text1"/>
          <w:sz w:val="14"/>
          <w:szCs w:val="14"/>
          <w:highlight w:val="none"/>
        </w:rPr>
        <w:t xml:space="preserve">.</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 apólice do seguro garantia deverá acompanhar as modificações referentes à vigência do contrato principal mediante a emissão do respectivo endosso pela seguradora.</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r>
      <w:bookmarkStart w:id="0" w:name="undefined"/>
      <w:r>
        <w:rPr>
          <w:rFonts w:ascii="Cambria" w:hAnsi="Cambria" w:cs="Cambria"/>
          <w:color w:val="000000" w:themeColor="text1"/>
          <w:sz w:val="14"/>
          <w:szCs w:val="14"/>
        </w:rPr>
        <w:t xml:space="preserve">Será permitida a substituição da apólice de seguro-garantia na data de renovação ou de aniversário, desde que mantidas as condições e coberturas da apólice vigente e nenhum período fique descoberto, ressalvado o disposto no item </w:t>
      </w:r>
      <w:r>
        <w:rPr>
          <w:rFonts w:ascii="Cambria" w:hAnsi="Cambria" w:cs="Cambria"/>
          <w:color w:val="000000" w:themeColor="text1"/>
          <w:sz w:val="14"/>
          <w:szCs w:val="14"/>
        </w:rPr>
        <w:fldChar w:fldCharType="begin"/>
      </w:r>
      <w:r>
        <w:rPr>
          <w:rFonts w:ascii="Cambria" w:hAnsi="Cambria" w:cs="Cambria"/>
          <w:color w:val="000000" w:themeColor="text1"/>
          <w:sz w:val="14"/>
          <w:szCs w:val="14"/>
        </w:rPr>
        <w:instrText xml:space="preserve"> REF _Ref118297051 \r \h  \* MERGEFORMAT </w:instrText>
      </w:r>
      <w:r>
        <w:rPr>
          <w:rFonts w:ascii="Cambria" w:hAnsi="Cambria" w:cs="Cambria"/>
          <w:color w:val="000000" w:themeColor="text1"/>
          <w:sz w:val="14"/>
          <w:szCs w:val="14"/>
        </w:rPr>
        <w:fldChar w:fldCharType="separate"/>
      </w:r>
      <w:r>
        <w:rPr>
          <w:rFonts w:ascii="Cambria" w:hAnsi="Cambria" w:cs="Cambria"/>
          <w:color w:val="000000" w:themeColor="text1"/>
          <w:sz w:val="14"/>
          <w:szCs w:val="14"/>
        </w:rPr>
        <w:t xml:space="preserve">11.10</w:t>
      </w:r>
      <w:r>
        <w:rPr>
          <w:rFonts w:ascii="Cambria" w:hAnsi="Cambria" w:cs="Cambria"/>
          <w:color w:val="000000" w:themeColor="text1"/>
          <w:sz w:val="14"/>
          <w:szCs w:val="14"/>
        </w:rPr>
        <w:fldChar w:fldCharType="end"/>
      </w:r>
      <w:r>
        <w:rPr>
          <w:rFonts w:ascii="Cambria" w:hAnsi="Cambria" w:cs="Cambria"/>
          <w:color w:val="000000" w:themeColor="text1"/>
          <w:sz w:val="14"/>
          <w:szCs w:val="14"/>
        </w:rPr>
        <w:t xml:space="preserve"> deste contrato.</w:t>
      </w:r>
      <w:bookmarkEnd w:id="0"/>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r>
      <w:bookmarkStart w:id="0" w:name="undefined"/>
      <w:r>
        <w:rPr>
          <w:rFonts w:ascii="Cambria" w:hAnsi="Cambria" w:cs="Cambria"/>
          <w:color w:val="000000" w:themeColor="text1"/>
          <w:sz w:val="14"/>
          <w:szCs w:val="14"/>
        </w:rPr>
      </w:r>
      <w:bookmarkStart w:id="0" w:name="undefined"/>
      <w:r>
        <w:rPr>
          <w:rFonts w:ascii="Cambria" w:hAnsi="Cambria" w:cs="Cambria"/>
          <w:color w:val="000000" w:themeColor="text1"/>
          <w:sz w:val="14"/>
          <w:szCs w:val="14"/>
        </w:rPr>
        <w:t xml:space="preserve">Na hipótese de suspensão do contrato por ordem ou inadimplemento da Administração, o contratado ficará desobrigado de renovar a garantia ou de endossar a apólice de seguro até a ordem de reinício da execução ou o adimplemento pela Administração.</w:t>
      </w:r>
      <w:bookmarkEnd w:id="0"/>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r>
      <w:bookmarkStart w:id="0" w:name="undefined"/>
      <w:r>
        <w:rPr>
          <w:rFonts w:ascii="Cambria" w:hAnsi="Cambria" w:cs="Cambria"/>
          <w:color w:val="000000" w:themeColor="text1"/>
          <w:sz w:val="14"/>
          <w:szCs w:val="14"/>
        </w:rPr>
        <w:t xml:space="preserve">A garantia assegurará, qualquer que seja a modalidade escolhida, o pagamento de:</w:t>
      </w:r>
      <w:bookmarkEnd w:id="0"/>
      <w:r>
        <w:rPr>
          <w:rFonts w:ascii="Cambria" w:hAnsi="Cambria" w:cs="Cambria"/>
          <w:color w:val="000000" w:themeColor="text1"/>
          <w:sz w:val="14"/>
          <w:szCs w:val="14"/>
        </w:rPr>
        <w:t xml:space="preserve"> </w:t>
      </w:r>
      <w:r>
        <w:rPr>
          <w:rFonts w:ascii="Cambria" w:hAnsi="Cambria" w:cs="Cambria"/>
          <w:sz w:val="14"/>
          <w:szCs w:val="14"/>
        </w:rPr>
      </w:r>
      <w:r/>
    </w:p>
    <w:p>
      <w:pPr>
        <w:pStyle w:val="1081"/>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prejuízos advindos do não cumprimento do objeto do contrato e do não adimplemento das demais obrigações nele previstas; </w:t>
      </w:r>
      <w:r>
        <w:rPr>
          <w:rFonts w:ascii="Cambria" w:hAnsi="Cambria" w:cs="Cambria"/>
          <w:sz w:val="14"/>
          <w:szCs w:val="14"/>
        </w:rPr>
      </w:r>
      <w:r/>
    </w:p>
    <w:p>
      <w:pPr>
        <w:pStyle w:val="1081"/>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multas moratórias e punitivas aplicadas pela Administração à contratada; e  </w:t>
      </w:r>
      <w:r>
        <w:rPr>
          <w:rFonts w:ascii="Cambria" w:hAnsi="Cambria" w:cs="Cambria"/>
          <w:sz w:val="14"/>
          <w:szCs w:val="14"/>
        </w:rPr>
      </w:r>
      <w:r/>
    </w:p>
    <w:p>
      <w:pPr>
        <w:pStyle w:val="1081"/>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obrigações trabalhistas e previdenciárias de qualquer natureza e para com o FGTS, não adimplidas pelo contratado, quando couber.</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 modalidade seguro-garantia somente será aceita se contemplar todos os eventos indicados no item </w:t>
      </w:r>
      <w:r>
        <w:rPr>
          <w:rFonts w:ascii="Cambria" w:hAnsi="Cambria" w:cs="Cambria"/>
          <w:color w:val="000000" w:themeColor="text1"/>
          <w:sz w:val="14"/>
          <w:szCs w:val="14"/>
        </w:rPr>
        <w:fldChar w:fldCharType="begin"/>
      </w:r>
      <w:r>
        <w:rPr>
          <w:rFonts w:ascii="Cambria" w:hAnsi="Cambria" w:cs="Cambria"/>
          <w:color w:val="000000" w:themeColor="text1"/>
          <w:sz w:val="14"/>
          <w:szCs w:val="14"/>
        </w:rPr>
        <w:instrText xml:space="preserve"> REF _Ref118297166 \r \h  \* MERGEFORMAT </w:instrText>
      </w:r>
      <w:r>
        <w:rPr>
          <w:rFonts w:ascii="Cambria" w:hAnsi="Cambria" w:cs="Cambria"/>
          <w:color w:val="000000" w:themeColor="text1"/>
          <w:sz w:val="14"/>
          <w:szCs w:val="14"/>
        </w:rPr>
        <w:fldChar w:fldCharType="separate"/>
      </w:r>
      <w:r>
        <w:rPr>
          <w:rFonts w:ascii="Cambria" w:hAnsi="Cambria" w:cs="Cambria"/>
          <w:color w:val="000000" w:themeColor="text1"/>
          <w:sz w:val="14"/>
          <w:szCs w:val="14"/>
        </w:rPr>
        <w:t xml:space="preserve">11.11</w:t>
      </w:r>
      <w:r>
        <w:rPr>
          <w:rFonts w:ascii="Cambria" w:hAnsi="Cambria" w:cs="Cambria"/>
          <w:color w:val="000000" w:themeColor="text1"/>
          <w:sz w:val="14"/>
          <w:szCs w:val="14"/>
        </w:rPr>
        <w:fldChar w:fldCharType="end"/>
      </w:r>
      <w:r>
        <w:rPr>
          <w:rFonts w:ascii="Cambria" w:hAnsi="Cambria" w:cs="Cambria"/>
          <w:color w:val="000000" w:themeColor="text1"/>
          <w:sz w:val="14"/>
          <w:szCs w:val="14"/>
        </w:rPr>
        <w:t xml:space="preserve">, observada a legislação que rege a matéria. </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t xml:space="preserve">A garantia em dinheiro deverá ser efetuada em favor do contratante, em conta específica no Banco do estado do Rio Grande do Sul _ Banrisul, com correção monetária.</w:t>
      </w:r>
      <w:r>
        <w:rPr>
          <w:rFonts w:ascii="Cambria" w:hAnsi="Cambria" w:cs="Cambria"/>
          <w:sz w:val="14"/>
          <w:szCs w:val="14"/>
        </w:rPr>
      </w:r>
      <w:r/>
    </w:p>
    <w:p>
      <w:pPr>
        <w:pStyle w:val="1080"/>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Caso a opção seja por utilizar títulos da dí</w:t>
      </w:r>
      <w:r>
        <w:rPr>
          <w:rFonts w:ascii="Cambria" w:hAnsi="Cambria" w:cs="Cambria"/>
          <w:color w:val="000000" w:themeColor="text1"/>
          <w:sz w:val="14"/>
          <w:szCs w:val="14"/>
          <w:highlight w:val="none"/>
        </w:rPr>
        <w:t xml:space="preserve">vida pública, estes devem ter sido emitidos sob a forma escritural, mediante registro em sistema centralizado de liquidação e de custódia autorizado pelo Banco Central do Brasil, e avaliados pelos seus valores econômicos, conforme definido pelo Ministério </w:t>
      </w:r>
      <w:r>
        <w:rPr>
          <w:rFonts w:ascii="Cambria" w:hAnsi="Cambria" w:cs="Cambria"/>
          <w:color w:val="000000" w:themeColor="text1"/>
          <w:sz w:val="14"/>
          <w:szCs w:val="14"/>
          <w:highlight w:val="none"/>
        </w:rPr>
        <w:t xml:space="preserve">competente</w:t>
      </w:r>
      <w:r>
        <w:rPr>
          <w:rFonts w:ascii="Cambria" w:hAnsi="Cambria" w:cs="Cambria"/>
          <w:color w:val="000000" w:themeColor="text1"/>
          <w:sz w:val="14"/>
          <w:szCs w:val="14"/>
          <w:highlight w:val="none"/>
        </w:rPr>
        <w:t xml:space="preserve">.</w:t>
      </w:r>
      <w:r>
        <w:rPr>
          <w:rFonts w:ascii="Cambria" w:hAnsi="Cambria" w:cs="Cambria"/>
          <w:sz w:val="14"/>
          <w:szCs w:val="14"/>
        </w:rPr>
      </w:r>
      <w:r/>
    </w:p>
    <w:p>
      <w:pPr>
        <w:pStyle w:val="1080"/>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85" w:tooltip="https://www.planalto.gov.br/ccivil_03/leis/2002/l10406compilada.htm#art827" w:anchor="art827" w:history="1">
        <w:r>
          <w:rPr>
            <w:rStyle w:val="988"/>
            <w:rFonts w:ascii="Cambria" w:hAnsi="Cambria" w:cs="Cambria"/>
            <w:color w:val="000000" w:themeColor="text1"/>
            <w:sz w:val="14"/>
            <w:szCs w:val="14"/>
            <w:highlight w:val="none"/>
          </w:rPr>
          <w:t xml:space="preserve">artigo 827 do Código Civil.</w:t>
        </w:r>
      </w:hyperlink>
      <w:r>
        <w:rPr>
          <w:rFonts w:ascii="Cambria" w:hAnsi="Cambria" w:cs="Cambria"/>
          <w:sz w:val="14"/>
          <w:szCs w:val="14"/>
        </w:rPr>
      </w:r>
      <w:r/>
    </w:p>
    <w:p>
      <w:pPr>
        <w:pStyle w:val="1080"/>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No caso de alteração do valor do contrato, ou prorrogação de sua vigência, a garantia deverá ser ajustada ou renovada, seguindo os mesmos parâmetros utilizados quando da contratação. </w:t>
      </w:r>
      <w:r>
        <w:rPr>
          <w:rFonts w:ascii="Cambria" w:hAnsi="Cambria" w:cs="Cambria"/>
          <w:sz w:val="14"/>
          <w:szCs w:val="14"/>
        </w:rPr>
      </w:r>
      <w:r/>
    </w:p>
    <w:p>
      <w:pPr>
        <w:pStyle w:val="1080"/>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Se o valor da garantia for utilizado total ou parcialmente em pagamento de qualquer obrigação, o Contratado obriga-se a fazer a respectiva reposição no prazo máximo de 30 (trinta) dias úteis, contados da data em que for notificada.</w:t>
      </w:r>
      <w:r>
        <w:rPr>
          <w:rFonts w:ascii="Cambria" w:hAnsi="Cambria" w:cs="Cambria"/>
          <w:sz w:val="14"/>
          <w:szCs w:val="14"/>
        </w:rPr>
      </w:r>
      <w:r/>
    </w:p>
    <w:p>
      <w:pPr>
        <w:pStyle w:val="1080"/>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O Contratante executará a garantia na forma prevista na legislação que rege a matéria.</w:t>
      </w:r>
      <w:r>
        <w:rPr>
          <w:rFonts w:ascii="Cambria" w:hAnsi="Cambria" w:cs="Cambria"/>
          <w:sz w:val="14"/>
          <w:szCs w:val="14"/>
        </w:rPr>
      </w:r>
      <w:r/>
    </w:p>
    <w:p>
      <w:pPr>
        <w:pStyle w:val="1081"/>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O emitente da garantia ofertada pelo contratado deverá ser notificado pelo contratante quanto ao início de processo administrativo para apuração de descumprimento de cláusulas contratuais (</w:t>
      </w:r>
      <w:hyperlink r:id="rId86" w:tooltip="http://www.planalto.gov.br/ccivil_03/_ato2019-2022/2021/lei/L14133.htm#art137§4" w:anchor="art137§4" w:history="1">
        <w:r>
          <w:rPr>
            <w:rStyle w:val="988"/>
            <w:rFonts w:ascii="Cambria" w:hAnsi="Cambria" w:cs="Cambria"/>
            <w:color w:val="000000" w:themeColor="text1"/>
            <w:sz w:val="14"/>
            <w:szCs w:val="14"/>
            <w:highlight w:val="none"/>
          </w:rPr>
          <w:t xml:space="preserve">art. 137, § 4º, da Lei n.º 14.133, de 2021</w:t>
        </w:r>
      </w:hyperlink>
      <w:r>
        <w:rPr>
          <w:rFonts w:ascii="Cambria" w:hAnsi="Cambria" w:cs="Cambria"/>
          <w:color w:val="000000" w:themeColor="text1"/>
          <w:sz w:val="14"/>
          <w:szCs w:val="14"/>
          <w:highlight w:val="none"/>
        </w:rPr>
        <w:t xml:space="preserve">).</w:t>
      </w:r>
      <w:r>
        <w:rPr>
          <w:rFonts w:ascii="Cambria" w:hAnsi="Cambria" w:cs="Cambria"/>
          <w:sz w:val="14"/>
          <w:szCs w:val="14"/>
        </w:rPr>
      </w:r>
      <w:r/>
    </w:p>
    <w:p>
      <w:pPr>
        <w:pStyle w:val="1081"/>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Caso se trate da modalidade seguro-garantia, ocorrido o sinistro du</w:t>
      </w:r>
      <w:r>
        <w:rPr>
          <w:rFonts w:ascii="Cambria" w:hAnsi="Cambria" w:cs="Cambria"/>
          <w:color w:val="000000" w:themeColor="text1"/>
          <w:sz w:val="14"/>
          <w:szCs w:val="14"/>
          <w:highlight w:val="none"/>
        </w:rPr>
        <w:t xml:space="preserve">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7" w:tooltip="https://www.in.gov.br/en/web/dou/-/circular-susep-n-662-de-11-de-abril-de-2022-392772088#art20" w:anchor="art20" w:history="1">
        <w:r>
          <w:rPr>
            <w:rStyle w:val="988"/>
            <w:rFonts w:ascii="Cambria" w:hAnsi="Cambria" w:cs="Cambria"/>
            <w:color w:val="000000" w:themeColor="text1"/>
            <w:sz w:val="14"/>
            <w:szCs w:val="14"/>
            <w:highlight w:val="none"/>
          </w:rPr>
          <w:t xml:space="preserve">art. 20 da Circular Susep n° 662, de 11 de abril de 2022</w:t>
        </w:r>
      </w:hyperlink>
      <w:r>
        <w:rPr>
          <w:rFonts w:ascii="Cambria" w:hAnsi="Cambria" w:cs="Cambria"/>
          <w:color w:val="000000" w:themeColor="text1"/>
          <w:sz w:val="14"/>
          <w:szCs w:val="14"/>
          <w:highlight w:val="none"/>
        </w:rPr>
        <w:t xml:space="preserve">.</w:t>
      </w:r>
      <w:r>
        <w:rPr>
          <w:rFonts w:ascii="Cambria" w:hAnsi="Cambria" w:cs="Cambria"/>
          <w:sz w:val="14"/>
          <w:szCs w:val="14"/>
        </w:rPr>
      </w:r>
      <w:r/>
    </w:p>
    <w:p>
      <w:pPr>
        <w:pStyle w:val="1080"/>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Extinguir-se-á a garantia com a restituiç</w:t>
      </w:r>
      <w:r>
        <w:rPr>
          <w:rFonts w:ascii="Cambria" w:hAnsi="Cambria" w:cs="Cambria"/>
          <w:color w:val="000000" w:themeColor="text1"/>
          <w:sz w:val="14"/>
          <w:szCs w:val="14"/>
          <w:highlight w:val="none"/>
        </w:rPr>
        <w:t xml:space="preserve">ão da apólice, carta fiança ou autorização para a liberação de importâncias depositadas em dinheiro a título de garantia, acompanhada de declaração do contratante, mediante termo circunstanciado, de que o contratado cumpriu todas as cláusulas do contrato; </w:t>
      </w:r>
      <w:r>
        <w:rPr>
          <w:rFonts w:ascii="Cambria" w:hAnsi="Cambria" w:cs="Cambria"/>
          <w:sz w:val="14"/>
          <w:szCs w:val="14"/>
        </w:rPr>
      </w:r>
      <w:r/>
    </w:p>
    <w:p>
      <w:pPr>
        <w:pStyle w:val="1080"/>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A garantia somente será liberada ou restituída após a fiel execução do contrato ou após a sua extinção por culpa exclusiva da Administração e, quando em dinheiro, será atualizada monetariamente.</w:t>
      </w:r>
      <w:r>
        <w:rPr>
          <w:rFonts w:ascii="Cambria" w:hAnsi="Cambria" w:cs="Cambria"/>
          <w:sz w:val="14"/>
          <w:szCs w:val="14"/>
        </w:rPr>
      </w:r>
      <w:r/>
    </w:p>
    <w:p>
      <w:pPr>
        <w:pStyle w:val="1080"/>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O garantidor não é parte para figurar em processo administrativo instaurado pelo contratante com o objetivo de apurar prejuízos e/ou aplicar sanções à contratada. </w:t>
      </w:r>
      <w:r>
        <w:rPr>
          <w:rFonts w:ascii="Cambria" w:hAnsi="Cambria" w:cs="Cambria"/>
          <w:sz w:val="14"/>
          <w:szCs w:val="14"/>
        </w:rPr>
      </w:r>
      <w:r/>
    </w:p>
    <w:p>
      <w:pPr>
        <w:pStyle w:val="1080"/>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O contratado autoriza o contratante a reter, a qualquer tempo, a garantia, na forma prevista no Edital e neste Contrato.</w:t>
      </w:r>
      <w:r>
        <w:rPr>
          <w:rFonts w:ascii="Cambria" w:hAnsi="Cambria" w:cs="Cambria"/>
          <w:sz w:val="14"/>
          <w:szCs w:val="14"/>
        </w:rPr>
      </w:r>
      <w:r/>
    </w:p>
    <w:p>
      <w:pPr>
        <w:pStyle w:val="1080"/>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A garantia de execução é independente de eventual garantia do </w:t>
      </w:r>
      <w:r>
        <w:rPr>
          <w:rFonts w:ascii="Cambria" w:hAnsi="Cambria" w:cs="Cambria"/>
          <w:color w:val="000000" w:themeColor="text1"/>
          <w:sz w:val="14"/>
          <w:szCs w:val="14"/>
          <w:highlight w:val="none"/>
        </w:rPr>
        <w:t xml:space="preserve"> serviço</w:t>
      </w:r>
      <w:r>
        <w:rPr>
          <w:rFonts w:ascii="Cambria" w:hAnsi="Cambria" w:cs="Cambria"/>
          <w:color w:val="000000" w:themeColor="text1"/>
          <w:sz w:val="14"/>
          <w:szCs w:val="14"/>
          <w:highlight w:val="none"/>
        </w:rPr>
        <w:t xml:space="preserve"> </w:t>
      </w:r>
      <w:r>
        <w:rPr>
          <w:rFonts w:ascii="Cambria" w:hAnsi="Cambria" w:cs="Cambria"/>
          <w:color w:val="000000" w:themeColor="text1"/>
          <w:sz w:val="14"/>
          <w:szCs w:val="14"/>
          <w:highlight w:val="none"/>
        </w:rPr>
        <w:t xml:space="preserve">prevista especificamente no Termo de Referência.</w:t>
      </w:r>
      <w:r>
        <w:rPr>
          <w:rFonts w:ascii="Cambria" w:hAnsi="Cambria" w:cs="Cambria"/>
          <w:sz w:val="14"/>
          <w:szCs w:val="14"/>
        </w:rPr>
      </w:r>
      <w:r/>
    </w:p>
    <w:p>
      <w:pPr>
        <w:pStyle w:val="1010"/>
        <w:ind w:left="0" w:right="0" w:firstLine="0"/>
        <w:rPr>
          <w:rFonts w:ascii="Cambria" w:hAnsi="Cambria" w:cs="Cambria"/>
          <w:sz w:val="14"/>
          <w:szCs w:val="14"/>
        </w:rPr>
      </w:pPr>
      <w:r>
        <w:rPr>
          <w:rFonts w:ascii="Cambria" w:hAnsi="Cambria" w:cs="Cambria"/>
          <w:sz w:val="14"/>
          <w:szCs w:val="14"/>
        </w:rPr>
        <w:t xml:space="preserve">CLÁUSULA DÉCIMA SEGUNDA – INFRAÇÕES E SANÇÕES ADMINISTRATIVAS (</w:t>
      </w:r>
      <w:hyperlink r:id="rId88" w:tooltip="http://www.planalto.gov.br/ccivil_03/_ato2019-2022/2021/lei/L14133.htm#art92" w:anchor="art92" w:history="1">
        <w:r>
          <w:rPr>
            <w:rStyle w:val="988"/>
            <w:rFonts w:ascii="Cambria" w:hAnsi="Cambria" w:cs="Cambria"/>
            <w:sz w:val="14"/>
            <w:szCs w:val="14"/>
          </w:rPr>
          <w:t xml:space="preserve">art. 92, XIV</w:t>
        </w:r>
      </w:hyperlink>
      <w:r>
        <w:rPr>
          <w:rFonts w:ascii="Cambria" w:hAnsi="Cambria" w:cs="Cambria"/>
          <w:sz w:val="14"/>
          <w:szCs w:val="14"/>
        </w:rPr>
        <w:t xml:space="preserv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Comete infração administrativa, nos termos da </w:t>
      </w:r>
      <w:hyperlink r:id="rId89" w:tooltip="http://www.planalto.gov.br/ccivil_03/_ato2019-2022/2021/lei/L14133.htm" w:history="1">
        <w:r>
          <w:rPr>
            <w:rStyle w:val="988"/>
            <w:rFonts w:ascii="Cambria" w:hAnsi="Cambria" w:cs="Cambria"/>
            <w:sz w:val="14"/>
            <w:szCs w:val="14"/>
          </w:rPr>
          <w:t xml:space="preserve">Lei nº 14.133, de 2021</w:t>
        </w:r>
      </w:hyperlink>
      <w:r>
        <w:rPr>
          <w:rFonts w:ascii="Cambria" w:hAnsi="Cambria" w:cs="Cambria"/>
          <w:sz w:val="14"/>
          <w:szCs w:val="14"/>
        </w:rPr>
        <w:t xml:space="preserve">, o contratado que:</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der causa à inexecução parcial do contrato;</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der causa à inexecução parcial do contrato que cause grave dano à Administração ou ao funcionamento dos serviços públicos ou ao interesse coletivo;</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der causa à inexecução total do contrato;</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ensejar o retardamento da execução ou da entrega do objeto da contratação sem motivo justificado;</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apresentar documentação falsa ou prestar declaração falsa durante a execução do contrato;</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praticar ato fraudulento na execução do contrato;</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comportar-se de modo inidôneo ou cometer fraude de qualquer natureza;</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praticar ato lesivo previsto no </w:t>
      </w:r>
      <w:hyperlink r:id="rId90" w:tooltip="https://www.planalto.gov.br/ccivil_03/_ato2011-2014/2013/lei/l12846.htm#art5" w:anchor="art5" w:history="1">
        <w:r>
          <w:rPr>
            <w:rStyle w:val="988"/>
            <w:rFonts w:ascii="Cambria" w:hAnsi="Cambria" w:eastAsia="Arial" w:cs="Cambria"/>
            <w:sz w:val="14"/>
            <w:szCs w:val="14"/>
          </w:rPr>
          <w:t xml:space="preserve">art. 5º da Lei nº 12.846, de 1º de agosto de 2013</w:t>
        </w:r>
      </w:hyperlink>
      <w:r>
        <w:rPr>
          <w:rFonts w:ascii="Cambria" w:hAnsi="Cambria" w:eastAsia="Arial" w:cs="Cambria"/>
          <w:sz w:val="14"/>
          <w:szCs w:val="14"/>
        </w:rPr>
        <w:t xml:space="preserv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Serão </w:t>
      </w:r>
      <w:r>
        <w:rPr>
          <w:rFonts w:ascii="Cambria" w:hAnsi="Cambria" w:cs="Cambria"/>
          <w:sz w:val="14"/>
          <w:szCs w:val="14"/>
        </w:rPr>
        <w:t xml:space="preserve">aplicadas</w:t>
      </w:r>
      <w:r>
        <w:rPr>
          <w:rFonts w:ascii="Cambria" w:hAnsi="Cambria" w:cs="Cambria"/>
          <w:sz w:val="14"/>
          <w:szCs w:val="14"/>
        </w:rPr>
        <w:t xml:space="preserve"> ao contratado que incorrer nas infrações acima descritas as seguintes sanções:</w:t>
      </w:r>
      <w:r>
        <w:rPr>
          <w:rFonts w:ascii="Cambria" w:hAnsi="Cambria" w:cs="Cambria"/>
          <w:sz w:val="14"/>
          <w:szCs w:val="14"/>
        </w:rPr>
      </w:r>
      <w:r/>
    </w:p>
    <w:p>
      <w:pPr>
        <w:numPr>
          <w:ilvl w:val="2"/>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b/>
          <w:bCs/>
          <w:sz w:val="14"/>
          <w:szCs w:val="14"/>
        </w:rPr>
        <w:t xml:space="preserve">Advertência</w:t>
      </w:r>
      <w:r>
        <w:rPr>
          <w:rFonts w:ascii="Cambria" w:hAnsi="Cambria" w:eastAsia="Arial" w:cs="Cambria"/>
          <w:sz w:val="14"/>
          <w:szCs w:val="14"/>
        </w:rPr>
        <w:t xml:space="preserve">, quando o contratado der causa à inexecução parcial do contrato, sempre que não se justificar a imposição de penalidade mais grave (</w:t>
      </w:r>
      <w:hyperlink r:id="rId91" w:tooltip="http://www.planalto.gov.br/ccivil_03/_ato2019-2022/2021/lei/L14133.htm#art156§2" w:anchor="art156§2" w:history="1">
        <w:r>
          <w:rPr>
            <w:rStyle w:val="988"/>
            <w:rFonts w:ascii="Cambria" w:hAnsi="Cambria" w:eastAsia="Arial" w:cs="Cambria"/>
            <w:sz w:val="14"/>
            <w:szCs w:val="14"/>
          </w:rPr>
          <w:t xml:space="preserve">art. 156, §2º, da </w:t>
        </w:r>
        <w:bookmarkStart w:id="0" w:name="undefined"/>
        <w:r>
          <w:rPr>
            <w:rStyle w:val="988"/>
            <w:rFonts w:ascii="Cambria" w:hAnsi="Cambria" w:eastAsia="Arial" w:cs="Cambria"/>
            <w:sz w:val="14"/>
            <w:szCs w:val="14"/>
          </w:rPr>
          <w:t xml:space="preserve">Lei nº 14.133, de 2021</w:t>
        </w:r>
        <w:bookmarkEnd w:id="0"/>
      </w:hyperlink>
      <w:r>
        <w:rPr>
          <w:rFonts w:ascii="Cambria" w:hAnsi="Cambria" w:eastAsia="Arial" w:cs="Cambria"/>
          <w:sz w:val="14"/>
          <w:szCs w:val="14"/>
        </w:rPr>
        <w:t xml:space="preserve">);</w:t>
      </w:r>
      <w:r>
        <w:rPr>
          <w:rFonts w:ascii="Cambria" w:hAnsi="Cambria" w:cs="Cambria"/>
          <w:sz w:val="14"/>
          <w:szCs w:val="14"/>
        </w:rPr>
      </w:r>
      <w:r/>
    </w:p>
    <w:p>
      <w:pPr>
        <w:numPr>
          <w:ilvl w:val="2"/>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b/>
          <w:bCs/>
          <w:sz w:val="14"/>
          <w:szCs w:val="14"/>
        </w:rPr>
        <w:t xml:space="preserve">Impedimento de licitar e contratar</w:t>
      </w:r>
      <w:r>
        <w:rPr>
          <w:rFonts w:ascii="Cambria" w:hAnsi="Cambria" w:eastAsia="Arial" w:cs="Cambria"/>
          <w:sz w:val="14"/>
          <w:szCs w:val="14"/>
        </w:rPr>
        <w:t xml:space="preserve">, quando praticadas as condutas descritas nas alíneas “b”, “c” e “d” do subitem acima deste Contrato, sempre que não se justificar a imposição de penalidade mais grave (</w:t>
      </w:r>
      <w:hyperlink r:id="rId92" w:tooltip="http://www.planalto.gov.br/ccivil_03/_ato2019-2022/2021/lei/L14133.htm#art156§4" w:anchor="art156§4" w:history="1">
        <w:r>
          <w:rPr>
            <w:rStyle w:val="988"/>
            <w:rFonts w:ascii="Cambria" w:hAnsi="Cambria" w:eastAsia="Arial" w:cs="Cambria"/>
            <w:sz w:val="14"/>
            <w:szCs w:val="14"/>
          </w:rPr>
          <w:t xml:space="preserve">art. 156, § 4º, da Lei nº 14.133, de 2021</w:t>
        </w:r>
      </w:hyperlink>
      <w:r>
        <w:rPr>
          <w:rFonts w:ascii="Cambria" w:hAnsi="Cambria" w:eastAsia="Arial" w:cs="Cambria"/>
          <w:sz w:val="14"/>
          <w:szCs w:val="14"/>
        </w:rPr>
        <w:t xml:space="preserve">);</w:t>
      </w:r>
      <w:r>
        <w:rPr>
          <w:rFonts w:ascii="Cambria" w:hAnsi="Cambria" w:cs="Cambria"/>
          <w:sz w:val="14"/>
          <w:szCs w:val="14"/>
        </w:rPr>
      </w:r>
      <w:r/>
    </w:p>
    <w:p>
      <w:pPr>
        <w:numPr>
          <w:ilvl w:val="2"/>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b/>
          <w:bCs/>
          <w:sz w:val="14"/>
          <w:szCs w:val="14"/>
        </w:rPr>
        <w:t xml:space="preserve">Declaração de inidoneidade para licitar e contratar</w:t>
      </w:r>
      <w:r>
        <w:rPr>
          <w:rFonts w:ascii="Cambria" w:hAnsi="Cambria" w:eastAsia="Arial" w:cs="Cambria"/>
          <w:sz w:val="14"/>
          <w:szCs w:val="14"/>
        </w:rPr>
        <w:t xml:space="preserve">, quando praticadas as condutas descritas nas alíneas “e”, “f”, “g” e “h” do subitem acima deste Contrato, bem como nas alíneas “b”, “c” e “d”, que justifiquem a imposição de penalidade mais grave (</w:t>
      </w:r>
      <w:hyperlink r:id="rId93" w:tooltip="http://www.planalto.gov.br/ccivil_03/_ato2019-2022/2021/lei/L14133.htm#art156§5" w:anchor="art156§5" w:history="1">
        <w:r>
          <w:rPr>
            <w:rStyle w:val="988"/>
            <w:rFonts w:ascii="Cambria" w:hAnsi="Cambria" w:eastAsia="Arial" w:cs="Cambria"/>
            <w:sz w:val="14"/>
            <w:szCs w:val="14"/>
          </w:rPr>
          <w:t xml:space="preserve">art. 156, §5º, da Lei nº 14.133, de 2021</w:t>
        </w:r>
      </w:hyperlink>
      <w:r>
        <w:rPr>
          <w:rFonts w:ascii="Cambria" w:hAnsi="Cambria" w:eastAsia="Arial" w:cs="Cambria"/>
          <w:sz w:val="14"/>
          <w:szCs w:val="14"/>
        </w:rPr>
        <w:t xml:space="preserve">).</w:t>
      </w:r>
      <w:r>
        <w:rPr>
          <w:rFonts w:ascii="Cambria" w:hAnsi="Cambria" w:cs="Cambria"/>
          <w:sz w:val="14"/>
          <w:szCs w:val="14"/>
        </w:rPr>
      </w:r>
      <w:r/>
    </w:p>
    <w:p>
      <w:pPr>
        <w:numPr>
          <w:ilvl w:val="2"/>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b/>
          <w:bCs/>
          <w:sz w:val="14"/>
          <w:szCs w:val="14"/>
        </w:rPr>
        <w:t xml:space="preserve">Multa:</w:t>
      </w:r>
      <w:r>
        <w:rPr>
          <w:rFonts w:ascii="Cambria" w:hAnsi="Cambria" w:cs="Cambria"/>
          <w:sz w:val="14"/>
          <w:szCs w:val="14"/>
        </w:rPr>
      </w:r>
      <w:r/>
    </w:p>
    <w:p>
      <w:pPr>
        <w:numPr>
          <w:ilvl w:val="3"/>
          <w:numId w:val="15"/>
        </w:numPr>
        <w:contextualSpacing/>
        <w:ind w:left="0" w:right="0" w:firstLine="0"/>
        <w:jc w:val="both"/>
        <w:spacing w:before="120" w:after="120" w:line="276" w:lineRule="auto"/>
        <w:rPr>
          <w:rFonts w:ascii="Cambria" w:hAnsi="Cambria" w:cs="Cambria"/>
          <w:color w:val="000000" w:themeColor="text1"/>
          <w:sz w:val="14"/>
          <w:szCs w:val="14"/>
          <w:highlight w:val="white"/>
        </w:rPr>
      </w:pPr>
      <w:r>
        <w:rPr>
          <w:rFonts w:ascii="Cambria" w:hAnsi="Cambria" w:eastAsia="Arial" w:cs="Cambria"/>
          <w:i/>
          <w:iCs/>
          <w:color w:val="000000" w:themeColor="text1"/>
          <w:sz w:val="14"/>
          <w:szCs w:val="14"/>
          <w:highlight w:val="white"/>
        </w:rPr>
        <w:t xml:space="preserve">M</w:t>
      </w:r>
      <w:r>
        <w:rPr>
          <w:rFonts w:ascii="Cambria" w:hAnsi="Cambria" w:eastAsia="Arial" w:cs="Cambria"/>
          <w:i/>
          <w:iCs/>
          <w:color w:val="000000" w:themeColor="text1"/>
          <w:sz w:val="14"/>
          <w:szCs w:val="14"/>
          <w:highlight w:val="white"/>
        </w:rPr>
        <w:t xml:space="preserve">oratória de </w:t>
      </w:r>
      <w:r>
        <w:rPr>
          <w:rFonts w:ascii="Cambria" w:hAnsi="Cambria" w:eastAsia="Arial" w:cs="Cambria"/>
          <w:i/>
          <w:iCs/>
          <w:color w:val="000000" w:themeColor="text1"/>
          <w:sz w:val="14"/>
          <w:szCs w:val="14"/>
          <w:highlight w:val="white"/>
        </w:rPr>
        <w:t xml:space="preserve">0,07% (sete centésimos por cento) do valor total do contrato por dia de atraso</w:t>
      </w:r>
      <w:r>
        <w:rPr>
          <w:rFonts w:ascii="Cambria" w:hAnsi="Cambria" w:eastAsia="Arial" w:cs="Cambria"/>
          <w:i/>
          <w:iCs/>
          <w:color w:val="000000" w:themeColor="text1"/>
          <w:sz w:val="14"/>
          <w:szCs w:val="14"/>
          <w:highlight w:val="white"/>
        </w:rPr>
        <w:t xml:space="preserve"> injustificado</w:t>
      </w:r>
      <w:r>
        <w:rPr>
          <w:rFonts w:ascii="Cambria" w:hAnsi="Cambria" w:eastAsia="Arial" w:cs="Cambria"/>
          <w:i/>
          <w:iCs/>
          <w:color w:val="000000" w:themeColor="text1"/>
          <w:sz w:val="14"/>
          <w:szCs w:val="14"/>
          <w:highlight w:val="white"/>
        </w:rPr>
        <w:t xml:space="preserve">, até o máximo de 2% (dois por cento),</w:t>
      </w:r>
      <w:r>
        <w:rPr>
          <w:rFonts w:ascii="Cambria" w:hAnsi="Cambria" w:eastAsia="Arial" w:cs="Cambria"/>
          <w:i/>
          <w:iCs/>
          <w:color w:val="000000" w:themeColor="text1"/>
          <w:sz w:val="14"/>
          <w:szCs w:val="14"/>
          <w:highlight w:val="white"/>
        </w:rPr>
        <w:t xml:space="preserve"> pela inobservância do prazo fixado para apresentação, suplementação ou reposição da garantia. </w:t>
      </w:r>
      <w:r>
        <w:rPr>
          <w:rFonts w:ascii="Cambria" w:hAnsi="Cambria" w:cs="Cambria"/>
          <w:sz w:val="14"/>
          <w:szCs w:val="14"/>
        </w:rPr>
      </w:r>
      <w:r/>
    </w:p>
    <w:p>
      <w:pPr>
        <w:numPr>
          <w:ilvl w:val="7"/>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i/>
          <w:iCs/>
          <w:color w:val="000000" w:themeColor="text1"/>
          <w:sz w:val="14"/>
          <w:szCs w:val="14"/>
          <w:highlight w:val="white"/>
        </w:rPr>
        <w:t xml:space="preserve">O atraso superior a </w:t>
      </w:r>
      <w:r>
        <w:rPr>
          <w:rFonts w:ascii="Cambria" w:hAnsi="Cambria" w:eastAsia="Arial" w:cs="Cambria"/>
          <w:i/>
          <w:iCs/>
          <w:color w:val="000000" w:themeColor="text1"/>
          <w:sz w:val="14"/>
          <w:szCs w:val="14"/>
          <w:highlight w:val="white"/>
        </w:rPr>
        <w:t xml:space="preserve">25 (vinte e cinco)</w:t>
      </w:r>
      <w:r>
        <w:rPr>
          <w:rFonts w:ascii="Cambria" w:hAnsi="Cambria" w:eastAsia="Arial" w:cs="Cambria"/>
          <w:i/>
          <w:iCs/>
          <w:color w:val="000000" w:themeColor="text1"/>
          <w:sz w:val="14"/>
          <w:szCs w:val="14"/>
          <w:highlight w:val="white"/>
        </w:rPr>
        <w:t xml:space="preserve"> </w:t>
      </w:r>
      <w:r>
        <w:rPr>
          <w:rFonts w:ascii="Cambria" w:hAnsi="Cambria" w:eastAsia="Arial" w:cs="Cambria"/>
          <w:i/>
          <w:iCs/>
          <w:color w:val="000000" w:themeColor="text1"/>
          <w:sz w:val="14"/>
          <w:szCs w:val="14"/>
          <w:highlight w:val="white"/>
        </w:rPr>
        <w:t xml:space="preserve">dias autoriza a Administração a promover a extinção do contrato por descumprimento ou cumprimento irregular de suas cláusulas, conforme dispõe o</w:t>
      </w:r>
      <w:r>
        <w:rPr>
          <w:rFonts w:ascii="Cambria" w:hAnsi="Cambria" w:eastAsia="Arial" w:cs="Cambria"/>
          <w:i/>
          <w:iCs/>
          <w:color w:val="ff0000"/>
          <w:sz w:val="14"/>
          <w:szCs w:val="14"/>
        </w:rPr>
        <w:t xml:space="preserve"> </w:t>
      </w:r>
      <w:hyperlink r:id="rId94" w:tooltip="http://www.planalto.gov.br/ccivil_03/_ato2019-2022/2021/lei/L14133.htm#art137" w:anchor="art137" w:history="1">
        <w:r>
          <w:rPr>
            <w:rStyle w:val="988"/>
            <w:rFonts w:ascii="Cambria" w:hAnsi="Cambria" w:eastAsia="Arial" w:cs="Cambria"/>
            <w:i/>
            <w:iCs/>
            <w:sz w:val="14"/>
            <w:szCs w:val="14"/>
          </w:rPr>
          <w:t xml:space="preserve">inciso I do art. 137 da Lei n. 14.133, de 2021</w:t>
        </w:r>
      </w:hyperlink>
      <w:r>
        <w:rPr>
          <w:rFonts w:ascii="Cambria" w:hAnsi="Cambria" w:eastAsia="Arial" w:cs="Cambria"/>
          <w:i/>
          <w:iCs/>
          <w:color w:val="ff0000"/>
          <w:sz w:val="14"/>
          <w:szCs w:val="14"/>
        </w:rPr>
        <w:t xml:space="preserve">. </w:t>
      </w:r>
      <w:r>
        <w:rPr>
          <w:rFonts w:ascii="Cambria" w:hAnsi="Cambria" w:cs="Cambria"/>
          <w:sz w:val="14"/>
          <w:szCs w:val="14"/>
        </w:rPr>
      </w:r>
      <w:r/>
    </w:p>
    <w:p>
      <w:pPr>
        <w:numPr>
          <w:ilvl w:val="3"/>
          <w:numId w:val="15"/>
        </w:numPr>
        <w:contextualSpacing/>
        <w:ind w:left="0" w:right="0" w:firstLine="0"/>
        <w:jc w:val="both"/>
        <w:spacing w:before="120" w:after="120" w:line="276" w:lineRule="auto"/>
        <w:rPr>
          <w:rFonts w:ascii="Cambria" w:hAnsi="Cambria" w:cs="Cambria"/>
          <w:sz w:val="14"/>
          <w:szCs w:val="14"/>
        </w:rPr>
      </w:pPr>
      <w:r>
        <w:rPr>
          <w:rFonts w:ascii="Cambria" w:hAnsi="Cambria" w:cs="Cambria"/>
          <w:sz w:val="14"/>
          <w:szCs w:val="14"/>
        </w:rPr>
      </w:r>
      <w:r>
        <w:rPr>
          <w:rFonts w:ascii="Cambria" w:hAnsi="Cambria" w:eastAsia="Arial" w:cs="Cambria"/>
          <w:sz w:val="14"/>
          <w:szCs w:val="14"/>
        </w:rPr>
        <w:t xml:space="preserve">Compensatória, para as infrações descritas nas alíneas “e” a “h” do subitem 12.1, de</w:t>
      </w:r>
      <w:r>
        <w:rPr>
          <w:rFonts w:ascii="Cambria" w:hAnsi="Cambria" w:eastAsia="Arial" w:cs="Cambria"/>
          <w:sz w:val="14"/>
          <w:szCs w:val="14"/>
        </w:rPr>
        <w:t xml:space="preserve"> 10</w:t>
      </w:r>
      <w:r>
        <w:rPr>
          <w:rFonts w:ascii="Cambria" w:hAnsi="Cambria" w:eastAsia="Arial" w:cs="Cambria"/>
          <w:sz w:val="14"/>
          <w:szCs w:val="14"/>
        </w:rPr>
        <w:t xml:space="preserve">% a30% do valor do Contrato.</w:t>
      </w:r>
      <w:r>
        <w:rPr>
          <w:rFonts w:ascii="Cambria" w:hAnsi="Cambria" w:cs="Cambria"/>
          <w:sz w:val="14"/>
          <w:szCs w:val="14"/>
        </w:rPr>
      </w:r>
      <w:r/>
    </w:p>
    <w:p>
      <w:pPr>
        <w:numPr>
          <w:ilvl w:val="3"/>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Compensatória, para a inexecução total </w:t>
      </w:r>
      <w:r>
        <w:rPr>
          <w:rFonts w:ascii="Cambria" w:hAnsi="Cambria" w:eastAsia="Arial" w:cs="Cambria"/>
          <w:sz w:val="14"/>
          <w:szCs w:val="14"/>
        </w:rPr>
        <w:t xml:space="preserve">do </w:t>
      </w:r>
      <w:r>
        <w:rPr>
          <w:rFonts w:ascii="Cambria" w:hAnsi="Cambria" w:eastAsia="Arial" w:cs="Cambria"/>
          <w:sz w:val="14"/>
          <w:szCs w:val="14"/>
        </w:rPr>
        <w:t xml:space="preserve">contrato prevista na alínea “c” do subitem 12.1, de 10% a 30%  do valor do Contrato. </w:t>
      </w:r>
      <w:r>
        <w:rPr>
          <w:rFonts w:ascii="Cambria" w:hAnsi="Cambria" w:cs="Cambria"/>
          <w:sz w:val="14"/>
          <w:szCs w:val="14"/>
        </w:rPr>
      </w:r>
      <w:r/>
    </w:p>
    <w:p>
      <w:pPr>
        <w:numPr>
          <w:ilvl w:val="3"/>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Para infração descrita na alínea “b” do subitem 12.1, a multa será de 05% a 15%  do valor do Contrato.</w:t>
      </w:r>
      <w:r>
        <w:rPr>
          <w:rFonts w:ascii="Cambria" w:hAnsi="Cambria" w:cs="Cambria"/>
          <w:sz w:val="14"/>
          <w:szCs w:val="14"/>
        </w:rPr>
      </w:r>
      <w:r/>
    </w:p>
    <w:p>
      <w:pPr>
        <w:numPr>
          <w:ilvl w:val="3"/>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Para infrações descritas na alínea “d” do subitem 12.1, a multa será de 05% a 15%  do valor do Contrato.</w:t>
      </w:r>
      <w:r>
        <w:rPr>
          <w:rFonts w:ascii="Cambria" w:hAnsi="Cambria" w:cs="Cambria"/>
          <w:sz w:val="14"/>
          <w:szCs w:val="14"/>
        </w:rPr>
      </w:r>
      <w:r/>
    </w:p>
    <w:p>
      <w:pPr>
        <w:numPr>
          <w:ilvl w:val="3"/>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Para a infração descrita na alínea “a” do subitem 12.1, a multa será de 05% a 15% do valor do Contrato.</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A </w:t>
      </w:r>
      <w:r>
        <w:rPr>
          <w:rFonts w:ascii="Cambria" w:hAnsi="Cambria" w:cs="Cambria"/>
          <w:sz w:val="14"/>
          <w:szCs w:val="14"/>
        </w:rPr>
        <w:t xml:space="preserve">aplicação</w:t>
      </w:r>
      <w:r>
        <w:rPr>
          <w:rFonts w:ascii="Cambria" w:hAnsi="Cambria" w:cs="Cambria"/>
          <w:sz w:val="14"/>
          <w:szCs w:val="14"/>
        </w:rPr>
        <w:t xml:space="preserve"> das sanções previstas neste Contrato não exclui, em hipótese alguma, a obrigação de reparação integral do dano causado ao Contratante (</w:t>
      </w:r>
      <w:hyperlink r:id="rId95" w:tooltip="http://www.planalto.gov.br/ccivil_03/_ato2019-2022/2021/lei/L14133.htm#art156§9" w:anchor="art156§9" w:history="1">
        <w:r>
          <w:rPr>
            <w:rStyle w:val="988"/>
            <w:rFonts w:ascii="Cambria" w:hAnsi="Cambria" w:cs="Cambria"/>
            <w:sz w:val="14"/>
            <w:szCs w:val="14"/>
          </w:rPr>
          <w:t xml:space="preserve">art. 156, §9º, da Lei nº 14.133, de 2021</w:t>
        </w:r>
      </w:hyperlink>
      <w:r>
        <w:rPr>
          <w:rFonts w:ascii="Cambria" w:hAnsi="Cambria" w:cs="Cambria"/>
          <w:sz w:val="14"/>
          <w:szCs w:val="14"/>
        </w:rPr>
        <w:t xml:space="preserv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Todas as </w:t>
      </w:r>
      <w:r>
        <w:rPr>
          <w:rFonts w:ascii="Cambria" w:hAnsi="Cambria" w:cs="Cambria"/>
          <w:sz w:val="14"/>
          <w:szCs w:val="14"/>
        </w:rPr>
        <w:t xml:space="preserve">sanções</w:t>
      </w:r>
      <w:r>
        <w:rPr>
          <w:rFonts w:ascii="Cambria" w:hAnsi="Cambria" w:cs="Cambria"/>
          <w:sz w:val="14"/>
          <w:szCs w:val="14"/>
        </w:rPr>
        <w:t xml:space="preserve"> previstas neste Contrato poderão ser aplicadas cumulativamente com a multa (</w:t>
      </w:r>
      <w:hyperlink r:id="rId96" w:tooltip="http://www.planalto.gov.br/ccivil_03/_ato2019-2022/2021/lei/L14133.htm#art156§7" w:anchor="art156§7" w:history="1">
        <w:r>
          <w:rPr>
            <w:rStyle w:val="988"/>
            <w:rFonts w:ascii="Cambria" w:hAnsi="Cambria" w:cs="Cambria"/>
            <w:sz w:val="14"/>
            <w:szCs w:val="14"/>
          </w:rPr>
          <w:t xml:space="preserve">art. 156, §7º, da Lei nº 14.133, de 2021</w:t>
        </w:r>
      </w:hyperlink>
      <w:r>
        <w:rPr>
          <w:rFonts w:ascii="Cambria" w:hAnsi="Cambria" w:cs="Cambria"/>
          <w:sz w:val="14"/>
          <w:szCs w:val="14"/>
        </w:rPr>
        <w:t xml:space="preserve">).</w:t>
      </w:r>
      <w:r>
        <w:rPr>
          <w:rFonts w:ascii="Cambria" w:hAnsi="Cambria" w:cs="Cambria"/>
          <w:sz w:val="14"/>
          <w:szCs w:val="14"/>
        </w:rPr>
      </w:r>
      <w:r/>
    </w:p>
    <w:p>
      <w:pPr>
        <w:pStyle w:val="1032"/>
        <w:ind w:left="0" w:right="0" w:firstLine="0"/>
        <w:rPr>
          <w:rFonts w:ascii="Cambria" w:hAnsi="Cambria" w:cs="Cambria"/>
          <w:sz w:val="14"/>
          <w:szCs w:val="14"/>
        </w:rPr>
      </w:pPr>
      <w:r>
        <w:rPr>
          <w:rFonts w:ascii="Cambria" w:hAnsi="Cambria" w:cs="Cambria"/>
          <w:sz w:val="14"/>
          <w:szCs w:val="14"/>
        </w:rPr>
        <w:t xml:space="preserve">Antes da </w:t>
      </w:r>
      <w:r>
        <w:rPr>
          <w:rFonts w:ascii="Cambria" w:hAnsi="Cambria" w:cs="Cambria"/>
          <w:sz w:val="14"/>
          <w:szCs w:val="14"/>
        </w:rPr>
        <w:t xml:space="preserve">aplicação</w:t>
      </w:r>
      <w:r>
        <w:rPr>
          <w:rFonts w:ascii="Cambria" w:hAnsi="Cambria" w:cs="Cambria"/>
          <w:sz w:val="14"/>
          <w:szCs w:val="14"/>
        </w:rPr>
        <w:t xml:space="preserve"> da multa será facultada a defesa do interessado no prazo de 15 (quinze) dias úteis, contado da data de sua intimação (</w:t>
      </w:r>
      <w:hyperlink r:id="rId97" w:tooltip="http://www.planalto.gov.br/ccivil_03/_ato2019-2022/2021/lei/L14133.htm#art157" w:anchor="art157" w:history="1">
        <w:r>
          <w:rPr>
            <w:rStyle w:val="988"/>
            <w:rFonts w:ascii="Cambria" w:hAnsi="Cambria" w:cs="Cambria"/>
            <w:sz w:val="14"/>
            <w:szCs w:val="14"/>
          </w:rPr>
          <w:t xml:space="preserve">art. 157, da Lei nº 14.133, de 2021</w:t>
        </w:r>
      </w:hyperlink>
      <w:r>
        <w:rPr>
          <w:rFonts w:ascii="Cambria" w:hAnsi="Cambria" w:cs="Cambria"/>
          <w:sz w:val="14"/>
          <w:szCs w:val="14"/>
        </w:rPr>
        <w:t xml:space="preserve">)</w:t>
      </w:r>
      <w:r>
        <w:rPr>
          <w:rFonts w:ascii="Cambria" w:hAnsi="Cambria" w:cs="Cambria"/>
          <w:sz w:val="14"/>
          <w:szCs w:val="14"/>
        </w:rPr>
      </w:r>
      <w:r/>
    </w:p>
    <w:p>
      <w:pPr>
        <w:pStyle w:val="1032"/>
        <w:ind w:left="0" w:right="0" w:firstLine="0"/>
        <w:rPr>
          <w:rFonts w:ascii="Cambria" w:hAnsi="Cambria" w:cs="Cambria"/>
          <w:sz w:val="14"/>
          <w:szCs w:val="14"/>
        </w:rPr>
      </w:pPr>
      <w:r>
        <w:rPr>
          <w:rFonts w:ascii="Cambria" w:hAnsi="Cambria" w:cs="Cambria"/>
          <w:sz w:val="14"/>
          <w:szCs w:val="14"/>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98" w:tooltip="http://www.planalto.gov.br/ccivil_03/_ato2019-2022/2021/lei/L14133.htm#art156§8" w:anchor="art156§8" w:history="1">
        <w:r>
          <w:rPr>
            <w:rStyle w:val="988"/>
            <w:rFonts w:ascii="Cambria" w:hAnsi="Cambria" w:cs="Cambria"/>
            <w:sz w:val="14"/>
            <w:szCs w:val="14"/>
          </w:rPr>
          <w:t xml:space="preserve">art. 156, §8º, da Lei nº 14.133, de 2021</w:t>
        </w:r>
      </w:hyperlink>
      <w:r>
        <w:rPr>
          <w:rFonts w:ascii="Cambria" w:hAnsi="Cambria" w:cs="Cambria"/>
          <w:sz w:val="14"/>
          <w:szCs w:val="14"/>
        </w:rPr>
        <w:t xml:space="preserve">).</w:t>
      </w:r>
      <w:r>
        <w:rPr>
          <w:rFonts w:ascii="Cambria" w:hAnsi="Cambria" w:cs="Cambria"/>
          <w:sz w:val="14"/>
          <w:szCs w:val="14"/>
        </w:rPr>
      </w:r>
      <w:r/>
    </w:p>
    <w:p>
      <w:pPr>
        <w:pStyle w:val="1032"/>
        <w:ind w:left="0" w:right="0" w:firstLine="0"/>
        <w:rPr>
          <w:rFonts w:ascii="Cambria" w:hAnsi="Cambria" w:cs="Cambria"/>
          <w:sz w:val="14"/>
          <w:szCs w:val="14"/>
        </w:rPr>
      </w:pPr>
      <w:r>
        <w:rPr>
          <w:rFonts w:ascii="Cambria" w:hAnsi="Cambria" w:cs="Cambria"/>
          <w:sz w:val="14"/>
          <w:szCs w:val="14"/>
        </w:rPr>
        <w:t xml:space="preserve">Previamente</w:t>
      </w:r>
      <w:r>
        <w:rPr>
          <w:rFonts w:ascii="Cambria" w:hAnsi="Cambria" w:cs="Cambria"/>
          <w:sz w:val="14"/>
          <w:szCs w:val="14"/>
        </w:rPr>
        <w:t xml:space="preserve"> ao encaminhamento à cobrança judicial, a multa poderá ser recolhida administrativamente no prazo máximo de 30(trinta)</w:t>
      </w:r>
      <w:r>
        <w:rPr>
          <w:rFonts w:ascii="Cambria" w:hAnsi="Cambria" w:cs="Cambria"/>
          <w:i/>
          <w:iCs/>
          <w:color w:val="ff0000"/>
          <w:sz w:val="14"/>
          <w:szCs w:val="14"/>
        </w:rPr>
        <w:t xml:space="preserve"> </w:t>
      </w:r>
      <w:r>
        <w:rPr>
          <w:rFonts w:ascii="Cambria" w:hAnsi="Cambria" w:cs="Cambria"/>
          <w:sz w:val="14"/>
          <w:szCs w:val="14"/>
        </w:rPr>
        <w:t xml:space="preserve">dias, a contar da data do recebimento da comunicação enviada pela autoridade competente.</w:t>
      </w:r>
      <w:bookmarkStart w:id="0" w:name="undefined"/>
      <w:r>
        <w:rPr>
          <w:rFonts w:ascii="Cambria" w:hAnsi="Cambria" w:cs="Cambria"/>
          <w:sz w:val="14"/>
          <w:szCs w:val="14"/>
        </w:rPr>
      </w:r>
      <w:bookmarkEnd w:id="0"/>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A aplicação das sanções realizar-se-á em processo administrativo que assegure o contraditório e a ampla defesa ao Contratado, observando-se o procedimento previsto no </w:t>
      </w:r>
      <w:r>
        <w:rPr>
          <w:rFonts w:ascii="Cambria" w:hAnsi="Cambria" w:cs="Cambria"/>
          <w:b/>
          <w:bCs/>
          <w:sz w:val="14"/>
          <w:szCs w:val="14"/>
        </w:rPr>
        <w:t xml:space="preserve">caput </w:t>
      </w:r>
      <w:r>
        <w:rPr>
          <w:rFonts w:ascii="Cambria" w:hAnsi="Cambria" w:cs="Cambria"/>
          <w:sz w:val="14"/>
          <w:szCs w:val="14"/>
        </w:rPr>
        <w:t xml:space="preserve">e parágrafos do </w:t>
      </w:r>
      <w:hyperlink r:id="rId99" w:tooltip="http://www.planalto.gov.br/ccivil_03/_ato2019-2022/2021/lei/L14133.htm#art158" w:anchor="art158" w:history="1">
        <w:r>
          <w:rPr>
            <w:rStyle w:val="988"/>
            <w:rFonts w:ascii="Cambria" w:hAnsi="Cambria" w:cs="Cambria"/>
            <w:sz w:val="14"/>
            <w:szCs w:val="14"/>
          </w:rPr>
          <w:t xml:space="preserve">art. 158 da Lei nº 14.133, de 2021</w:t>
        </w:r>
      </w:hyperlink>
      <w:r>
        <w:rPr>
          <w:rFonts w:ascii="Cambria" w:hAnsi="Cambria" w:cs="Cambria"/>
          <w:sz w:val="14"/>
          <w:szCs w:val="14"/>
        </w:rPr>
        <w:t xml:space="preserve">, para as penalidades de impedimento de licitar e contratar e de declaração de inidoneidade para licitar ou contratar.</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Na aplicação das sanções serão considerados (</w:t>
      </w:r>
      <w:hyperlink r:id="rId100" w:tooltip="http://www.planalto.gov.br/ccivil_03/_ato2019-2022/2021/lei/L14133.htm#art156§1" w:anchor="art156§1" w:history="1">
        <w:r>
          <w:rPr>
            <w:rStyle w:val="988"/>
            <w:rFonts w:ascii="Cambria" w:hAnsi="Cambria" w:cs="Cambria"/>
            <w:sz w:val="14"/>
            <w:szCs w:val="14"/>
          </w:rPr>
          <w:t xml:space="preserve">art. 156, §1º, da Lei nº 14.133, de 2021</w:t>
        </w:r>
      </w:hyperlink>
      <w:r>
        <w:rPr>
          <w:rFonts w:ascii="Cambria" w:hAnsi="Cambria" w:cs="Cambria"/>
          <w:sz w:val="14"/>
          <w:szCs w:val="14"/>
        </w:rPr>
        <w:t xml:space="preserve">):</w:t>
      </w:r>
      <w:r>
        <w:rPr>
          <w:rFonts w:ascii="Cambria" w:hAnsi="Cambria" w:cs="Cambria"/>
          <w:sz w:val="14"/>
          <w:szCs w:val="14"/>
        </w:rPr>
      </w:r>
      <w:r/>
    </w:p>
    <w:p>
      <w:pPr>
        <w:numPr>
          <w:ilvl w:val="0"/>
          <w:numId w:val="11"/>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a natureza e a gravidade da infração cometida;</w:t>
      </w:r>
      <w:r>
        <w:rPr>
          <w:rFonts w:ascii="Cambria" w:hAnsi="Cambria" w:cs="Cambria"/>
          <w:sz w:val="14"/>
          <w:szCs w:val="14"/>
        </w:rPr>
      </w:r>
      <w:r/>
    </w:p>
    <w:p>
      <w:pPr>
        <w:numPr>
          <w:ilvl w:val="0"/>
          <w:numId w:val="11"/>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as peculiaridades do caso concreto;</w:t>
      </w:r>
      <w:r>
        <w:rPr>
          <w:rFonts w:ascii="Cambria" w:hAnsi="Cambria" w:cs="Cambria"/>
          <w:sz w:val="14"/>
          <w:szCs w:val="14"/>
        </w:rPr>
      </w:r>
      <w:r/>
    </w:p>
    <w:p>
      <w:pPr>
        <w:numPr>
          <w:ilvl w:val="0"/>
          <w:numId w:val="11"/>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as circunstâncias agravantes ou atenuantes;</w:t>
      </w:r>
      <w:r>
        <w:rPr>
          <w:rFonts w:ascii="Cambria" w:hAnsi="Cambria" w:cs="Cambria"/>
          <w:sz w:val="14"/>
          <w:szCs w:val="14"/>
        </w:rPr>
      </w:r>
      <w:r/>
    </w:p>
    <w:p>
      <w:pPr>
        <w:numPr>
          <w:ilvl w:val="0"/>
          <w:numId w:val="11"/>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os danos que dela provierem para o Contratante;</w:t>
      </w:r>
      <w:r>
        <w:rPr>
          <w:rFonts w:ascii="Cambria" w:hAnsi="Cambria" w:cs="Cambria"/>
          <w:sz w:val="14"/>
          <w:szCs w:val="14"/>
        </w:rPr>
      </w:r>
      <w:r/>
    </w:p>
    <w:p>
      <w:pPr>
        <w:numPr>
          <w:ilvl w:val="0"/>
          <w:numId w:val="11"/>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a implantação ou o aperfeiçoamento de programa de integridade, conforme normas e orientações dos órgãos de controle.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Os atos </w:t>
      </w:r>
      <w:r>
        <w:rPr>
          <w:rFonts w:ascii="Cambria" w:hAnsi="Cambria" w:cs="Cambria"/>
          <w:sz w:val="14"/>
          <w:szCs w:val="14"/>
        </w:rPr>
        <w:t xml:space="preserve">previstos</w:t>
      </w:r>
      <w:r>
        <w:rPr>
          <w:rFonts w:ascii="Cambria" w:hAnsi="Cambria" w:cs="Cambria"/>
          <w:sz w:val="14"/>
          <w:szCs w:val="14"/>
        </w:rPr>
        <w:t xml:space="preserve"> como infrações administrativas na </w:t>
      </w:r>
      <w:hyperlink r:id="rId101" w:tooltip="http://www.planalto.gov.br/ccivil_03/_ato2019-2022/2021/lei/L14133.htm" w:history="1">
        <w:r>
          <w:rPr>
            <w:rStyle w:val="988"/>
            <w:rFonts w:ascii="Cambria" w:hAnsi="Cambria" w:cs="Cambria"/>
            <w:sz w:val="14"/>
            <w:szCs w:val="14"/>
          </w:rPr>
          <w:t xml:space="preserve">Lei nº 14.133, de 2021</w:t>
        </w:r>
      </w:hyperlink>
      <w:r>
        <w:rPr>
          <w:rFonts w:ascii="Cambria" w:hAnsi="Cambria" w:cs="Cambria"/>
          <w:sz w:val="14"/>
          <w:szCs w:val="14"/>
        </w:rPr>
        <w:t xml:space="preserve">, ou em outras leis de licitações e contratos da Administração Pública que também sejam tipificados como atos lesivos </w:t>
      </w:r>
      <w:hyperlink r:id="rId102" w:tooltip="https://www.planalto.gov.br/ccivil_03/_ato2011-2014/2013/lei/l12846.htm" w:history="1">
        <w:r>
          <w:rPr>
            <w:rStyle w:val="988"/>
            <w:rFonts w:ascii="Cambria" w:hAnsi="Cambria" w:cs="Cambria"/>
            <w:sz w:val="14"/>
            <w:szCs w:val="14"/>
          </w:rPr>
          <w:t xml:space="preserve">na Lei nº 12.846,</w:t>
        </w:r>
        <w:r>
          <w:rPr>
            <w:rStyle w:val="988"/>
            <w:rFonts w:ascii="Cambria" w:hAnsi="Cambria" w:cs="Cambria"/>
            <w:sz w:val="14"/>
            <w:szCs w:val="14"/>
          </w:rPr>
          <w:t xml:space="preserve"> </w:t>
        </w:r>
        <w:r>
          <w:rPr>
            <w:rStyle w:val="988"/>
            <w:rFonts w:ascii="Cambria" w:hAnsi="Cambria" w:cs="Cambria"/>
            <w:sz w:val="14"/>
            <w:szCs w:val="14"/>
          </w:rPr>
          <w:t xml:space="preserve">de 2013</w:t>
        </w:r>
      </w:hyperlink>
      <w:r>
        <w:rPr>
          <w:rFonts w:ascii="Cambria" w:hAnsi="Cambria" w:cs="Cambria"/>
          <w:sz w:val="14"/>
          <w:szCs w:val="14"/>
        </w:rPr>
        <w:t xml:space="preserve">, serão apurados e julgados conjuntamente, nos mesmos autos, observados o rito procedimental e autoridade competente definidos na referida </w:t>
      </w:r>
      <w:hyperlink r:id="rId103" w:tooltip="http://www.planalto.gov.br/ccivil_03/_ato2019-2022/2021/lei/L14133.htm#art159" w:anchor="art159" w:history="1">
        <w:r>
          <w:rPr>
            <w:rStyle w:val="988"/>
            <w:rFonts w:ascii="Cambria" w:hAnsi="Cambria" w:cs="Cambria"/>
            <w:sz w:val="14"/>
            <w:szCs w:val="14"/>
          </w:rPr>
          <w:t xml:space="preserve">Lei (art. 159</w:t>
        </w:r>
      </w:hyperlink>
      <w:r>
        <w:rPr>
          <w:rFonts w:ascii="Cambria" w:hAnsi="Cambria" w:cs="Cambria"/>
          <w:sz w:val="14"/>
          <w:szCs w:val="14"/>
        </w:rPr>
        <w:t xml:space="preserv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A personalidade jurídica do Contratado poderá ser desconsiderada sempre que utilizada com abuso do direito para facilitar, e</w:t>
      </w:r>
      <w:r>
        <w:rPr>
          <w:rFonts w:ascii="Cambria" w:hAnsi="Cambria" w:cs="Cambria"/>
          <w:sz w:val="14"/>
          <w:szCs w:val="14"/>
        </w:rPr>
        <w:t xml:space="preserve">ncobrir ou dissimular a prática dos atos ilícitos previstos neste Contrato ou para provocar confusão patrimonial, e, nesse caso, todos os efeitos das sanções aplicadas à pessoa jurídica serão estendidos aos seus administradores e sócios com poderes de admi</w:t>
      </w:r>
      <w:r>
        <w:rPr>
          <w:rFonts w:ascii="Cambria" w:hAnsi="Cambria" w:cs="Cambria"/>
          <w:sz w:val="14"/>
          <w:szCs w:val="14"/>
        </w:rPr>
        <w:t xml:space="preserve">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tooltip="http://www.planalto.gov.br/ccivil_03/_ato2019-2022/2021/lei/L14133.htm#art160" w:anchor="art160" w:history="1">
        <w:r>
          <w:rPr>
            <w:rStyle w:val="988"/>
            <w:rFonts w:ascii="Cambria" w:hAnsi="Cambria" w:cs="Cambria"/>
            <w:sz w:val="14"/>
            <w:szCs w:val="14"/>
          </w:rPr>
          <w:t xml:space="preserve">art. 160, da Lei nº 14.133, de 2021</w:t>
        </w:r>
      </w:hyperlink>
      <w:r>
        <w:rPr>
          <w:rFonts w:ascii="Cambria" w:hAnsi="Cambria" w:cs="Cambria"/>
          <w:sz w:val="14"/>
          <w:szCs w:val="14"/>
        </w:rPr>
        <w:t xml:space="preserv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 O </w:t>
      </w:r>
      <w:r>
        <w:rPr>
          <w:rFonts w:ascii="Cambria" w:hAnsi="Cambria" w:cs="Cambria"/>
          <w:sz w:val="14"/>
          <w:szCs w:val="14"/>
        </w:rPr>
        <w:t xml:space="preserve">Contratante</w:t>
      </w:r>
      <w:r>
        <w:rPr>
          <w:rFonts w:ascii="Cambria" w:hAnsi="Cambria" w:cs="Cambria"/>
          <w:sz w:val="14"/>
          <w:szCs w:val="14"/>
        </w:rPr>
        <w:t xml:space="preserve"> deverá, no prazo </w:t>
      </w:r>
      <w:r>
        <w:rPr>
          <w:rFonts w:ascii="Cambria" w:hAnsi="Cambria" w:cs="Cambria"/>
          <w:sz w:val="14"/>
          <w:szCs w:val="14"/>
        </w:rPr>
        <w:t xml:space="preserve">máximo </w:t>
      </w:r>
      <w:r>
        <w:rPr>
          <w:rFonts w:ascii="Cambria" w:hAnsi="Cambria" w:cs="Cambria"/>
          <w:sz w:val="14"/>
          <w:szCs w:val="14"/>
        </w:rPr>
        <w:t xml:space="preserve">de</w:t>
      </w:r>
      <w:r>
        <w:rPr>
          <w:rFonts w:ascii="Cambria" w:hAnsi="Cambria" w:cs="Cambria"/>
          <w:sz w:val="14"/>
          <w:szCs w:val="14"/>
        </w:rPr>
        <w:t xml:space="preserve"> </w:t>
      </w:r>
      <w:r>
        <w:rPr>
          <w:rFonts w:ascii="Cambria" w:hAnsi="Cambria" w:cs="Cambria"/>
          <w:sz w:val="14"/>
          <w:szCs w:val="14"/>
        </w:rPr>
        <w:t xml:space="preserve">15 (quinze) dias úteis, contado da data de aplicação da sanção, informar e manter atualizados os dados relativos às sanções por ela aplicadas, para fins de publicidade no </w:t>
      </w:r>
      <w:hyperlink r:id="rId105" w:tooltip="https://ceiscadastro.cgu.gov.br/index.aspx?ReturnUrl=%2f" w:history="1">
        <w:r>
          <w:rPr>
            <w:rStyle w:val="988"/>
            <w:rFonts w:ascii="Cambria" w:hAnsi="Cambria" w:cs="Cambria"/>
            <w:sz w:val="14"/>
            <w:szCs w:val="14"/>
          </w:rPr>
          <w:t xml:space="preserve">Cadastro Nacional de Empresas Inidôneas e Suspensas (</w:t>
        </w:r>
        <w:r>
          <w:rPr>
            <w:rStyle w:val="988"/>
            <w:rFonts w:ascii="Cambria" w:hAnsi="Cambria" w:cs="Cambria"/>
            <w:sz w:val="14"/>
            <w:szCs w:val="14"/>
          </w:rPr>
          <w:t xml:space="preserve">Ceis</w:t>
        </w:r>
        <w:r>
          <w:rPr>
            <w:rStyle w:val="988"/>
            <w:rFonts w:ascii="Cambria" w:hAnsi="Cambria" w:cs="Cambria"/>
            <w:sz w:val="14"/>
            <w:szCs w:val="14"/>
          </w:rPr>
          <w:t xml:space="preserve">)</w:t>
        </w:r>
      </w:hyperlink>
      <w:r>
        <w:rPr>
          <w:rFonts w:ascii="Cambria" w:hAnsi="Cambria" w:cs="Cambria"/>
          <w:sz w:val="14"/>
          <w:szCs w:val="14"/>
        </w:rPr>
        <w:t xml:space="preserve"> e no Cadastro Nacional de Empresas Punidas (</w:t>
      </w:r>
      <w:r>
        <w:rPr>
          <w:rFonts w:ascii="Cambria" w:hAnsi="Cambria" w:cs="Cambria"/>
          <w:sz w:val="14"/>
          <w:szCs w:val="14"/>
        </w:rPr>
        <w:t xml:space="preserve">Cnep</w:t>
      </w:r>
      <w:r>
        <w:rPr>
          <w:rFonts w:ascii="Cambria" w:hAnsi="Cambria" w:cs="Cambria"/>
          <w:sz w:val="14"/>
          <w:szCs w:val="14"/>
        </w:rPr>
        <w:t xml:space="preserve">), instituídos no âmbito do Poder Executivo Federal. (</w:t>
      </w:r>
      <w:hyperlink r:id="rId106" w:tooltip="http://www.planalto.gov.br/ccivil_03/_ato2019-2022/2021/lei/L14133.htm#art161" w:anchor="art161" w:history="1">
        <w:r>
          <w:rPr>
            <w:rStyle w:val="988"/>
            <w:rFonts w:ascii="Cambria" w:hAnsi="Cambria" w:cs="Cambria"/>
            <w:sz w:val="14"/>
            <w:szCs w:val="14"/>
          </w:rPr>
          <w:t xml:space="preserve">Art. 161, da Lei nº 14.133, de 2021</w:t>
        </w:r>
      </w:hyperlink>
      <w:r>
        <w:rPr>
          <w:rFonts w:ascii="Cambria" w:hAnsi="Cambria" w:cs="Cambria"/>
          <w:sz w:val="14"/>
          <w:szCs w:val="14"/>
        </w:rPr>
        <w:t xml:space="preserv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As sanções de impedimento de licitar e contratar e declaração de inidoneidade para licitar ou contratar são passíveis de reabilitação na forma do </w:t>
      </w:r>
      <w:hyperlink r:id="rId107" w:tooltip="http://www.planalto.gov.br/ccivil_03/_ato2019-2022/2021/lei/L14133.htm#art163" w:anchor="art163" w:history="1">
        <w:r>
          <w:rPr>
            <w:rStyle w:val="988"/>
            <w:rFonts w:ascii="Cambria" w:hAnsi="Cambria" w:cs="Cambria"/>
            <w:sz w:val="14"/>
            <w:szCs w:val="14"/>
          </w:rPr>
          <w:t xml:space="preserve">art. 163 da Lei nº 14.133/21.</w:t>
        </w:r>
      </w:hyperlink>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Os débitos do contratado para com a Administração contratante, resultantes de multa administrativa e/ou indenizações, não inscri</w:t>
      </w:r>
      <w:r>
        <w:rPr>
          <w:rFonts w:ascii="Cambria" w:hAnsi="Cambria" w:cs="Cambria"/>
          <w:sz w:val="14"/>
          <w:szCs w:val="14"/>
        </w:rPr>
        <w:t xml:space="preserve">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8" w:tooltip="https://www.gov.br/compras/pt-br/acesso-a-informacao/legislacao/instrucoes-normativas/instrucao-normativa-seges-me-no-26-de-13-de-abril-de-2022" w:history="1">
        <w:r>
          <w:rPr>
            <w:rStyle w:val="988"/>
            <w:rFonts w:ascii="Cambria" w:hAnsi="Cambria" w:cs="Cambria"/>
            <w:sz w:val="14"/>
            <w:szCs w:val="14"/>
          </w:rPr>
          <w:t xml:space="preserve">Instrução Normativa SEGES/ME nº 26, de 13 de abril de 2022</w:t>
        </w:r>
      </w:hyperlink>
      <w:r>
        <w:rPr>
          <w:rFonts w:ascii="Cambria" w:hAnsi="Cambria" w:cs="Cambria"/>
          <w:sz w:val="14"/>
          <w:szCs w:val="14"/>
        </w:rPr>
        <w:t xml:space="preserve">. </w:t>
      </w:r>
      <w:r>
        <w:rPr>
          <w:rFonts w:ascii="Cambria" w:hAnsi="Cambria" w:cs="Cambria"/>
          <w:sz w:val="14"/>
          <w:szCs w:val="14"/>
        </w:rPr>
      </w:r>
      <w:r/>
    </w:p>
    <w:p>
      <w:pPr>
        <w:pStyle w:val="1010"/>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CLÁUSULA DÉCIMA TERCEIRA – DA EXTINÇÃO CONTRATUAL (</w:t>
      </w:r>
      <w:hyperlink r:id="rId109" w:tooltip="http://www.planalto.gov.br/ccivil_03/_ato2019-2022/2021/lei/L14133.htm#art92" w:anchor="art92" w:history="1">
        <w:r>
          <w:rPr>
            <w:rStyle w:val="988"/>
            <w:rFonts w:ascii="Cambria" w:hAnsi="Cambria" w:cs="Cambria"/>
            <w:sz w:val="14"/>
            <w:szCs w:val="14"/>
          </w:rPr>
          <w:t xml:space="preserve">art. 92, XIX</w:t>
        </w:r>
      </w:hyperlink>
      <w:r>
        <w:rPr>
          <w:rFonts w:ascii="Cambria" w:hAnsi="Cambria" w:cs="Cambria"/>
          <w:sz w:val="14"/>
          <w:szCs w:val="14"/>
        </w:rPr>
        <w:t xml:space="preserve">)</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 contrato </w:t>
      </w:r>
      <w:r>
        <w:rPr>
          <w:rFonts w:ascii="Cambria" w:hAnsi="Cambria" w:cs="Cambria"/>
          <w:color w:val="000000" w:themeColor="text1"/>
          <w:sz w:val="14"/>
          <w:szCs w:val="14"/>
          <w:highlight w:val="none"/>
        </w:rPr>
        <w:t xml:space="preserve">será extinto</w:t>
      </w:r>
      <w:r>
        <w:rPr>
          <w:rFonts w:ascii="Cambria" w:hAnsi="Cambria" w:cs="Cambria"/>
          <w:color w:val="000000" w:themeColor="text1"/>
          <w:sz w:val="14"/>
          <w:szCs w:val="14"/>
          <w:highlight w:val="none"/>
        </w:rPr>
        <w:t xml:space="preserve"> </w:t>
      </w:r>
      <w:r>
        <w:rPr>
          <w:rFonts w:ascii="Cambria" w:hAnsi="Cambria" w:cs="Cambria"/>
          <w:color w:val="000000" w:themeColor="text1"/>
          <w:sz w:val="14"/>
          <w:szCs w:val="14"/>
          <w:highlight w:val="none"/>
        </w:rPr>
        <w:t xml:space="preserve">qua</w:t>
      </w:r>
      <w:r>
        <w:rPr>
          <w:rFonts w:ascii="Cambria" w:hAnsi="Cambria" w:cs="Cambria"/>
          <w:color w:val="000000" w:themeColor="text1"/>
          <w:sz w:val="14"/>
          <w:szCs w:val="14"/>
        </w:rPr>
        <w:t xml:space="preserve">ndo cumpridas as obrigações de ambas as partes, ainda que isso ocorra antes do prazo estipulado para tanto.</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Se as obrigações não forem cumpridas no prazo estipulado, a vigência ficará prorrogada até a conclusão do objeto, caso em que deverá a Administração providenciar a readequação do cronograma fixado para o contrato.</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Quando a não conclusão do contrato referida no item anterior decorrer de culpa do contratado:</w:t>
      </w:r>
      <w:r>
        <w:rPr>
          <w:rFonts w:ascii="Cambria" w:hAnsi="Cambria" w:cs="Cambria"/>
          <w:sz w:val="14"/>
          <w:szCs w:val="14"/>
        </w:rPr>
      </w:r>
      <w:r/>
    </w:p>
    <w:p>
      <w:pPr>
        <w:pStyle w:val="980"/>
        <w:numPr>
          <w:ilvl w:val="0"/>
          <w:numId w:val="12"/>
        </w:numPr>
        <w:ind w:left="0" w:right="0" w:firstLine="0"/>
        <w:jc w:val="both"/>
        <w:spacing w:before="120" w:after="120" w:line="276" w:lineRule="auto"/>
        <w:rPr>
          <w:rFonts w:ascii="Cambria" w:hAnsi="Cambria" w:cs="Cambria"/>
          <w:color w:val="000000" w:themeColor="text1"/>
          <w:sz w:val="14"/>
          <w:szCs w:val="14"/>
        </w:rPr>
      </w:pPr>
      <w:r>
        <w:rPr>
          <w:rFonts w:ascii="Cambria" w:hAnsi="Cambria" w:eastAsia="Arial" w:cs="Cambria"/>
          <w:i/>
          <w:iCs/>
          <w:color w:val="000000" w:themeColor="text1"/>
          <w:sz w:val="14"/>
          <w:szCs w:val="14"/>
        </w:rPr>
        <w:t xml:space="preserve">ficará ele constituído em mora, sendo-lhe aplicáveis as respectivas sanções administrativas;</w:t>
      </w:r>
      <w:r>
        <w:rPr>
          <w:rFonts w:ascii="Cambria" w:hAnsi="Cambria" w:eastAsia="Arial" w:cs="Cambria"/>
          <w:i/>
          <w:iCs/>
          <w:color w:val="000000" w:themeColor="text1"/>
          <w:sz w:val="14"/>
          <w:szCs w:val="14"/>
        </w:rPr>
        <w:t xml:space="preserve"> </w:t>
      </w:r>
      <w:r>
        <w:rPr>
          <w:rFonts w:ascii="Cambria" w:hAnsi="Cambria" w:eastAsia="Arial" w:cs="Cambria"/>
          <w:i/>
          <w:iCs/>
          <w:color w:val="000000" w:themeColor="text1"/>
          <w:sz w:val="14"/>
          <w:szCs w:val="14"/>
        </w:rPr>
        <w:t xml:space="preserve">e</w:t>
      </w:r>
      <w:r>
        <w:rPr>
          <w:rFonts w:ascii="Cambria" w:hAnsi="Cambria" w:cs="Cambria"/>
          <w:sz w:val="14"/>
          <w:szCs w:val="14"/>
        </w:rPr>
      </w:r>
      <w:r/>
    </w:p>
    <w:p>
      <w:pPr>
        <w:pStyle w:val="980"/>
        <w:numPr>
          <w:ilvl w:val="0"/>
          <w:numId w:val="12"/>
        </w:numPr>
        <w:ind w:left="0" w:right="0" w:firstLine="0"/>
        <w:jc w:val="both"/>
        <w:spacing w:before="120" w:after="120" w:line="276" w:lineRule="auto"/>
        <w:rPr>
          <w:rFonts w:ascii="Cambria" w:hAnsi="Cambria" w:cs="Cambria"/>
          <w:color w:val="000000" w:themeColor="text1"/>
          <w:sz w:val="14"/>
          <w:szCs w:val="14"/>
        </w:rPr>
      </w:pPr>
      <w:r>
        <w:rPr>
          <w:rFonts w:ascii="Cambria" w:hAnsi="Cambria" w:eastAsia="Arial" w:cs="Cambria"/>
          <w:i/>
          <w:iCs/>
          <w:color w:val="000000" w:themeColor="text1"/>
          <w:sz w:val="14"/>
          <w:szCs w:val="14"/>
        </w:rPr>
        <w:t xml:space="preserve">poderá a Administração optar pela extinção do contrato e, nesse caso, adotará as medidas admitidas em lei para a continuidade da execução contratual.</w:t>
      </w:r>
      <w:r>
        <w:rPr>
          <w:rFonts w:ascii="Cambria" w:hAnsi="Cambria" w:cs="Cambria"/>
          <w:sz w:val="14"/>
          <w:szCs w:val="14"/>
        </w:rPr>
      </w:r>
      <w:r/>
    </w:p>
    <w:p>
      <w:pPr>
        <w:pStyle w:val="1030"/>
        <w:ind w:left="0" w:right="0" w:firstLine="0"/>
        <w:rPr>
          <w:rFonts w:ascii="Cambria" w:hAnsi="Cambria" w:cs="Cambria"/>
          <w:sz w:val="14"/>
          <w:szCs w:val="14"/>
          <w:highlight w:val="none"/>
        </w:rPr>
      </w:pPr>
      <w:r>
        <w:rPr>
          <w:rFonts w:ascii="Cambria" w:hAnsi="Cambria" w:cs="Cambria"/>
          <w:sz w:val="14"/>
          <w:szCs w:val="14"/>
        </w:rPr>
        <w:t xml:space="preserve">O con</w:t>
      </w:r>
      <w:r>
        <w:rPr>
          <w:rFonts w:ascii="Cambria" w:hAnsi="Cambria" w:cs="Cambria"/>
          <w:sz w:val="14"/>
          <w:szCs w:val="14"/>
          <w:highlight w:val="none"/>
        </w:rPr>
        <w:t xml:space="preserve">trato </w:t>
      </w:r>
      <w:r>
        <w:rPr>
          <w:rFonts w:ascii="Cambria" w:hAnsi="Cambria" w:cs="Cambria"/>
          <w:sz w:val="14"/>
          <w:szCs w:val="14"/>
          <w:highlight w:val="none"/>
        </w:rPr>
        <w:t xml:space="preserve">pode</w:t>
      </w:r>
      <w:r>
        <w:rPr>
          <w:rFonts w:ascii="Cambria" w:hAnsi="Cambria" w:cs="Cambria"/>
          <w:sz w:val="14"/>
          <w:szCs w:val="14"/>
          <w:highlight w:val="none"/>
        </w:rPr>
        <w:t xml:space="preserve">rá</w:t>
      </w:r>
      <w:r>
        <w:rPr>
          <w:rFonts w:ascii="Cambria" w:hAnsi="Cambria" w:cs="Cambria"/>
          <w:sz w:val="14"/>
          <w:szCs w:val="14"/>
          <w:highlight w:val="none"/>
        </w:rPr>
        <w:t xml:space="preserve"> ser </w:t>
      </w:r>
      <w:r>
        <w:rPr>
          <w:rFonts w:ascii="Cambria" w:hAnsi="Cambria" w:cs="Cambria"/>
          <w:sz w:val="14"/>
          <w:szCs w:val="14"/>
          <w:highlight w:val="none"/>
        </w:rPr>
        <w:t xml:space="preserve">extinto</w:t>
      </w:r>
      <w:r>
        <w:rPr>
          <w:rFonts w:ascii="Cambria" w:hAnsi="Cambria" w:cs="Cambria"/>
          <w:sz w:val="14"/>
          <w:szCs w:val="14"/>
          <w:highlight w:val="none"/>
        </w:rPr>
        <w:t xml:space="preserve"> antes de cumpridas as obrigações nele estipuladas, ou antes do prazo nele fixado, por algum dos motivos previstos no </w:t>
      </w:r>
      <w:hyperlink r:id="rId110" w:tooltip="http://www.planalto.gov.br/ccivil_03/_ato2019-2022/2021/lei/L14133.htm#art137" w:anchor="art137" w:history="1">
        <w:r>
          <w:rPr>
            <w:rStyle w:val="988"/>
            <w:rFonts w:ascii="Cambria" w:hAnsi="Cambria" w:cs="Cambria"/>
            <w:sz w:val="14"/>
            <w:szCs w:val="14"/>
            <w:highlight w:val="none"/>
          </w:rPr>
          <w:t xml:space="preserve">artigo 137 da Lei nº 14.133/21</w:t>
        </w:r>
      </w:hyperlink>
      <w:r>
        <w:rPr>
          <w:rFonts w:ascii="Cambria" w:hAnsi="Cambria" w:cs="Cambria"/>
          <w:sz w:val="14"/>
          <w:szCs w:val="14"/>
          <w:highlight w:val="none"/>
        </w:rPr>
        <w:t xml:space="preserve">, bem como amigavelmente, </w:t>
      </w:r>
      <w:r>
        <w:rPr>
          <w:rFonts w:ascii="Cambria" w:hAnsi="Cambria" w:cs="Cambria"/>
          <w:color w:val="000000" w:themeColor="text1"/>
          <w:sz w:val="14"/>
          <w:szCs w:val="14"/>
          <w:highlight w:val="none"/>
        </w:rPr>
        <w:t xml:space="preserve">assegurados o contraditório e a ampla defesa</w:t>
      </w:r>
      <w:r>
        <w:rPr>
          <w:rFonts w:ascii="Cambria" w:hAnsi="Cambria" w:cs="Cambria"/>
          <w:sz w:val="14"/>
          <w:szCs w:val="14"/>
          <w:highlight w:val="none"/>
        </w:rPr>
        <w:t xml:space="preserve">.</w:t>
      </w:r>
      <w:r>
        <w:rPr>
          <w:rFonts w:ascii="Cambria" w:hAnsi="Cambria" w:cs="Cambria"/>
          <w:sz w:val="14"/>
          <w:szCs w:val="14"/>
        </w:rPr>
      </w:r>
      <w:r/>
    </w:p>
    <w:p>
      <w:pPr>
        <w:pStyle w:val="1032"/>
        <w:ind w:left="0" w:right="0" w:firstLine="0"/>
        <w:rPr>
          <w:rFonts w:ascii="Cambria" w:hAnsi="Cambria" w:cs="Cambria"/>
          <w:sz w:val="14"/>
          <w:szCs w:val="14"/>
          <w:highlight w:val="none"/>
        </w:rPr>
      </w:pPr>
      <w:r>
        <w:rPr>
          <w:rFonts w:ascii="Cambria" w:hAnsi="Cambria" w:cs="Cambria"/>
          <w:sz w:val="14"/>
          <w:szCs w:val="14"/>
          <w:highlight w:val="none"/>
        </w:rPr>
        <w:t xml:space="preserve">Nesta hipótese, aplicam-se também os </w:t>
      </w:r>
      <w:hyperlink r:id="rId111" w:tooltip="http://www.planalto.gov.br/ccivil_03/_ato2019-2022/2021/lei/L14133.htm#art138" w:anchor="art138" w:history="1">
        <w:r>
          <w:rPr>
            <w:rStyle w:val="988"/>
            <w:rFonts w:ascii="Cambria" w:hAnsi="Cambria" w:cs="Cambria"/>
            <w:sz w:val="14"/>
            <w:szCs w:val="14"/>
            <w:highlight w:val="none"/>
          </w:rPr>
          <w:t xml:space="preserve">artigos 138 e 139</w:t>
        </w:r>
      </w:hyperlink>
      <w:r>
        <w:rPr>
          <w:rFonts w:ascii="Cambria" w:hAnsi="Cambria" w:cs="Cambria"/>
          <w:sz w:val="14"/>
          <w:szCs w:val="14"/>
          <w:highlight w:val="none"/>
        </w:rPr>
        <w:t xml:space="preserve"> da mesma Lei.</w:t>
      </w:r>
      <w:r>
        <w:rPr>
          <w:rFonts w:ascii="Cambria" w:hAnsi="Cambria" w:cs="Cambria"/>
          <w:sz w:val="14"/>
          <w:szCs w:val="14"/>
        </w:rPr>
      </w:r>
      <w:r/>
    </w:p>
    <w:p>
      <w:pPr>
        <w:pStyle w:val="1032"/>
        <w:ind w:left="0" w:right="0" w:firstLine="0"/>
        <w:rPr>
          <w:rFonts w:ascii="Cambria" w:hAnsi="Cambria" w:cs="Cambria"/>
          <w:sz w:val="14"/>
          <w:szCs w:val="14"/>
          <w:highlight w:val="none"/>
        </w:rPr>
      </w:pPr>
      <w:r>
        <w:rPr>
          <w:rFonts w:ascii="Cambria" w:hAnsi="Cambria" w:cs="Cambria"/>
          <w:sz w:val="14"/>
          <w:szCs w:val="14"/>
          <w:highlight w:val="none"/>
        </w:rPr>
        <w:t xml:space="preserve">A </w:t>
      </w:r>
      <w:r>
        <w:rPr>
          <w:rFonts w:ascii="Cambria" w:hAnsi="Cambria" w:cs="Cambria"/>
          <w:sz w:val="14"/>
          <w:szCs w:val="14"/>
          <w:highlight w:val="none"/>
        </w:rPr>
        <w:t xml:space="preserve">alteração</w:t>
      </w:r>
      <w:r>
        <w:rPr>
          <w:rFonts w:ascii="Cambria" w:hAnsi="Cambria" w:cs="Cambria"/>
          <w:sz w:val="14"/>
          <w:szCs w:val="14"/>
          <w:highlight w:val="none"/>
        </w:rPr>
        <w:t xml:space="preserve"> social ou a modificação da finalidade ou da estrutura da empresa não ensejará a </w:t>
      </w:r>
      <w:r>
        <w:rPr>
          <w:rFonts w:ascii="Cambria" w:hAnsi="Cambria" w:cs="Cambria"/>
          <w:sz w:val="14"/>
          <w:szCs w:val="14"/>
          <w:highlight w:val="none"/>
        </w:rPr>
        <w:t xml:space="preserve">extinção</w:t>
      </w:r>
      <w:r>
        <w:rPr>
          <w:rFonts w:ascii="Cambria" w:hAnsi="Cambria" w:cs="Cambria"/>
          <w:sz w:val="14"/>
          <w:szCs w:val="14"/>
          <w:highlight w:val="none"/>
        </w:rPr>
        <w:t xml:space="preserve"> se não restringir sua capacidade de concluir o contrato.</w:t>
      </w:r>
      <w:r>
        <w:rPr>
          <w:rFonts w:ascii="Cambria" w:hAnsi="Cambria" w:cs="Cambria"/>
          <w:sz w:val="14"/>
          <w:szCs w:val="14"/>
        </w:rPr>
      </w:r>
      <w:r/>
    </w:p>
    <w:p>
      <w:pPr>
        <w:pStyle w:val="1033"/>
        <w:ind w:left="0" w:right="0" w:firstLine="0"/>
        <w:rPr>
          <w:rFonts w:ascii="Cambria" w:hAnsi="Cambria" w:cs="Cambria"/>
          <w:sz w:val="14"/>
          <w:szCs w:val="14"/>
          <w:highlight w:val="none"/>
        </w:rPr>
      </w:pPr>
      <w:r>
        <w:rPr>
          <w:rFonts w:ascii="Cambria" w:hAnsi="Cambria" w:cs="Cambria"/>
          <w:color w:val="000000" w:themeColor="text1"/>
          <w:sz w:val="14"/>
          <w:szCs w:val="14"/>
          <w:highlight w:val="none"/>
        </w:rPr>
        <w:t xml:space="preserve">Se a operação </w:t>
      </w:r>
      <w:r>
        <w:rPr>
          <w:rFonts w:ascii="Cambria" w:hAnsi="Cambria" w:cs="Cambria"/>
          <w:sz w:val="14"/>
          <w:szCs w:val="14"/>
          <w:highlight w:val="none"/>
        </w:rPr>
        <w:t xml:space="preserve">implicar mudança da pessoa jurídica contratada, deverá ser formalizado termo aditivo para alteração </w:t>
      </w:r>
      <w:r>
        <w:rPr>
          <w:rFonts w:ascii="Cambria" w:hAnsi="Cambria" w:cs="Cambria"/>
          <w:sz w:val="14"/>
          <w:szCs w:val="14"/>
          <w:highlight w:val="none"/>
        </w:rPr>
        <w:t xml:space="preserve">subjetiva</w:t>
      </w:r>
      <w:r>
        <w:rPr>
          <w:rFonts w:ascii="Cambria" w:hAnsi="Cambria" w:cs="Cambria"/>
          <w:sz w:val="14"/>
          <w:szCs w:val="14"/>
          <w:highlight w:val="none"/>
        </w:rPr>
        <w:t xml:space="preserve">.</w:t>
      </w:r>
      <w:r>
        <w:rPr>
          <w:rFonts w:ascii="Cambria" w:hAnsi="Cambria" w:cs="Cambria"/>
          <w:sz w:val="14"/>
          <w:szCs w:val="14"/>
        </w:rPr>
      </w:r>
      <w:r/>
    </w:p>
    <w:p>
      <w:pPr>
        <w:pStyle w:val="1030"/>
        <w:ind w:left="0" w:right="0" w:firstLine="0"/>
        <w:rPr>
          <w:rFonts w:ascii="Cambria" w:hAnsi="Cambria" w:cs="Cambria"/>
          <w:sz w:val="14"/>
          <w:szCs w:val="14"/>
          <w:highlight w:val="none"/>
        </w:rPr>
      </w:pPr>
      <w:r>
        <w:rPr>
          <w:rFonts w:ascii="Cambria" w:hAnsi="Cambria" w:cs="Cambria"/>
          <w:sz w:val="14"/>
          <w:szCs w:val="14"/>
          <w:highlight w:val="none"/>
        </w:rPr>
        <w:t xml:space="preserve">O </w:t>
      </w:r>
      <w:r>
        <w:rPr>
          <w:rFonts w:ascii="Cambria" w:hAnsi="Cambria" w:cs="Cambria"/>
          <w:sz w:val="14"/>
          <w:szCs w:val="14"/>
          <w:highlight w:val="none"/>
        </w:rPr>
        <w:t xml:space="preserve">termo</w:t>
      </w:r>
      <w:r>
        <w:rPr>
          <w:rFonts w:ascii="Cambria" w:hAnsi="Cambria" w:cs="Cambria"/>
          <w:sz w:val="14"/>
          <w:szCs w:val="14"/>
          <w:highlight w:val="none"/>
        </w:rPr>
        <w:t xml:space="preserve"> de </w:t>
      </w:r>
      <w:r>
        <w:rPr>
          <w:rFonts w:ascii="Cambria" w:hAnsi="Cambria" w:cs="Cambria"/>
          <w:sz w:val="14"/>
          <w:szCs w:val="14"/>
          <w:highlight w:val="none"/>
        </w:rPr>
        <w:t xml:space="preserve">extinção</w:t>
      </w:r>
      <w:r>
        <w:rPr>
          <w:rFonts w:ascii="Cambria" w:hAnsi="Cambria" w:cs="Cambria"/>
          <w:sz w:val="14"/>
          <w:szCs w:val="14"/>
          <w:highlight w:val="none"/>
        </w:rPr>
        <w:t xml:space="preserve">, sempre que possível, será precedido:</w:t>
      </w:r>
      <w:r>
        <w:rPr>
          <w:rFonts w:ascii="Cambria" w:hAnsi="Cambria" w:cs="Cambria"/>
          <w:sz w:val="14"/>
          <w:szCs w:val="14"/>
        </w:rPr>
      </w:r>
      <w:r/>
    </w:p>
    <w:p>
      <w:pPr>
        <w:pStyle w:val="1032"/>
        <w:ind w:left="0" w:right="0" w:firstLine="0"/>
        <w:rPr>
          <w:rFonts w:ascii="Cambria" w:hAnsi="Cambria" w:cs="Cambria"/>
          <w:sz w:val="14"/>
          <w:szCs w:val="14"/>
          <w:highlight w:val="none"/>
        </w:rPr>
      </w:pPr>
      <w:r>
        <w:rPr>
          <w:rFonts w:ascii="Cambria" w:hAnsi="Cambria" w:cs="Cambria"/>
          <w:sz w:val="14"/>
          <w:szCs w:val="14"/>
          <w:highlight w:val="none"/>
        </w:rPr>
        <w:t xml:space="preserve">Balanço dos eventos contratuais já cumpridos ou parcialmente cumpridos;</w:t>
      </w:r>
      <w:r>
        <w:rPr>
          <w:rFonts w:ascii="Cambria" w:hAnsi="Cambria" w:cs="Cambria"/>
          <w:sz w:val="14"/>
          <w:szCs w:val="14"/>
        </w:rPr>
      </w:r>
      <w:r/>
    </w:p>
    <w:p>
      <w:pPr>
        <w:pStyle w:val="1032"/>
        <w:ind w:left="0" w:right="0" w:firstLine="0"/>
        <w:rPr>
          <w:rFonts w:ascii="Cambria" w:hAnsi="Cambria" w:cs="Cambria"/>
          <w:sz w:val="14"/>
          <w:szCs w:val="14"/>
          <w:highlight w:val="none"/>
        </w:rPr>
      </w:pPr>
      <w:r>
        <w:rPr>
          <w:rFonts w:ascii="Cambria" w:hAnsi="Cambria" w:cs="Cambria"/>
          <w:sz w:val="14"/>
          <w:szCs w:val="14"/>
          <w:highlight w:val="none"/>
        </w:rPr>
        <w:t xml:space="preserve">Relação dos pagamentos já efetuados e ainda devidos;</w:t>
      </w:r>
      <w:r>
        <w:rPr>
          <w:rFonts w:ascii="Cambria" w:hAnsi="Cambria" w:cs="Cambria"/>
          <w:sz w:val="14"/>
          <w:szCs w:val="14"/>
        </w:rPr>
      </w:r>
      <w:r/>
    </w:p>
    <w:p>
      <w:pPr>
        <w:pStyle w:val="1032"/>
        <w:ind w:left="0" w:right="0" w:firstLine="0"/>
        <w:rPr>
          <w:rFonts w:ascii="Cambria" w:hAnsi="Cambria" w:cs="Cambria"/>
          <w:sz w:val="14"/>
          <w:szCs w:val="14"/>
          <w:highlight w:val="none"/>
        </w:rPr>
      </w:pPr>
      <w:r>
        <w:rPr>
          <w:rFonts w:ascii="Cambria" w:hAnsi="Cambria" w:cs="Cambria"/>
          <w:sz w:val="14"/>
          <w:szCs w:val="14"/>
          <w:highlight w:val="none"/>
        </w:rPr>
        <w:t xml:space="preserve">Indenizações e multas.</w:t>
      </w:r>
      <w:r>
        <w:rPr>
          <w:rFonts w:ascii="Cambria" w:hAnsi="Cambria" w:cs="Cambria"/>
          <w:sz w:val="14"/>
          <w:szCs w:val="14"/>
        </w:rPr>
      </w:r>
      <w:r/>
    </w:p>
    <w:p>
      <w:pPr>
        <w:pStyle w:val="1030"/>
        <w:ind w:left="0" w:right="0" w:firstLine="0"/>
        <w:rPr>
          <w:rFonts w:ascii="Cambria" w:hAnsi="Cambria" w:cs="Cambria"/>
          <w:sz w:val="14"/>
          <w:szCs w:val="14"/>
          <w:highlight w:val="none"/>
        </w:rPr>
      </w:pPr>
      <w:r>
        <w:rPr>
          <w:rFonts w:ascii="Cambria" w:hAnsi="Cambria" w:cs="Cambria"/>
          <w:sz w:val="14"/>
          <w:szCs w:val="14"/>
          <w:highlight w:val="none"/>
        </w:rPr>
        <w:t xml:space="preserve">A extinção do contrato não configura óbice para o reconhecimento do desequilíbrio econômico-financeiro, hipótese em que será concedida indenização por meio de termo indenizatório (</w:t>
      </w:r>
      <w:hyperlink r:id="rId112" w:tooltip="http://www.planalto.gov.br/ccivil_03/_ato2019-2022/2021/lei/L14133.htm#art131" w:anchor="art131" w:history="1">
        <w:r>
          <w:rPr>
            <w:rStyle w:val="988"/>
            <w:rFonts w:ascii="Cambria" w:hAnsi="Cambria" w:cs="Cambria"/>
            <w:sz w:val="14"/>
            <w:szCs w:val="14"/>
            <w:highlight w:val="none"/>
          </w:rPr>
          <w:t xml:space="preserve">art. 131, </w:t>
        </w:r>
        <w:r>
          <w:rPr>
            <w:rStyle w:val="988"/>
            <w:rFonts w:ascii="Cambria" w:hAnsi="Cambria" w:cs="Cambria"/>
            <w:i/>
            <w:iCs/>
            <w:sz w:val="14"/>
            <w:szCs w:val="14"/>
            <w:highlight w:val="none"/>
          </w:rPr>
          <w:t xml:space="preserve">caput, </w:t>
        </w:r>
        <w:r>
          <w:rPr>
            <w:rStyle w:val="988"/>
            <w:rFonts w:ascii="Cambria" w:hAnsi="Cambria" w:cs="Cambria"/>
            <w:sz w:val="14"/>
            <w:szCs w:val="14"/>
            <w:highlight w:val="none"/>
          </w:rPr>
          <w:t xml:space="preserve">da Lei n.º 14.133, de 2021).</w:t>
        </w:r>
      </w:hyperlink>
      <w:r>
        <w:rPr>
          <w:rFonts w:ascii="Cambria" w:hAnsi="Cambria" w:cs="Cambria"/>
          <w:sz w:val="14"/>
          <w:szCs w:val="14"/>
          <w:highlight w:val="none"/>
        </w:rPr>
        <w:t xml:space="preserve"> </w:t>
      </w:r>
      <w:r>
        <w:rPr>
          <w:rFonts w:ascii="Cambria" w:hAnsi="Cambria" w:cs="Cambria"/>
          <w:sz w:val="14"/>
          <w:szCs w:val="14"/>
        </w:rPr>
      </w:r>
      <w:r/>
    </w:p>
    <w:p>
      <w:pPr>
        <w:pStyle w:val="1030"/>
        <w:ind w:left="0" w:right="0" w:firstLine="0"/>
        <w:rPr>
          <w:rFonts w:ascii="Cambria" w:hAnsi="Cambria" w:cs="Cambria"/>
          <w:sz w:val="14"/>
          <w:szCs w:val="14"/>
          <w:highlight w:val="none"/>
        </w:rPr>
      </w:pPr>
      <w:r>
        <w:rPr>
          <w:rFonts w:ascii="Cambria" w:hAnsi="Cambria" w:cs="Cambria"/>
          <w:sz w:val="14"/>
          <w:szCs w:val="14"/>
          <w:highlight w:val="none"/>
        </w:rPr>
        <w:t xml:space="preserve">O contrato poderá ser extinto caso se constate que o contratado mantém vínculo de natureza técnica, comercial, econômica, financeira, trabalhista ou civil com dirigente do órgão ou entidade contratante ou com agente público</w:t>
      </w:r>
      <w:r>
        <w:rPr>
          <w:rFonts w:ascii="Cambria" w:hAnsi="Cambria" w:cs="Cambria"/>
          <w:sz w:val="14"/>
          <w:szCs w:val="14"/>
          <w:highlight w:val="none"/>
        </w:rPr>
        <w:t xml:space="preserve"> que tenha desempenhado função na licitação ou atue na fiscalização ou na gestão do contrato, ou que deles seja cônjuge, companheiro ou parente em linha reta, colateral ou por afinidade, até o terceiro grau (art. 14, inciso IV, da Lei n.º 14.133, de 2021).</w:t>
      </w:r>
      <w:r>
        <w:rPr>
          <w:rFonts w:ascii="Cambria" w:hAnsi="Cambria" w:cs="Cambria"/>
          <w:sz w:val="14"/>
          <w:szCs w:val="14"/>
        </w:rPr>
      </w:r>
      <w:r/>
    </w:p>
    <w:p>
      <w:pPr>
        <w:pStyle w:val="1010"/>
        <w:ind w:left="0" w:right="0" w:firstLine="0"/>
        <w:rPr>
          <w:rFonts w:ascii="Cambria" w:hAnsi="Cambria" w:cs="Cambria"/>
          <w:sz w:val="14"/>
          <w:szCs w:val="14"/>
        </w:rPr>
      </w:pPr>
      <w:r>
        <w:rPr>
          <w:rFonts w:ascii="Cambria" w:hAnsi="Cambria" w:cs="Cambria"/>
          <w:sz w:val="14"/>
          <w:szCs w:val="14"/>
        </w:rPr>
        <w:t xml:space="preserve">CLÁUSULA DÉCIMA QUARTA – DOTAÇÃO ORÇAMENTÁRIA (</w:t>
      </w:r>
      <w:hyperlink r:id="rId113" w:tooltip="http://www.planalto.gov.br/ccivil_03/_ato2019-2022/2021/lei/L14133.htm#art92" w:anchor="art92" w:history="1">
        <w:r>
          <w:rPr>
            <w:rStyle w:val="988"/>
            <w:rFonts w:ascii="Cambria" w:hAnsi="Cambria" w:cs="Cambria"/>
            <w:sz w:val="14"/>
            <w:szCs w:val="14"/>
          </w:rPr>
          <w:t xml:space="preserve">art. 92, VIII</w:t>
        </w:r>
      </w:hyperlink>
      <w:r>
        <w:rPr>
          <w:rFonts w:ascii="Cambria" w:hAnsi="Cambria" w:cs="Cambria"/>
          <w:sz w:val="14"/>
          <w:szCs w:val="14"/>
        </w:rPr>
        <w:t xml:space="preserv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As </w:t>
      </w:r>
      <w:r>
        <w:rPr>
          <w:rFonts w:ascii="Cambria" w:hAnsi="Cambria" w:cs="Cambria"/>
          <w:sz w:val="14"/>
          <w:szCs w:val="14"/>
        </w:rPr>
        <w:t xml:space="preserve">despesas</w:t>
      </w:r>
      <w:r>
        <w:rPr>
          <w:rFonts w:ascii="Cambria" w:hAnsi="Cambria" w:cs="Cambria"/>
          <w:sz w:val="14"/>
          <w:szCs w:val="14"/>
        </w:rPr>
        <w:t xml:space="preserve"> decorrentes da presente contratação correrão à conta de recursos específicos consignados no Orçamento Geral da União deste exercício, na dotação abaixo discriminada:</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A dotação </w:t>
      </w:r>
      <w:r>
        <w:rPr>
          <w:rFonts w:ascii="Cambria" w:hAnsi="Cambria" w:cs="Cambria"/>
          <w:sz w:val="14"/>
          <w:szCs w:val="14"/>
        </w:rPr>
        <w:t xml:space="preserve">relativa</w:t>
      </w:r>
      <w:r>
        <w:rPr>
          <w:rFonts w:ascii="Cambria" w:hAnsi="Cambria" w:cs="Cambria"/>
          <w:sz w:val="14"/>
          <w:szCs w:val="14"/>
        </w:rPr>
        <w:t xml:space="preserve"> aos exercícios financeiros subsequentes será indicada após aprovação da Lei Orçamentária respectiva e liberação dos créditos correspondentes, mediante apostilamento.</w:t>
      </w:r>
      <w:r>
        <w:rPr>
          <w:rFonts w:ascii="Cambria" w:hAnsi="Cambria" w:cs="Cambria"/>
          <w:sz w:val="14"/>
          <w:szCs w:val="14"/>
        </w:rPr>
      </w:r>
      <w:r/>
    </w:p>
    <w:tbl>
      <w:tblPr>
        <w:tblStyle w:val="1017"/>
        <w:tblW w:w="963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6"/>
        <w:gridCol w:w="7370"/>
      </w:tblGrid>
      <w:tr>
        <w:trPr/>
        <w:tc>
          <w:tcPr>
            <w:tcW w:w="2266" w:type="dxa"/>
            <w:textDirection w:val="lrTb"/>
            <w:noWrap w:val="false"/>
          </w:tcPr>
          <w:p>
            <w:pPr>
              <w:pStyle w:val="971"/>
              <w:ind w:left="0" w:right="0" w:firstLine="0"/>
              <w:jc w:val="both"/>
              <w:spacing w:before="0" w:after="0"/>
              <w:widowControl w:val="off"/>
            </w:pPr>
            <w:r>
              <w:rPr>
                <w:rFonts w:ascii="Cambria" w:hAnsi="Cambria" w:eastAsia="Ecofont_Spranq_eco_Sans" w:cs="Cambria"/>
                <w:bCs/>
                <w:i/>
                <w:color w:val="auto"/>
                <w:sz w:val="14"/>
                <w:szCs w:val="14"/>
                <w:lang w:val="pt-BR" w:bidi="ar-SA"/>
              </w:rPr>
              <w:t xml:space="preserve">05</w:t>
            </w:r>
            <w:r>
              <w:rPr>
                <w:rFonts w:ascii="Cambria" w:hAnsi="Cambria" w:cs="Cambria"/>
                <w:sz w:val="14"/>
                <w:szCs w:val="14"/>
              </w:rPr>
            </w:r>
            <w:r/>
          </w:p>
          <w:p>
            <w:pPr>
              <w:pStyle w:val="971"/>
              <w:ind w:left="0" w:right="0" w:firstLine="0"/>
              <w:jc w:val="both"/>
              <w:spacing w:before="0" w:after="0"/>
              <w:widowControl w:val="off"/>
            </w:pPr>
            <w:r>
              <w:rPr>
                <w:rFonts w:ascii="Cambria" w:hAnsi="Cambria" w:eastAsia="Ecofont_Spranq_eco_Sans" w:cs="Cambria"/>
                <w:bCs/>
                <w:i/>
                <w:color w:val="auto"/>
                <w:sz w:val="14"/>
                <w:szCs w:val="14"/>
                <w:lang w:val="pt-BR" w:bidi="ar-SA"/>
              </w:rPr>
              <w:t xml:space="preserve">27 0812 0007 1068</w:t>
            </w:r>
            <w:r>
              <w:rPr>
                <w:rFonts w:ascii="Cambria" w:hAnsi="Cambria" w:cs="Cambria"/>
                <w:sz w:val="14"/>
                <w:szCs w:val="14"/>
              </w:rPr>
            </w:r>
            <w:r/>
          </w:p>
          <w:p>
            <w:pPr>
              <w:pStyle w:val="971"/>
              <w:ind w:left="0" w:right="0" w:firstLine="0"/>
              <w:jc w:val="both"/>
              <w:spacing w:before="0" w:after="0"/>
              <w:widowControl w:val="off"/>
              <w:rPr>
                <w:rFonts w:ascii="Cambria" w:hAnsi="Cambria" w:cs="Cambria"/>
              </w:rPr>
            </w:pPr>
            <w:r>
              <w:rPr>
                <w:rFonts w:ascii="Cambria" w:hAnsi="Cambria" w:eastAsia="Ecofont_Spranq_eco_Sans" w:cs="Cambria"/>
                <w:bCs/>
                <w:i/>
                <w:color w:val="auto"/>
                <w:sz w:val="14"/>
                <w:szCs w:val="14"/>
                <w:lang w:val="pt-BR" w:bidi="ar-SA"/>
              </w:rPr>
              <w:t xml:space="preserve">4490 51</w:t>
            </w:r>
            <w:r>
              <w:rPr>
                <w:rFonts w:ascii="Cambria" w:hAnsi="Cambria" w:cs="Cambria"/>
                <w:sz w:val="14"/>
                <w:szCs w:val="14"/>
              </w:rPr>
            </w:r>
            <w:r/>
          </w:p>
        </w:tc>
        <w:tc>
          <w:tcPr>
            <w:tcW w:w="7370" w:type="dxa"/>
            <w:textDirection w:val="lrTb"/>
            <w:noWrap w:val="false"/>
          </w:tcPr>
          <w:p>
            <w:pPr>
              <w:pStyle w:val="971"/>
              <w:ind w:left="0" w:right="0" w:firstLine="0"/>
              <w:jc w:val="both"/>
              <w:spacing w:before="0" w:after="0"/>
              <w:widowControl w:val="off"/>
            </w:pPr>
            <w:r>
              <w:rPr>
                <w:rFonts w:ascii="Cambria" w:hAnsi="Cambria" w:eastAsia="Ecofont_Spranq_eco_Sans" w:cs="Cambria"/>
                <w:bCs/>
                <w:i/>
                <w:sz w:val="14"/>
                <w:szCs w:val="14"/>
                <w:lang w:val="pt-BR" w:bidi="ar-SA"/>
              </w:rPr>
              <w:t xml:space="preserve">Secretaria de Educação, Cultura, Desporto e Lazer</w:t>
            </w:r>
            <w:r>
              <w:rPr>
                <w:rFonts w:ascii="Cambria" w:hAnsi="Cambria" w:cs="Cambria"/>
                <w:sz w:val="14"/>
                <w:szCs w:val="14"/>
              </w:rPr>
            </w:r>
            <w:r/>
          </w:p>
          <w:p>
            <w:pPr>
              <w:pStyle w:val="971"/>
              <w:ind w:left="0" w:right="0" w:firstLine="0"/>
              <w:jc w:val="both"/>
              <w:spacing w:before="0" w:after="0"/>
              <w:widowControl w:val="off"/>
              <w:rPr>
                <w:bCs/>
                <w:i/>
              </w:rPr>
            </w:pPr>
            <w:r>
              <w:rPr>
                <w:rFonts w:ascii="Cambria" w:hAnsi="Cambria" w:cs="Cambria"/>
                <w:i/>
                <w:iCs/>
                <w:sz w:val="14"/>
                <w:szCs w:val="14"/>
              </w:rPr>
              <w:t xml:space="preserve">Revitalização estádio José Antônio Dumoncel</w:t>
            </w:r>
            <w:r>
              <w:rPr>
                <w:i/>
                <w:iCs/>
              </w:rPr>
            </w:r>
            <w:r/>
          </w:p>
          <w:p>
            <w:pPr>
              <w:pStyle w:val="971"/>
              <w:ind w:left="0" w:right="0" w:firstLine="0"/>
              <w:jc w:val="both"/>
              <w:spacing w:before="0" w:after="0"/>
              <w:widowControl w:val="off"/>
              <w:rPr>
                <w:rFonts w:ascii="Cambria" w:hAnsi="Cambria" w:cs="Cambria"/>
              </w:rPr>
            </w:pPr>
            <w:r>
              <w:rPr>
                <w:rFonts w:ascii="Cambria" w:hAnsi="Cambria" w:eastAsia="Ecofont_Spranq_eco_Sans" w:cs="Cambria"/>
                <w:bCs/>
                <w:i/>
                <w:sz w:val="14"/>
                <w:szCs w:val="14"/>
                <w:lang w:val="pt-BR" w:bidi="ar-SA"/>
              </w:rPr>
              <w:t xml:space="preserve">Obras e Instalações</w:t>
            </w:r>
            <w:r>
              <w:rPr>
                <w:rFonts w:ascii="Cambria" w:hAnsi="Cambria" w:cs="Cambria"/>
                <w:sz w:val="14"/>
                <w:szCs w:val="14"/>
              </w:rPr>
            </w:r>
            <w:r/>
          </w:p>
        </w:tc>
      </w:tr>
    </w:tbl>
    <w:p>
      <w:pPr>
        <w:pStyle w:val="1030"/>
        <w:numPr>
          <w:ilvl w:val="0"/>
          <w:numId w:val="0"/>
        </w:numPr>
        <w:ind w:left="0" w:right="0" w:firstLine="0"/>
        <w:rPr>
          <w:rFonts w:ascii="Cambria" w:hAnsi="Cambria" w:cs="Cambria"/>
          <w:sz w:val="14"/>
          <w:szCs w:val="14"/>
        </w:rPr>
      </w:pPr>
      <w:r>
        <w:rPr>
          <w:rFonts w:ascii="Cambria" w:hAnsi="Cambria" w:cs="Cambria"/>
          <w:sz w:val="14"/>
          <w:szCs w:val="14"/>
          <w:highlight w:val="none"/>
        </w:rPr>
      </w:r>
      <w:r>
        <w:rPr>
          <w:rFonts w:ascii="Cambria" w:hAnsi="Cambria" w:cs="Cambria"/>
          <w:sz w:val="14"/>
          <w:szCs w:val="14"/>
        </w:rPr>
      </w:r>
      <w:r/>
    </w:p>
    <w:p>
      <w:pPr>
        <w:pStyle w:val="1010"/>
        <w:ind w:left="0" w:right="0" w:firstLine="0"/>
        <w:spacing w:before="120" w:after="288" w:line="312" w:lineRule="auto"/>
        <w:rPr>
          <w:rFonts w:ascii="Cambria" w:hAnsi="Cambria" w:cs="Cambria"/>
          <w:sz w:val="14"/>
          <w:szCs w:val="14"/>
        </w:rPr>
      </w:pPr>
      <w:r>
        <w:rPr>
          <w:rFonts w:ascii="Cambria" w:hAnsi="Cambria" w:cs="Cambria"/>
          <w:sz w:val="14"/>
          <w:szCs w:val="14"/>
        </w:rPr>
        <w:t xml:space="preserve">CLÁUSULA DÉCIMA QUINTA – DOS CASOS OMISSOS (</w:t>
      </w:r>
      <w:hyperlink r:id="rId114" w:tooltip="http://www.planalto.gov.br/ccivil_03/_ato2019-2022/2021/lei/L14133.htm#art92" w:anchor="art92" w:history="1">
        <w:r>
          <w:rPr>
            <w:rStyle w:val="988"/>
            <w:rFonts w:ascii="Cambria" w:hAnsi="Cambria" w:cs="Cambria"/>
            <w:sz w:val="14"/>
            <w:szCs w:val="14"/>
          </w:rPr>
          <w:t xml:space="preserve">art. 92, III</w:t>
        </w:r>
      </w:hyperlink>
      <w:r>
        <w:rPr>
          <w:rFonts w:ascii="Cambria" w:hAnsi="Cambria" w:cs="Cambria"/>
          <w:sz w:val="14"/>
          <w:szCs w:val="14"/>
        </w:rPr>
        <w:t xml:space="preserv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Os casos omissos serão decididos pelo contratante, segundo as disposições contidas na </w:t>
      </w:r>
      <w:hyperlink r:id="rId115" w:tooltip="http://www.planalto.gov.br/ccivil_03/_ato2019-2022/2021/lei/L14133.htm" w:history="1">
        <w:r>
          <w:rPr>
            <w:rFonts w:ascii="Cambria" w:hAnsi="Cambria" w:cs="Cambria"/>
            <w:sz w:val="14"/>
            <w:szCs w:val="14"/>
          </w:rPr>
          <w:t xml:space="preserve">Lei nº 14.133, de 2021</w:t>
        </w:r>
      </w:hyperlink>
      <w:r>
        <w:rPr>
          <w:rFonts w:ascii="Cambria" w:hAnsi="Cambria" w:cs="Cambria"/>
          <w:sz w:val="14"/>
          <w:szCs w:val="14"/>
        </w:rPr>
        <w:t xml:space="preserve">, e demais normas federais aplicáveis e, subsidiariamente, segundo as disposições contidas na </w:t>
      </w:r>
      <w:hyperlink r:id="rId116" w:tooltip="https://www.planalto.gov.br/ccivil_03/leis/l8078compilado.htm" w:history="1">
        <w:r>
          <w:rPr>
            <w:rStyle w:val="988"/>
            <w:rFonts w:ascii="Cambria" w:hAnsi="Cambria" w:cs="Cambria"/>
            <w:sz w:val="14"/>
            <w:szCs w:val="14"/>
          </w:rPr>
          <w:t xml:space="preserve">Lei nº 8.078, de 1990 – Código de Defesa do Consumidor</w:t>
        </w:r>
      </w:hyperlink>
      <w:r>
        <w:rPr>
          <w:rFonts w:ascii="Cambria" w:hAnsi="Cambria" w:cs="Cambria"/>
          <w:sz w:val="14"/>
          <w:szCs w:val="14"/>
        </w:rPr>
        <w:t xml:space="preserve"> – e normas e p</w:t>
      </w:r>
      <w:r>
        <w:rPr>
          <w:rFonts w:ascii="Cambria" w:hAnsi="Cambria" w:cs="Cambria"/>
          <w:sz w:val="14"/>
          <w:szCs w:val="14"/>
        </w:rPr>
        <w:t xml:space="preserve">rincípios gerais dos contratos.</w:t>
      </w:r>
      <w:r>
        <w:rPr>
          <w:rFonts w:ascii="Cambria" w:hAnsi="Cambria" w:cs="Cambria"/>
          <w:sz w:val="14"/>
          <w:szCs w:val="14"/>
        </w:rPr>
      </w:r>
      <w:r/>
    </w:p>
    <w:p>
      <w:pPr>
        <w:pStyle w:val="1010"/>
        <w:ind w:left="0" w:right="0" w:firstLine="0"/>
        <w:rPr>
          <w:rFonts w:ascii="Cambria" w:hAnsi="Cambria" w:cs="Cambria"/>
          <w:sz w:val="14"/>
          <w:szCs w:val="14"/>
        </w:rPr>
      </w:pPr>
      <w:r>
        <w:rPr>
          <w:rFonts w:ascii="Cambria" w:hAnsi="Cambria" w:cs="Cambria"/>
          <w:sz w:val="14"/>
          <w:szCs w:val="14"/>
        </w:rPr>
        <w:t xml:space="preserve">CLÁUSULA DÉCIMA SEXTA – ALTERAÇÕES</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Eventuais </w:t>
      </w:r>
      <w:r>
        <w:rPr>
          <w:rFonts w:ascii="Cambria" w:hAnsi="Cambria" w:cs="Cambria"/>
          <w:sz w:val="14"/>
          <w:szCs w:val="14"/>
        </w:rPr>
        <w:t xml:space="preserve">alterações</w:t>
      </w:r>
      <w:r>
        <w:rPr>
          <w:rFonts w:ascii="Cambria" w:hAnsi="Cambria" w:cs="Cambria"/>
          <w:sz w:val="14"/>
          <w:szCs w:val="14"/>
        </w:rPr>
        <w:t xml:space="preserve"> contratuais reger-se-ão pela disciplina dos </w:t>
      </w:r>
      <w:hyperlink r:id="rId117" w:tooltip="http://www.planalto.gov.br/ccivil_03/_ato2019-2022/2021/lei/L14133.htm#art124" w:anchor="art124" w:history="1">
        <w:r>
          <w:rPr>
            <w:rStyle w:val="988"/>
            <w:rFonts w:ascii="Cambria" w:hAnsi="Cambria" w:cs="Cambria"/>
            <w:sz w:val="14"/>
            <w:szCs w:val="14"/>
          </w:rPr>
          <w:t xml:space="preserve">arts. 124 e seguintes da Lei nº 14.133, de 2021</w:t>
        </w:r>
      </w:hyperlink>
      <w:r>
        <w:rPr>
          <w:rFonts w:ascii="Cambria" w:hAnsi="Cambria" w:cs="Cambria"/>
          <w:sz w:val="14"/>
          <w:szCs w:val="14"/>
        </w:rPr>
        <w:t xml:space="preserv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O </w:t>
      </w:r>
      <w:r>
        <w:rPr>
          <w:rFonts w:ascii="Cambria" w:hAnsi="Cambria" w:cs="Cambria"/>
          <w:sz w:val="14"/>
          <w:szCs w:val="14"/>
        </w:rPr>
        <w:t xml:space="preserve">contratado</w:t>
      </w:r>
      <w:r>
        <w:rPr>
          <w:rFonts w:ascii="Cambria" w:hAnsi="Cambria" w:cs="Cambria"/>
          <w:sz w:val="14"/>
          <w:szCs w:val="14"/>
        </w:rPr>
        <w:t xml:space="preserve"> é obrigado a aceitar, nas mesmas condições contratuais, os acréscimos ou supressões que se fizerem necessários, até o limite de 25% (vinte e cinco por cento) do valor inicial atualizado do contrato.</w:t>
      </w:r>
      <w:r>
        <w:rPr>
          <w:rFonts w:ascii="Cambria" w:hAnsi="Cambria" w:cs="Cambria"/>
          <w:sz w:val="14"/>
          <w:szCs w:val="14"/>
        </w:rPr>
      </w:r>
      <w:r/>
    </w:p>
    <w:p>
      <w:pPr>
        <w:pStyle w:val="1030"/>
        <w:ind w:left="0" w:right="0" w:firstLine="0"/>
        <w:rPr>
          <w:rFonts w:ascii="Cambria" w:hAnsi="Cambria" w:cs="Cambria"/>
          <w:sz w:val="14"/>
          <w:szCs w:val="14"/>
          <w:highlight w:val="none"/>
        </w:rPr>
      </w:pPr>
      <w:r>
        <w:rPr>
          <w:rFonts w:ascii="Cambria" w:hAnsi="Cambria" w:cs="Cambria"/>
          <w:sz w:val="14"/>
          <w:szCs w:val="14"/>
          <w:highlight w:val="none"/>
        </w:rPr>
        <w:t xml:space="preserve">As </w:t>
      </w:r>
      <w:r>
        <w:rPr>
          <w:rFonts w:ascii="Cambria" w:hAnsi="Cambria" w:cs="Cambria"/>
          <w:sz w:val="14"/>
          <w:szCs w:val="14"/>
          <w:highlight w:val="none"/>
        </w:rPr>
        <w:t xml:space="preserve">alterações</w:t>
      </w:r>
      <w:r>
        <w:rPr>
          <w:rFonts w:ascii="Cambria" w:hAnsi="Cambria" w:cs="Cambria"/>
          <w:sz w:val="14"/>
          <w:szCs w:val="14"/>
          <w:highlight w:val="none"/>
        </w:rPr>
        <w:t xml:space="preserve"> contratuais deverão ser promovidas mediante celebração de termo aditivo, submetido à </w:t>
      </w:r>
      <w:r>
        <w:rPr>
          <w:rFonts w:ascii="Cambria" w:hAnsi="Cambria" w:cs="Cambria"/>
          <w:sz w:val="14"/>
          <w:szCs w:val="14"/>
          <w:highlight w:val="none"/>
        </w:rPr>
        <w:t xml:space="preserve">prévia aprovação da consultoria jurídica do contratante, salvo nos casos de justificada necessidade de antecipação de seus efeitos, hipótese em que a formalização do aditivo deverá ocorrer no prazo máximo de 1 (um) mês (art. 132 da Lei nº 14.133, de 2021).</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Registros que não caracterizam alteração do contrato podem ser realizados por simples apostila, dispensada a celebração de termo aditivo, na forma do </w:t>
      </w:r>
      <w:hyperlink r:id="rId118" w:tooltip="http://www.planalto.gov.br/ccivil_03/_ato2019-2022/2021/lei/L14133.htm#art136" w:anchor="art136" w:history="1">
        <w:r>
          <w:rPr>
            <w:rStyle w:val="988"/>
            <w:rFonts w:ascii="Cambria" w:hAnsi="Cambria" w:cs="Cambria"/>
            <w:sz w:val="14"/>
            <w:szCs w:val="14"/>
          </w:rPr>
          <w:t xml:space="preserve">art. 136 da Lei nº 14.133, de 2021</w:t>
        </w:r>
      </w:hyperlink>
      <w:r>
        <w:rPr>
          <w:rFonts w:ascii="Cambria" w:hAnsi="Cambria" w:cs="Cambria"/>
          <w:sz w:val="14"/>
          <w:szCs w:val="14"/>
        </w:rPr>
        <w:t xml:space="preserve">.</w:t>
      </w:r>
      <w:r>
        <w:rPr>
          <w:rFonts w:ascii="Cambria" w:hAnsi="Cambria" w:cs="Cambria"/>
          <w:sz w:val="14"/>
          <w:szCs w:val="14"/>
        </w:rPr>
      </w:r>
      <w:r/>
    </w:p>
    <w:p>
      <w:pPr>
        <w:pStyle w:val="1010"/>
        <w:ind w:left="0" w:right="0" w:firstLine="0"/>
        <w:rPr>
          <w:rFonts w:ascii="Cambria" w:hAnsi="Cambria" w:cs="Cambria"/>
          <w:sz w:val="14"/>
          <w:szCs w:val="14"/>
        </w:rPr>
      </w:pPr>
      <w:r>
        <w:rPr>
          <w:rFonts w:ascii="Cambria" w:hAnsi="Cambria" w:cs="Cambria"/>
          <w:sz w:val="14"/>
          <w:szCs w:val="14"/>
        </w:rPr>
        <w:t xml:space="preserve">CLÁUSULA DÉCIMA SÉTIMA – PUBLICAÇÃO</w:t>
      </w:r>
      <w:r>
        <w:rPr>
          <w:rFonts w:ascii="Cambria" w:hAnsi="Cambria" w:cs="Cambria"/>
          <w:sz w:val="14"/>
          <w:szCs w:val="14"/>
        </w:rPr>
      </w:r>
      <w:r/>
    </w:p>
    <w:p>
      <w:pPr>
        <w:pStyle w:val="1030"/>
        <w:ind w:left="0" w:right="0" w:firstLine="0"/>
        <w:rPr>
          <w:rFonts w:ascii="Cambria" w:hAnsi="Cambria" w:cs="Cambria"/>
          <w:sz w:val="14"/>
          <w:szCs w:val="14"/>
          <w:highlight w:val="none"/>
        </w:rPr>
      </w:pPr>
      <w:r>
        <w:rPr>
          <w:rFonts w:ascii="Cambria" w:hAnsi="Cambria" w:cs="Cambria"/>
          <w:sz w:val="14"/>
          <w:szCs w:val="14"/>
        </w:rPr>
        <w:t xml:space="preserve">Incumbirá</w:t>
      </w:r>
      <w:r>
        <w:rPr>
          <w:rFonts w:ascii="Cambria" w:hAnsi="Cambria" w:cs="Cambria"/>
          <w:sz w:val="14"/>
          <w:szCs w:val="14"/>
        </w:rPr>
        <w:t xml:space="preserve"> ao contratante divulgar o presente instrumento no Portal Nacional de Contratações Públicas (PNCP), na forma prevista no </w:t>
      </w:r>
      <w:hyperlink r:id="rId119" w:tooltip="http://www.planalto.gov.br/ccivil_03/_ato2019-2022/2021/lei/L14133.htm#art94" w:anchor="art94" w:history="1">
        <w:r>
          <w:rPr>
            <w:rStyle w:val="988"/>
            <w:rFonts w:ascii="Cambria" w:hAnsi="Cambria" w:cs="Cambria"/>
            <w:sz w:val="14"/>
            <w:szCs w:val="14"/>
          </w:rPr>
          <w:t xml:space="preserve">art. 94 da Lei 14.133, de 2021</w:t>
        </w:r>
      </w:hyperlink>
      <w:r>
        <w:rPr>
          <w:rFonts w:ascii="Cambria" w:hAnsi="Cambria" w:cs="Cambria"/>
          <w:sz w:val="14"/>
          <w:szCs w:val="14"/>
        </w:rPr>
        <w:t xml:space="preserve">, bem como no respectivo sítio oficial na Internet, em atenção a</w:t>
      </w:r>
      <w:r>
        <w:rPr>
          <w:rFonts w:ascii="Cambria" w:hAnsi="Cambria" w:cs="Cambria"/>
          <w:sz w:val="14"/>
          <w:szCs w:val="14"/>
          <w:highlight w:val="none"/>
        </w:rPr>
        <w:t xml:space="preserve">o</w:t>
      </w:r>
      <w:r>
        <w:rPr>
          <w:rFonts w:ascii="Cambria" w:hAnsi="Cambria" w:cs="Cambria"/>
          <w:sz w:val="14"/>
          <w:szCs w:val="14"/>
          <w:highlight w:val="none"/>
        </w:rPr>
        <w:t xml:space="preserve"> </w:t>
      </w:r>
      <w:r>
        <w:rPr>
          <w:rFonts w:ascii="Cambria" w:hAnsi="Cambria" w:cs="Cambria"/>
          <w:sz w:val="14"/>
          <w:szCs w:val="14"/>
          <w:highlight w:val="none"/>
        </w:rPr>
        <w:t xml:space="preserve">art. 91, </w:t>
      </w:r>
      <w:r>
        <w:rPr>
          <w:rFonts w:ascii="Cambria" w:hAnsi="Cambria" w:cs="Cambria"/>
          <w:i/>
          <w:iCs/>
          <w:sz w:val="14"/>
          <w:szCs w:val="14"/>
          <w:highlight w:val="none"/>
        </w:rPr>
        <w:t xml:space="preserve">caput,</w:t>
      </w:r>
      <w:r>
        <w:rPr>
          <w:rFonts w:ascii="Cambria" w:hAnsi="Cambria" w:cs="Cambria"/>
          <w:sz w:val="14"/>
          <w:szCs w:val="14"/>
          <w:highlight w:val="none"/>
        </w:rPr>
        <w:t xml:space="preserve"> da Lei n.º 14.133, de 2021</w:t>
      </w:r>
      <w:r>
        <w:rPr>
          <w:rFonts w:ascii="Cambria" w:hAnsi="Cambria" w:cs="Cambria"/>
          <w:sz w:val="14"/>
          <w:szCs w:val="14"/>
          <w:highlight w:val="none"/>
        </w:rPr>
        <w:t xml:space="preserve">.</w:t>
      </w:r>
      <w:r>
        <w:rPr>
          <w:rFonts w:ascii="Cambria" w:hAnsi="Cambria" w:cs="Cambria"/>
          <w:sz w:val="14"/>
          <w:szCs w:val="14"/>
        </w:rPr>
      </w:r>
      <w:r/>
    </w:p>
    <w:p>
      <w:pPr>
        <w:pStyle w:val="1010"/>
        <w:ind w:left="0" w:right="0" w:firstLine="0"/>
        <w:rPr>
          <w:rFonts w:ascii="Cambria" w:hAnsi="Cambria" w:cs="Cambria"/>
          <w:sz w:val="14"/>
          <w:szCs w:val="14"/>
        </w:rPr>
      </w:pPr>
      <w:r>
        <w:rPr>
          <w:rFonts w:ascii="Cambria" w:hAnsi="Cambria" w:cs="Cambria"/>
          <w:sz w:val="14"/>
          <w:szCs w:val="14"/>
        </w:rPr>
        <w:t xml:space="preserve">CLÁUSULA DÉCIMA OITAVA– FORO (</w:t>
      </w:r>
      <w:hyperlink r:id="rId120" w:tooltip="http://www.planalto.gov.br/ccivil_03/_ato2019-2022/2021/lei/L14133.htm#art92§1" w:anchor="art92§1" w:history="1">
        <w:r>
          <w:rPr>
            <w:rStyle w:val="988"/>
            <w:rFonts w:ascii="Cambria" w:hAnsi="Cambria" w:cs="Cambria"/>
            <w:sz w:val="14"/>
            <w:szCs w:val="14"/>
          </w:rPr>
          <w:t xml:space="preserve">art. 92, §1º</w:t>
        </w:r>
      </w:hyperlink>
      <w:r>
        <w:rPr>
          <w:rFonts w:ascii="Cambria" w:hAnsi="Cambria" w:cs="Cambria"/>
          <w:sz w:val="14"/>
          <w:szCs w:val="14"/>
        </w:rPr>
        <w:t xml:space="preserve">)</w:t>
      </w:r>
      <w:r>
        <w:rPr>
          <w:rFonts w:ascii="Cambria" w:hAnsi="Cambria" w:cs="Cambria"/>
          <w:sz w:val="14"/>
          <w:szCs w:val="14"/>
        </w:rPr>
      </w:r>
      <w:r/>
    </w:p>
    <w:p>
      <w:pPr>
        <w:pStyle w:val="1030"/>
        <w:ind w:left="0" w:right="0" w:firstLine="0"/>
        <w:rPr>
          <w:rFonts w:ascii="Cambria" w:hAnsi="Cambria" w:cs="Cambria"/>
          <w:sz w:val="14"/>
          <w:szCs w:val="14"/>
        </w:rPr>
      </w:pPr>
      <w:r>
        <w:rPr>
          <w:rFonts w:ascii="Cambria" w:hAnsi="Cambria" w:cs="Cambria"/>
          <w:sz w:val="14"/>
          <w:szCs w:val="14"/>
        </w:rPr>
        <w:t xml:space="preserve">Fica eleito o Foro </w:t>
      </w:r>
      <w:r>
        <w:rPr>
          <w:rFonts w:ascii="Cambria" w:hAnsi="Cambria" w:cs="Cambria"/>
          <w:sz w:val="14"/>
          <w:szCs w:val="14"/>
        </w:rPr>
        <w:t xml:space="preserve">da Comarca de Santa Bárbara do Sul-RS</w:t>
      </w:r>
      <w:r>
        <w:rPr>
          <w:rFonts w:ascii="Cambria" w:hAnsi="Cambria" w:cs="Cambria"/>
          <w:sz w:val="14"/>
          <w:szCs w:val="14"/>
        </w:rPr>
        <w:t xml:space="preserve"> para dirimir os litígios que decorrerem da execução deste Termo de Contrato que não puderem ser compostos pela conciliação, conforme </w:t>
      </w:r>
      <w:hyperlink r:id="rId121" w:tooltip="http://www.planalto.gov.br/ccivil_03/_ato2019-2022/2021/lei/L14133.htm#art92§1" w:anchor="art92§1" w:history="1">
        <w:r>
          <w:rPr>
            <w:rStyle w:val="988"/>
            <w:rFonts w:ascii="Cambria" w:hAnsi="Cambria" w:cs="Cambria"/>
            <w:sz w:val="14"/>
            <w:szCs w:val="14"/>
          </w:rPr>
          <w:t xml:space="preserve">art. 92, §1º, da Lei nº 14.133/21.</w:t>
        </w:r>
      </w:hyperlink>
      <w:r>
        <w:rPr>
          <w:rFonts w:ascii="Cambria" w:hAnsi="Cambria" w:cs="Cambria"/>
          <w:sz w:val="14"/>
          <w:szCs w:val="14"/>
        </w:rPr>
      </w:r>
      <w:r/>
    </w:p>
    <w:p>
      <w:pPr>
        <w:pStyle w:val="1030"/>
        <w:numPr>
          <w:ilvl w:val="0"/>
          <w:numId w:val="0"/>
        </w:numPr>
        <w:ind w:left="0" w:right="0" w:firstLine="0"/>
        <w:jc w:val="right"/>
        <w:spacing w:after="288" w:line="312" w:lineRule="auto"/>
        <w:rPr>
          <w:rFonts w:ascii="Cambria" w:hAnsi="Cambria" w:cs="Cambria"/>
          <w:sz w:val="14"/>
          <w:szCs w:val="14"/>
          <w:highlight w:val="none"/>
        </w:rPr>
      </w:pPr>
      <w:r>
        <w:rPr>
          <w:rFonts w:ascii="Cambria" w:hAnsi="Cambria" w:cs="Cambria"/>
          <w:i/>
          <w:iCs/>
          <w:color w:val="000000" w:themeColor="text1"/>
          <w:sz w:val="14"/>
          <w:szCs w:val="14"/>
        </w:rPr>
        <w:t xml:space="preserve">Santa Bárbara do sul/RS, ____ de ________________ de 2024</w:t>
      </w:r>
      <w:r>
        <w:rPr>
          <w:rFonts w:ascii="Cambria" w:hAnsi="Cambria" w:cs="Cambria"/>
          <w:sz w:val="14"/>
          <w:szCs w:val="14"/>
        </w:rPr>
      </w:r>
      <w:r/>
    </w:p>
    <w:p>
      <w:pPr>
        <w:pStyle w:val="1030"/>
        <w:numPr>
          <w:ilvl w:val="0"/>
          <w:numId w:val="0"/>
        </w:numPr>
        <w:ind w:left="0" w:right="0" w:firstLine="0"/>
        <w:jc w:val="right"/>
        <w:spacing w:after="288" w:line="312" w:lineRule="auto"/>
        <w:rPr>
          <w:rFonts w:ascii="Cambria" w:hAnsi="Cambria" w:cs="Cambria"/>
          <w:bCs/>
          <w:i/>
          <w:color w:val="000000" w:themeColor="text1"/>
          <w:sz w:val="14"/>
          <w:szCs w:val="14"/>
          <w:highlight w:val="none"/>
        </w:rPr>
      </w:pPr>
      <w:r>
        <w:rPr>
          <w:rFonts w:ascii="Cambria" w:hAnsi="Cambria" w:cs="Cambria"/>
          <w:bCs/>
          <w:i/>
          <w:color w:val="000000" w:themeColor="text1"/>
          <w:sz w:val="14"/>
          <w:szCs w:val="14"/>
          <w:highlight w:val="none"/>
        </w:rPr>
      </w:r>
      <w:r>
        <w:rPr>
          <w:rFonts w:ascii="Cambria" w:hAnsi="Cambria" w:cs="Cambria"/>
          <w:bCs/>
          <w:i/>
          <w:color w:val="000000" w:themeColor="text1"/>
          <w:sz w:val="14"/>
          <w:szCs w:val="14"/>
          <w:highlight w:val="none"/>
        </w:rPr>
      </w:r>
      <w:r/>
    </w:p>
    <w:p>
      <w:pPr>
        <w:pStyle w:val="1030"/>
        <w:numPr>
          <w:ilvl w:val="0"/>
          <w:numId w:val="0"/>
        </w:numPr>
        <w:ind w:left="0" w:right="0" w:firstLine="0"/>
        <w:jc w:val="right"/>
        <w:spacing w:after="288" w:line="312" w:lineRule="auto"/>
        <w:rPr>
          <w:rFonts w:ascii="Cambria" w:hAnsi="Cambria" w:cs="Cambria"/>
          <w:bCs/>
          <w:i/>
          <w:color w:val="000000" w:themeColor="text1"/>
          <w:sz w:val="14"/>
          <w:szCs w:val="14"/>
          <w:highlight w:val="none"/>
        </w:rPr>
      </w:pPr>
      <w:r>
        <w:rPr>
          <w:rFonts w:ascii="Cambria" w:hAnsi="Cambria" w:cs="Cambria"/>
          <w:sz w:val="14"/>
          <w:szCs w:val="14"/>
          <w:highlight w:val="none"/>
        </w:rPr>
      </w:r>
      <w:r>
        <w:rPr>
          <w:rFonts w:ascii="Cambria" w:hAnsi="Cambria" w:cs="Cambria"/>
          <w:sz w:val="14"/>
          <w:szCs w:val="14"/>
          <w:highlight w:val="none"/>
        </w:rPr>
      </w:r>
      <w:r/>
    </w:p>
    <w:p>
      <w:pPr>
        <w:ind w:left="0" w:right="0" w:firstLine="0"/>
        <w:jc w:val="center"/>
        <w:spacing w:before="120" w:after="288" w:line="312" w:lineRule="auto"/>
        <w:rPr>
          <w:rFonts w:ascii="Cambria" w:hAnsi="Cambria" w:cs="Cambria"/>
          <w:sz w:val="14"/>
          <w:szCs w:val="14"/>
        </w:rPr>
      </w:pPr>
      <w:r>
        <w:rPr>
          <w:rFonts w:ascii="Cambria" w:hAnsi="Cambria" w:cs="Cambria"/>
          <w:bCs/>
          <w:sz w:val="14"/>
          <w:szCs w:val="14"/>
        </w:rPr>
        <w:t xml:space="preserve">_________________________</w:t>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highlight w:val="none"/>
        </w:rPr>
      </w:pPr>
      <w:r>
        <w:rPr>
          <w:rFonts w:ascii="Cambria" w:hAnsi="Cambria" w:cs="Cambria"/>
          <w:bCs/>
          <w:sz w:val="14"/>
          <w:szCs w:val="14"/>
        </w:rPr>
        <w:t xml:space="preserve">Representante legal do CONTRATANTE</w:t>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cs="Cambria"/>
          <w:sz w:val="14"/>
          <w:szCs w:val="14"/>
          <w:highlight w:val="none"/>
        </w:rPr>
      </w:r>
      <w:r>
        <w:rPr>
          <w:rFonts w:ascii="Cambria" w:hAnsi="Cambria" w:cs="Cambria"/>
          <w:sz w:val="14"/>
          <w:szCs w:val="14"/>
          <w:highlight w:val="none"/>
        </w:rPr>
      </w:r>
      <w:r/>
    </w:p>
    <w:p>
      <w:pPr>
        <w:ind w:left="0" w:right="0" w:firstLine="0"/>
        <w:jc w:val="center"/>
        <w:spacing w:before="120" w:after="288" w:line="312" w:lineRule="auto"/>
        <w:rPr>
          <w:rFonts w:ascii="Cambria" w:hAnsi="Cambria" w:cs="Cambria"/>
          <w:sz w:val="14"/>
          <w:szCs w:val="14"/>
        </w:rPr>
      </w:pPr>
      <w:r>
        <w:rPr>
          <w:rFonts w:ascii="Cambria" w:hAnsi="Cambria" w:cs="Cambria"/>
          <w:sz w:val="14"/>
          <w:szCs w:val="14"/>
        </w:rPr>
        <w:t xml:space="preserve">_________________________</w:t>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highlight w:val="none"/>
        </w:rPr>
      </w:pPr>
      <w:r>
        <w:rPr>
          <w:rFonts w:ascii="Cambria" w:hAnsi="Cambria" w:cs="Cambria"/>
          <w:bCs/>
          <w:sz w:val="14"/>
          <w:szCs w:val="14"/>
        </w:rPr>
        <w:t xml:space="preserve">Representante</w:t>
      </w:r>
      <w:r>
        <w:rPr>
          <w:rFonts w:ascii="Cambria" w:hAnsi="Cambria" w:cs="Cambria"/>
          <w:sz w:val="14"/>
          <w:szCs w:val="14"/>
        </w:rPr>
        <w:t xml:space="preserve"> legal do CONTRATADO</w:t>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p>
    <w:p>
      <w:pPr>
        <w:ind w:left="0" w:right="0" w:firstLine="0"/>
        <w:jc w:val="center"/>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p>
    <w:p>
      <w:pPr>
        <w:ind w:left="0" w:right="0" w:firstLine="0"/>
        <w:jc w:val="center"/>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p>
    <w:p>
      <w:pPr>
        <w:ind w:left="0" w:right="0" w:firstLine="0"/>
        <w:jc w:val="center"/>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p>
    <w:p>
      <w:pPr>
        <w:ind w:left="0" w:right="0" w:firstLine="0"/>
        <w:jc w:val="center"/>
        <w:spacing w:before="120" w:after="288" w:line="312" w:lineRule="auto"/>
        <w:rPr>
          <w:rFonts w:ascii="Cambria" w:hAnsi="Cambria" w:cs="Cambria"/>
          <w:sz w:val="14"/>
          <w:szCs w:val="14"/>
        </w:rPr>
      </w:pPr>
      <w:r>
        <w:rPr>
          <w:rFonts w:ascii="Cambria" w:hAnsi="Cambria" w:cs="Cambria"/>
          <w:sz w:val="14"/>
          <w:szCs w:val="14"/>
          <w:highlight w:val="none"/>
        </w:rPr>
      </w:r>
      <w:r>
        <w:rPr>
          <w:rFonts w:ascii="Cambria" w:hAnsi="Cambria" w:cs="Cambria"/>
          <w:sz w:val="14"/>
          <w:szCs w:val="14"/>
          <w:highlight w:val="none"/>
        </w:rPr>
      </w:r>
    </w:p>
    <w:p>
      <w:pPr>
        <w:ind w:left="0" w:right="0" w:firstLine="0"/>
        <w:jc w:val="center"/>
        <w:spacing w:line="360" w:lineRule="auto"/>
        <w:rPr>
          <w:rFonts w:ascii="Cambria" w:hAnsi="Cambria" w:cs="Cambria"/>
          <w:sz w:val="14"/>
          <w:szCs w:val="14"/>
        </w:rPr>
      </w:pPr>
      <w:r>
        <w:rPr>
          <w:rFonts w:ascii="Cambria" w:hAnsi="Cambria" w:cs="Cambria"/>
          <w:b/>
          <w:bCs/>
          <w:sz w:val="14"/>
          <w:szCs w:val="14"/>
        </w:rPr>
        <w:t xml:space="preserve">ANEXO IV</w:t>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center"/>
        <w:spacing w:before="200" w:after="200"/>
        <w:rPr>
          <w:rFonts w:ascii="Cambria" w:hAnsi="Cambria" w:cs="Cambria"/>
          <w:sz w:val="14"/>
          <w:szCs w:val="14"/>
        </w:rPr>
      </w:pPr>
      <w:r>
        <w:rPr>
          <w:rFonts w:ascii="Cambria" w:hAnsi="Cambria" w:eastAsia="Arial" w:cs="Cambria"/>
          <w:b/>
          <w:color w:val="000000"/>
          <w:sz w:val="14"/>
          <w:szCs w:val="14"/>
        </w:rPr>
        <w:t xml:space="preserve">AUTORIZAÇÃO</w:t>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spacing w:before="200" w:after="200" w:line="360" w:lineRule="auto"/>
        <w:rPr>
          <w:rFonts w:ascii="Cambria" w:hAnsi="Cambria" w:cs="Cambria"/>
          <w:sz w:val="14"/>
          <w:szCs w:val="14"/>
        </w:rPr>
      </w:pPr>
      <w:r>
        <w:rPr>
          <w:rFonts w:ascii="Cambria" w:hAnsi="Cambria" w:eastAsia="Arial" w:cs="Cambria"/>
          <w:color w:val="000000"/>
          <w:sz w:val="14"/>
          <w:szCs w:val="14"/>
        </w:rPr>
        <w:t xml:space="preserve">Considerando o Pedido de Compras094</w:t>
      </w:r>
      <w:r>
        <w:rPr>
          <w:rFonts w:ascii="Cambria" w:hAnsi="Cambria" w:eastAsia="Arial" w:cs="Cambria"/>
          <w:color w:val="000000"/>
          <w:sz w:val="14"/>
          <w:szCs w:val="14"/>
          <w:highlight w:val="white"/>
        </w:rPr>
        <w:t xml:space="preserve">/2024 </w:t>
      </w:r>
      <w:r>
        <w:rPr>
          <w:rFonts w:ascii="Cambria" w:hAnsi="Cambria" w:eastAsia="Arial" w:cs="Cambria"/>
          <w:b/>
          <w:color w:val="000000"/>
          <w:sz w:val="14"/>
          <w:szCs w:val="14"/>
          <w:highlight w:val="white"/>
        </w:rPr>
        <w:t xml:space="preserve">da Secretaria de Educação,</w:t>
      </w:r>
      <w:r>
        <w:rPr>
          <w:rFonts w:ascii="Cambria" w:hAnsi="Cambria" w:eastAsia="Arial" w:cs="Cambria"/>
          <w:b/>
          <w:color w:val="000000"/>
          <w:sz w:val="14"/>
          <w:szCs w:val="14"/>
        </w:rPr>
        <w:t xml:space="preserve"> AUTORIZO </w:t>
      </w:r>
      <w:r>
        <w:rPr>
          <w:rFonts w:ascii="Cambria" w:hAnsi="Cambria" w:eastAsia="Arial" w:cs="Cambria"/>
          <w:color w:val="000000"/>
          <w:sz w:val="14"/>
          <w:szCs w:val="14"/>
        </w:rPr>
        <w:t xml:space="preserve">a Comissão Permanente de Licitação instituída pela </w:t>
      </w:r>
      <w:r>
        <w:rPr>
          <w:rFonts w:ascii="Cambria" w:hAnsi="Cambria" w:eastAsia="Arial" w:cs="Cambria"/>
          <w:b/>
          <w:color w:val="000000"/>
          <w:sz w:val="14"/>
          <w:szCs w:val="14"/>
        </w:rPr>
        <w:t xml:space="preserve">Portaria n. 011/2024</w:t>
      </w:r>
      <w:r>
        <w:rPr>
          <w:rFonts w:ascii="Cambria" w:hAnsi="Cambria" w:eastAsia="Arial" w:cs="Cambria"/>
          <w:color w:val="000000"/>
          <w:sz w:val="14"/>
          <w:szCs w:val="14"/>
        </w:rPr>
        <w:t xml:space="preserve">, e em consonância ao disposto no artigo 38, da </w:t>
      </w:r>
      <w:r>
        <w:rPr>
          <w:rFonts w:ascii="Cambria" w:hAnsi="Cambria" w:eastAsia="Arial" w:cs="Cambria"/>
          <w:b/>
          <w:color w:val="000000"/>
          <w:sz w:val="14"/>
          <w:szCs w:val="14"/>
        </w:rPr>
        <w:t xml:space="preserve">Lei Federal nº 14.133 de 1º de abril de 2021</w:t>
      </w:r>
      <w:r>
        <w:rPr>
          <w:rFonts w:ascii="Cambria" w:hAnsi="Cambria" w:eastAsia="Arial" w:cs="Cambria"/>
          <w:color w:val="000000"/>
          <w:sz w:val="14"/>
          <w:szCs w:val="14"/>
        </w:rPr>
        <w:t xml:space="preserve">, com suas alterações posteriores, a abrir processo licitatório próprio para </w:t>
      </w:r>
      <w:r>
        <w:rPr>
          <w:rFonts w:hint="default" w:ascii="Cambria" w:hAnsi="Cambria" w:cs="Cambria"/>
          <w:b/>
          <w:bCs/>
          <w:sz w:val="14"/>
          <w:szCs w:val="14"/>
          <w:lang w:val="pt-BR"/>
        </w:rPr>
        <w:t xml:space="preserve">CONTRATAÇÃO DE EMPRESA PARA OBRA DE REVITALIZAÇÃO DO ESTÁDIO MUNICIPAL JOSÉ ANTÔNIO DUMONCEL </w:t>
      </w:r>
      <w:r>
        <w:rPr>
          <w:rFonts w:ascii="Cambria" w:hAnsi="Cambria" w:eastAsia="Arial" w:cs="Cambria"/>
          <w:color w:val="000000"/>
          <w:sz w:val="14"/>
          <w:szCs w:val="14"/>
        </w:rPr>
        <w:t xml:space="preserve">, com fiel observância à legislação e formalidades pertinentes em vigor, devendo ser mantido prévio entendimento com a Secretaria Municipal de  Fazenda, para verificar a existência de disponibilidade orçamentária.</w:t>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br/>
      </w:r>
      <w:r>
        <w:rPr>
          <w:rFonts w:ascii="Cambria" w:hAnsi="Cambria" w:cs="Cambria"/>
          <w:sz w:val="14"/>
          <w:szCs w:val="14"/>
        </w:rPr>
      </w:r>
      <w:r/>
    </w:p>
    <w:p>
      <w:pPr>
        <w:ind w:left="0" w:right="0" w:firstLine="0"/>
        <w:jc w:val="right"/>
        <w:spacing w:before="200" w:after="200"/>
        <w:rPr>
          <w:rFonts w:ascii="Cambria" w:hAnsi="Cambria" w:cs="Cambria"/>
          <w:sz w:val="14"/>
          <w:szCs w:val="14"/>
        </w:rPr>
      </w:pPr>
      <w:r>
        <w:rPr>
          <w:rFonts w:ascii="Cambria" w:hAnsi="Cambria" w:eastAsia="Arial" w:cs="Cambria"/>
          <w:color w:val="000000"/>
          <w:sz w:val="14"/>
          <w:szCs w:val="14"/>
          <w:highlight w:val="white"/>
        </w:rPr>
        <w:t xml:space="preserve">Santa Bárbara do Sul, 05 de agosto de 2024</w:t>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br/>
      </w:r>
      <w:r>
        <w:rPr>
          <w:rFonts w:ascii="Cambria" w:hAnsi="Cambria" w:cs="Cambria"/>
          <w:sz w:val="14"/>
          <w:szCs w:val="14"/>
        </w:rPr>
        <w:br/>
      </w:r>
      <w:r>
        <w:rPr>
          <w:rFonts w:ascii="Cambria" w:hAnsi="Cambria" w:cs="Cambria"/>
          <w:sz w:val="14"/>
          <w:szCs w:val="14"/>
        </w:rPr>
      </w:r>
      <w:r/>
    </w:p>
    <w:p>
      <w:pPr>
        <w:ind w:left="0" w:right="0" w:firstLine="0"/>
        <w:jc w:val="center"/>
        <w:spacing w:line="360" w:lineRule="auto"/>
        <w:rPr>
          <w:rFonts w:ascii="Cambria" w:hAnsi="Cambria" w:cs="Cambria"/>
          <w:sz w:val="14"/>
          <w:szCs w:val="14"/>
        </w:rPr>
      </w:pPr>
      <w:r>
        <w:rPr>
          <w:rFonts w:ascii="Cambria" w:hAnsi="Cambria" w:cs="Cambria"/>
          <w:sz w:val="14"/>
          <w:szCs w:val="14"/>
        </w:rPr>
        <w:t xml:space="preserve">Mário Roberto Utzig Filho  </w:t>
      </w:r>
      <w:r>
        <w:rPr>
          <w:rFonts w:ascii="Cambria" w:hAnsi="Cambria" w:cs="Cambria"/>
          <w:sz w:val="14"/>
          <w:szCs w:val="14"/>
        </w:rPr>
      </w:r>
      <w:r/>
    </w:p>
    <w:p>
      <w:pPr>
        <w:ind w:left="0" w:right="0" w:firstLine="0"/>
        <w:jc w:val="center"/>
        <w:spacing w:line="360" w:lineRule="auto"/>
        <w:rPr>
          <w:rFonts w:ascii="Cambria" w:hAnsi="Cambria" w:cs="Cambria"/>
          <w:sz w:val="14"/>
          <w:szCs w:val="14"/>
        </w:rPr>
      </w:pPr>
      <w:r>
        <w:rPr>
          <w:rFonts w:ascii="Cambria" w:hAnsi="Cambria" w:cs="Cambria"/>
          <w:sz w:val="14"/>
          <w:szCs w:val="14"/>
        </w:rPr>
        <w:t xml:space="preserve">Prefeito</w:t>
      </w:r>
      <w:r>
        <w:rPr>
          <w:rFonts w:ascii="Cambria" w:hAnsi="Cambria" w:cs="Cambria"/>
          <w:sz w:val="14"/>
          <w:szCs w:val="14"/>
        </w:rPr>
      </w:r>
      <w:r/>
    </w:p>
    <w:p>
      <w:pPr>
        <w:ind w:left="0" w:right="0" w:firstLine="0"/>
        <w:jc w:val="center"/>
        <w:spacing w:line="360" w:lineRule="auto"/>
        <w:rPr>
          <w:rFonts w:ascii="Cambria" w:hAnsi="Cambria" w:cs="Cambria"/>
          <w:b/>
          <w:bCs/>
          <w:color w:val="000000"/>
          <w:sz w:val="14"/>
          <w:szCs w:val="14"/>
          <w:highlight w:val="white"/>
        </w:rPr>
      </w:pPr>
      <w:r>
        <w:rPr>
          <w:rFonts w:ascii="Cambria" w:hAnsi="Cambria" w:cs="Cambria"/>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center"/>
        <w:spacing w:before="288" w:after="288" w:line="312" w:lineRule="auto"/>
        <w:rPr>
          <w:rFonts w:ascii="Cambria" w:hAnsi="Cambria" w:cs="Cambria"/>
          <w:b/>
          <w:bCs/>
          <w:color w:val="000000" w:themeColor="text1"/>
          <w:sz w:val="14"/>
          <w:szCs w:val="14"/>
        </w:rPr>
      </w:pPr>
      <w:r>
        <w:rPr>
          <w:rFonts w:ascii="Cambria" w:hAnsi="Cambria" w:cs="Cambria"/>
          <w:b/>
          <w:bCs/>
          <w:color w:val="000000" w:themeColor="text1"/>
          <w:sz w:val="14"/>
          <w:szCs w:val="14"/>
        </w:rPr>
      </w:r>
      <w:r>
        <w:rPr>
          <w:rFonts w:ascii="Cambria" w:hAnsi="Cambria" w:cs="Cambria"/>
          <w:b/>
          <w:bCs/>
          <w:sz w:val="14"/>
          <w:szCs w:val="14"/>
        </w:rPr>
        <w:t xml:space="preserve">ANEXO V</w:t>
      </w:r>
      <w:r>
        <w:rPr>
          <w:rFonts w:ascii="Cambria" w:hAnsi="Cambria" w:cs="Cambria"/>
          <w:sz w:val="14"/>
          <w:szCs w:val="14"/>
        </w:rPr>
      </w:r>
      <w:r/>
    </w:p>
    <w:p>
      <w:pPr>
        <w:ind w:left="0" w:right="0" w:firstLine="0"/>
        <w:jc w:val="center"/>
        <w:spacing w:line="360" w:lineRule="auto"/>
        <w:rPr>
          <w:rFonts w:ascii="Cambria" w:hAnsi="Cambria" w:cs="Cambria"/>
          <w:sz w:val="14"/>
          <w:szCs w:val="14"/>
        </w:rPr>
      </w:pPr>
      <w:r>
        <w:rPr>
          <w:rFonts w:ascii="Cambria" w:hAnsi="Cambria" w:cs="Cambria"/>
          <w:b/>
          <w:sz w:val="14"/>
          <w:szCs w:val="14"/>
        </w:rPr>
        <w:t xml:space="preserve">ESTADO DO RIO GRANDE DO SUL</w:t>
      </w:r>
      <w:r>
        <w:rPr>
          <w:rFonts w:ascii="Cambria" w:hAnsi="Cambria" w:cs="Cambria"/>
          <w:sz w:val="14"/>
          <w:szCs w:val="14"/>
        </w:rPr>
      </w:r>
      <w:r/>
    </w:p>
    <w:p>
      <w:pPr>
        <w:ind w:left="0" w:right="0" w:firstLine="0"/>
        <w:jc w:val="center"/>
        <w:spacing w:line="360" w:lineRule="auto"/>
        <w:rPr>
          <w:rFonts w:ascii="Cambria" w:hAnsi="Cambria" w:cs="Cambria"/>
          <w:sz w:val="14"/>
          <w:szCs w:val="14"/>
        </w:rPr>
      </w:pPr>
      <w:r>
        <w:rPr>
          <w:rFonts w:ascii="Cambria" w:hAnsi="Cambria" w:cs="Cambria"/>
          <w:b/>
          <w:sz w:val="14"/>
          <w:szCs w:val="14"/>
        </w:rPr>
        <w:t xml:space="preserve">PREFEITURA MUNICIPAL DE SANTA BÁRBARA DO SUL</w:t>
      </w:r>
      <w:r>
        <w:rPr>
          <w:rFonts w:ascii="Cambria" w:hAnsi="Cambria" w:cs="Cambria"/>
          <w:sz w:val="14"/>
          <w:szCs w:val="14"/>
        </w:rPr>
      </w:r>
      <w:r/>
    </w:p>
    <w:p>
      <w:pPr>
        <w:ind w:left="0" w:right="0" w:firstLine="0"/>
        <w:jc w:val="center"/>
        <w:spacing w:line="360" w:lineRule="auto"/>
        <w:rPr>
          <w:rFonts w:ascii="Cambria" w:hAnsi="Cambria" w:cs="Cambria"/>
          <w:sz w:val="14"/>
          <w:szCs w:val="14"/>
        </w:rPr>
      </w:pPr>
      <w:r>
        <w:rPr>
          <w:rFonts w:ascii="Cambria" w:hAnsi="Cambria" w:cs="Cambria"/>
          <w:b/>
          <w:sz w:val="14"/>
          <w:szCs w:val="14"/>
        </w:rPr>
        <w:t xml:space="preserve">AVISO DE LICITAÇÃO</w:t>
      </w:r>
      <w:r>
        <w:rPr>
          <w:rFonts w:ascii="Cambria" w:hAnsi="Cambria" w:cs="Cambria"/>
          <w:sz w:val="14"/>
          <w:szCs w:val="14"/>
        </w:rPr>
      </w:r>
      <w:r/>
    </w:p>
    <w:p>
      <w:pPr>
        <w:ind w:left="0" w:right="0" w:firstLine="0"/>
        <w:jc w:val="center"/>
        <w:spacing w:line="360" w:lineRule="auto"/>
        <w:rPr>
          <w:rFonts w:ascii="Cambria" w:hAnsi="Cambria" w:cs="Cambria"/>
          <w:sz w:val="14"/>
          <w:szCs w:val="14"/>
        </w:rPr>
      </w:pPr>
      <w:r>
        <w:rPr>
          <w:rFonts w:ascii="Cambria" w:hAnsi="Cambria" w:cs="Cambria"/>
          <w:b/>
          <w:sz w:val="14"/>
          <w:szCs w:val="14"/>
          <w:highlight w:val="white"/>
        </w:rPr>
      </w:r>
      <w:r>
        <w:rPr>
          <w:rFonts w:ascii="Cambria" w:hAnsi="Cambria" w:cs="Cambria"/>
          <w:sz w:val="14"/>
          <w:szCs w:val="14"/>
        </w:rPr>
      </w:r>
      <w:r/>
    </w:p>
    <w:p>
      <w:pPr>
        <w:ind w:left="0" w:right="0" w:firstLine="0"/>
        <w:jc w:val="both"/>
        <w:spacing w:line="360" w:lineRule="auto"/>
        <w:rPr>
          <w:rFonts w:ascii="Cambria" w:hAnsi="Cambria" w:cs="Cambria"/>
          <w:sz w:val="14"/>
          <w:szCs w:val="14"/>
        </w:rPr>
      </w:pPr>
      <w:r>
        <w:rPr>
          <w:rFonts w:ascii="Cambria" w:hAnsi="Cambria" w:cs="Cambria"/>
          <w:color w:val="000000" w:themeColor="text1"/>
          <w:sz w:val="14"/>
          <w:szCs w:val="14"/>
          <w:highlight w:val="white"/>
        </w:rPr>
        <w:t xml:space="preserve">Torno público abertura do </w:t>
      </w:r>
      <w:r>
        <w:rPr>
          <w:rFonts w:ascii="Cambria" w:hAnsi="Cambria" w:cs="Cambria"/>
          <w:b/>
          <w:color w:val="000000" w:themeColor="text1"/>
          <w:sz w:val="14"/>
          <w:szCs w:val="14"/>
          <w:highlight w:val="white"/>
        </w:rPr>
        <w:t xml:space="preserve">Processo Licitatório n° 139/2024</w:t>
      </w:r>
      <w:r>
        <w:rPr>
          <w:rFonts w:ascii="Cambria" w:hAnsi="Cambria" w:cs="Cambria"/>
          <w:color w:val="000000" w:themeColor="text1"/>
          <w:sz w:val="14"/>
          <w:szCs w:val="14"/>
          <w:highlight w:val="white"/>
        </w:rPr>
        <w:t xml:space="preserve">, na modalidade </w:t>
      </w:r>
      <w:r>
        <w:rPr>
          <w:rFonts w:ascii="Cambria" w:hAnsi="Cambria" w:cs="Cambria"/>
          <w:b/>
          <w:bCs/>
          <w:color w:val="000000" w:themeColor="text1"/>
          <w:sz w:val="14"/>
          <w:szCs w:val="14"/>
          <w:highlight w:val="white"/>
        </w:rPr>
        <w:t xml:space="preserve">Concorrência</w:t>
      </w:r>
      <w:r>
        <w:rPr>
          <w:rFonts w:ascii="Cambria" w:hAnsi="Cambria" w:cs="Cambria"/>
          <w:b/>
          <w:bCs/>
          <w:sz w:val="14"/>
          <w:szCs w:val="14"/>
          <w:highlight w:val="white"/>
        </w:rPr>
        <w:t xml:space="preserve"> nº 12/2024</w:t>
      </w:r>
      <w:r>
        <w:rPr>
          <w:rFonts w:ascii="Cambria" w:hAnsi="Cambria" w:cs="Cambria"/>
          <w:b w:val="0"/>
          <w:color w:val="000000" w:themeColor="text1"/>
          <w:sz w:val="14"/>
          <w:szCs w:val="14"/>
        </w:rPr>
        <w:t xml:space="preserve">: REVITALIZAÇÃO ESTÁDIO JOSÉ ANTÔNIO DUMONCEL</w:t>
      </w:r>
      <w:r>
        <w:rPr>
          <w:rFonts w:ascii="Cambria" w:hAnsi="Cambria" w:cs="Cambria"/>
          <w:color w:val="000000" w:themeColor="text1"/>
          <w:sz w:val="14"/>
          <w:szCs w:val="14"/>
        </w:rPr>
        <w:t xml:space="preserve">. </w:t>
      </w:r>
      <w:r>
        <w:rPr>
          <w:rFonts w:ascii="Cambria" w:hAnsi="Cambria" w:cs="Cambria"/>
          <w:color w:val="000000" w:themeColor="text1"/>
          <w:sz w:val="14"/>
          <w:szCs w:val="14"/>
          <w:highlight w:val="white"/>
        </w:rPr>
        <w:t xml:space="preserve">Início das </w:t>
      </w:r>
      <w:r>
        <w:rPr>
          <w:rFonts w:ascii="Cambria" w:hAnsi="Cambria" w:cs="Cambria"/>
          <w:b/>
          <w:color w:val="000000" w:themeColor="text1"/>
          <w:sz w:val="14"/>
          <w:szCs w:val="14"/>
          <w:highlight w:val="white"/>
        </w:rPr>
        <w:t xml:space="preserve">Propostas: 07:59h do dia 02/09/2024 até às 07:59h do dia</w:t>
      </w:r>
      <w:r>
        <w:rPr>
          <w:rFonts w:ascii="Cambria" w:hAnsi="Cambria" w:cs="Cambria"/>
          <w:b/>
          <w:color w:val="000000" w:themeColor="text1"/>
          <w:sz w:val="14"/>
          <w:szCs w:val="14"/>
          <w:highlight w:val="none"/>
        </w:rPr>
        <w:t xml:space="preserve"> 08/10</w:t>
      </w:r>
      <w:r>
        <w:rPr>
          <w:rFonts w:ascii="Cambria" w:hAnsi="Cambria" w:cs="Cambria"/>
          <w:b/>
          <w:color w:val="000000" w:themeColor="text1"/>
          <w:sz w:val="14"/>
          <w:szCs w:val="14"/>
        </w:rPr>
        <w:t xml:space="preserve">/2024. Início da sessão Pública: às 08hs do dia 08/10/2024</w:t>
      </w:r>
      <w:r>
        <w:rPr>
          <w:rFonts w:ascii="Cambria" w:hAnsi="Cambria" w:cs="Cambria"/>
          <w:color w:val="000000" w:themeColor="text1"/>
          <w:sz w:val="14"/>
          <w:szCs w:val="14"/>
        </w:rPr>
        <w:t xml:space="preserve">, </w:t>
      </w:r>
      <w:r>
        <w:rPr>
          <w:rFonts w:ascii="Cambria" w:hAnsi="Cambria" w:cs="Cambria"/>
          <w:sz w:val="14"/>
          <w:szCs w:val="14"/>
        </w:rPr>
        <w:t xml:space="preserve">todos via portal </w:t>
      </w:r>
      <w:r>
        <w:rPr>
          <w:rFonts w:ascii="Cambria" w:hAnsi="Cambria" w:cs="Cambria"/>
          <w:sz w:val="14"/>
          <w:szCs w:val="14"/>
        </w:rPr>
        <w:fldChar w:fldCharType="begin"/>
      </w:r>
      <w:r>
        <w:rPr>
          <w:rFonts w:ascii="Cambria" w:hAnsi="Cambria" w:cs="Cambria"/>
          <w:sz w:val="14"/>
          <w:szCs w:val="14"/>
        </w:rPr>
        <w:instrText xml:space="preserve"> HYPERLINK "http://www.cidadecompras.com.br/" \t "http://www.cidadecompras.com.br/" \h </w:instrText>
      </w:r>
      <w:r>
        <w:rPr>
          <w:rFonts w:ascii="Cambria" w:hAnsi="Cambria" w:cs="Cambria"/>
          <w:sz w:val="14"/>
          <w:szCs w:val="14"/>
        </w:rPr>
        <w:fldChar w:fldCharType="separate"/>
      </w:r>
      <w:r>
        <w:rPr>
          <w:rStyle w:val="1088"/>
          <w:rFonts w:ascii="Cambria" w:hAnsi="Cambria" w:cs="Cambria"/>
          <w:iCs/>
          <w:sz w:val="14"/>
          <w:szCs w:val="14"/>
        </w:rPr>
        <w:t xml:space="preserve">https://operacao.portaldecompraspublicas.com.br/r</w:t>
      </w:r>
      <w:r>
        <w:rPr>
          <w:rStyle w:val="1088"/>
          <w:rFonts w:ascii="Cambria" w:hAnsi="Cambria" w:cs="Cambria"/>
          <w:iCs/>
          <w:sz w:val="14"/>
          <w:szCs w:val="14"/>
        </w:rPr>
        <w:fldChar w:fldCharType="end"/>
      </w:r>
      <w:r>
        <w:rPr>
          <w:rFonts w:ascii="Cambria" w:hAnsi="Cambria" w:cs="Cambria"/>
          <w:bCs/>
          <w:iCs/>
          <w:color w:val="000000"/>
          <w:sz w:val="14"/>
          <w:szCs w:val="14"/>
        </w:rPr>
        <w:t xml:space="preserve">, no horário de Brasília – DF.</w:t>
      </w:r>
      <w:r>
        <w:rPr>
          <w:rFonts w:ascii="Cambria" w:hAnsi="Cambria" w:cs="Cambria"/>
          <w:sz w:val="14"/>
          <w:szCs w:val="14"/>
        </w:rPr>
        <w:t xml:space="preserve"> O Edital e informações complementares encontram-se a disposição dos interessados, junto à Comissão de Licitações, sito a Av. Eduardo de Brito, 101, Fone: 0xx 55 3372 3200, no horário de expediente e nos Sites </w:t>
      </w:r>
      <w:r>
        <w:rPr>
          <w:rFonts w:ascii="Cambria" w:hAnsi="Cambria" w:cs="Cambria"/>
          <w:sz w:val="14"/>
          <w:szCs w:val="14"/>
        </w:rPr>
        <w:fldChar w:fldCharType="begin"/>
      </w:r>
      <w:r>
        <w:rPr>
          <w:rFonts w:ascii="Cambria" w:hAnsi="Cambria" w:cs="Cambria"/>
          <w:sz w:val="14"/>
          <w:szCs w:val="14"/>
        </w:rPr>
        <w:instrText xml:space="preserve"> HYPERLINK "http://www.cidadecompras.com.br/" \t "http://www.cidadecompras.com.br/" \h </w:instrText>
      </w:r>
      <w:r>
        <w:rPr>
          <w:rFonts w:ascii="Cambria" w:hAnsi="Cambria" w:cs="Cambria"/>
          <w:sz w:val="14"/>
          <w:szCs w:val="14"/>
        </w:rPr>
        <w:fldChar w:fldCharType="separate"/>
      </w:r>
      <w:r>
        <w:rPr>
          <w:rStyle w:val="1088"/>
          <w:rFonts w:ascii="Cambria" w:hAnsi="Cambria" w:cs="Cambria"/>
          <w:iCs/>
          <w:sz w:val="14"/>
          <w:szCs w:val="14"/>
        </w:rPr>
        <w:t xml:space="preserve">https://operacao.portaldecompraspublicas.com.br/r</w:t>
      </w:r>
      <w:r>
        <w:rPr>
          <w:rStyle w:val="1088"/>
          <w:rFonts w:ascii="Cambria" w:hAnsi="Cambria" w:cs="Cambria"/>
          <w:iCs/>
          <w:sz w:val="14"/>
          <w:szCs w:val="14"/>
        </w:rPr>
        <w:fldChar w:fldCharType="end"/>
      </w:r>
      <w:r>
        <w:rPr>
          <w:rStyle w:val="1088"/>
          <w:rFonts w:ascii="Cambria" w:hAnsi="Cambria" w:cs="Cambria"/>
          <w:iCs/>
          <w:sz w:val="14"/>
          <w:szCs w:val="14"/>
        </w:rPr>
        <w:t xml:space="preserve"> e </w:t>
      </w:r>
      <w:r>
        <w:rPr>
          <w:rFonts w:ascii="Cambria" w:hAnsi="Cambria" w:cs="Cambria"/>
          <w:sz w:val="14"/>
          <w:szCs w:val="14"/>
        </w:rPr>
        <w:fldChar w:fldCharType="begin"/>
      </w:r>
      <w:r>
        <w:rPr>
          <w:rFonts w:ascii="Cambria" w:hAnsi="Cambria" w:cs="Cambria"/>
          <w:sz w:val="14"/>
          <w:szCs w:val="14"/>
        </w:rPr>
        <w:instrText xml:space="preserve"> HYPERLINK "http://www.santabarbaradosul.rs.gov.br/" \t "http://www.santabarbaradosul.rs.gov.br/" \h </w:instrText>
      </w:r>
      <w:r>
        <w:rPr>
          <w:rFonts w:ascii="Cambria" w:hAnsi="Cambria" w:cs="Cambria"/>
          <w:sz w:val="14"/>
          <w:szCs w:val="14"/>
        </w:rPr>
        <w:fldChar w:fldCharType="separate"/>
      </w:r>
      <w:r>
        <w:rPr>
          <w:rStyle w:val="1088"/>
          <w:rFonts w:ascii="Cambria" w:hAnsi="Cambria" w:cs="Cambria"/>
          <w:sz w:val="14"/>
          <w:szCs w:val="14"/>
        </w:rPr>
        <w:t xml:space="preserve">www.santabarbaradosul.rs.gov.br</w:t>
      </w:r>
      <w:r>
        <w:rPr>
          <w:rStyle w:val="1088"/>
          <w:rFonts w:ascii="Cambria" w:hAnsi="Cambria" w:cs="Cambria"/>
          <w:sz w:val="14"/>
          <w:szCs w:val="14"/>
        </w:rPr>
        <w:fldChar w:fldCharType="end"/>
      </w:r>
      <w:r>
        <w:rPr>
          <w:rStyle w:val="1088"/>
          <w:rFonts w:ascii="Cambria" w:hAnsi="Cambria" w:cs="Cambria"/>
          <w:sz w:val="14"/>
          <w:szCs w:val="14"/>
        </w:rPr>
        <w:t xml:space="preserve">.</w:t>
      </w:r>
      <w:r>
        <w:rPr>
          <w:rFonts w:ascii="Cambria" w:hAnsi="Cambria" w:cs="Cambria"/>
          <w:sz w:val="14"/>
          <w:szCs w:val="14"/>
        </w:rPr>
      </w:r>
      <w:r/>
    </w:p>
    <w:p>
      <w:pPr>
        <w:ind w:left="0" w:right="0" w:firstLine="0"/>
        <w:jc w:val="both"/>
        <w:spacing w:line="360" w:lineRule="auto"/>
        <w:rPr>
          <w:rFonts w:ascii="Cambria" w:hAnsi="Cambria" w:cs="Cambria"/>
          <w:sz w:val="14"/>
          <w:szCs w:val="14"/>
        </w:rPr>
      </w:pPr>
      <w:r>
        <w:rPr>
          <w:rStyle w:val="1088"/>
          <w:rFonts w:ascii="Cambria" w:hAnsi="Cambria" w:cs="Cambria"/>
          <w:i/>
          <w:color w:val="auto"/>
          <w:sz w:val="14"/>
          <w:szCs w:val="14"/>
          <w:u w:val="none"/>
        </w:rPr>
        <w:t xml:space="preserve">Emitido por Vivian Lima Vargas - Pregoeira</w:t>
      </w:r>
      <w:r>
        <w:rPr>
          <w:rFonts w:ascii="Cambria" w:hAnsi="Cambria" w:cs="Cambria"/>
          <w:sz w:val="14"/>
          <w:szCs w:val="14"/>
        </w:rPr>
      </w:r>
      <w:r/>
    </w:p>
    <w:p>
      <w:pPr>
        <w:ind w:left="0" w:right="0" w:firstLine="0"/>
        <w:jc w:val="both"/>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spacing w:line="360" w:lineRule="auto"/>
        <w:rPr>
          <w:rFonts w:ascii="Cambria" w:hAnsi="Cambria" w:cs="Cambria"/>
          <w:sz w:val="14"/>
          <w:szCs w:val="14"/>
        </w:rPr>
      </w:pPr>
      <w:r>
        <w:rPr>
          <w:rFonts w:ascii="Cambria" w:hAnsi="Cambria" w:cs="Cambria"/>
          <w:sz w:val="14"/>
          <w:szCs w:val="14"/>
          <w:u w:val="single"/>
        </w:rPr>
      </w:r>
      <w:r>
        <w:rPr>
          <w:rFonts w:ascii="Cambria" w:hAnsi="Cambria" w:cs="Cambria"/>
          <w:sz w:val="14"/>
          <w:szCs w:val="14"/>
        </w:rPr>
      </w:r>
      <w:r/>
    </w:p>
    <w:p>
      <w:pPr>
        <w:ind w:left="0" w:right="0" w:firstLine="0"/>
        <w:jc w:val="right"/>
        <w:spacing w:line="360" w:lineRule="auto"/>
        <w:rPr>
          <w:rFonts w:ascii="Cambria" w:hAnsi="Cambria" w:cs="Cambria"/>
          <w:sz w:val="14"/>
          <w:szCs w:val="14"/>
        </w:rPr>
      </w:pPr>
      <w:r>
        <w:rPr>
          <w:rFonts w:ascii="Cambria" w:hAnsi="Cambria" w:cs="Cambria"/>
          <w:sz w:val="14"/>
          <w:szCs w:val="14"/>
        </w:rPr>
        <w:t xml:space="preserve">Santa Bárbara do Sul, RS 01/09</w:t>
      </w:r>
      <w:r>
        <w:rPr>
          <w:rFonts w:ascii="Cambria" w:hAnsi="Cambria" w:cs="Cambria"/>
          <w:color w:val="000000" w:themeColor="text1"/>
          <w:sz w:val="14"/>
          <w:szCs w:val="14"/>
        </w:rPr>
        <w:t xml:space="preserve">/2024.</w:t>
      </w:r>
      <w:r>
        <w:rPr>
          <w:rFonts w:ascii="Cambria" w:hAnsi="Cambria" w:cs="Cambria"/>
          <w:sz w:val="14"/>
          <w:szCs w:val="14"/>
        </w:rPr>
      </w:r>
      <w:r/>
    </w:p>
    <w:p>
      <w:pPr>
        <w:ind w:left="0" w:right="0" w:firstLine="0"/>
        <w:jc w:val="right"/>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right"/>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right"/>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center"/>
        <w:spacing w:line="360" w:lineRule="auto"/>
        <w:rPr>
          <w:rFonts w:ascii="Cambria" w:hAnsi="Cambria" w:cs="Cambria"/>
          <w:sz w:val="14"/>
          <w:szCs w:val="14"/>
        </w:rPr>
      </w:pPr>
      <w:r>
        <w:rPr>
          <w:rFonts w:ascii="Cambria" w:hAnsi="Cambria" w:cs="Cambria"/>
          <w:sz w:val="14"/>
          <w:szCs w:val="14"/>
        </w:rPr>
        <w:t xml:space="preserve">Mário Roberto Utzig Filho  </w:t>
      </w:r>
      <w:r>
        <w:rPr>
          <w:rFonts w:ascii="Cambria" w:hAnsi="Cambria" w:cs="Cambria"/>
          <w:sz w:val="14"/>
          <w:szCs w:val="14"/>
        </w:rPr>
      </w:r>
      <w:r/>
    </w:p>
    <w:p>
      <w:pPr>
        <w:ind w:left="0" w:right="0" w:firstLine="0"/>
        <w:jc w:val="center"/>
        <w:spacing w:line="360" w:lineRule="auto"/>
        <w:rPr>
          <w:rFonts w:ascii="Cambria" w:hAnsi="Cambria" w:cs="Cambria"/>
          <w:b w:val="0"/>
          <w:bCs/>
          <w:i/>
          <w:color w:val="000000" w:themeColor="text1"/>
          <w:sz w:val="14"/>
          <w:szCs w:val="14"/>
          <w:highlight w:val="white"/>
          <w:u w:val="single"/>
        </w:rPr>
      </w:pPr>
      <w:r>
        <w:rPr>
          <w:rFonts w:ascii="Cambria" w:hAnsi="Cambria" w:cs="Cambria"/>
          <w:sz w:val="14"/>
          <w:szCs w:val="14"/>
        </w:rPr>
        <w:t xml:space="preserve">Prefeito</w:t>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sz w:val="14"/>
          <w:szCs w:val="14"/>
        </w:rPr>
      </w:r>
      <w:r/>
    </w:p>
    <w:sectPr>
      <w:headerReference w:type="default" r:id="rId9"/>
      <w:headerReference w:type="first" r:id="rId10"/>
      <w:footerReference w:type="default" r:id="rId11"/>
      <w:footnotePr/>
      <w:endnotePr/>
      <w:type w:val="nextPage"/>
      <w:pgSz w:w="11906" w:h="16838" w:orient="portrait"/>
      <w:pgMar w:top="1418" w:right="1134" w:bottom="1418" w:left="1134" w:header="709" w:footer="709" w:gutter="0"/>
      <w:pgNumType w:start="1"/>
      <w:cols w:num="1" w:sep="0" w:space="1701" w:equalWidth="1"/>
      <w:docGrid w:linePitch="360"/>
      <w:titlePg/>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4-02-29T10:07:40Z">
    <w:p w14:paraId="00000001" w14:textId="00000001">
      <w:pPr>
        <w:spacing w:line="240" w:after="0" w:lineRule="auto" w:before="0"/>
        <w:ind w:firstLine="0" w:left="0" w:right="0"/>
        <w:jc w:val="left"/>
      </w:pPr>
      <w:r>
        <w:rPr>
          <w:rFonts w:eastAsia="Arial" w:ascii="Arial" w:hAnsi="Arial" w:cs="Arial"/>
          <w:sz w:val="22"/>
        </w:rPr>
        <w:t xml:space="preserve">Nota Explicativa: Conforme PARECER n. 00002/2023/DECOR/CGU/AGU,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w:t>
      </w:r>
    </w:p>
    <w:p w14:paraId="00000002" w14:textId="00000002">
      <w:pPr>
        <w:spacing w:line="240" w:after="0" w:lineRule="auto" w:before="0"/>
        <w:ind w:firstLine="0" w:left="0" w:right="0"/>
        <w:jc w:val="left"/>
      </w:pPr>
      <w:r>
        <w:rPr>
          <w:rFonts w:eastAsia="Arial" w:ascii="Arial" w:hAnsi="Arial" w:cs="Arial"/>
          <w:sz w:val="22"/>
        </w:rPr>
        <w:t xml:space="preserve">    a) os empregados do contratado fiquem à disposição nas dependências do contratante para a prestação dos serviços;</w:t>
      </w:r>
    </w:p>
    <w:p w14:paraId="00000003" w14:textId="00000003">
      <w:pPr>
        <w:spacing w:line="240" w:after="0" w:lineRule="auto" w:before="0"/>
        <w:ind w:firstLine="0" w:left="0" w:right="0"/>
        <w:jc w:val="left"/>
      </w:pPr>
      <w:r>
        <w:rPr>
          <w:rFonts w:eastAsia="Arial" w:ascii="Arial" w:hAnsi="Arial" w:cs="Arial"/>
          <w:sz w:val="22"/>
        </w:rPr>
        <w:t xml:space="preserve">    b) o contratado não compartilhe os recursos humanos e materiais disponíveis de uma contratação para execução simultânea de outros contratos;</w:t>
      </w:r>
    </w:p>
    <w:p w14:paraId="00000004" w14:textId="00000004">
      <w:pPr>
        <w:spacing w:line="240" w:after="0" w:lineRule="auto" w:before="0"/>
        <w:ind w:firstLine="0" w:left="0" w:right="0"/>
        <w:jc w:val="left"/>
      </w:pPr>
      <w:r>
        <w:rPr>
          <w:rFonts w:eastAsia="Arial" w:ascii="Arial" w:hAnsi="Arial" w:cs="Arial"/>
          <w:sz w:val="22"/>
        </w:rPr>
        <w:t xml:space="preserve">    c) o contratado possibilite a fiscalização pelo contratante quanto à distribuição, controle e supervisão dos recursos humanos alocados aos seus contratos.</w:t>
      </w:r>
    </w:p>
    <w:p w14:paraId="00000005" w14:textId="00000005">
      <w:pPr>
        <w:spacing w:line="240" w:after="0" w:lineRule="auto" w:before="0"/>
        <w:ind w:firstLine="0" w:left="0" w:right="0"/>
        <w:jc w:val="left"/>
      </w:pPr>
      <w:r>
        <w:rPr>
          <w:rFonts w:eastAsia="Arial" w:ascii="Arial" w:hAnsi="Arial" w:cs="Arial"/>
          <w:sz w:val="22"/>
        </w:rPr>
        <w:t xml:space="preserve">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comment>
  <w:comment w:id="1" w:author="Autor" w:date="2024-02-29T10:07:40Z">
    <w:p w14:paraId="00000006" w14:textId="00000006">
      <w:pPr>
        <w:spacing w:line="240" w:after="0" w:lineRule="auto" w:before="0"/>
        <w:ind w:firstLine="0" w:left="0" w:right="0"/>
        <w:jc w:val="left"/>
      </w:pPr>
      <w:r>
        <w:rPr>
          <w:rFonts w:eastAsia="Arial" w:ascii="Arial" w:hAnsi="Arial" w:cs="Arial"/>
          <w:sz w:val="22"/>
        </w:rPr>
        <w:t xml:space="preserve">Nota Explicativa: A vedação de participação no processo licitatório de pessoas jurídicas reunidas em consórcio é exceção e essa opção deverá ser devidamente justificada pela Administração, nos termos do art. 15, caput, da Lei nº 14.133, de 2021.</w:t>
      </w:r>
    </w:p>
  </w:comment>
  <w:comment w:id="2" w:author="Autor" w:date="2024-02-29T10:07:40Z">
    <w:p w14:paraId="00000007" w14:textId="00000007">
      <w:pPr>
        <w:spacing w:line="240" w:after="0" w:lineRule="auto" w:before="0"/>
        <w:ind w:firstLine="0" w:left="0" w:right="0"/>
        <w:jc w:val="left"/>
      </w:pPr>
      <w:r>
        <w:rPr>
          <w:rFonts w:eastAsia="Arial" w:ascii="Arial" w:hAnsi="Arial" w:cs="Arial"/>
          <w:sz w:val="22"/>
        </w:rPr>
        <w:t xml:space="preserve">Nota explicativa: As previsões decorrem do funcionamento do sistema. Se o sistema for modificado para alterar essas possibilidades, as disposições supracitadas devem ser ajustadas.</w:t>
      </w:r>
    </w:p>
  </w:comment>
  <w:comment w:id="3" w:author="Autor" w:date="2024-02-29T10:07:40Z">
    <w:p w14:paraId="00000008" w14:textId="00000008">
      <w:pPr>
        <w:spacing w:line="240" w:after="0" w:lineRule="auto" w:before="0"/>
        <w:ind w:firstLine="0" w:left="0" w:right="0"/>
        <w:jc w:val="left"/>
      </w:pPr>
      <w:r>
        <w:rPr>
          <w:rFonts w:eastAsia="Arial" w:ascii="Arial" w:hAnsi="Arial" w:cs="Arial"/>
          <w:sz w:val="22"/>
        </w:rPr>
        <w:t xml:space="preserve">Nota explicativa: O artigo 19 da Instrução Normativa SEGES nº 73, de 30 de setembro de 2022, 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comment>
  <w:comment w:id="4" w:author="Autor" w:date="2024-02-29T10:07:40Z">
    <w:p w14:paraId="00000009" w14:textId="00000009">
      <w:pPr>
        <w:spacing w:line="240" w:after="0" w:lineRule="auto" w:before="0"/>
        <w:ind w:firstLine="0" w:left="0" w:right="0"/>
        <w:jc w:val="left"/>
      </w:pPr>
      <w:r>
        <w:rPr>
          <w:rFonts w:eastAsia="Arial" w:ascii="Arial" w:hAnsi="Arial" w:cs="Arial"/>
          <w:sz w:val="22"/>
        </w:rPr>
        <w:t xml:space="preserve">Nota explicativa: A cláusula 3.12.2 também é oriunda da Instrução Normativa SEGES nº 73, de 30 de setembro de 2022 (art. 19, § 1º).</w:t>
      </w:r>
    </w:p>
  </w:comment>
  <w:comment w:id="5" w:author="Autor" w:date="2024-02-29T10:07:40Z">
    <w:p w14:paraId="0000000A" w14:textId="0000000A">
      <w:pPr>
        <w:spacing w:line="240" w:after="0" w:lineRule="auto" w:before="0"/>
        <w:ind w:firstLine="0" w:left="0" w:right="0"/>
        <w:jc w:val="left"/>
      </w:pPr>
      <w:r>
        <w:rPr>
          <w:rFonts w:eastAsia="Arial" w:ascii="Arial" w:hAnsi="Arial" w:cs="Arial"/>
          <w:sz w:val="22"/>
        </w:rPr>
        <w:t xml:space="preserve">Nota Explicativa: Deve a autoridade adequar redação do item em conformidade ao objeto licitado e ao critério de julgamento já estabelecido no edital.</w:t>
      </w:r>
    </w:p>
  </w:comment>
  <w:comment w:id="6" w:author="Autor" w:date="2024-02-29T10:07:40Z">
    <w:p w14:paraId="0000000B" w14:textId="0000000B">
      <w:pPr>
        <w:spacing w:line="240" w:after="0" w:lineRule="auto" w:before="0"/>
        <w:ind w:firstLine="0" w:left="0" w:right="0"/>
        <w:jc w:val="left"/>
      </w:pPr>
      <w:r>
        <w:rPr>
          <w:rFonts w:eastAsia="Arial" w:ascii="Arial" w:hAnsi="Arial" w:cs="Arial"/>
          <w:sz w:val="22"/>
        </w:rPr>
        <w:t xml:space="preserve">Nota Explicativa: Art. 15, II, do Decreto º 11.462/2023</w:t>
      </w:r>
    </w:p>
  </w:comment>
  <w:comment w:id="7" w:author="Autor" w:date="2024-02-29T10:07:40Z">
    <w:p w14:paraId="0000000C" w14:textId="0000000C">
      <w:pPr>
        <w:spacing w:line="240" w:after="0" w:lineRule="auto" w:before="0"/>
        <w:ind w:firstLine="0" w:left="0" w:right="0"/>
        <w:jc w:val="left"/>
      </w:pPr>
      <w:r>
        <w:rPr>
          <w:rFonts w:eastAsia="Arial" w:ascii="Arial" w:hAnsi="Arial" w:cs="Arial"/>
          <w:sz w:val="22"/>
        </w:rPr>
        <w:t xml:space="preserve">Nota Explicativa: O preenchimento do campo "descrição detalhada do objeto contratado" tem causado alguns embaraços aos pregões, especialmente quando se exige o preenchimento de vários dados. Para evitar isso, e considerando que o licitante já declarou que sua proposta está de acordo com as condições do Edital, optou-se por simplesmente remeter às especificações no Termo de Referência, para que, assim, a análise da proposta se dê no momento adequado, da aceitação da proposta, e não na etapa de classificação delas à sessão pública. </w:t>
      </w:r>
    </w:p>
    <w:p w14:paraId="0000000D" w14:textId="0000000D">
      <w:pPr>
        <w:spacing w:line="240" w:after="0" w:lineRule="auto" w:before="0"/>
        <w:ind w:firstLine="0" w:left="0" w:right="0"/>
        <w:jc w:val="left"/>
      </w:pPr>
      <w:r>
        <w:rPr>
          <w:rFonts w:eastAsia="Arial" w:ascii="Arial" w:hAnsi="Arial" w:cs="Arial"/>
          <w:sz w:val="22"/>
        </w:rPr>
        <w:t xml:space="preserve">Desta forma, o Edital pode e deve exigir que a proposta contenha determinados elementos, os quais auxiliarão o órgão licitante a examinar de forma objetiva, na fase de aceitação, sua real adequação e exequibilidade. Sem a indicação de tais elementos, o órgão não dispõe de informações suficientes para julgar a aceitabilidade da proposta.</w:t>
      </w:r>
    </w:p>
    <w:p w14:paraId="0000000E" w14:textId="0000000E">
      <w:pPr>
        <w:spacing w:line="240" w:after="0" w:lineRule="auto" w:before="0"/>
        <w:ind w:firstLine="0" w:left="0" w:right="0"/>
        <w:jc w:val="left"/>
      </w:pPr>
      <w:r>
        <w:rPr>
          <w:rFonts w:eastAsia="Arial" w:ascii="Arial" w:hAnsi="Arial" w:cs="Arial"/>
          <w:sz w:val="22"/>
        </w:rPr>
        <w:t xml:space="preserve">Mas tal exigência é muito diferente de exigir o preenchimento do campo “descrição detalhada do objeto” no sistema de pregão eletrônico, em todo e qualquer certame, que só tem causado confusão.</w:t>
      </w:r>
    </w:p>
    <w:p w14:paraId="0000000F" w14:textId="0000000F">
      <w:pPr>
        <w:spacing w:line="240" w:after="0" w:lineRule="auto" w:before="0"/>
        <w:ind w:firstLine="0" w:left="0" w:right="0"/>
        <w:jc w:val="left"/>
      </w:pPr>
      <w:r>
        <w:rPr>
          <w:rFonts w:eastAsia="Arial" w:ascii="Arial" w:hAnsi="Arial" w:cs="Arial"/>
          <w:sz w:val="22"/>
        </w:rPr>
        <w:t xml:space="preserve">Assim, recomendamos que, de acordo com o objeto da licitação, o órgão examine os demais dados pertinentes (além do preço) que deverão ser analisados na fase de aceitação da proposta e insira no Edital a exigência de os licitantes informarem tais dados em suas propostas.</w:t>
      </w:r>
    </w:p>
    <w:p w14:paraId="00000010" w14:textId="00000010">
      <w:pPr>
        <w:spacing w:line="240" w:after="0" w:lineRule="auto" w:before="0"/>
        <w:ind w:firstLine="0" w:left="0" w:right="0"/>
        <w:jc w:val="left"/>
      </w:pPr>
      <w:r>
        <w:rPr>
          <w:rFonts w:eastAsia="Arial" w:ascii="Arial" w:hAnsi="Arial" w:cs="Arial"/>
          <w:sz w:val="22"/>
        </w:rPr>
        <w:t xml:space="preserve">Alertamos que só se deve exigir o preenchimento de dados que sejam relevantes e efetivamente utilizados para a classificação e aceitação da proposta. Lembramos que, na fase de julgamento, também poderá ser solicitado pelo Pregoeiro, o envio de arquivo anexo, contendo as informações relevantes para a análise da proposta.</w:t>
      </w:r>
    </w:p>
    <w:p w14:paraId="00000011" w14:textId="00000011">
      <w:pPr>
        <w:spacing w:line="240" w:after="0" w:lineRule="auto" w:before="0"/>
        <w:ind w:firstLine="0" w:left="0" w:right="0"/>
        <w:jc w:val="left"/>
      </w:pPr>
      <w:r>
        <w:rPr>
          <w:rFonts w:eastAsia="Arial" w:ascii="Arial" w:hAnsi="Arial" w:cs="Arial"/>
          <w:sz w:val="22"/>
        </w:rPr>
        <w:t xml:space="preserve">A menção ao número do registro ou inscrição do bem no órgão competente só deve ser feita quando a legislação envolvendo o objeto licitatório assim o exigir. Como exemplo, cite-se o registro de gêneros alimentícios no Ministério da Agricultura, Pecuária e Abastecimento.</w:t>
      </w:r>
    </w:p>
  </w:comment>
  <w:comment w:id="8" w:author="Autor" w:date="2024-02-29T10:07:40Z">
    <w:p w14:paraId="00000012" w14:textId="00000012">
      <w:pPr>
        <w:spacing w:line="240" w:after="0" w:lineRule="auto" w:before="0"/>
        <w:ind w:firstLine="0" w:left="0" w:right="0"/>
        <w:jc w:val="left"/>
      </w:pPr>
      <w:r>
        <w:rPr>
          <w:rFonts w:eastAsia="Arial" w:ascii="Arial" w:hAnsi="Arial" w:cs="Arial"/>
          <w:sz w:val="22"/>
        </w:rPr>
        <w:t xml:space="preserve">Art. 15, IV, do Decreto n. 11.462/2023</w:t>
      </w:r>
    </w:p>
  </w:comment>
  <w:comment w:id="9" w:author="Autor" w:date="2024-02-29T10:07:40Z">
    <w:p w14:paraId="00000013" w14:textId="00000013">
      <w:pPr>
        <w:spacing w:line="240" w:after="0" w:lineRule="auto" w:before="0"/>
        <w:ind w:firstLine="0" w:left="0" w:right="0"/>
        <w:jc w:val="left"/>
      </w:pPr>
      <w:r>
        <w:rPr>
          <w:rFonts w:eastAsia="Arial" w:ascii="Arial" w:hAnsi="Arial" w:cs="Arial"/>
          <w:sz w:val="22"/>
        </w:rPr>
        <w:t xml:space="preserve">Nota explicativa: A segunda alternativa de redação deverá ser utilizada caso a licitação tenha por objeto os serviços de vigilância, limpeza ou conservação, nos termos do art. 18, § 5º-C, inciso VI, c/c § 5º-H, da Lei Complementar no 123/2006. Também será adotada quando o serviço estiver entre as outras hipóteses em que essa Lei permite a aplicação do regime do SIMPLES, nos termos do §1º do art. 17 da Lei Complementar 123/2006.</w:t>
      </w:r>
    </w:p>
    <w:p w14:paraId="00000014" w14:textId="00000014">
      <w:pPr>
        <w:spacing w:line="240" w:after="0" w:lineRule="auto" w:before="0"/>
        <w:ind w:firstLine="0" w:left="0" w:right="0"/>
        <w:jc w:val="left"/>
      </w:pPr>
      <w:r>
        <w:rPr>
          <w:rFonts w:eastAsia="Arial" w:ascii="Arial" w:hAnsi="Arial" w:cs="Arial"/>
          <w:sz w:val="22"/>
        </w:rPr>
        <w:t xml:space="preserve">Nos autos do processo deverá constar análise do enquadramento ou não da atividade entre as hipóteses abrangidas pelo SIMPLES, de modo a justificar a redação adotada no edital.</w:t>
      </w:r>
    </w:p>
  </w:comment>
  <w:comment w:id="10" w:author="Autor" w:date="2024-02-29T10:07:40Z">
    <w:p w14:paraId="00000015" w14:textId="00000015">
      <w:pPr>
        <w:spacing w:line="240" w:after="0" w:lineRule="auto" w:before="0"/>
        <w:ind w:firstLine="0" w:left="0" w:right="0"/>
        <w:jc w:val="left"/>
      </w:pPr>
      <w:r>
        <w:rPr>
          <w:rFonts w:eastAsia="Arial" w:ascii="Arial" w:hAnsi="Arial" w:cs="Arial"/>
          <w:sz w:val="22"/>
        </w:rPr>
        <w:t xml:space="preserve">Nota Explicativa: O prazo de validade da proposta deve ser indicado no edital, em decorrência do disposto no art. 90, §3º, e art. 155, VI, da Lei nº 14.133, de 2021. Contudo, a Lei de Licitações não fixou esse prazo. Por isso, a Administração deverá fixar o prazo de acordo com as peculiaridades da licitação. Desde já, indicamos, como sugestão, o prazo de 60 (sessenta dias).</w:t>
      </w:r>
    </w:p>
  </w:comment>
  <w:comment w:id="11" w:author="Autor" w:date="2024-02-29T10:07:40Z">
    <w:p w14:paraId="00000016" w14:textId="00000016">
      <w:pPr>
        <w:spacing w:line="240" w:after="0" w:lineRule="auto" w:before="0"/>
        <w:ind w:firstLine="0" w:left="0" w:right="0"/>
        <w:jc w:val="left"/>
      </w:pPr>
      <w:r>
        <w:rPr>
          <w:rFonts w:eastAsia="Arial" w:ascii="Arial" w:hAnsi="Arial" w:cs="Arial"/>
          <w:sz w:val="22"/>
        </w:rPr>
        <w:t xml:space="preserve">Nota explicativa: Conforme especificações do sistema operacional, a etapa de lances sempre acontece por item e os lances são enviados sempre por valor unitário.</w:t>
      </w:r>
    </w:p>
  </w:comment>
  <w:comment w:id="12" w:author="Autor" w:date="2024-02-29T10:07:40Z">
    <w:p w14:paraId="00000017" w14:textId="00000017">
      <w:pPr>
        <w:spacing w:line="240" w:after="0" w:lineRule="auto" w:before="0"/>
        <w:ind w:firstLine="0" w:left="0" w:right="0"/>
        <w:jc w:val="left"/>
      </w:pPr>
      <w:r>
        <w:rPr>
          <w:rFonts w:eastAsia="Arial" w:ascii="Arial" w:hAnsi="Arial" w:cs="Arial"/>
          <w:sz w:val="22"/>
        </w:rPr>
        <w:t xml:space="preserve">Nota Explicativa: Pelo artigo 22, § 1º, da Instrução Normativa SEGES nº 73, de 30 de setembro de 2022, é obrigatória a previsão de intervalo mínimo de diferença de valores ou percentuais.</w:t>
      </w:r>
    </w:p>
  </w:comment>
  <w:comment w:id="13" w:author="Autor" w:date="2024-02-29T10:07:40Z">
    <w:p w14:paraId="00000018" w14:textId="00000018">
      <w:pPr>
        <w:spacing w:line="240" w:after="0" w:lineRule="auto" w:before="0"/>
        <w:ind w:firstLine="0" w:left="0" w:right="0"/>
        <w:jc w:val="left"/>
      </w:pPr>
      <w:r>
        <w:rPr>
          <w:rFonts w:eastAsia="Arial" w:ascii="Arial" w:hAnsi="Arial" w:cs="Arial"/>
          <w:sz w:val="22"/>
        </w:rPr>
        <w:t xml:space="preserve">Nota Explicativa: 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14" w:author="Autor" w:date="2024-02-29T10:07:40Z">
    <w:p w14:paraId="00000019" w14:textId="00000019">
      <w:pPr>
        <w:spacing w:line="240" w:after="0" w:lineRule="auto" w:before="0"/>
        <w:ind w:firstLine="0" w:left="0" w:right="0"/>
        <w:jc w:val="left"/>
      </w:pPr>
      <w:r>
        <w:rPr>
          <w:rFonts w:eastAsia="Arial" w:ascii="Arial" w:hAnsi="Arial" w:cs="Arial"/>
          <w:sz w:val="22"/>
        </w:rPr>
        <w:t xml:space="preserve">Nota Explicativa: No modo de disputa “aberto e fechado” inicia-se com a apresentação de lances sucessivos (fase aberta), com envio final de um lance fechado pelos detentores das melhores propostas da fase aberta (fase fechada).</w:t>
      </w:r>
    </w:p>
  </w:comment>
  <w:comment w:id="15" w:author="Autor" w:date="2024-02-29T10:07:40Z">
    <w:p w14:paraId="0000001A" w14:textId="0000001A">
      <w:pPr>
        <w:spacing w:line="240" w:after="0" w:lineRule="auto" w:before="0"/>
        <w:ind w:firstLine="0" w:left="0" w:right="0"/>
        <w:jc w:val="left"/>
      </w:pPr>
      <w:r>
        <w:rPr>
          <w:rFonts w:eastAsia="Arial" w:ascii="Arial" w:hAnsi="Arial" w:cs="Arial"/>
          <w:sz w:val="22"/>
        </w:rPr>
        <w:t xml:space="preserve">Nota Explicativa: No modo de disputa fechado e aberto, serão classificados para a etapa da disputa aberta, com a apresentação de lances públicos e sucessivos, o licitante que apresentou a proposta de menor preço ou maior percentual desconto e os das propostas até 10% (dez por cento) superiores ou inferiores àquela, conforme o critério de julgamento adotado.</w:t>
      </w:r>
    </w:p>
  </w:comment>
  <w:comment w:id="16" w:author="Autor" w:date="2024-02-29T10:07:40Z">
    <w:p w14:paraId="0000001B" w14:textId="0000001B">
      <w:pPr>
        <w:spacing w:line="240" w:after="0" w:lineRule="auto" w:before="0"/>
        <w:ind w:firstLine="0" w:left="0" w:right="0"/>
        <w:jc w:val="left"/>
      </w:pPr>
      <w:r>
        <w:rPr>
          <w:rFonts w:eastAsia="Arial" w:ascii="Arial" w:hAnsi="Arial" w:cs="Arial"/>
          <w:sz w:val="22"/>
        </w:rPr>
        <w:t xml:space="preserve">Nota Explicativa: Usar essa disposição quando a licitação for em grupo</w:t>
      </w:r>
    </w:p>
  </w:comment>
  <w:comment w:id="17" w:author="Autor" w:date="2024-02-29T10:07:40Z">
    <w:p w14:paraId="0000001C" w14:textId="0000001C">
      <w:pPr>
        <w:spacing w:line="240" w:after="0" w:lineRule="auto" w:before="0"/>
        <w:ind w:firstLine="0" w:left="0" w:right="0"/>
        <w:jc w:val="left"/>
      </w:pPr>
      <w:r>
        <w:rPr>
          <w:rFonts w:eastAsia="Arial" w:ascii="Arial" w:hAnsi="Arial" w:cs="Arial"/>
          <w:sz w:val="22"/>
        </w:rPr>
        <w:t xml:space="preserve">Nota Explicativa: Conforme art. 15, III, do Decreto 11.462, de 2023, especificar se será admitida ou não diferenciação de preço a) quando o objeto for realizado ou entregue em locais diferentes; b) em razão da forma e do local de acondicionamento; c) quando admitida cotação variável em razão do tamanho do lote; d) por outros motivos justificados no processo;</w:t>
      </w:r>
    </w:p>
  </w:comment>
  <w:comment w:id="18" w:author="Autor" w:date="2024-02-29T10:07:40Z">
    <w:p w14:paraId="0000001D" w14:textId="0000001D">
      <w:pPr>
        <w:spacing w:line="240" w:after="0" w:lineRule="auto" w:before="0"/>
        <w:ind w:firstLine="0" w:left="0" w:right="0"/>
        <w:jc w:val="left"/>
      </w:pPr>
      <w:r>
        <w:rPr>
          <w:rFonts w:eastAsia="Arial" w:ascii="Arial" w:hAnsi="Arial" w:cs="Arial"/>
          <w:sz w:val="22"/>
        </w:rPr>
        <w:t xml:space="preserve">Nota explicativa: O prazo de duas horas é o mínimo possível, podendo ser aumentado caso a Administração entenda pertinente, conforme art. 29, § 2º, da IN SEGES nº 73, de 30 de setembro de 2022.</w:t>
      </w:r>
    </w:p>
  </w:comment>
  <w:comment w:id="19" w:author="Autor" w:date="2024-02-29T10:07:40Z">
    <w:p w14:paraId="0000001E" w14:textId="0000001E">
      <w:pPr>
        <w:spacing w:line="240" w:after="0" w:lineRule="auto" w:before="0"/>
        <w:ind w:firstLine="0" w:left="0" w:right="0"/>
        <w:jc w:val="left"/>
      </w:pPr>
      <w:r>
        <w:rPr>
          <w:rFonts w:eastAsia="Arial" w:ascii="Arial" w:hAnsi="Arial" w:cs="Arial"/>
          <w:sz w:val="22"/>
        </w:rPr>
        <w:t xml:space="preserve">Nota explicativa: A recomendação de consulta a esses cadastros se dá à luz do § 4º do art. 91, da Lei nº 14.133, de 2021, sem prejuízo da possibilidade, a critério do órgão respectivo, de consulta complementar a outros cadastros análogos, tais como os mantidos pelo Tribunal de Contas da União – TCU.</w:t>
      </w:r>
    </w:p>
  </w:comment>
  <w:comment w:id="20" w:author="Autor" w:date="2024-02-29T10:07:40Z">
    <w:p w14:paraId="0000001F" w14:textId="0000001F">
      <w:pPr>
        <w:spacing w:line="240" w:after="0" w:lineRule="auto" w:before="0"/>
        <w:ind w:firstLine="0" w:left="0" w:right="0"/>
        <w:jc w:val="left"/>
      </w:pPr>
      <w:r>
        <w:rPr>
          <w:rFonts w:eastAsia="Arial" w:ascii="Arial" w:hAnsi="Arial" w:cs="Arial"/>
          <w:sz w:val="22"/>
        </w:rPr>
        <w:t xml:space="preserve">Nota explicativa: Se o regime é o de empreitada por preço unitário, cabe desclassificação em razão de custos unitários superiores aos orçados pela Administração, conforme art. 59, §3º, da Lei nº 14.133/2021, que expressamente se refere ao critério de aceitabilidade de preços unitário e global a ser fixado no edital, bem como pela definição de sobrepreço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comment>
  <w:comment w:id="21" w:author="Autor" w:date="2024-02-29T10:07:40Z">
    <w:p w14:paraId="00000020" w14:textId="00000020">
      <w:pPr>
        <w:spacing w:line="240" w:after="0" w:lineRule="auto" w:before="0"/>
        <w:ind w:firstLine="0" w:left="0" w:right="0"/>
        <w:jc w:val="left"/>
      </w:pPr>
      <w:r>
        <w:rPr>
          <w:rFonts w:eastAsia="Arial" w:ascii="Arial" w:hAnsi="Arial" w:cs="Arial"/>
          <w:sz w:val="22"/>
        </w:rPr>
        <w:t xml:space="preserve">Nota explicativa: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(IMR).</w:t>
      </w:r>
    </w:p>
  </w:comment>
  <w:comment w:id="22" w:author="Autor" w:date="2024-02-29T10:07:40Z">
    <w:p w14:paraId="00000021" w14:textId="00000021">
      <w:pPr>
        <w:spacing w:line="240" w:after="0" w:lineRule="auto" w:before="0"/>
        <w:ind w:firstLine="0" w:left="0" w:right="0"/>
        <w:jc w:val="left"/>
      </w:pPr>
      <w:r>
        <w:rPr>
          <w:rFonts w:eastAsia="Arial" w:ascii="Arial" w:hAnsi="Arial" w:cs="Arial"/>
          <w:sz w:val="22"/>
        </w:rPr>
        <w:t xml:space="preserve">Nota explicativa 1: A decisão quanto à exigência de amostra e suas especificidades consta do Termo de Referência.</w:t>
      </w:r>
    </w:p>
  </w:comment>
  <w:comment w:id="23" w:author="Autor" w:date="2024-02-29T10:07:40Z">
    <w:p w14:paraId="00000022" w14:textId="00000022">
      <w:pPr>
        <w:spacing w:line="240" w:after="0" w:lineRule="auto" w:before="0"/>
        <w:ind w:firstLine="0" w:left="0" w:right="0"/>
        <w:jc w:val="left"/>
      </w:pPr>
      <w:r>
        <w:rPr>
          <w:rFonts w:eastAsia="Arial" w:ascii="Arial" w:hAnsi="Arial" w:cs="Arial"/>
          <w:sz w:val="22"/>
        </w:rPr>
        <w:t xml:space="preserve">Nota explicativa: O artigo 18, §2º, da IN SEGES nº 73, de 30 de setembro de 2022, obriga a apresentação dessa declaração.</w:t>
      </w:r>
    </w:p>
  </w:comment>
  <w:comment w:id="24" w:author="Autor" w:date="2024-02-29T10:07:40Z">
    <w:p w14:paraId="00000023" w14:textId="00000023">
      <w:pPr>
        <w:spacing w:line="240" w:after="0" w:lineRule="auto" w:before="0"/>
        <w:ind w:firstLine="0" w:left="0" w:right="0"/>
        <w:jc w:val="left"/>
      </w:pPr>
      <w:r>
        <w:rPr>
          <w:rFonts w:eastAsia="Arial" w:ascii="Arial" w:hAnsi="Arial" w:cs="Arial"/>
          <w:sz w:val="22"/>
        </w:rPr>
        <w:t xml:space="preserve">Nota explicativa 1: A presente cláusula deverá ser suprimida no caso de aquisições ou serviços que independam de conhecimento do local. </w:t>
      </w:r>
    </w:p>
    <w:p w14:paraId="00000024" w14:textId="00000024">
      <w:pPr>
        <w:spacing w:line="240" w:after="0" w:lineRule="auto" w:before="0"/>
        <w:ind w:firstLine="0" w:left="0" w:right="0"/>
        <w:jc w:val="left"/>
      </w:pPr>
      <w:r>
        <w:rPr>
          <w:rFonts w:eastAsia="Arial" w:ascii="Arial" w:hAnsi="Arial" w:cs="Arial"/>
          <w:sz w:val="22"/>
        </w:rPr>
        <w:t xml:space="preserve">Nota explicativa 2: Na linha do entendimento consolidado pelo TCU ainda sob o amparo da Lei nº 8.666, de 1993 (por exemplo, Acórdãos n° 2.150/2008, n° 1.599/2010, n° 2.266/2011, n° 2.776/2011, n° 110/2012 e nº 170/2018, todos do Plenário), o art. 63, § 2º, da Lei nº 14.133, de 2021, assegura ao fornecedor o direito de realizar vistoria prévia no local de execução do serviço sempre que o órgão ou entidade contratante considerar essa avaliação imprescindível para o conhecimento pleno das condições e peculiaridades do objeto a ser contratado. Ainda assim, segundo o texto legal, o contratado poderá optar por não realizar a vistoria, caso em que terá de atestar o conhecimento pleno das condições e peculiaridades da contratação, mediante declaração formal (art. 63, §3º).  </w:t>
      </w:r>
    </w:p>
    <w:p w14:paraId="00000025" w14:textId="00000025">
      <w:pPr>
        <w:spacing w:line="240" w:after="0" w:lineRule="auto" w:before="0"/>
        <w:ind w:firstLine="0" w:left="0" w:right="0"/>
        <w:jc w:val="left"/>
      </w:pPr>
      <w:r>
        <w:rPr>
          <w:rFonts w:eastAsia="Arial" w:ascii="Arial" w:hAnsi="Arial" w:cs="Arial"/>
          <w:sz w:val="22"/>
        </w:rPr>
        <w:t xml:space="preserve">Nesse contexto, uma vez facultada a realização da vistoria prévia, os interessados terão três opções para cumprir o requisito de habilitação correspondente, conforme §§2º e 3º do art. 63, da Lei nº 14.133, de 2021, a saber: </w:t>
      </w:r>
    </w:p>
    <w:p w14:paraId="00000026" w14:textId="00000026">
      <w:pPr>
        <w:spacing w:line="240" w:after="0" w:lineRule="auto" w:before="0"/>
        <w:ind w:firstLine="0" w:left="0" w:right="0"/>
        <w:jc w:val="left"/>
      </w:pPr>
      <w:r>
        <w:rPr>
          <w:rFonts w:eastAsia="Arial" w:ascii="Arial" w:hAnsi="Arial" w:cs="Arial"/>
          <w:sz w:val="22"/>
        </w:rPr>
        <w:t xml:space="preserve">a) realizar a vistoria e atestar que conhece o local e as condições da realização do serviço;  </w:t>
      </w:r>
    </w:p>
    <w:p w14:paraId="00000027" w14:textId="00000027">
      <w:pPr>
        <w:spacing w:line="240" w:after="0" w:lineRule="auto" w:before="0"/>
        <w:ind w:firstLine="0" w:left="0" w:right="0"/>
        <w:jc w:val="left"/>
      </w:pPr>
      <w:r>
        <w:rPr>
          <w:rFonts w:eastAsia="Arial" w:ascii="Arial" w:hAnsi="Arial" w:cs="Arial"/>
          <w:sz w:val="22"/>
        </w:rPr>
        <w:t xml:space="preserve">b) atestar que conhece o local e as condições da realização do serviço;  </w:t>
      </w:r>
    </w:p>
    <w:p w14:paraId="00000028" w14:textId="00000028">
      <w:pPr>
        <w:spacing w:line="240" w:after="0" w:lineRule="auto" w:before="0"/>
        <w:ind w:firstLine="0" w:left="0" w:right="0"/>
        <w:jc w:val="left"/>
      </w:pPr>
      <w:r>
        <w:rPr>
          <w:rFonts w:eastAsia="Arial" w:ascii="Arial" w:hAnsi="Arial" w:cs="Arial"/>
          <w:sz w:val="22"/>
        </w:rPr>
        <w:t xml:space="preserve">c) declarar formalmente, por meio do respectivo responsável técnico, que possui conhecimento pleno das condições e peculiaridades da contratação.  </w:t>
      </w:r>
    </w:p>
    <w:p w14:paraId="00000029" w14:textId="00000029">
      <w:pPr>
        <w:spacing w:line="240" w:after="0" w:lineRule="auto" w:before="0"/>
        <w:ind w:firstLine="0" w:left="0" w:right="0"/>
        <w:jc w:val="left"/>
      </w:pPr>
      <w:r>
        <w:rPr>
          <w:rFonts w:eastAsia="Arial" w:ascii="Arial" w:hAnsi="Arial" w:cs="Arial"/>
          <w:sz w:val="22"/>
        </w:rPr>
        <w:t xml:space="preserve">A hipótese “a” dispensa maiores comentários, a não ser o de que é o próprio fornecedor que atesta conhecer o local e as condições, e não a Administração que tem o ônus de emitir o atestado de vistoria, como se passa no âmbito da Lei nº 8.666, de 1993. </w:t>
      </w:r>
    </w:p>
    <w:p w14:paraId="0000002A" w14:textId="0000002A">
      <w:pPr>
        <w:spacing w:line="240" w:after="0" w:lineRule="auto" w:before="0"/>
        <w:ind w:firstLine="0" w:left="0" w:right="0"/>
        <w:jc w:val="left"/>
      </w:pPr>
      <w:r>
        <w:rPr>
          <w:rFonts w:eastAsia="Arial" w:ascii="Arial" w:hAnsi="Arial" w:cs="Arial"/>
          <w:sz w:val="22"/>
        </w:rPr>
        <w:t xml:space="preserve">Já na hipótese “b”, o fornecedor não necessariamente realiza a vistoria facultada na contratação, mas, da mesma forma, atesta que conhece o local da obra ou serviço, além das respectivas condições de execução, pressupondo-se que já tenha comparecido anteriormente ao local para poder emitir a declaração sem incorrer em falsidade ideológica. Isso pode ocorrer sobretudo quando se trata de empresa que já prestou serviços no mesmo local ou já realizou vistoria em outra oportunidade.  </w:t>
      </w:r>
    </w:p>
    <w:p w14:paraId="0000002B" w14:textId="0000002B">
      <w:pPr>
        <w:spacing w:line="240" w:after="0" w:lineRule="auto" w:before="0"/>
        <w:ind w:firstLine="0" w:left="0" w:right="0"/>
        <w:jc w:val="left"/>
      </w:pPr>
      <w:r>
        <w:rPr>
          <w:rFonts w:eastAsia="Arial" w:ascii="Arial" w:hAnsi="Arial" w:cs="Arial"/>
          <w:sz w:val="22"/>
        </w:rPr>
        <w:t xml:space="preserve">Por fim, na hipótese “c”, não se declara que conhece o local, e sim as condições e peculiaridades da contratação em sua plenitude. Por isso que, em contrapartida, a declaração deve ser firmada pelo responsável técnico, que poderá chegar a esse conhecimento com base nas disposições do edital e anexos, somada à sua experiência profissional, que lhe permite emitir a declaração sem conhecer o local e sem incorrer em falsidade. </w:t>
      </w:r>
    </w:p>
    <w:p w14:paraId="0000002C" w14:textId="0000002C">
      <w:pPr>
        <w:spacing w:line="240" w:after="0" w:lineRule="auto" w:before="0"/>
        <w:ind w:firstLine="0" w:left="0" w:right="0"/>
        <w:jc w:val="left"/>
      </w:pPr>
      <w:r>
        <w:rPr>
          <w:rFonts w:eastAsia="Arial" w:ascii="Arial" w:hAnsi="Arial" w:cs="Arial"/>
          <w:sz w:val="22"/>
        </w:rPr>
        <w:t xml:space="preserve">Contudo, caso não se verifique a exigência legal de que a empresa a ser contratada possua um responsável técnico - assim considerado o profissional habilitado, na forma da lei, para conduzir, orientar e se responsabilizar por todas as atividades e serviços a serem exercidos pela empresa -, a declaração formal de que trata o § 3º do art. 63, da Lei n.º 14.133, de 2021, deverá ser firmada pelo responsável legal da empresa ou por pessoa por ele indicada, que possua condições técnicas de se responsabilizar pela execução dos serviços a serem contratados.  </w:t>
      </w:r>
    </w:p>
    <w:p w14:paraId="0000002D" w14:textId="0000002D">
      <w:pPr>
        <w:spacing w:line="240" w:after="0" w:lineRule="auto" w:before="0"/>
        <w:ind w:firstLine="0" w:left="0" w:right="0"/>
        <w:jc w:val="left"/>
      </w:pPr>
      <w:r>
        <w:rPr>
          <w:rFonts w:eastAsia="Arial" w:ascii="Arial" w:hAnsi="Arial" w:cs="Arial"/>
          <w:sz w:val="22"/>
        </w:rPr>
        <w:t xml:space="preserve">Recomenda-se que a previsão de vistoria seja adotada de forma motivada, já que aumenta os custos transacionais dos interessados, devendo, sempre que possível, ser substituída pela apresentação de fotografias, plantas, desenhos técnicos e congêneres relativos ao local de execução do serviço. </w:t>
      </w:r>
    </w:p>
  </w:comment>
  <w:comment w:id="25" w:author="Autor" w:date="2024-02-29T10:07:40Z">
    <w:p w14:paraId="0000002E" w14:textId="0000002E">
      <w:pPr>
        <w:spacing w:line="240" w:after="0" w:lineRule="auto" w:before="0"/>
        <w:ind w:firstLine="0" w:left="0" w:right="0"/>
        <w:jc w:val="left"/>
      </w:pPr>
      <w:r>
        <w:rPr>
          <w:rFonts w:eastAsia="Arial" w:ascii="Arial" w:hAnsi="Arial" w:cs="Arial"/>
          <w:sz w:val="22"/>
        </w:rPr>
        <w:t xml:space="preserve">Nota explicativa: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Decreto nº 10.024/2019, está em consonância com a novel legislação.</w:t>
      </w:r>
    </w:p>
  </w:comment>
  <w:comment w:id="26" w:author="Autor" w:date="2024-02-29T10:07:40Z">
    <w:p w14:paraId="0000002F" w14:textId="0000002F">
      <w:pPr>
        <w:spacing w:line="240" w:after="0" w:lineRule="auto" w:before="0"/>
        <w:ind w:firstLine="0" w:left="0" w:right="0"/>
        <w:jc w:val="left"/>
      </w:pPr>
      <w:r>
        <w:rPr>
          <w:rFonts w:eastAsia="Arial" w:ascii="Arial" w:hAnsi="Arial" w:cs="Arial"/>
          <w:sz w:val="22"/>
        </w:rPr>
        <w:t xml:space="preserve">Nota Explicativa: Adotar esse item apenas se a licitação for para registro de preços</w:t>
      </w:r>
    </w:p>
  </w:comment>
  <w:comment w:id="27" w:author="Autor" w:date="2024-02-29T10:07:40Z">
    <w:p w14:paraId="00000030" w14:textId="00000030">
      <w:pPr>
        <w:spacing w:line="240" w:after="0" w:lineRule="auto" w:before="0"/>
        <w:ind w:firstLine="0" w:left="0" w:right="0"/>
        <w:jc w:val="left"/>
      </w:pPr>
      <w:r>
        <w:rPr>
          <w:rFonts w:eastAsia="Arial" w:ascii="Arial" w:hAnsi="Arial" w:cs="Arial"/>
          <w:sz w:val="22"/>
        </w:rPr>
        <w:t xml:space="preserve">Nota Explicativa: Conforme art. 19, §1º, do Decreto n. 11.462/23.</w:t>
      </w:r>
    </w:p>
  </w:comment>
  <w:comment w:id="28" w:author="Autor" w:date="2024-02-29T10:07:40Z">
    <w:p w14:paraId="00000031" w14:textId="00000031">
      <w:pPr>
        <w:spacing w:line="240" w:after="0" w:lineRule="auto" w:before="0"/>
        <w:ind w:firstLine="0" w:left="0" w:right="0"/>
        <w:jc w:val="left"/>
      </w:pPr>
      <w:r>
        <w:rPr>
          <w:rFonts w:eastAsia="Arial" w:ascii="Arial" w:hAnsi="Arial" w:cs="Arial"/>
          <w:sz w:val="22"/>
        </w:rPr>
        <w:t xml:space="preserve">Nota Explicativa: Conforme art. 18, §4º, do Decreto n. 11.462/23</w:t>
      </w:r>
    </w:p>
  </w:comment>
  <w:comment w:id="29" w:author="Autor" w:date="2024-02-29T10:07:40Z">
    <w:p w14:paraId="00000032" w14:textId="00000032">
      <w:pPr>
        <w:spacing w:line="240" w:after="0" w:lineRule="auto" w:before="0"/>
        <w:ind w:firstLine="0" w:left="0" w:right="0"/>
        <w:jc w:val="left"/>
      </w:pPr>
      <w:r>
        <w:rPr>
          <w:rFonts w:eastAsia="Arial" w:ascii="Arial" w:hAnsi="Arial" w:cs="Arial"/>
          <w:sz w:val="22"/>
        </w:rPr>
        <w:t xml:space="preserve">Nota Explicativa: Art. 21 do Decreto n. 12.462/23</w:t>
      </w:r>
    </w:p>
  </w:comment>
  <w:comment w:id="30" w:author="Autor" w:date="2024-02-29T10:07:40Z">
    <w:p w14:paraId="00000033" w14:textId="00000033">
      <w:pPr>
        <w:spacing w:line="240" w:after="0" w:lineRule="auto" w:before="0"/>
        <w:ind w:firstLine="0" w:left="0" w:right="0"/>
        <w:jc w:val="left"/>
      </w:pPr>
      <w:r>
        <w:rPr>
          <w:rFonts w:eastAsia="Arial" w:ascii="Arial" w:hAnsi="Arial" w:cs="Arial"/>
          <w:sz w:val="22"/>
        </w:rPr>
        <w:t xml:space="preserve">Nota Explicativa: Conforme art. 20 do Decreto n. 11.462/23</w:t>
      </w:r>
    </w:p>
  </w:comment>
  <w:comment w:id="31" w:author="Autor" w:date="2024-02-29T10:07:40Z">
    <w:p w14:paraId="00000034" w14:textId="00000034">
      <w:pPr>
        <w:spacing w:line="240" w:after="0" w:lineRule="auto" w:before="0"/>
        <w:ind w:firstLine="0" w:left="0" w:right="0"/>
        <w:jc w:val="left"/>
      </w:pPr>
      <w:r>
        <w:rPr>
          <w:rFonts w:eastAsia="Arial" w:ascii="Arial" w:hAnsi="Arial" w:cs="Arial"/>
          <w:sz w:val="22"/>
        </w:rPr>
        <w:t xml:space="preserve">Nota Explicativa: Conforme art. 18, II, do Decreto nº 11.492/23</w:t>
      </w:r>
    </w:p>
  </w:comment>
  <w:comment w:id="32" w:author="Autor" w:date="2024-02-29T10:07:40Z">
    <w:p w14:paraId="00000035" w14:textId="00000035">
      <w:pPr>
        <w:spacing w:line="240" w:after="0" w:lineRule="auto" w:before="0"/>
        <w:ind w:firstLine="0" w:left="0" w:right="0"/>
        <w:jc w:val="left"/>
      </w:pPr>
      <w:r>
        <w:rPr>
          <w:rFonts w:eastAsia="Arial" w:ascii="Arial" w:hAnsi="Arial" w:cs="Arial"/>
          <w:sz w:val="22"/>
        </w:rPr>
        <w:t xml:space="preserve">Nota Explicativa: Conforme art. 18, III, do Decretonº 11.462/23</w:t>
      </w:r>
    </w:p>
  </w:comment>
  <w:comment w:id="33" w:author="Autor" w:date="2024-02-29T10:07:40Z">
    <w:p w14:paraId="00000036" w14:textId="00000036">
      <w:pPr>
        <w:spacing w:line="240" w:after="0" w:lineRule="auto" w:before="0"/>
        <w:ind w:firstLine="0" w:left="0" w:right="0"/>
        <w:jc w:val="left"/>
      </w:pPr>
      <w:r>
        <w:rPr>
          <w:rFonts w:eastAsia="Arial" w:ascii="Arial" w:hAnsi="Arial" w:cs="Arial"/>
          <w:sz w:val="22"/>
        </w:rPr>
        <w:t xml:space="preserve">Nota Explicativa: Conforme artigo 18, §2º, do Decreto nº 11.462/23</w:t>
      </w:r>
    </w:p>
  </w:comment>
  <w:comment w:id="34" w:author="Autor" w:date="2024-02-29T10:07:40Z">
    <w:p w14:paraId="00000037" w14:textId="00000037">
      <w:pPr>
        <w:spacing w:line="240" w:after="0" w:lineRule="auto" w:before="0"/>
        <w:ind w:firstLine="0" w:left="0" w:right="0"/>
        <w:jc w:val="left"/>
      </w:pPr>
      <w:r>
        <w:rPr>
          <w:rFonts w:eastAsia="Arial" w:ascii="Arial" w:hAnsi="Arial" w:cs="Arial"/>
          <w:sz w:val="22"/>
        </w:rPr>
        <w:t xml:space="preserve">Nota Explicativa: Conforme art. 20, parágrafo único, do Decreto nº 11.462/23.</w:t>
      </w:r>
    </w:p>
  </w:comment>
  <w:comment w:id="35" w:author="Autor" w:date="2024-02-29T10:07:40Z">
    <w:p w14:paraId="00000038" w14:textId="00000038">
      <w:pPr>
        <w:spacing w:line="240" w:after="0" w:lineRule="auto" w:before="0"/>
        <w:ind w:firstLine="0" w:left="0" w:right="0"/>
        <w:jc w:val="left"/>
      </w:pPr>
      <w:r>
        <w:rPr>
          <w:rFonts w:eastAsia="Arial" w:ascii="Arial" w:hAnsi="Arial" w:cs="Arial"/>
          <w:sz w:val="22"/>
        </w:rPr>
        <w:t xml:space="preserve">Nota explicativa: As infrações e penalidades dispostas nesse item se referem especialmente às disposições da licitação, ficando no contrato os regramentos inerentes à fase contratual.</w:t>
      </w:r>
    </w:p>
  </w:comment>
  <w:comment w:id="36" w:author="Autor" w:date="2024-02-29T10:07:40Z">
    <w:p w14:paraId="00000039" w14:textId="00000039">
      <w:pPr>
        <w:spacing w:line="240" w:after="0" w:lineRule="auto" w:before="0"/>
        <w:ind w:firstLine="0" w:left="0" w:right="0"/>
        <w:jc w:val="left"/>
      </w:pPr>
      <w:r>
        <w:rPr>
          <w:rFonts w:eastAsia="Arial" w:ascii="Arial" w:hAnsi="Arial" w:cs="Arial"/>
          <w:sz w:val="22"/>
        </w:rPr>
        <w:t xml:space="preserve">Nota explicativa: O valor da multa deverá observar o disposto no art. 156, §1º, da Lei nº 14.133, de 2021.</w:t>
      </w:r>
    </w:p>
    <w:p w14:paraId="0000003A" w14:textId="0000003A">
      <w:pPr>
        <w:spacing w:line="240" w:after="0" w:lineRule="auto" w:before="0"/>
        <w:ind w:firstLine="0" w:left="0" w:right="0"/>
        <w:jc w:val="left"/>
      </w:pPr>
      <w:r>
        <w:rPr>
          <w:rFonts w:eastAsia="Arial" w:ascii="Arial" w:hAnsi="Arial" w:cs="Arial"/>
          <w:sz w:val="22"/>
        </w:rPr>
        <w:t xml:space="preserve">Segundo o art. 156, §3º a multa não poderá ser inferior a 0,5% (cinco décimos por cento) nem superior a 30% (trinta) por cento do valor do contrato licitado ou celebrado com contratação direta e será aplicada ao responsável por qualquer das infrações administrativas previstas no art. 155 da Lei n.º 14.133/2021. Deve-se fixar o percentual da multa proporcional à gravidade da infração.</w:t>
      </w:r>
    </w:p>
    <w:p w14:paraId="0000003B" w14:textId="0000003B">
      <w:pPr>
        <w:spacing w:line="240" w:after="0" w:lineRule="auto" w:before="0"/>
        <w:ind w:firstLine="0" w:left="0" w:right="0"/>
        <w:jc w:val="left"/>
      </w:pPr>
      <w:r>
        <w:rPr>
          <w:rFonts w:eastAsia="Arial" w:ascii="Arial" w:hAnsi="Arial" w:cs="Arial"/>
          <w:sz w:val="22"/>
        </w:rPr>
        <w:t xml:space="preserve">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comment>
  <w:comment w:id="37" w:author="Autor" w:date="2024-02-29T10:07:40Z">
    <w:p w14:paraId="0000003C" w14:textId="0000003C">
      <w:pPr>
        <w:spacing w:line="240" w:after="0" w:lineRule="auto" w:before="0"/>
        <w:ind w:firstLine="0" w:left="0" w:right="0"/>
        <w:jc w:val="left"/>
      </w:pPr>
      <w:r>
        <w:rPr>
          <w:rFonts w:eastAsia="Arial" w:ascii="Arial" w:hAnsi="Arial" w:cs="Arial"/>
          <w:sz w:val="22"/>
        </w:rPr>
        <w:t xml:space="preserve">Nota explicativa: Conforme estabelece o art. 156, §4º, essa disposição deverá indicar o respectivo ente federativo a que pertence o órgão ou entidade sancionadora.</w:t>
      </w:r>
    </w:p>
  </w:comment>
  <w:comment w:id="38" w:author="Autor" w:date="2024-02-29T10:07:40Z">
    <w:p w14:paraId="0000003D" w14:textId="0000003D">
      <w:pPr>
        <w:spacing w:line="240" w:after="0" w:lineRule="auto" w:before="0"/>
        <w:ind w:firstLine="0" w:left="0" w:right="0"/>
        <w:jc w:val="left"/>
      </w:pPr>
      <w:r>
        <w:rPr>
          <w:rFonts w:eastAsia="Arial" w:ascii="Arial" w:hAnsi="Arial" w:cs="Arial"/>
          <w:sz w:val="22"/>
        </w:rPr>
        <w:t xml:space="preserve">Nota explicativa: Conforme estabelece o art. 158, §1º,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39" w:author="Autor" w:date="2024-02-29T10:07:40Z">
    <w:p w14:paraId="0000003E" w14:textId="0000003E">
      <w:pPr>
        <w:spacing w:line="240" w:after="0" w:lineRule="auto" w:before="0"/>
        <w:ind w:firstLine="0" w:left="0" w:right="0"/>
        <w:jc w:val="left"/>
      </w:pPr>
      <w:r>
        <w:rPr>
          <w:rFonts w:eastAsia="Arial" w:ascii="Arial" w:hAnsi="Arial" w:cs="Arial"/>
          <w:sz w:val="22"/>
        </w:rPr>
        <w:t xml:space="preserve">Nota explicativa: Conforme estabelece o art. 156, §9º, essa disposição deverá indicar o respectivo ente federativo a que pertence o órgão ou entidade sancionadora.</w:t>
      </w:r>
    </w:p>
  </w:comment>
  <w:comment w:id="40" w:author="Autor" w:date="2024-02-29T10:07:40Z">
    <w:p w14:paraId="0000003F" w14:textId="0000003F">
      <w:pPr>
        <w:spacing w:line="240" w:after="0" w:lineRule="auto" w:before="0"/>
        <w:ind w:firstLine="0" w:left="0" w:right="0"/>
        <w:jc w:val="left"/>
      </w:pPr>
      <w:r>
        <w:rPr>
          <w:rFonts w:eastAsia="Arial" w:ascii="Arial" w:hAnsi="Arial" w:cs="Arial"/>
          <w:sz w:val="22"/>
        </w:rPr>
        <w:t xml:space="preserve">Nota Explicativa: É importante que sejam indicados os meios para a recepção das impugnações e pedidos de esclarecimentos.</w:t>
      </w:r>
    </w:p>
  </w:comment>
  <w:comment w:id="41" w:author="Autor" w:date="2024-02-29T10:07:40Z">
    <w:p w14:paraId="00000040" w14:textId="00000040">
      <w:pPr>
        <w:spacing w:line="240" w:after="0" w:lineRule="auto" w:before="0"/>
        <w:ind w:firstLine="0" w:left="0" w:right="0"/>
        <w:jc w:val="left"/>
      </w:pPr>
      <w:r>
        <w:rPr>
          <w:rFonts w:eastAsia="Arial" w:ascii="Arial" w:hAnsi="Arial" w:cs="Arial"/>
          <w:sz w:val="22"/>
        </w:rPr>
        <w:t xml:space="preserve">Nota Explicativa: A atribuição para concessão do efeito suspensivo foi conferida ao agente de contratação pelo § 2º do artigo 16 da IN SEGES nº 73, de 2022.</w:t>
      </w:r>
    </w:p>
  </w:comment>
  <w:comment w:id="42" w:author="Autor" w:initials="A">
    <w:p w14:paraId="00000041" w14:textId="00000041">
      <w:pPr>
        <w:spacing w:line="240" w:after="0" w:lineRule="auto" w:before="0"/>
        <w:ind w:firstLine="0" w:left="0" w:right="0"/>
        <w:jc w:val="left"/>
      </w:pPr>
      <w:r>
        <w:rPr>
          <w:rFonts w:eastAsia="Arial" w:ascii="Arial" w:hAnsi="Arial" w:cs="Arial"/>
          <w:sz w:val="22"/>
        </w:rPr>
        <w:t xml:space="preserve">Nota Explicativa: A Lei n.º 14.133, de 2021 em seu artigo 25, §7º fixou a necessidade da estipulação no contrato, independente do prazo de sua duração, de índice de reajustamento de preço, com data-base vinculada à data do orçamento estimado. </w:t>
      </w:r>
    </w:p>
    <w:p w14:paraId="00000042" w14:textId="00000042">
      <w:pPr>
        <w:spacing w:line="240" w:after="0" w:lineRule="auto" w:before="0"/>
        <w:ind w:firstLine="0" w:left="0" w:right="0"/>
        <w:jc w:val="left"/>
      </w:pPr>
      <w:r>
        <w:rPr>
          <w:rFonts w:eastAsia="Arial" w:ascii="Arial" w:hAnsi="Arial" w:cs="Arial"/>
          <w:sz w:val="22"/>
        </w:rPr>
        <w:t xml:space="preserve">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00000043" w14:textId="00000043">
      <w:pPr>
        <w:spacing w:line="240" w:after="0" w:lineRule="auto" w:before="0"/>
        <w:ind w:firstLine="0" w:left="0" w:right="0"/>
        <w:jc w:val="left"/>
      </w:pPr>
      <w:r>
        <w:rPr>
          <w:rFonts w:eastAsia="Arial" w:ascii="Arial" w:hAnsi="Arial" w:cs="Arial"/>
          <w:sz w:val="22"/>
        </w:rPr>
        <w:t xml:space="preserve">A Lei n.º 14.133, de 2021 inova quanto à possibilidade do estabelecimento de mais de um índice específico ou setorial, desde que consentâneo com a realidade de mercado dos respectivos insumos. Assim, caso a contratação envolva vários insumos, resta a possibilidade da fixação de mais de um índice de reajuste com o intuito de melhor refletir a variação de custo sofrida.</w:t>
      </w:r>
    </w:p>
    <w:p w14:paraId="00000044" w14:textId="00000044">
      <w:pPr>
        <w:spacing w:line="240" w:after="0" w:lineRule="auto" w:before="0"/>
        <w:ind w:firstLine="0" w:left="0" w:right="0"/>
        <w:jc w:val="left"/>
      </w:pPr>
      <w:r>
        <w:rPr>
          <w:rFonts w:eastAsia="Arial" w:ascii="Arial" w:hAnsi="Arial" w:cs="Arial"/>
          <w:sz w:val="22"/>
        </w:rPr>
        <w:t xml:space="preserve">Importa enfatizar que o marco inicial para a contagem da anualidade é a data do orçamento estimado, o que representa um aperfeiçoamento em relação à sistemática anterior. Isso torna indispensável que o orçamento contenha a data específica a que se refere.</w:t>
      </w:r>
    </w:p>
  </w:comment>
  <w:comment w:id="43" w:author="Autor" w:initials="A">
    <w:p w14:paraId="00000045" w14:textId="00000045">
      <w:pPr>
        <w:spacing w:line="240" w:after="0" w:lineRule="auto" w:before="0"/>
        <w:ind w:firstLine="0" w:left="0" w:right="0"/>
        <w:jc w:val="left"/>
      </w:pPr>
      <w:r>
        <w:rPr>
          <w:rFonts w:eastAsia="Arial" w:ascii="Arial" w:hAnsi="Arial" w:cs="Arial"/>
          <w:sz w:val="22"/>
        </w:rPr>
        <w:t xml:space="preserve">Nota explicativa: As obrigações que seguem, tanto do contratante como do contratado, são meramente ilustrativas. O órgão ou entidade licitante deverá adaptá-las ou suprimi-las, em conformidade com as peculiaridades do serviço de engenharia de que necessita.</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5" w15:done="0"/>
  <w15:commentEx w15:paraId="00000006" w15:done="0"/>
  <w15:commentEx w15:paraId="00000007" w15:done="0"/>
  <w15:commentEx w15:paraId="00000008" w15:done="0"/>
  <w15:commentEx w15:paraId="00000009" w15:done="0"/>
  <w15:commentEx w15:paraId="0000000A" w15:done="0"/>
  <w15:commentEx w15:paraId="0000000B" w15:done="0"/>
  <w15:commentEx w15:paraId="00000011" w15:done="0"/>
  <w15:commentEx w15:paraId="00000012" w15:done="0"/>
  <w15:commentEx w15:paraId="00000014" w15:done="0"/>
  <w15:commentEx w15:paraId="00000015" w15:done="0"/>
  <w15:commentEx w15:paraId="00000016" w15:done="0"/>
  <w15:commentEx w15:paraId="00000017" w15:done="0"/>
  <w15:commentEx w15:paraId="00000018" w15:done="0"/>
  <w15:commentEx w15:paraId="00000019" w15:done="0"/>
  <w15:commentEx w15:paraId="0000001A" w15:done="0"/>
  <w15:commentEx w15:paraId="0000001B" w15:done="0"/>
  <w15:commentEx w15:paraId="0000001C" w15:done="0"/>
  <w15:commentEx w15:paraId="0000001D" w15:done="0"/>
  <w15:commentEx w15:paraId="0000001E" w15:done="0"/>
  <w15:commentEx w15:paraId="0000001F" w15:done="0"/>
  <w15:commentEx w15:paraId="00000020" w15:done="0"/>
  <w15:commentEx w15:paraId="00000021" w15:done="0"/>
  <w15:commentEx w15:paraId="00000022" w15:done="0"/>
  <w15:commentEx w15:paraId="0000002D" w15:done="0"/>
  <w15:commentEx w15:paraId="0000002E" w15:done="0"/>
  <w15:commentEx w15:paraId="0000002F" w15:done="0"/>
  <w15:commentEx w15:paraId="00000030" w15:done="0"/>
  <w15:commentEx w15:paraId="00000031" w15:done="0"/>
  <w15:commentEx w15:paraId="00000032" w15:done="0"/>
  <w15:commentEx w15:paraId="00000033" w15:done="0"/>
  <w15:commentEx w15:paraId="00000034" w15:done="0"/>
  <w15:commentEx w15:paraId="00000035" w15:done="0"/>
  <w15:commentEx w15:paraId="00000036" w15:done="0"/>
  <w15:commentEx w15:paraId="00000037" w15:done="0"/>
  <w15:commentEx w15:paraId="00000038" w15:done="0"/>
  <w15:commentEx w15:paraId="0000003B" w15:done="0"/>
  <w15:commentEx w15:paraId="0000003C" w15:done="0"/>
  <w15:commentEx w15:paraId="0000003D" w15:done="0"/>
  <w15:commentEx w15:paraId="0000003E" w15:done="0"/>
  <w15:commentEx w15:paraId="0000003F" w15:done="0"/>
  <w15:commentEx w15:paraId="00000040" w15:done="0"/>
  <w15:commentEx w15:paraId="00000044" w15:done="0"/>
  <w15:commentEx w15:paraId="00000045" w15:done="0"/>
</w15:commentsEx>
</file>

<file path=word/commentsIdsDocument.xml><?xml version="1.0" encoding="utf-8"?>
<w16cid:commentsIds xmlns:mc="http://schemas.openxmlformats.org/markup-compatibility/2006" xmlns:w16cid="http://schemas.microsoft.com/office/word/2016/wordml/cid" mc:Ignorable="w16cid">
  <w16cid:commentId w16cid:paraId="00000005" w16cid:durableId="5524AFAB"/>
  <w16cid:commentId w16cid:paraId="00000006" w16cid:durableId="348BF943"/>
  <w16cid:commentId w16cid:paraId="00000007" w16cid:durableId="1B9FB2E4"/>
  <w16cid:commentId w16cid:paraId="00000008" w16cid:durableId="2E157AE6"/>
  <w16cid:commentId w16cid:paraId="00000009" w16cid:durableId="25B2D957"/>
  <w16cid:commentId w16cid:paraId="0000000A" w16cid:durableId="3ED8A07C"/>
  <w16cid:commentId w16cid:paraId="0000000B" w16cid:durableId="227BC63F"/>
  <w16cid:commentId w16cid:paraId="00000011" w16cid:durableId="4716A906"/>
  <w16cid:commentId w16cid:paraId="00000012" w16cid:durableId="39EEFF90"/>
  <w16cid:commentId w16cid:paraId="00000014" w16cid:durableId="7A81B7B0"/>
  <w16cid:commentId w16cid:paraId="00000015" w16cid:durableId="6513F04F"/>
  <w16cid:commentId w16cid:paraId="00000016" w16cid:durableId="358EB391"/>
  <w16cid:commentId w16cid:paraId="00000017" w16cid:durableId="72159FB7"/>
  <w16cid:commentId w16cid:paraId="00000018" w16cid:durableId="29B991DA"/>
  <w16cid:commentId w16cid:paraId="00000019" w16cid:durableId="1339C903"/>
  <w16cid:commentId w16cid:paraId="0000001A" w16cid:durableId="7C3DFAF0"/>
  <w16cid:commentId w16cid:paraId="0000001B" w16cid:durableId="0045A9A7"/>
  <w16cid:commentId w16cid:paraId="0000001C" w16cid:durableId="34E1F736"/>
  <w16cid:commentId w16cid:paraId="0000001D" w16cid:durableId="2CB53CF1"/>
  <w16cid:commentId w16cid:paraId="0000001E" w16cid:durableId="58FC5925"/>
  <w16cid:commentId w16cid:paraId="0000001F" w16cid:durableId="7FD96FA2"/>
  <w16cid:commentId w16cid:paraId="00000020" w16cid:durableId="57FCCFB1"/>
  <w16cid:commentId w16cid:paraId="00000021" w16cid:durableId="0B0B9A25"/>
  <w16cid:commentId w16cid:paraId="00000022" w16cid:durableId="183B6CCD"/>
  <w16cid:commentId w16cid:paraId="0000002D" w16cid:durableId="7EF17FBA"/>
  <w16cid:commentId w16cid:paraId="0000002E" w16cid:durableId="42C66C87"/>
  <w16cid:commentId w16cid:paraId="0000002F" w16cid:durableId="70F5ADAC"/>
  <w16cid:commentId w16cid:paraId="00000030" w16cid:durableId="17DBC1A2"/>
  <w16cid:commentId w16cid:paraId="00000031" w16cid:durableId="0372EEB7"/>
  <w16cid:commentId w16cid:paraId="00000032" w16cid:durableId="0A6F9CA5"/>
  <w16cid:commentId w16cid:paraId="00000033" w16cid:durableId="5B7BDDDB"/>
  <w16cid:commentId w16cid:paraId="00000034" w16cid:durableId="41353DE7"/>
  <w16cid:commentId w16cid:paraId="00000035" w16cid:durableId="0C42526B"/>
  <w16cid:commentId w16cid:paraId="00000036" w16cid:durableId="3E74C4AC"/>
  <w16cid:commentId w16cid:paraId="00000037" w16cid:durableId="4A710CD3"/>
  <w16cid:commentId w16cid:paraId="00000038" w16cid:durableId="0BE5F612"/>
  <w16cid:commentId w16cid:paraId="0000003B" w16cid:durableId="11F8BF51"/>
  <w16cid:commentId w16cid:paraId="0000003C" w16cid:durableId="10B0A19B"/>
  <w16cid:commentId w16cid:paraId="0000003D" w16cid:durableId="6127E807"/>
  <w16cid:commentId w16cid:paraId="0000003E" w16cid:durableId="6C982E64"/>
  <w16cid:commentId w16cid:paraId="0000003F" w16cid:durableId="5FE1FC54"/>
  <w16cid:commentId w16cid:paraId="00000040" w16cid:durableId="590BCF63"/>
  <w16cid:commentId w16cid:paraId="00000044" w16cid:durableId="27E92CDD"/>
  <w16cid:commentId w16cid:paraId="00000045" w16cid:durableId="2753E0E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Symbol">
    <w:panose1 w:val="05050102010706020507"/>
  </w:font>
  <w:font w:name="Cambria">
    <w:panose1 w:val="02040503050406030204"/>
  </w:font>
  <w:font w:name="Georgia">
    <w:panose1 w:val="02040502050405020303"/>
  </w:font>
  <w:font w:name="Wingdings">
    <w:panose1 w:val="05000000000000000000"/>
  </w:font>
  <w:font w:name="Lucida Sans">
    <w:panose1 w:val="020B0602030504020204"/>
  </w:font>
  <w:font w:name="Liberation Serif">
    <w:panose1 w:val="02020603050405020304"/>
  </w:font>
  <w:font w:name="WenQuanYi Micro Hei">
    <w:panose1 w:val="02000603000000000000"/>
  </w:font>
  <w:font w:name="Tahoma">
    <w:panose1 w:val="020B0604030504040204"/>
  </w:font>
  <w:font w:name="Times New Roman">
    <w:panose1 w:val="02020603050405020304"/>
  </w:font>
  <w:font w:name="Calibri">
    <w:panose1 w:val="020F0502020204030204"/>
  </w:font>
  <w:font w:name="NSimSun">
    <w:panose1 w:val="02010609030101010101"/>
  </w:font>
  <w:font w:name="Arial">
    <w:panose1 w:val="020B0604020202020204"/>
  </w:font>
  <w:font w:name="Segoe UI">
    <w:panose1 w:val="020B0502040204020203"/>
  </w:font>
  <w:font w:name="Lohit Hindi">
    <w:panose1 w:val="02000603000000000000"/>
  </w:font>
  <w:font w:name="Ecofont_Spranq_eco_Sans">
    <w:panose1 w:val="020006030000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left"/>
      <w:keepLines w:val="0"/>
      <w:keepNext w:val="0"/>
      <w:pageBreakBefore w:val="0"/>
      <w:spacing w:before="0" w:after="0" w:line="240" w:lineRule="auto"/>
      <w:shd w:val="clear" w:color="auto" w:fill="auto"/>
      <w:widowControl/>
      <w:tabs>
        <w:tab w:val="center" w:pos="4252" w:leader="none"/>
        <w:tab w:val="right" w:pos="8504" w:leader="none"/>
      </w:tabs>
      <w:rPr>
        <w:rFonts w:ascii="Ecofont_Spranq_eco_Sans" w:hAnsi="Ecofont_Spranq_eco_Sans" w:eastAsia="Ecofont_Spranq_eco_Sans" w:cs="Ecofont_Spranq_eco_Sans"/>
        <w:b w:val="0"/>
        <w:i w:val="0"/>
        <w:smallCaps w:val="0"/>
        <w:strike w:val="0"/>
        <w:color w:val="000000"/>
        <w:sz w:val="24"/>
        <w:szCs w:val="2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tl w:val="0"/>
      </w:rPr>
    </w:r>
    <w: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column">
                <wp:posOffset>233045</wp:posOffset>
              </wp:positionH>
              <wp:positionV relativeFrom="paragraph">
                <wp:posOffset>-271779</wp:posOffset>
              </wp:positionV>
              <wp:extent cx="5654040" cy="831215"/>
              <wp:effectExtent l="0" t="0" r="0" b="0"/>
              <wp:wrapNone/>
              <wp:docPr id="3" name="image1.png" descr="Interface gráfica do usuário, Text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Interface gráfica do usuário, Texto&#10;&#10;Descrição gerada automaticamente"/>
                      <pic:cNvPicPr/>
                      <pic:nvPr/>
                    </pic:nvPicPr>
                    <pic:blipFill>
                      <a:blip r:embed="rId1"/>
                      <a:srcRect l="140" t="0" r="138" b="0"/>
                      <a:stretch/>
                    </pic:blipFill>
                    <pic:spPr bwMode="auto">
                      <a:xfrm>
                        <a:off x="0" y="0"/>
                        <a:ext cx="5654040" cy="831215"/>
                      </a:xfrm>
                      <a:prstGeom prst="rect">
                        <a:avLst/>
                      </a:prstGeom>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0;o:allowoverlap:true;o:allowincell:true;mso-position-horizontal-relative:text;margin-left:18.3pt;mso-position-horizontal:absolute;mso-position-vertical-relative:text;margin-top:-21.4pt;mso-position-vertical:absolute;width:445.2pt;height:65.5pt;mso-wrap-distance-left:0.0pt;mso-wrap-distance-top:0.0pt;mso-wrap-distance-right:0.0pt;mso-wrap-distance-bottom:0.0pt;">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inline xmlns:wp="http://schemas.openxmlformats.org/drawingml/2006/wordprocessingDrawing" distT="0" distB="0" distL="0" distR="0">
              <wp:extent cx="3773142" cy="45194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268060099" name="image1.png"/>
                      <pic:cNvPicPr/>
                      <pic:nvPr/>
                    </pic:nvPicPr>
                    <pic:blipFill>
                      <a:blip r:embed="rId1"/>
                      <a:srcRect l="0" t="0" r="0" b="0"/>
                      <a:stretch/>
                    </pic:blipFill>
                    <pic:spPr bwMode="auto">
                      <a:xfrm rot="0" flipH="0" flipV="0">
                        <a:off x="0" y="0"/>
                        <a:ext cx="3773141" cy="451941"/>
                      </a:xfrm>
                      <a:prstGeom prst="rect">
                        <a:avLst/>
                      </a:prstGeom>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97.1pt;height:35.6pt;mso-wrap-distance-left:0.0pt;mso-wrap-distance-top:0.0pt;mso-wrap-distance-right:0.0pt;mso-wrap-distance-bottom:0.0pt;rotation:0;">
              <v:path textboxrect="0,0,0,0"/>
              <v:imagedata r:id="rId1" o:title=""/>
            </v:shape>
          </w:pict>
        </mc:Fallback>
      </mc:AlternateContent>
    </w:r>
    <w:r>
      <w:rPr>
        <w:rFonts w:ascii="Cambria" w:hAnsi="Cambria" w:eastAsia="Arial" w:cs="Cambria"/>
        <w:b w:val="0"/>
        <w:i w:val="0"/>
        <w:smallCaps w:val="0"/>
        <w:strike w:val="0"/>
        <w:color w:val="000000"/>
        <w:sz w:val="24"/>
        <w:szCs w:val="24"/>
        <w:highlight w:val="none"/>
        <w:u w:val="none"/>
        <w:shd w:val="clear" w:color="auto" w:fill="auto"/>
        <w:vertAlign w:val="baseline"/>
        <w:rtl w:val="0"/>
      </w:rPr>
    </w:r>
    <w:r/>
  </w:p>
  <w:p>
    <w:pPr>
      <w:ind w:left="0" w:right="0" w:firstLine="0"/>
      <w:jc w:val="right"/>
      <w:keepLines w:val="0"/>
      <w:keepNext w:val="0"/>
      <w:pageBreakBefore w:val="0"/>
      <w:spacing w:before="0" w:after="0" w:line="240" w:lineRule="auto"/>
      <w:shd w:val="clear" w:color="auto" w:fill="auto"/>
      <w:widowControl/>
      <w:tabs>
        <w:tab w:val="center" w:pos="4252" w:leader="none"/>
        <w:tab w:val="right" w:pos="8504" w:leader="none"/>
      </w:tabs>
      <w:rPr>
        <w:rFonts w:ascii="Cambria" w:hAnsi="Cambria" w:eastAsia="Arial" w:cs="Cambria"/>
        <w:b w:val="0"/>
        <w:bCs w:val="0"/>
        <w:i w:val="0"/>
        <w:smallCaps w:val="0"/>
        <w:strike w:val="0"/>
        <w:color w:val="000000"/>
        <w:sz w:val="24"/>
        <w:szCs w:val="24"/>
        <w:highlight w:val="non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EDITAL - CONCORRÊNCIA Nº 012/2024</w:t>
    </w:r>
    <w:r>
      <w:rPr>
        <w:rFonts w:ascii="Cambria" w:hAnsi="Cambria" w:eastAsia="Arial" w:cs="Cambria"/>
        <w:b w:val="0"/>
        <w:bCs w:val="0"/>
        <w:i w:val="0"/>
        <w:smallCaps w:val="0"/>
        <w:strike w:val="0"/>
        <w:color w:val="000000"/>
        <w:sz w:val="18"/>
        <w:szCs w:val="18"/>
        <w:highlight w:val="none"/>
        <w:u w:val="none"/>
        <w:shd w:val="clear" w:color="auto" w:fill="auto"/>
        <w:vertAlign w:val="baselin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left"/>
      <w:keepLines w:val="0"/>
      <w:keepNext w:val="0"/>
      <w:pageBreakBefore w:val="0"/>
      <w:spacing w:before="0" w:after="0" w:line="240" w:lineRule="auto"/>
      <w:shd w:val="clear" w:color="auto" w:fill="auto"/>
      <w:widowControl/>
      <w:tabs>
        <w:tab w:val="center" w:pos="4252" w:leader="none"/>
        <w:tab w:val="right" w:pos="8504" w:leader="none"/>
      </w:tabs>
      <w:rPr>
        <w:rFonts w:ascii="Ecofont_Spranq_eco_Sans" w:hAnsi="Ecofont_Spranq_eco_Sans" w:eastAsia="Ecofont_Spranq_eco_Sans" w:cs="Ecofont_Spranq_eco_Sans"/>
        <w:b w:val="0"/>
        <w:i w:val="0"/>
        <w:smallCaps w:val="0"/>
        <w:strike w:val="0"/>
        <w:color w:val="000000"/>
        <w:sz w:val="24"/>
        <w:szCs w:val="2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tl w:val="0"/>
      </w:rPr>
    </w:r>
    <w:r>
      <mc:AlternateContent>
        <mc:Choice Requires="wpg">
          <w:drawing>
            <wp:inline xmlns:wp="http://schemas.openxmlformats.org/drawingml/2006/wordprocessingDrawing" distT="0" distB="0" distL="0" distR="0">
              <wp:extent cx="5400040" cy="900006"/>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1699637986" name="image1.png"/>
                      <pic:cNvPicPr/>
                      <pic:nvPr/>
                    </pic:nvPicPr>
                    <pic:blipFill>
                      <a:blip r:embed="rId1"/>
                      <a:srcRect l="0" t="0" r="0" b="0"/>
                      <a:stretch/>
                    </pic:blipFill>
                    <pic:spPr bwMode="auto">
                      <a:xfrm rot="0" flipH="0" flipV="0">
                        <a:off x="0" y="0"/>
                        <a:ext cx="5400039" cy="900005"/>
                      </a:xfrm>
                      <a:prstGeom prst="rect">
                        <a:avLst/>
                      </a:prstGeom>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5.2pt;height:70.9pt;mso-wrap-distance-left:0.0pt;mso-wrap-distance-top:0.0pt;mso-wrap-distance-right:0.0pt;mso-wrap-distance-bottom:0.0pt;rotation:0;">
              <v:path textboxrect="0,0,0,0"/>
              <v:imagedata r:id="rId1" o:title=""/>
            </v:shape>
          </w:pict>
        </mc:Fallback>
      </mc:AlternateContent>
    </w:r>
    <w:r>
      <w:rPr>
        <w:rtl w:val="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10"/>
      <w:isLgl w:val="false"/>
      <w:suff w:val="tab"/>
      <w:lvlText w:val="%1."/>
      <w:lvlJc w:val="left"/>
      <w:pPr>
        <w:ind w:left="360" w:hanging="360"/>
      </w:pPr>
      <w:rPr>
        <w:b/>
      </w:rPr>
    </w:lvl>
    <w:lvl w:ilvl="1">
      <w:start w:val="1"/>
      <w:numFmt w:val="decimal"/>
      <w:pStyle w:val="1030"/>
      <w:isLgl w:val="false"/>
      <w:suff w:val="tab"/>
      <w:lvlText w:val="%1.%2."/>
      <w:lvlJc w:val="left"/>
      <w:pPr>
        <w:ind w:left="2559" w:hanging="432"/>
      </w:pPr>
      <w:rPr>
        <w:rFonts w:ascii="Cambria" w:hAnsi="Cambria" w:eastAsia="Cambria" w:cs="Cambria"/>
        <w:b w:val="0"/>
        <w:i w:val="0"/>
        <w:strike w:val="0"/>
        <w:color w:val="000000"/>
        <w:sz w:val="14"/>
        <w:szCs w:val="20"/>
        <w:u w:val="none"/>
      </w:rPr>
    </w:lvl>
    <w:lvl w:ilvl="2">
      <w:start w:val="1"/>
      <w:numFmt w:val="decimal"/>
      <w:pStyle w:val="1032"/>
      <w:isLgl w:val="false"/>
      <w:suff w:val="tab"/>
      <w:lvlText w:val="%1.%2.%3."/>
      <w:lvlJc w:val="left"/>
      <w:pPr>
        <w:ind w:left="8018" w:hanging="504"/>
      </w:pPr>
      <w:rPr>
        <w:rFonts w:ascii="Cambria" w:hAnsi="Cambria" w:eastAsia="Cambria" w:cs="Cambria"/>
        <w:b w:val="0"/>
        <w:i w:val="0"/>
        <w:strike w:val="0"/>
        <w:color w:val="000000"/>
        <w:sz w:val="14"/>
        <w:szCs w:val="20"/>
      </w:rPr>
    </w:lvl>
    <w:lvl w:ilvl="3">
      <w:start w:val="1"/>
      <w:numFmt w:val="decimal"/>
      <w:isLgl w:val="false"/>
      <w:suff w:val="tab"/>
      <w:lvlText w:val="%1.%2.%3.%4."/>
      <w:lvlJc w:val="left"/>
      <w:pPr>
        <w:ind w:left="2491" w:hanging="648"/>
      </w:pPr>
      <w:rPr>
        <w:rFonts w:ascii="Cambria" w:hAnsi="Cambria" w:eastAsia="Cambria" w:cs="Cambria"/>
        <w:sz w:val="14"/>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
    <w:multiLevelType w:val="hybridMultilevel"/>
    <w:lvl w:ilvl="0">
      <w:start w:val="1"/>
      <w:numFmt w:val="lowerLetter"/>
      <w:isLgl w:val="false"/>
      <w:suff w:val="tab"/>
      <w:lvlText w:val="%1)"/>
      <w:lvlJc w:val="left"/>
      <w:pPr>
        <w:ind w:left="1776" w:hanging="360"/>
        <w:tabs>
          <w:tab w:val="num" w:pos="0" w:leader="none"/>
        </w:tabs>
      </w:pPr>
    </w:lvl>
    <w:lvl w:ilvl="1">
      <w:start w:val="1"/>
      <w:numFmt w:val="lowerLetter"/>
      <w:isLgl w:val="false"/>
      <w:suff w:val="tab"/>
      <w:lvlText w:val="%2."/>
      <w:lvlJc w:val="left"/>
      <w:pPr>
        <w:ind w:left="2496" w:hanging="360"/>
        <w:tabs>
          <w:tab w:val="num" w:pos="0" w:leader="none"/>
        </w:tabs>
      </w:pPr>
    </w:lvl>
    <w:lvl w:ilvl="2">
      <w:start w:val="1"/>
      <w:numFmt w:val="lowerRoman"/>
      <w:isLgl w:val="false"/>
      <w:suff w:val="tab"/>
      <w:lvlText w:val="%3."/>
      <w:lvlJc w:val="right"/>
      <w:pPr>
        <w:ind w:left="3216" w:hanging="180"/>
        <w:tabs>
          <w:tab w:val="num" w:pos="0" w:leader="none"/>
        </w:tabs>
      </w:pPr>
    </w:lvl>
    <w:lvl w:ilvl="3">
      <w:start w:val="1"/>
      <w:numFmt w:val="decimal"/>
      <w:isLgl w:val="false"/>
      <w:suff w:val="tab"/>
      <w:lvlText w:val="%4."/>
      <w:lvlJc w:val="left"/>
      <w:pPr>
        <w:ind w:left="3936" w:hanging="360"/>
        <w:tabs>
          <w:tab w:val="num" w:pos="0" w:leader="none"/>
        </w:tabs>
      </w:pPr>
    </w:lvl>
    <w:lvl w:ilvl="4">
      <w:start w:val="1"/>
      <w:numFmt w:val="lowerLetter"/>
      <w:isLgl w:val="false"/>
      <w:suff w:val="tab"/>
      <w:lvlText w:val="%5."/>
      <w:lvlJc w:val="left"/>
      <w:pPr>
        <w:ind w:left="4656" w:hanging="360"/>
        <w:tabs>
          <w:tab w:val="num" w:pos="0" w:leader="none"/>
        </w:tabs>
      </w:pPr>
    </w:lvl>
    <w:lvl w:ilvl="5">
      <w:start w:val="1"/>
      <w:numFmt w:val="lowerRoman"/>
      <w:isLgl w:val="false"/>
      <w:suff w:val="tab"/>
      <w:lvlText w:val="%6."/>
      <w:lvlJc w:val="right"/>
      <w:pPr>
        <w:ind w:left="5376" w:hanging="180"/>
        <w:tabs>
          <w:tab w:val="num" w:pos="0" w:leader="none"/>
        </w:tabs>
      </w:pPr>
    </w:lvl>
    <w:lvl w:ilvl="6">
      <w:start w:val="1"/>
      <w:numFmt w:val="decimal"/>
      <w:isLgl w:val="false"/>
      <w:suff w:val="tab"/>
      <w:lvlText w:val="%7."/>
      <w:lvlJc w:val="left"/>
      <w:pPr>
        <w:ind w:left="6096" w:hanging="360"/>
        <w:tabs>
          <w:tab w:val="num" w:pos="0" w:leader="none"/>
        </w:tabs>
      </w:pPr>
    </w:lvl>
    <w:lvl w:ilvl="7">
      <w:start w:val="1"/>
      <w:numFmt w:val="lowerLetter"/>
      <w:isLgl w:val="false"/>
      <w:suff w:val="tab"/>
      <w:lvlText w:val="%8."/>
      <w:lvlJc w:val="left"/>
      <w:pPr>
        <w:ind w:left="6816" w:hanging="360"/>
        <w:tabs>
          <w:tab w:val="num" w:pos="0" w:leader="none"/>
        </w:tabs>
      </w:pPr>
    </w:lvl>
    <w:lvl w:ilvl="8">
      <w:start w:val="1"/>
      <w:numFmt w:val="lowerRoman"/>
      <w:isLgl w:val="false"/>
      <w:suff w:val="tab"/>
      <w:lvlText w:val="%9."/>
      <w:lvlJc w:val="right"/>
      <w:pPr>
        <w:ind w:left="7536" w:hanging="180"/>
        <w:tabs>
          <w:tab w:val="num" w:pos="0" w:leader="none"/>
        </w:tabs>
      </w:pPr>
    </w:lvl>
  </w:abstractNum>
  <w:abstractNum w:abstractNumId="2">
    <w:multiLevelType w:val="hybridMultilevel"/>
    <w:lvl w:ilvl="0">
      <w:start w:val="1"/>
      <w:numFmt w:val="decimal"/>
      <w:pStyle w:val="1010"/>
      <w:isLgl w:val="false"/>
      <w:suff w:val="tab"/>
      <w:lvlText w:val="%1."/>
      <w:lvlJc w:val="left"/>
      <w:pPr>
        <w:ind w:left="360" w:hanging="360"/>
      </w:pPr>
      <w:rPr>
        <w:b/>
      </w:rPr>
    </w:lvl>
    <w:lvl w:ilvl="1">
      <w:start w:val="1"/>
      <w:numFmt w:val="decimal"/>
      <w:pStyle w:val="1030"/>
      <w:isLgl w:val="false"/>
      <w:suff w:val="tab"/>
      <w:lvlText w:val="%1.%2."/>
      <w:lvlJc w:val="left"/>
      <w:pPr>
        <w:ind w:left="999" w:hanging="432"/>
      </w:pPr>
      <w:rPr>
        <w:b w:val="0"/>
        <w:i w:val="0"/>
        <w:strike w:val="0"/>
        <w:color w:val="auto"/>
        <w:sz w:val="20"/>
        <w:szCs w:val="20"/>
        <w:u w:val="none"/>
      </w:rPr>
    </w:lvl>
    <w:lvl w:ilvl="2">
      <w:start w:val="1"/>
      <w:numFmt w:val="decimal"/>
      <w:pStyle w:val="1032"/>
      <w:isLgl w:val="false"/>
      <w:suff w:val="tab"/>
      <w:lvlText w:val="%1.%2.%3."/>
      <w:lvlJc w:val="left"/>
      <w:pPr>
        <w:ind w:left="1638" w:hanging="504"/>
      </w:pPr>
      <w:rPr>
        <w:rFonts w:hint="default" w:ascii="Arial" w:hAnsi="Arial"/>
        <w:b w:val="0"/>
        <w:i w:val="0"/>
        <w:strike w:val="0"/>
        <w:color w:val="auto"/>
        <w:sz w:val="20"/>
        <w:szCs w:val="20"/>
      </w:rPr>
    </w:lvl>
    <w:lvl w:ilvl="3">
      <w:start w:val="1"/>
      <w:numFmt w:val="decimal"/>
      <w:pStyle w:val="1033"/>
      <w:isLgl w:val="false"/>
      <w:suff w:val="tab"/>
      <w:lvlText w:val="%1.%2.%3.%4."/>
      <w:lvlJc w:val="left"/>
      <w:pPr>
        <w:ind w:left="2491" w:hanging="648"/>
      </w:pPr>
    </w:lvl>
    <w:lvl w:ilvl="4">
      <w:start w:val="1"/>
      <w:numFmt w:val="decimal"/>
      <w:pStyle w:val="1034"/>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
    <w:multiLevelType w:val="hybridMultilevel"/>
    <w:lvl w:ilvl="0">
      <w:start w:val="1"/>
      <w:numFmt w:val="upperRoman"/>
      <w:isLgl w:val="false"/>
      <w:suff w:val="tab"/>
      <w:lvlText w:val="%1)"/>
      <w:lvlJc w:val="left"/>
      <w:pPr>
        <w:ind w:left="2136" w:hanging="720"/>
      </w:pPr>
      <w:rPr>
        <w:rFonts w:hint="default"/>
      </w:rPr>
    </w:lvl>
    <w:lvl w:ilvl="1">
      <w:start w:val="1"/>
      <w:numFmt w:val="lowerLetter"/>
      <w:isLgl w:val="false"/>
      <w:suff w:val="tab"/>
      <w:lvlText w:val="%2."/>
      <w:lvlJc w:val="left"/>
      <w:pPr>
        <w:ind w:left="2496" w:hanging="360"/>
      </w:pPr>
    </w:lvl>
    <w:lvl w:ilvl="2">
      <w:start w:val="1"/>
      <w:numFmt w:val="lowerRoman"/>
      <w:isLgl w:val="false"/>
      <w:suff w:val="tab"/>
      <w:lvlText w:val="%3."/>
      <w:lvlJc w:val="right"/>
      <w:pPr>
        <w:ind w:left="3216" w:hanging="180"/>
      </w:pPr>
    </w:lvl>
    <w:lvl w:ilvl="3">
      <w:start w:val="1"/>
      <w:numFmt w:val="decimal"/>
      <w:isLgl w:val="false"/>
      <w:suff w:val="tab"/>
      <w:lvlText w:val="%4."/>
      <w:lvlJc w:val="left"/>
      <w:pPr>
        <w:ind w:left="3936" w:hanging="360"/>
      </w:pPr>
    </w:lvl>
    <w:lvl w:ilvl="4">
      <w:start w:val="1"/>
      <w:numFmt w:val="lowerLetter"/>
      <w:isLgl w:val="false"/>
      <w:suff w:val="tab"/>
      <w:lvlText w:val="%5."/>
      <w:lvlJc w:val="left"/>
      <w:pPr>
        <w:ind w:left="4656" w:hanging="360"/>
      </w:pPr>
    </w:lvl>
    <w:lvl w:ilvl="5">
      <w:start w:val="1"/>
      <w:numFmt w:val="lowerRoman"/>
      <w:isLgl w:val="false"/>
      <w:suff w:val="tab"/>
      <w:lvlText w:val="%6."/>
      <w:lvlJc w:val="right"/>
      <w:pPr>
        <w:ind w:left="5376" w:hanging="180"/>
      </w:pPr>
    </w:lvl>
    <w:lvl w:ilvl="6">
      <w:start w:val="1"/>
      <w:numFmt w:val="decimal"/>
      <w:isLgl w:val="false"/>
      <w:suff w:val="tab"/>
      <w:lvlText w:val="%7."/>
      <w:lvlJc w:val="left"/>
      <w:pPr>
        <w:ind w:left="6096" w:hanging="360"/>
      </w:pPr>
    </w:lvl>
    <w:lvl w:ilvl="7">
      <w:start w:val="1"/>
      <w:numFmt w:val="lowerLetter"/>
      <w:isLgl w:val="false"/>
      <w:suff w:val="tab"/>
      <w:lvlText w:val="%8."/>
      <w:lvlJc w:val="left"/>
      <w:pPr>
        <w:ind w:left="6816" w:hanging="360"/>
      </w:pPr>
    </w:lvl>
    <w:lvl w:ilvl="8">
      <w:start w:val="1"/>
      <w:numFmt w:val="lowerRoman"/>
      <w:isLgl w:val="false"/>
      <w:suff w:val="tab"/>
      <w:lvlText w:val="%9."/>
      <w:lvlJc w:val="right"/>
      <w:pPr>
        <w:ind w:left="7536" w:hanging="180"/>
      </w:pPr>
    </w:lvl>
  </w:abstractNum>
  <w:abstractNum w:abstractNumId="4">
    <w:multiLevelType w:val="hybridMultilevel"/>
    <w:lvl w:ilvl="0">
      <w:start w:val="1"/>
      <w:numFmt w:val="decimal"/>
      <w:isLgl w:val="false"/>
      <w:suff w:val="tab"/>
      <w:lvlText w:val="%1."/>
      <w:lvlJc w:val="left"/>
      <w:pPr>
        <w:ind w:left="360" w:hanging="360"/>
      </w:pPr>
      <w:rPr>
        <w:rFonts w:hint="default"/>
        <w:b/>
        <w:color w:val="auto"/>
      </w:rPr>
    </w:lvl>
    <w:lvl w:ilvl="1">
      <w:start w:val="1"/>
      <w:numFmt w:val="decimal"/>
      <w:isLgl w:val="false"/>
      <w:suff w:val="tab"/>
      <w:lvlText w:val="%1.%2."/>
      <w:lvlJc w:val="left"/>
      <w:pPr>
        <w:ind w:left="716" w:hanging="432"/>
      </w:pPr>
      <w:rPr>
        <w:rFonts w:hint="default"/>
        <w:b w:val="0"/>
        <w:i w:val="0"/>
        <w:strike w:val="0"/>
        <w:color w:val="auto"/>
        <w:u w:val="none"/>
      </w:rPr>
    </w:lvl>
    <w:lvl w:ilvl="2">
      <w:start w:val="1"/>
      <w:numFmt w:val="decimal"/>
      <w:isLgl w:val="false"/>
      <w:suff w:val="tab"/>
      <w:lvlText w:val="%1.%2.%3."/>
      <w:lvlJc w:val="left"/>
      <w:pPr>
        <w:ind w:left="930" w:hanging="504"/>
      </w:pPr>
      <w:rPr>
        <w:rFonts w:hint="default"/>
        <w:b w:val="0"/>
        <w:i w:val="0"/>
        <w:color w:val="ff0000"/>
      </w:rPr>
    </w:lvl>
    <w:lvl w:ilvl="3">
      <w:start w:val="1"/>
      <w:numFmt w:val="decimal"/>
      <w:isLgl w:val="false"/>
      <w:suff w:val="tab"/>
      <w:lvlText w:val="%1.%2.%3.%4."/>
      <w:lvlJc w:val="left"/>
      <w:pPr>
        <w:ind w:left="2491" w:hanging="648"/>
      </w:pPr>
      <w:rPr>
        <w:rFonts w:hint="default"/>
      </w:rPr>
    </w:lvl>
    <w:lvl w:ilvl="4">
      <w:start w:val="1"/>
      <w:numFmt w:val="lowerLetter"/>
      <w:isLgl w:val="false"/>
      <w:suff w:val="tab"/>
      <w:lvlText w:val="%5)"/>
      <w:lvlJc w:val="left"/>
      <w:pPr>
        <w:ind w:left="1800" w:hanging="360"/>
      </w:p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5">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6">
    <w:multiLevelType w:val="hybridMultilevel"/>
    <w:lvl w:ilvl="0">
      <w:start w:val="1"/>
      <w:numFmt w:val="decimal"/>
      <w:pStyle w:val="1010"/>
      <w:isLgl w:val="false"/>
      <w:suff w:val="tab"/>
      <w:lvlText w:val="%1."/>
      <w:lvlJc w:val="left"/>
      <w:pPr>
        <w:ind w:left="360" w:hanging="360"/>
      </w:pPr>
      <w:rPr>
        <w:b/>
      </w:rPr>
    </w:lvl>
    <w:lvl w:ilvl="1">
      <w:start w:val="1"/>
      <w:numFmt w:val="decimal"/>
      <w:pStyle w:val="1030"/>
      <w:isLgl w:val="false"/>
      <w:suff w:val="tab"/>
      <w:lvlText w:val="%1.%2."/>
      <w:lvlJc w:val="left"/>
      <w:pPr>
        <w:ind w:left="2559" w:hanging="432"/>
      </w:pPr>
      <w:rPr>
        <w:b w:val="0"/>
        <w:i w:val="0"/>
        <w:strike w:val="0"/>
        <w:color w:val="000000"/>
        <w:sz w:val="20"/>
        <w:szCs w:val="20"/>
        <w:u w:val="none"/>
      </w:rPr>
    </w:lvl>
    <w:lvl w:ilvl="2">
      <w:start w:val="1"/>
      <w:numFmt w:val="decimal"/>
      <w:pStyle w:val="1032"/>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7">
    <w:multiLevelType w:val="hybridMultilevel"/>
    <w:lvl w:ilvl="0">
      <w:start w:val="1"/>
      <w:numFmt w:val="decimal"/>
      <w:pStyle w:val="1010"/>
      <w:isLgl w:val="false"/>
      <w:suff w:val="tab"/>
      <w:lvlText w:val="%1."/>
      <w:lvlJc w:val="left"/>
      <w:pPr>
        <w:ind w:left="360" w:hanging="360"/>
      </w:pPr>
      <w:rPr>
        <w:b/>
      </w:rPr>
    </w:lvl>
    <w:lvl w:ilvl="1">
      <w:start w:val="1"/>
      <w:numFmt w:val="decimal"/>
      <w:pStyle w:val="1030"/>
      <w:isLgl w:val="false"/>
      <w:suff w:val="tab"/>
      <w:lvlText w:val="%1.%2."/>
      <w:lvlJc w:val="left"/>
      <w:pPr>
        <w:ind w:left="2559" w:hanging="432"/>
      </w:pPr>
      <w:rPr>
        <w:b w:val="0"/>
        <w:i w:val="0"/>
        <w:strike w:val="0"/>
        <w:color w:val="000000"/>
        <w:sz w:val="20"/>
        <w:szCs w:val="20"/>
        <w:u w:val="none"/>
      </w:rPr>
    </w:lvl>
    <w:lvl w:ilvl="2">
      <w:start w:val="1"/>
      <w:numFmt w:val="decimal"/>
      <w:pStyle w:val="1032"/>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8">
    <w:multiLevelType w:val="hybridMultilevel"/>
    <w:lvl w:ilvl="0">
      <w:start w:val="1"/>
      <w:numFmt w:val="decimal"/>
      <w:pStyle w:val="1010"/>
      <w:isLgl w:val="false"/>
      <w:suff w:val="tab"/>
      <w:lvlText w:val="%1."/>
      <w:lvlJc w:val="left"/>
      <w:pPr>
        <w:ind w:left="360" w:hanging="360"/>
      </w:pPr>
      <w:rPr>
        <w:b/>
      </w:rPr>
    </w:lvl>
    <w:lvl w:ilvl="1">
      <w:start w:val="1"/>
      <w:numFmt w:val="decimal"/>
      <w:pStyle w:val="1030"/>
      <w:isLgl w:val="false"/>
      <w:suff w:val="tab"/>
      <w:lvlText w:val="%1.%2."/>
      <w:lvlJc w:val="left"/>
      <w:pPr>
        <w:ind w:left="4969" w:hanging="432"/>
      </w:pPr>
      <w:rPr>
        <w:b w:val="0"/>
        <w:i w:val="0"/>
        <w:strike w:val="0"/>
        <w:color w:val="auto"/>
        <w:sz w:val="20"/>
        <w:szCs w:val="20"/>
        <w:u w:val="none"/>
      </w:rPr>
    </w:lvl>
    <w:lvl w:ilvl="2">
      <w:start w:val="1"/>
      <w:numFmt w:val="decimal"/>
      <w:pStyle w:val="1032"/>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pStyle w:val="1033"/>
      <w:isLgl w:val="false"/>
      <w:suff w:val="tab"/>
      <w:lvlText w:val="%1.%2.%3.%4."/>
      <w:lvlJc w:val="left"/>
      <w:pPr>
        <w:ind w:left="2491" w:hanging="648"/>
      </w:pPr>
    </w:lvl>
    <w:lvl w:ilvl="4">
      <w:start w:val="1"/>
      <w:numFmt w:val="decimal"/>
      <w:pStyle w:val="1034"/>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9">
    <w:multiLevelType w:val="hybridMultilevel"/>
    <w:lvl w:ilvl="0">
      <w:start w:val="1"/>
      <w:numFmt w:val="lowerLetter"/>
      <w:isLgl w:val="false"/>
      <w:suff w:val="tab"/>
      <w:lvlText w:val="%1)"/>
      <w:lvlJc w:val="left"/>
      <w:pPr>
        <w:ind w:left="1436" w:hanging="360"/>
        <w:tabs>
          <w:tab w:val="num" w:pos="0" w:leader="none"/>
        </w:tabs>
      </w:pPr>
    </w:lvl>
    <w:lvl w:ilvl="1">
      <w:start w:val="1"/>
      <w:numFmt w:val="lowerLetter"/>
      <w:isLgl w:val="false"/>
      <w:suff w:val="tab"/>
      <w:lvlText w:val="%2."/>
      <w:lvlJc w:val="left"/>
      <w:pPr>
        <w:ind w:left="2156" w:hanging="360"/>
        <w:tabs>
          <w:tab w:val="num" w:pos="0" w:leader="none"/>
        </w:tabs>
      </w:pPr>
    </w:lvl>
    <w:lvl w:ilvl="2">
      <w:start w:val="1"/>
      <w:numFmt w:val="lowerRoman"/>
      <w:isLgl w:val="false"/>
      <w:suff w:val="tab"/>
      <w:lvlText w:val="%3."/>
      <w:lvlJc w:val="right"/>
      <w:pPr>
        <w:ind w:left="2876" w:hanging="180"/>
        <w:tabs>
          <w:tab w:val="num" w:pos="0" w:leader="none"/>
        </w:tabs>
      </w:pPr>
    </w:lvl>
    <w:lvl w:ilvl="3">
      <w:start w:val="1"/>
      <w:numFmt w:val="decimal"/>
      <w:isLgl w:val="false"/>
      <w:suff w:val="tab"/>
      <w:lvlText w:val="%4."/>
      <w:lvlJc w:val="left"/>
      <w:pPr>
        <w:ind w:left="3596" w:hanging="360"/>
        <w:tabs>
          <w:tab w:val="num" w:pos="0" w:leader="none"/>
        </w:tabs>
      </w:pPr>
    </w:lvl>
    <w:lvl w:ilvl="4">
      <w:start w:val="1"/>
      <w:numFmt w:val="lowerLetter"/>
      <w:isLgl w:val="false"/>
      <w:suff w:val="tab"/>
      <w:lvlText w:val="%5."/>
      <w:lvlJc w:val="left"/>
      <w:pPr>
        <w:ind w:left="4316" w:hanging="360"/>
        <w:tabs>
          <w:tab w:val="num" w:pos="0" w:leader="none"/>
        </w:tabs>
      </w:pPr>
    </w:lvl>
    <w:lvl w:ilvl="5">
      <w:start w:val="1"/>
      <w:numFmt w:val="lowerRoman"/>
      <w:isLgl w:val="false"/>
      <w:suff w:val="tab"/>
      <w:lvlText w:val="%6."/>
      <w:lvlJc w:val="right"/>
      <w:pPr>
        <w:ind w:left="5036" w:hanging="180"/>
        <w:tabs>
          <w:tab w:val="num" w:pos="0" w:leader="none"/>
        </w:tabs>
      </w:pPr>
    </w:lvl>
    <w:lvl w:ilvl="6">
      <w:start w:val="1"/>
      <w:numFmt w:val="decimal"/>
      <w:isLgl w:val="false"/>
      <w:suff w:val="tab"/>
      <w:lvlText w:val="%7."/>
      <w:lvlJc w:val="left"/>
      <w:pPr>
        <w:ind w:left="5756" w:hanging="360"/>
        <w:tabs>
          <w:tab w:val="num" w:pos="0" w:leader="none"/>
        </w:tabs>
      </w:pPr>
    </w:lvl>
    <w:lvl w:ilvl="7">
      <w:start w:val="1"/>
      <w:numFmt w:val="lowerLetter"/>
      <w:isLgl w:val="false"/>
      <w:suff w:val="tab"/>
      <w:lvlText w:val="%8."/>
      <w:lvlJc w:val="left"/>
      <w:pPr>
        <w:ind w:left="6476" w:hanging="360"/>
        <w:tabs>
          <w:tab w:val="num" w:pos="0" w:leader="none"/>
        </w:tabs>
      </w:pPr>
    </w:lvl>
    <w:lvl w:ilvl="8">
      <w:start w:val="1"/>
      <w:numFmt w:val="lowerRoman"/>
      <w:isLgl w:val="false"/>
      <w:suff w:val="tab"/>
      <w:lvlText w:val="%9."/>
      <w:lvlJc w:val="right"/>
      <w:pPr>
        <w:ind w:left="7196" w:hanging="180"/>
        <w:tabs>
          <w:tab w:val="num" w:pos="0" w:leader="none"/>
        </w:tabs>
      </w:pPr>
    </w:lvl>
  </w:abstractNum>
  <w:abstractNum w:abstractNumId="10">
    <w:multiLevelType w:val="hybridMultilevel"/>
    <w:lvl w:ilvl="0">
      <w:start w:val="1"/>
      <w:numFmt w:val="lowerLetter"/>
      <w:isLgl w:val="false"/>
      <w:suff w:val="tab"/>
      <w:lvlText w:val="%1)"/>
      <w:lvlJc w:val="left"/>
      <w:pPr>
        <w:ind w:left="720" w:hanging="360"/>
        <w:tabs>
          <w:tab w:val="num" w:pos="0" w:leader="none"/>
        </w:tabs>
      </w:pPr>
    </w:lvl>
    <w:lvl w:ilvl="1">
      <w:start w:val="1"/>
      <w:numFmt w:val="lowerLetter"/>
      <w:isLgl w:val="false"/>
      <w:suff w:val="tab"/>
      <w:lvlText w:val="%2."/>
      <w:lvlJc w:val="left"/>
      <w:pPr>
        <w:ind w:left="1440" w:hanging="360"/>
        <w:tabs>
          <w:tab w:val="num" w:pos="0" w:leader="none"/>
        </w:tabs>
      </w:pPr>
    </w:lvl>
    <w:lvl w:ilvl="2">
      <w:start w:val="1"/>
      <w:numFmt w:val="lowerRoman"/>
      <w:isLgl w:val="false"/>
      <w:suff w:val="tab"/>
      <w:lvlText w:val="%3."/>
      <w:lvlJc w:val="right"/>
      <w:pPr>
        <w:ind w:left="2160" w:hanging="180"/>
        <w:tabs>
          <w:tab w:val="num" w:pos="0" w:leader="none"/>
        </w:tabs>
      </w:pPr>
    </w:lvl>
    <w:lvl w:ilvl="3">
      <w:start w:val="1"/>
      <w:numFmt w:val="decimal"/>
      <w:isLgl w:val="false"/>
      <w:suff w:val="tab"/>
      <w:lvlText w:val="%4."/>
      <w:lvlJc w:val="left"/>
      <w:pPr>
        <w:ind w:left="2880" w:hanging="360"/>
        <w:tabs>
          <w:tab w:val="num" w:pos="0" w:leader="none"/>
        </w:tabs>
      </w:pPr>
    </w:lvl>
    <w:lvl w:ilvl="4">
      <w:start w:val="1"/>
      <w:numFmt w:val="lowerLetter"/>
      <w:isLgl w:val="false"/>
      <w:suff w:val="tab"/>
      <w:lvlText w:val="%5."/>
      <w:lvlJc w:val="left"/>
      <w:pPr>
        <w:ind w:left="3600" w:hanging="360"/>
        <w:tabs>
          <w:tab w:val="num" w:pos="0" w:leader="none"/>
        </w:tabs>
      </w:pPr>
    </w:lvl>
    <w:lvl w:ilvl="5">
      <w:start w:val="1"/>
      <w:numFmt w:val="lowerRoman"/>
      <w:isLgl w:val="false"/>
      <w:suff w:val="tab"/>
      <w:lvlText w:val="%6."/>
      <w:lvlJc w:val="right"/>
      <w:pPr>
        <w:ind w:left="4320" w:hanging="180"/>
        <w:tabs>
          <w:tab w:val="num" w:pos="0" w:leader="none"/>
        </w:tabs>
      </w:pPr>
    </w:lvl>
    <w:lvl w:ilvl="6">
      <w:start w:val="1"/>
      <w:numFmt w:val="decimal"/>
      <w:isLgl w:val="false"/>
      <w:suff w:val="tab"/>
      <w:lvlText w:val="%7."/>
      <w:lvlJc w:val="left"/>
      <w:pPr>
        <w:ind w:left="5040" w:hanging="360"/>
        <w:tabs>
          <w:tab w:val="num" w:pos="0" w:leader="none"/>
        </w:tabs>
      </w:pPr>
    </w:lvl>
    <w:lvl w:ilvl="7">
      <w:start w:val="1"/>
      <w:numFmt w:val="lowerLetter"/>
      <w:isLgl w:val="false"/>
      <w:suff w:val="tab"/>
      <w:lvlText w:val="%8."/>
      <w:lvlJc w:val="left"/>
      <w:pPr>
        <w:ind w:left="5760" w:hanging="360"/>
        <w:tabs>
          <w:tab w:val="num" w:pos="0" w:leader="none"/>
        </w:tabs>
      </w:pPr>
    </w:lvl>
    <w:lvl w:ilvl="8">
      <w:start w:val="1"/>
      <w:numFmt w:val="lowerRoman"/>
      <w:isLgl w:val="false"/>
      <w:suff w:val="tab"/>
      <w:lvlText w:val="%9."/>
      <w:lvlJc w:val="right"/>
      <w:pPr>
        <w:ind w:left="6480" w:hanging="180"/>
        <w:tabs>
          <w:tab w:val="num" w:pos="0" w:leader="none"/>
        </w:tabs>
      </w:pPr>
    </w:lvl>
  </w:abstractNum>
  <w:abstractNum w:abstractNumId="11">
    <w:multiLevelType w:val="hybridMultilevel"/>
    <w:lvl w:ilvl="0">
      <w:start w:val="1"/>
      <w:numFmt w:val="decimal"/>
      <w:isLgl w:val="false"/>
      <w:suff w:val="tab"/>
      <w:lvlText w:val="%1."/>
      <w:lvlJc w:val="left"/>
      <w:pPr>
        <w:ind w:left="360" w:hanging="360"/>
        <w:tabs>
          <w:tab w:val="num" w:pos="0" w:leader="none"/>
        </w:tabs>
      </w:pPr>
      <w:rPr>
        <w:b/>
        <w:i w:val="0"/>
      </w:rPr>
    </w:lvl>
    <w:lvl w:ilvl="1">
      <w:start w:val="1"/>
      <w:numFmt w:val="upperRoman"/>
      <w:isLgl w:val="false"/>
      <w:suff w:val="tab"/>
      <w:lvlText w:val="%2."/>
      <w:lvlJc w:val="right"/>
      <w:pPr>
        <w:ind w:left="360" w:hanging="360"/>
        <w:tabs>
          <w:tab w:val="num" w:pos="0" w:leader="none"/>
        </w:tabs>
      </w:pPr>
    </w:lvl>
    <w:lvl w:ilvl="2">
      <w:start w:val="1"/>
      <w:numFmt w:val="decimal"/>
      <w:isLgl w:val="false"/>
      <w:suff w:val="space"/>
      <w:lvlText w:val="%1.%2.%3."/>
      <w:lvlJc w:val="left"/>
      <w:pPr>
        <w:ind w:left="1135" w:firstLine="0"/>
        <w:tabs>
          <w:tab w:val="num" w:pos="0" w:leader="none"/>
        </w:tabs>
      </w:pPr>
      <w:rPr>
        <w:b w:val="0"/>
        <w:i w:val="0"/>
      </w:rPr>
    </w:lvl>
    <w:lvl w:ilvl="3">
      <w:start w:val="1"/>
      <w:numFmt w:val="decimal"/>
      <w:isLgl w:val="false"/>
      <w:suff w:val="space"/>
      <w:lvlText w:val="%1.%2.%3.%4."/>
      <w:lvlJc w:val="left"/>
      <w:pPr>
        <w:ind w:left="851" w:firstLine="0"/>
        <w:tabs>
          <w:tab w:val="num" w:pos="0" w:leader="none"/>
        </w:tabs>
      </w:pPr>
      <w:rPr>
        <w:b/>
        <w:i w:val="0"/>
      </w:rPr>
    </w:lvl>
    <w:lvl w:ilvl="4">
      <w:start w:val="1"/>
      <w:numFmt w:val="decimal"/>
      <w:isLgl w:val="false"/>
      <w:suff w:val="space"/>
      <w:lvlText w:val="%1.%2.%3.%4.%5."/>
      <w:lvlJc w:val="left"/>
      <w:pPr>
        <w:ind w:left="1134" w:firstLine="0"/>
        <w:tabs>
          <w:tab w:val="num" w:pos="0" w:leader="none"/>
        </w:tabs>
      </w:pPr>
      <w:rPr>
        <w:b/>
        <w:i w:val="0"/>
      </w:r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12">
    <w:multiLevelType w:val="hybridMultilevel"/>
    <w:lvl w:ilvl="0">
      <w:start w:val="19"/>
      <w:numFmt w:val="decimal"/>
      <w:isLgl w:val="false"/>
      <w:suff w:val="tab"/>
      <w:lvlText w:val="%1."/>
      <w:lvlJc w:val="left"/>
      <w:pPr>
        <w:ind w:left="360" w:hanging="360"/>
        <w:tabs>
          <w:tab w:val="num" w:pos="0" w:leader="none"/>
        </w:tabs>
      </w:pPr>
    </w:lvl>
    <w:lvl w:ilvl="1">
      <w:start w:val="1"/>
      <w:numFmt w:val="decimal"/>
      <w:isLgl w:val="false"/>
      <w:suff w:val="tab"/>
      <w:lvlText w:val="%1.%2."/>
      <w:lvlJc w:val="left"/>
      <w:pPr>
        <w:ind w:left="792" w:hanging="432"/>
        <w:tabs>
          <w:tab w:val="num" w:pos="0" w:leader="none"/>
        </w:tabs>
      </w:pPr>
      <w:rPr>
        <w:b w:val="0"/>
        <w:i w:val="0"/>
      </w:rPr>
    </w:lvl>
    <w:lvl w:ilvl="2">
      <w:start w:val="1"/>
      <w:numFmt w:val="lowerLetter"/>
      <w:isLgl w:val="false"/>
      <w:suff w:val="tab"/>
      <w:lvlText w:val="%3)"/>
      <w:lvlJc w:val="left"/>
      <w:pPr>
        <w:ind w:left="1224" w:hanging="504"/>
        <w:tabs>
          <w:tab w:val="num" w:pos="0" w:leader="none"/>
        </w:tabs>
      </w:pPr>
      <w:rPr>
        <w:b w:val="0"/>
      </w:r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13">
    <w:multiLevelType w:val="hybridMultilevel"/>
    <w:lvl w:ilvl="0">
      <w:start w:val="1"/>
      <w:numFmt w:val="decimal"/>
      <w:isLgl w:val="false"/>
      <w:suff w:val="tab"/>
      <w:lvlText w:val="%1)"/>
      <w:lvlJc w:val="left"/>
      <w:pPr>
        <w:ind w:left="360" w:hanging="360"/>
        <w:tabs>
          <w:tab w:val="num" w:pos="0" w:leader="none"/>
        </w:tabs>
      </w:pPr>
    </w:lvl>
    <w:lvl w:ilvl="1">
      <w:start w:val="1"/>
      <w:numFmt w:val="lowerLetter"/>
      <w:isLgl w:val="false"/>
      <w:suff w:val="tab"/>
      <w:lvlText w:val="%2)"/>
      <w:lvlJc w:val="left"/>
      <w:pPr>
        <w:ind w:left="720" w:hanging="360"/>
        <w:tabs>
          <w:tab w:val="num" w:pos="0" w:leader="none"/>
        </w:tabs>
      </w:pPr>
    </w:lvl>
    <w:lvl w:ilvl="2">
      <w:start w:val="1"/>
      <w:numFmt w:val="lowerRoman"/>
      <w:isLgl w:val="false"/>
      <w:suff w:val="tab"/>
      <w:lvlText w:val="%3)"/>
      <w:lvlJc w:val="left"/>
      <w:pPr>
        <w:ind w:left="1080" w:hanging="360"/>
        <w:tabs>
          <w:tab w:val="num" w:pos="0" w:leader="none"/>
        </w:tabs>
      </w:pPr>
    </w:lvl>
    <w:lvl w:ilvl="3">
      <w:start w:val="1"/>
      <w:numFmt w:val="decimal"/>
      <w:isLgl w:val="false"/>
      <w:suff w:val="tab"/>
      <w:lvlText w:val="(%4)"/>
      <w:lvlJc w:val="left"/>
      <w:pPr>
        <w:ind w:left="1440" w:hanging="360"/>
        <w:tabs>
          <w:tab w:val="num" w:pos="0" w:leader="none"/>
        </w:tabs>
      </w:pPr>
      <w:rPr>
        <w:i w:val="0"/>
      </w:rPr>
    </w:lvl>
    <w:lvl w:ilvl="4">
      <w:start w:val="1"/>
      <w:numFmt w:val="lowerLetter"/>
      <w:isLgl w:val="false"/>
      <w:suff w:val="tab"/>
      <w:lvlText w:val="(%5)"/>
      <w:lvlJc w:val="left"/>
      <w:pPr>
        <w:ind w:left="1800" w:hanging="360"/>
        <w:tabs>
          <w:tab w:val="num" w:pos="0" w:leader="none"/>
        </w:tabs>
      </w:pPr>
    </w:lvl>
    <w:lvl w:ilvl="5">
      <w:start w:val="1"/>
      <w:numFmt w:val="lowerRoman"/>
      <w:isLgl w:val="false"/>
      <w:suff w:val="tab"/>
      <w:lvlText w:val="(%6)"/>
      <w:lvlJc w:val="left"/>
      <w:pPr>
        <w:ind w:left="2160" w:hanging="360"/>
        <w:tabs>
          <w:tab w:val="num" w:pos="0" w:leader="none"/>
        </w:tabs>
      </w:pPr>
    </w:lvl>
    <w:lvl w:ilvl="6">
      <w:start w:val="1"/>
      <w:numFmt w:val="decimal"/>
      <w:isLgl w:val="false"/>
      <w:suff w:val="tab"/>
      <w:lvlText w:val="%7."/>
      <w:lvlJc w:val="left"/>
      <w:pPr>
        <w:ind w:left="2520" w:hanging="360"/>
        <w:tabs>
          <w:tab w:val="num" w:pos="0" w:leader="none"/>
        </w:tabs>
      </w:pPr>
    </w:lvl>
    <w:lvl w:ilvl="7">
      <w:start w:val="1"/>
      <w:numFmt w:val="lowerLetter"/>
      <w:isLgl w:val="false"/>
      <w:suff w:val="tab"/>
      <w:lvlText w:val="%8."/>
      <w:lvlJc w:val="left"/>
      <w:pPr>
        <w:ind w:left="2880" w:hanging="360"/>
        <w:tabs>
          <w:tab w:val="num" w:pos="0" w:leader="none"/>
        </w:tabs>
      </w:pPr>
    </w:lvl>
    <w:lvl w:ilvl="8">
      <w:start w:val="1"/>
      <w:numFmt w:val="lowerRoman"/>
      <w:isLgl w:val="false"/>
      <w:suff w:val="tab"/>
      <w:lvlText w:val="%9."/>
      <w:lvlJc w:val="left"/>
      <w:pPr>
        <w:ind w:left="3240" w:hanging="360"/>
        <w:tabs>
          <w:tab w:val="num" w:pos="0" w:leader="none"/>
        </w:tabs>
      </w:pPr>
    </w:lvl>
  </w:abstractNum>
  <w:abstractNum w:abstractNumId="14">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15">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4969" w:hanging="432"/>
      </w:pPr>
      <w:rPr>
        <w:b w:val="0"/>
        <w:i w:val="0"/>
        <w:strike w:val="0"/>
        <w:color w:val="auto"/>
        <w:sz w:val="20"/>
        <w:szCs w:val="20"/>
        <w:u w:val="none"/>
      </w:rPr>
    </w:lvl>
    <w:lvl w:ilvl="2">
      <w:start w:val="1"/>
      <w:numFmt w:val="lowerLetter"/>
      <w:isLgl w:val="false"/>
      <w:suff w:val="tab"/>
      <w:lvlText w:val="%3)"/>
      <w:lvlJc w:val="left"/>
      <w:pPr>
        <w:ind w:left="1214" w:hanging="504"/>
      </w:pPr>
      <w:rPr>
        <w:rFonts w:hint="default"/>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6">
    <w:multiLevelType w:val="hybridMultilevel"/>
    <w:lvl w:ilvl="0">
      <w:start w:val="1"/>
      <w:numFmt w:val="decimal"/>
      <w:isLgl w:val="false"/>
      <w:suff w:val="tab"/>
      <w:lvlText w:val="%1."/>
      <w:lvlJc w:val="left"/>
      <w:pPr>
        <w:ind w:left="360" w:hanging="360"/>
      </w:pPr>
      <w:rPr>
        <w:rFonts w:hint="default"/>
        <w:b/>
      </w:rPr>
    </w:lvl>
    <w:lvl w:ilvl="1">
      <w:start w:val="1"/>
      <w:numFmt w:val="decimal"/>
      <w:isLgl w:val="false"/>
      <w:suff w:val="tab"/>
      <w:lvlText w:val="%1.%2."/>
      <w:lvlJc w:val="left"/>
      <w:pPr>
        <w:ind w:left="4969" w:hanging="432"/>
      </w:pPr>
      <w:rPr>
        <w:rFonts w:hint="default"/>
        <w:b w:val="0"/>
        <w:i w:val="0"/>
        <w:strike w:val="0"/>
        <w:color w:val="auto"/>
        <w:sz w:val="20"/>
        <w:szCs w:val="20"/>
        <w:u w:val="none"/>
      </w:rPr>
    </w:lvl>
    <w:lvl w:ilvl="2">
      <w:start w:val="1"/>
      <w:numFmt w:val="lowerLetter"/>
      <w:isLgl w:val="false"/>
      <w:suff w:val="tab"/>
      <w:lvlText w:val="%3)"/>
      <w:lvlJc w:val="left"/>
      <w:pPr>
        <w:ind w:left="1214" w:hanging="504"/>
      </w:pPr>
      <w:rPr>
        <w:rFonts w:hint="default"/>
        <w:b w:val="0"/>
        <w:i w:val="0"/>
        <w:strike w:val="0"/>
        <w:color w:val="auto"/>
        <w:sz w:val="20"/>
        <w:szCs w:val="20"/>
      </w:rPr>
    </w:lvl>
    <w:lvl w:ilvl="3">
      <w:start w:val="1"/>
      <w:numFmt w:val="decimal"/>
      <w:isLgl w:val="false"/>
      <w:suff w:val="tab"/>
      <w:lvlText w:val="%1.%2.%3.%4."/>
      <w:lvlJc w:val="left"/>
      <w:pPr>
        <w:ind w:left="2491"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17">
    <w:multiLevelType w:val="hybridMultilevel"/>
    <w:lvl w:ilvl="0">
      <w:start w:val="1"/>
      <w:numFmt w:val="decimal"/>
      <w:isLgl w:val="false"/>
      <w:suff w:val="tab"/>
      <w:lvlText w:val="%1."/>
      <w:lvlJc w:val="left"/>
      <w:pPr>
        <w:ind w:left="360" w:hanging="360"/>
      </w:pPr>
      <w:rPr>
        <w:b/>
      </w:rPr>
    </w:lvl>
    <w:lvl w:ilvl="1">
      <w:start w:val="1"/>
      <w:numFmt w:val="lowerLetter"/>
      <w:isLgl w:val="false"/>
      <w:suff w:val="tab"/>
      <w:lvlText w:val="%2)"/>
      <w:lvlJc w:val="left"/>
      <w:pPr>
        <w:ind w:left="4969" w:hanging="432"/>
      </w:pPr>
      <w:rPr>
        <w:b w:val="0"/>
        <w:i/>
        <w:strike w:val="0"/>
        <w:color w:val="ff0000" w:themeColor="text1"/>
        <w:sz w:val="20"/>
        <w:szCs w:val="20"/>
        <w:u w:val="none"/>
      </w:rPr>
    </w:lvl>
    <w:lvl w:ilvl="2">
      <w:start w:val="1"/>
      <w:numFmt w:val="decimal"/>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19">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20">
    <w:multiLevelType w:val="hybridMultilevel"/>
    <w:lvl w:ilvl="0">
      <w:start w:val="1"/>
      <w:numFmt w:val="lowerLetter"/>
      <w:isLgl w:val="false"/>
      <w:suff w:val="tab"/>
      <w:lvlText w:val="%1)"/>
      <w:lvlJc w:val="left"/>
      <w:pPr>
        <w:ind w:left="1599" w:hanging="360"/>
      </w:pPr>
    </w:lvl>
    <w:lvl w:ilvl="1">
      <w:start w:val="1"/>
      <w:numFmt w:val="lowerLetter"/>
      <w:isLgl w:val="false"/>
      <w:suff w:val="tab"/>
      <w:lvlText w:val="%2."/>
      <w:lvlJc w:val="left"/>
      <w:pPr>
        <w:ind w:left="2319" w:hanging="360"/>
      </w:pPr>
    </w:lvl>
    <w:lvl w:ilvl="2">
      <w:start w:val="1"/>
      <w:numFmt w:val="lowerRoman"/>
      <w:isLgl w:val="false"/>
      <w:suff w:val="tab"/>
      <w:lvlText w:val="%3."/>
      <w:lvlJc w:val="right"/>
      <w:pPr>
        <w:ind w:left="3039" w:hanging="180"/>
      </w:pPr>
    </w:lvl>
    <w:lvl w:ilvl="3">
      <w:start w:val="1"/>
      <w:numFmt w:val="decimal"/>
      <w:isLgl w:val="false"/>
      <w:suff w:val="tab"/>
      <w:lvlText w:val="%4."/>
      <w:lvlJc w:val="left"/>
      <w:pPr>
        <w:ind w:left="3759" w:hanging="360"/>
      </w:pPr>
    </w:lvl>
    <w:lvl w:ilvl="4">
      <w:start w:val="1"/>
      <w:numFmt w:val="lowerLetter"/>
      <w:isLgl w:val="false"/>
      <w:suff w:val="tab"/>
      <w:lvlText w:val="%5."/>
      <w:lvlJc w:val="left"/>
      <w:pPr>
        <w:ind w:left="4479" w:hanging="360"/>
      </w:pPr>
    </w:lvl>
    <w:lvl w:ilvl="5">
      <w:start w:val="1"/>
      <w:numFmt w:val="lowerRoman"/>
      <w:isLgl w:val="false"/>
      <w:suff w:val="tab"/>
      <w:lvlText w:val="%6."/>
      <w:lvlJc w:val="right"/>
      <w:pPr>
        <w:ind w:left="5199" w:hanging="180"/>
      </w:pPr>
    </w:lvl>
    <w:lvl w:ilvl="6">
      <w:start w:val="1"/>
      <w:numFmt w:val="decimal"/>
      <w:isLgl w:val="false"/>
      <w:suff w:val="tab"/>
      <w:lvlText w:val="%7."/>
      <w:lvlJc w:val="left"/>
      <w:pPr>
        <w:ind w:left="5919" w:hanging="360"/>
      </w:pPr>
    </w:lvl>
    <w:lvl w:ilvl="7">
      <w:start w:val="1"/>
      <w:numFmt w:val="lowerLetter"/>
      <w:isLgl w:val="false"/>
      <w:suff w:val="tab"/>
      <w:lvlText w:val="%8."/>
      <w:lvlJc w:val="left"/>
      <w:pPr>
        <w:ind w:left="6639" w:hanging="360"/>
      </w:pPr>
    </w:lvl>
    <w:lvl w:ilvl="8">
      <w:start w:val="1"/>
      <w:numFmt w:val="lowerRoman"/>
      <w:isLgl w:val="false"/>
      <w:suff w:val="tab"/>
      <w:lvlText w:val="%9."/>
      <w:lvlJc w:val="right"/>
      <w:pPr>
        <w:ind w:left="7359" w:hanging="180"/>
      </w:pPr>
    </w:lvl>
  </w:abstractNum>
  <w:abstractNum w:abstractNumId="2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3">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4">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5">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6">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7">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8">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9">
    <w:multiLevelType w:val="hybridMultilevel"/>
    <w:lvl w:ilvl="0">
      <w:start w:val="1"/>
      <w:numFmt w:val="decimal"/>
      <w:isLgl w:val="false"/>
      <w:suff w:val="tab"/>
      <w:lvlText w:val="%1."/>
      <w:lvlJc w:val="left"/>
      <w:pPr>
        <w:ind w:left="720" w:hanging="360"/>
        <w:tabs>
          <w:tab w:val="num" w:pos="0" w:leader="none"/>
        </w:tabs>
      </w:pPr>
    </w:lvl>
    <w:lvl w:ilvl="1">
      <w:start w:val="1"/>
      <w:numFmt w:val="decimal"/>
      <w:isLgl w:val="false"/>
      <w:suff w:val="tab"/>
      <w:lvlText w:val="%1.%2"/>
      <w:lvlJc w:val="left"/>
      <w:pPr>
        <w:ind w:left="720" w:hanging="360"/>
        <w:tabs>
          <w:tab w:val="num" w:pos="0" w:leader="none"/>
        </w:tabs>
      </w:pPr>
    </w:lvl>
    <w:lvl w:ilvl="2">
      <w:start w:val="1"/>
      <w:numFmt w:val="decimal"/>
      <w:isLgl w:val="false"/>
      <w:suff w:val="tab"/>
      <w:lvlText w:val="%1.%2.%3"/>
      <w:lvlJc w:val="left"/>
      <w:pPr>
        <w:ind w:left="1080" w:hanging="720"/>
        <w:tabs>
          <w:tab w:val="num" w:pos="0" w:leader="none"/>
        </w:tabs>
      </w:pPr>
    </w:lvl>
    <w:lvl w:ilvl="3">
      <w:start w:val="1"/>
      <w:numFmt w:val="decimal"/>
      <w:isLgl w:val="false"/>
      <w:suff w:val="tab"/>
      <w:lvlText w:val="%1.%2.%3.%4"/>
      <w:lvlJc w:val="left"/>
      <w:pPr>
        <w:ind w:left="1080" w:hanging="720"/>
        <w:tabs>
          <w:tab w:val="num" w:pos="0" w:leader="none"/>
        </w:tabs>
      </w:pPr>
    </w:lvl>
    <w:lvl w:ilvl="4">
      <w:start w:val="1"/>
      <w:numFmt w:val="decimal"/>
      <w:isLgl w:val="false"/>
      <w:suff w:val="tab"/>
      <w:lvlText w:val="%1.%2.%3.%4.%5"/>
      <w:lvlJc w:val="left"/>
      <w:pPr>
        <w:ind w:left="1440" w:hanging="1080"/>
        <w:tabs>
          <w:tab w:val="num" w:pos="0" w:leader="none"/>
        </w:tabs>
      </w:pPr>
    </w:lvl>
    <w:lvl w:ilvl="5">
      <w:start w:val="1"/>
      <w:numFmt w:val="decimal"/>
      <w:isLgl w:val="false"/>
      <w:suff w:val="tab"/>
      <w:lvlText w:val="%1.%2.%3.%4.%5.%6"/>
      <w:lvlJc w:val="left"/>
      <w:pPr>
        <w:ind w:left="1440" w:hanging="1080"/>
        <w:tabs>
          <w:tab w:val="num" w:pos="0" w:leader="none"/>
        </w:tabs>
      </w:pPr>
    </w:lvl>
    <w:lvl w:ilvl="6">
      <w:start w:val="1"/>
      <w:numFmt w:val="decimal"/>
      <w:isLgl w:val="false"/>
      <w:suff w:val="tab"/>
      <w:lvlText w:val="%1.%2.%3.%4.%5.%6.%7"/>
      <w:lvlJc w:val="left"/>
      <w:pPr>
        <w:ind w:left="1800" w:hanging="1440"/>
        <w:tabs>
          <w:tab w:val="num" w:pos="0" w:leader="none"/>
        </w:tabs>
      </w:pPr>
    </w:lvl>
    <w:lvl w:ilvl="7">
      <w:start w:val="1"/>
      <w:numFmt w:val="decimal"/>
      <w:isLgl w:val="false"/>
      <w:suff w:val="tab"/>
      <w:lvlText w:val="%1.%2.%3.%4.%5.%6.%7.%8"/>
      <w:lvlJc w:val="left"/>
      <w:pPr>
        <w:ind w:left="1800" w:hanging="1440"/>
        <w:tabs>
          <w:tab w:val="num" w:pos="0" w:leader="none"/>
        </w:tabs>
      </w:pPr>
    </w:lvl>
    <w:lvl w:ilvl="8">
      <w:start w:val="1"/>
      <w:numFmt w:val="decimal"/>
      <w:isLgl w:val="false"/>
      <w:suff w:val="tab"/>
      <w:lvlText w:val="%1.%2.%3.%4.%5.%6.%7.%8.%9"/>
      <w:lvlJc w:val="left"/>
      <w:pPr>
        <w:ind w:left="1800" w:hanging="1440"/>
        <w:tabs>
          <w:tab w:val="num" w:pos="0" w:leader="none"/>
        </w:tabs>
      </w:pPr>
    </w:lvl>
  </w:abstractNum>
  <w:abstractNum w:abstractNumId="30">
    <w:multiLevelType w:val="hybridMultilevel"/>
    <w:lvl w:ilvl="0">
      <w:start w:val="2"/>
      <w:numFmt w:val="decimal"/>
      <w:isLgl w:val="false"/>
      <w:suff w:val="tab"/>
      <w:lvlText w:val="%1."/>
      <w:lvlJc w:val="left"/>
      <w:pPr>
        <w:ind w:left="360" w:hanging="360"/>
        <w:tabs>
          <w:tab w:val="num" w:pos="0" w:leader="none"/>
        </w:tabs>
      </w:pPr>
    </w:lvl>
    <w:lvl w:ilvl="1">
      <w:start w:val="1"/>
      <w:numFmt w:val="decimal"/>
      <w:isLgl w:val="false"/>
      <w:suff w:val="tab"/>
      <w:lvlText w:val="%1.%2."/>
      <w:lvlJc w:val="left"/>
      <w:pPr>
        <w:ind w:left="720" w:hanging="360"/>
        <w:tabs>
          <w:tab w:val="num" w:pos="0" w:leader="none"/>
        </w:tabs>
      </w:pPr>
    </w:lvl>
    <w:lvl w:ilvl="2">
      <w:start w:val="1"/>
      <w:numFmt w:val="decimal"/>
      <w:isLgl w:val="false"/>
      <w:suff w:val="tab"/>
      <w:lvlText w:val="%1.%2.%3."/>
      <w:lvlJc w:val="left"/>
      <w:pPr>
        <w:ind w:left="1440" w:hanging="720"/>
        <w:tabs>
          <w:tab w:val="num" w:pos="0" w:leader="none"/>
        </w:tabs>
      </w:pPr>
    </w:lvl>
    <w:lvl w:ilvl="3">
      <w:start w:val="1"/>
      <w:numFmt w:val="decimal"/>
      <w:isLgl w:val="false"/>
      <w:suff w:val="tab"/>
      <w:lvlText w:val="%1.%2.%3.%4."/>
      <w:lvlJc w:val="left"/>
      <w:pPr>
        <w:ind w:left="1800" w:hanging="720"/>
        <w:tabs>
          <w:tab w:val="num" w:pos="0" w:leader="none"/>
        </w:tabs>
      </w:pPr>
    </w:lvl>
    <w:lvl w:ilvl="4">
      <w:start w:val="1"/>
      <w:numFmt w:val="decimal"/>
      <w:isLgl w:val="false"/>
      <w:suff w:val="tab"/>
      <w:lvlText w:val="%1.%2.%3.%4.%5."/>
      <w:lvlJc w:val="left"/>
      <w:pPr>
        <w:ind w:left="2520" w:hanging="1080"/>
        <w:tabs>
          <w:tab w:val="num" w:pos="0" w:leader="none"/>
        </w:tabs>
      </w:pPr>
    </w:lvl>
    <w:lvl w:ilvl="5">
      <w:start w:val="1"/>
      <w:numFmt w:val="decimal"/>
      <w:isLgl w:val="false"/>
      <w:suff w:val="tab"/>
      <w:lvlText w:val="%1.%2.%3.%4.%5.%6."/>
      <w:lvlJc w:val="left"/>
      <w:pPr>
        <w:ind w:left="2880" w:hanging="1080"/>
        <w:tabs>
          <w:tab w:val="num" w:pos="0" w:leader="none"/>
        </w:tabs>
      </w:pPr>
    </w:lvl>
    <w:lvl w:ilvl="6">
      <w:start w:val="1"/>
      <w:numFmt w:val="decimal"/>
      <w:isLgl w:val="false"/>
      <w:suff w:val="tab"/>
      <w:lvlText w:val="%1.%2.%3.%4.%5.%6.%7."/>
      <w:lvlJc w:val="left"/>
      <w:pPr>
        <w:ind w:left="3600" w:hanging="1440"/>
        <w:tabs>
          <w:tab w:val="num" w:pos="0" w:leader="none"/>
        </w:tabs>
      </w:pPr>
    </w:lvl>
    <w:lvl w:ilvl="7">
      <w:start w:val="1"/>
      <w:numFmt w:val="decimal"/>
      <w:isLgl w:val="false"/>
      <w:suff w:val="tab"/>
      <w:lvlText w:val="%1.%2.%3.%4.%5.%6.%7.%8."/>
      <w:lvlJc w:val="left"/>
      <w:pPr>
        <w:ind w:left="3960" w:hanging="1440"/>
        <w:tabs>
          <w:tab w:val="num" w:pos="0" w:leader="none"/>
        </w:tabs>
      </w:pPr>
    </w:lvl>
    <w:lvl w:ilvl="8">
      <w:start w:val="1"/>
      <w:numFmt w:val="decimal"/>
      <w:isLgl w:val="false"/>
      <w:suff w:val="tab"/>
      <w:lvlText w:val="%1.%2.%3.%4.%5.%6.%7.%8.%9."/>
      <w:lvlJc w:val="left"/>
      <w:pPr>
        <w:ind w:left="4680" w:hanging="1800"/>
        <w:tabs>
          <w:tab w:val="num" w:pos="0" w:leader="none"/>
        </w:tabs>
      </w:pPr>
    </w:lvl>
  </w:abstractNum>
  <w:abstractNum w:abstractNumId="31">
    <w:multiLevelType w:val="hybridMultilevel"/>
    <w:lvl w:ilvl="0">
      <w:start w:val="1"/>
      <w:numFmt w:val="none"/>
      <w:isLgl w:val="false"/>
      <w:suff w:val="nothing"/>
      <w:lvlText w:val=""/>
      <w:lvlJc w:val="left"/>
      <w:pPr>
        <w:ind w:left="0" w:firstLine="0"/>
        <w:tabs>
          <w:tab w:val="num" w:pos="0" w:leader="none"/>
        </w:tabs>
      </w:pPr>
    </w:lvl>
    <w:lvl w:ilvl="1">
      <w:start w:val="1"/>
      <w:numFmt w:val="none"/>
      <w:isLgl w:val="false"/>
      <w:suff w:val="nothing"/>
      <w:lvlText w:val=""/>
      <w:lvlJc w:val="left"/>
      <w:pPr>
        <w:ind w:left="0" w:firstLine="0"/>
        <w:tabs>
          <w:tab w:val="num" w:pos="0" w:leader="none"/>
        </w:tabs>
      </w:pPr>
    </w:lvl>
    <w:lvl w:ilvl="2">
      <w:start w:val="1"/>
      <w:numFmt w:val="none"/>
      <w:isLgl w:val="false"/>
      <w:suff w:val="nothing"/>
      <w:lvlText w:val=""/>
      <w:lvlJc w:val="left"/>
      <w:pPr>
        <w:ind w:left="0" w:firstLine="0"/>
        <w:tabs>
          <w:tab w:val="num" w:pos="0" w:leader="none"/>
        </w:tabs>
      </w:pPr>
    </w:lvl>
    <w:lvl w:ilvl="3">
      <w:start w:val="1"/>
      <w:numFmt w:val="none"/>
      <w:isLgl w:val="false"/>
      <w:suff w:val="nothing"/>
      <w:lvlText w:val=""/>
      <w:lvlJc w:val="left"/>
      <w:pPr>
        <w:ind w:left="0" w:firstLine="0"/>
        <w:tabs>
          <w:tab w:val="num" w:pos="0" w:leader="none"/>
        </w:tabs>
      </w:pPr>
    </w:lvl>
    <w:lvl w:ilvl="4">
      <w:start w:val="1"/>
      <w:numFmt w:val="none"/>
      <w:isLgl w:val="false"/>
      <w:suff w:val="nothing"/>
      <w:lvlText w:val=""/>
      <w:lvlJc w:val="left"/>
      <w:pPr>
        <w:ind w:left="0" w:firstLine="0"/>
        <w:tabs>
          <w:tab w:val="num" w:pos="0" w:leader="none"/>
        </w:tabs>
      </w:pPr>
    </w:lvl>
    <w:lvl w:ilvl="5">
      <w:start w:val="1"/>
      <w:numFmt w:val="none"/>
      <w:isLgl w:val="false"/>
      <w:suff w:val="nothing"/>
      <w:lvlText w:val=""/>
      <w:lvlJc w:val="left"/>
      <w:pPr>
        <w:ind w:left="0" w:firstLine="0"/>
        <w:tabs>
          <w:tab w:val="num" w:pos="0" w:leader="none"/>
        </w:tabs>
      </w:pPr>
    </w:lvl>
    <w:lvl w:ilvl="6">
      <w:start w:val="1"/>
      <w:numFmt w:val="none"/>
      <w:isLgl w:val="false"/>
      <w:suff w:val="nothing"/>
      <w:lvlText w:val=""/>
      <w:lvlJc w:val="left"/>
      <w:pPr>
        <w:ind w:left="0" w:firstLine="0"/>
        <w:tabs>
          <w:tab w:val="num" w:pos="0" w:leader="none"/>
        </w:tabs>
      </w:pPr>
    </w:lvl>
    <w:lvl w:ilvl="7">
      <w:start w:val="1"/>
      <w:numFmt w:val="none"/>
      <w:isLgl w:val="false"/>
      <w:suff w:val="nothing"/>
      <w:lvlText w:val=""/>
      <w:lvlJc w:val="left"/>
      <w:pPr>
        <w:ind w:left="0" w:firstLine="0"/>
        <w:tabs>
          <w:tab w:val="num" w:pos="0" w:leader="none"/>
        </w:tabs>
      </w:pPr>
    </w:lvl>
    <w:lvl w:ilvl="8">
      <w:start w:val="1"/>
      <w:numFmt w:val="none"/>
      <w:isLgl w:val="false"/>
      <w:suff w:val="nothing"/>
      <w:lvlText w:val=""/>
      <w:lvlJc w:val="left"/>
      <w:pPr>
        <w:ind w:left="0" w:firstLine="0"/>
        <w:tabs>
          <w:tab w:val="num" w:pos="0" w:leader="none"/>
        </w:tabs>
      </w:pPr>
    </w:lvl>
  </w:abstractNum>
  <w:abstractNum w:abstractNumId="32">
    <w:multiLevelType w:val="hybridMultilevel"/>
    <w:lvl w:ilvl="0">
      <w:start w:val="1"/>
      <w:numFmt w:val="decimal"/>
      <w:pStyle w:val="1010"/>
      <w:isLgl w:val="false"/>
      <w:suff w:val="tab"/>
      <w:lvlText w:val="%1."/>
      <w:lvlJc w:val="left"/>
      <w:pPr>
        <w:ind w:left="360" w:hanging="360"/>
      </w:pPr>
      <w:rPr>
        <w:b/>
      </w:rPr>
    </w:lvl>
    <w:lvl w:ilvl="1">
      <w:start w:val="1"/>
      <w:numFmt w:val="decimal"/>
      <w:pStyle w:val="1030"/>
      <w:isLgl w:val="false"/>
      <w:suff w:val="tab"/>
      <w:lvlText w:val="%1.%2."/>
      <w:lvlJc w:val="left"/>
      <w:pPr>
        <w:ind w:left="2559" w:hanging="432"/>
      </w:pPr>
      <w:rPr>
        <w:b w:val="0"/>
        <w:i w:val="0"/>
        <w:strike w:val="0"/>
        <w:color w:val="000000"/>
        <w:sz w:val="20"/>
        <w:szCs w:val="20"/>
        <w:u w:val="none"/>
      </w:rPr>
    </w:lvl>
    <w:lvl w:ilvl="2">
      <w:start w:val="1"/>
      <w:numFmt w:val="decimal"/>
      <w:pStyle w:val="1032"/>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3">
    <w:multiLevelType w:val="hybridMultilevel"/>
    <w:lvl w:ilvl="0">
      <w:start w:val="1"/>
      <w:numFmt w:val="decimal"/>
      <w:isLgl w:val="false"/>
      <w:suff w:val="tab"/>
      <w:lvlText w:val="%1."/>
      <w:lvlJc w:val="left"/>
      <w:pPr>
        <w:ind w:left="360" w:hanging="360"/>
        <w:tabs>
          <w:tab w:val="num" w:pos="0" w:leader="none"/>
        </w:tabs>
      </w:pPr>
      <w:rPr>
        <w:b/>
      </w:rPr>
    </w:lvl>
    <w:lvl w:ilvl="1">
      <w:start w:val="1"/>
      <w:numFmt w:val="decimal"/>
      <w:isLgl w:val="false"/>
      <w:suff w:val="tab"/>
      <w:lvlText w:val="%1.%2."/>
      <w:lvlJc w:val="left"/>
      <w:pPr>
        <w:ind w:left="2559" w:hanging="432"/>
        <w:tabs>
          <w:tab w:val="num" w:pos="0" w:leader="none"/>
        </w:tabs>
      </w:pPr>
      <w:rPr>
        <w:b w:val="0"/>
        <w:i w:val="0"/>
        <w:strike w:val="0"/>
        <w:color w:val="000000"/>
        <w:sz w:val="20"/>
        <w:szCs w:val="20"/>
        <w:u w:val="none"/>
      </w:rPr>
    </w:lvl>
    <w:lvl w:ilvl="2">
      <w:start w:val="1"/>
      <w:numFmt w:val="decimal"/>
      <w:isLgl w:val="false"/>
      <w:suff w:val="tab"/>
      <w:lvlText w:val="%1.%2.%3."/>
      <w:lvlJc w:val="left"/>
      <w:pPr>
        <w:ind w:left="8018" w:hanging="504"/>
        <w:tabs>
          <w:tab w:val="num" w:pos="0" w:leader="none"/>
        </w:tabs>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tabs>
          <w:tab w:val="num" w:pos="0" w:leader="none"/>
        </w:tabs>
      </w:pPr>
      <w:rPr>
        <w:rFonts w:ascii="Cambria" w:hAnsi="Cambria" w:eastAsia="Cambria" w:cs="Cambria"/>
        <w:sz w:val="20"/>
      </w:r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5"/>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34">
    <w:multiLevelType w:val="hybridMultilevel"/>
    <w:lvl w:ilvl="0">
      <w:start w:val="1"/>
      <w:numFmt w:val="decimal"/>
      <w:pStyle w:val="1010"/>
      <w:isLgl w:val="false"/>
      <w:suff w:val="tab"/>
      <w:lvlText w:val="%1."/>
      <w:lvlJc w:val="left"/>
      <w:pPr>
        <w:ind w:left="360" w:hanging="360"/>
      </w:pPr>
      <w:rPr>
        <w:b/>
      </w:rPr>
    </w:lvl>
    <w:lvl w:ilvl="1">
      <w:start w:val="1"/>
      <w:numFmt w:val="decimal"/>
      <w:pStyle w:val="1030"/>
      <w:isLgl w:val="false"/>
      <w:suff w:val="tab"/>
      <w:lvlText w:val="%1.%2."/>
      <w:lvlJc w:val="left"/>
      <w:pPr>
        <w:ind w:left="999" w:hanging="432"/>
      </w:pPr>
      <w:rPr>
        <w:rFonts w:ascii="Cambria" w:hAnsi="Cambria" w:eastAsia="Cambria" w:cs="Cambria"/>
        <w:b w:val="0"/>
        <w:i w:val="0"/>
        <w:strike w:val="0"/>
        <w:color w:val="auto"/>
        <w:sz w:val="18"/>
        <w:szCs w:val="20"/>
        <w:u w:val="none"/>
      </w:rPr>
    </w:lvl>
    <w:lvl w:ilvl="2">
      <w:start w:val="1"/>
      <w:numFmt w:val="decimal"/>
      <w:pStyle w:val="1032"/>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033"/>
      <w:isLgl w:val="false"/>
      <w:suff w:val="tab"/>
      <w:lvlText w:val="%1.%2.%3.%4."/>
      <w:lvlJc w:val="left"/>
      <w:pPr>
        <w:ind w:left="2491" w:hanging="648"/>
      </w:pPr>
    </w:lvl>
    <w:lvl w:ilvl="4">
      <w:start w:val="1"/>
      <w:numFmt w:val="decimal"/>
      <w:pStyle w:val="1034"/>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5">
    <w:multiLevelType w:val="hybridMultilevel"/>
    <w:lvl w:ilvl="0">
      <w:start w:val="1"/>
      <w:numFmt w:val="decimal"/>
      <w:isLgl w:val="false"/>
      <w:suff w:val="tab"/>
      <w:lvlText w:val="%1."/>
      <w:lvlJc w:val="left"/>
      <w:pPr>
        <w:ind w:left="360" w:hanging="360"/>
        <w:tabs>
          <w:tab w:val="num" w:pos="0" w:leader="none"/>
        </w:tabs>
      </w:pPr>
      <w:rPr>
        <w:b/>
      </w:rPr>
    </w:lvl>
    <w:lvl w:ilvl="1">
      <w:start w:val="1"/>
      <w:numFmt w:val="decimal"/>
      <w:isLgl w:val="false"/>
      <w:suff w:val="tab"/>
      <w:lvlText w:val="%1.%2."/>
      <w:lvlJc w:val="left"/>
      <w:pPr>
        <w:ind w:left="2559" w:hanging="432"/>
        <w:tabs>
          <w:tab w:val="num" w:pos="0" w:leader="none"/>
        </w:tabs>
      </w:pPr>
      <w:rPr>
        <w:rFonts w:ascii="Cambria" w:hAnsi="Cambria" w:eastAsia="Cambria" w:cs="Cambria"/>
        <w:b w:val="0"/>
        <w:i w:val="0"/>
        <w:strike w:val="0"/>
        <w:color w:val="000000"/>
        <w:sz w:val="14"/>
        <w:szCs w:val="20"/>
        <w:u w:val="none"/>
      </w:rPr>
    </w:lvl>
    <w:lvl w:ilvl="2">
      <w:start w:val="1"/>
      <w:numFmt w:val="decimal"/>
      <w:isLgl w:val="false"/>
      <w:suff w:val="tab"/>
      <w:lvlText w:val="%1.%2.%3."/>
      <w:lvlJc w:val="left"/>
      <w:pPr>
        <w:ind w:left="8018" w:hanging="504"/>
        <w:tabs>
          <w:tab w:val="num" w:pos="0" w:leader="none"/>
        </w:tabs>
      </w:pPr>
      <w:rPr>
        <w:rFonts w:ascii="Cambria" w:hAnsi="Cambria" w:eastAsia="Cambria" w:cs="Cambria"/>
        <w:b w:val="0"/>
        <w:i w:val="0"/>
        <w:strike w:val="0"/>
        <w:color w:val="000000"/>
        <w:sz w:val="14"/>
        <w:szCs w:val="20"/>
      </w:rPr>
    </w:lvl>
    <w:lvl w:ilvl="3">
      <w:start w:val="1"/>
      <w:numFmt w:val="decimal"/>
      <w:isLgl w:val="false"/>
      <w:suff w:val="tab"/>
      <w:lvlText w:val="%1.%2.%3.%4."/>
      <w:lvlJc w:val="left"/>
      <w:pPr>
        <w:ind w:left="2491" w:hanging="648"/>
        <w:tabs>
          <w:tab w:val="num" w:pos="0" w:leader="none"/>
        </w:tabs>
      </w:pPr>
      <w:rPr>
        <w:rFonts w:ascii="Cambria" w:hAnsi="Cambria" w:eastAsia="Cambria" w:cs="Cambria"/>
        <w:sz w:val="20"/>
      </w:r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5"/>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36">
    <w:multiLevelType w:val="hybridMultilevel"/>
    <w:lvl w:ilvl="0">
      <w:start w:val="1"/>
      <w:numFmt w:val="decimal"/>
      <w:isLgl w:val="false"/>
      <w:suff w:val="tab"/>
      <w:lvlText w:val="%1."/>
      <w:lvlJc w:val="left"/>
      <w:pPr>
        <w:ind w:left="360" w:hanging="360"/>
        <w:tabs>
          <w:tab w:val="num" w:pos="0" w:leader="none"/>
        </w:tabs>
      </w:pPr>
      <w:rPr>
        <w:b/>
      </w:rPr>
    </w:lvl>
    <w:lvl w:ilvl="1">
      <w:start w:val="1"/>
      <w:numFmt w:val="decimal"/>
      <w:isLgl w:val="false"/>
      <w:suff w:val="tab"/>
      <w:lvlText w:val="%1.%2."/>
      <w:lvlJc w:val="left"/>
      <w:pPr>
        <w:ind w:left="792" w:hanging="432"/>
        <w:tabs>
          <w:tab w:val="num" w:pos="0" w:leader="none"/>
        </w:tabs>
      </w:pPr>
      <w:rPr>
        <w:b w:val="0"/>
      </w:rPr>
    </w:lvl>
    <w:lvl w:ilvl="2">
      <w:start w:val="1"/>
      <w:numFmt w:val="decimal"/>
      <w:isLgl w:val="false"/>
      <w:suff w:val="tab"/>
      <w:lvlText w:val="%1.%2.%3."/>
      <w:lvlJc w:val="left"/>
      <w:pPr>
        <w:ind w:left="1224" w:hanging="504"/>
        <w:tabs>
          <w:tab w:val="num" w:pos="0" w:leader="none"/>
        </w:tabs>
      </w:p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37">
    <w:multiLevelType w:val="hybridMultilevel"/>
    <w:lvl w:ilvl="0">
      <w:start w:val="1"/>
      <w:numFmt w:val="decimal"/>
      <w:isLgl w:val="false"/>
      <w:suff w:val="tab"/>
      <w:lvlText w:val="%1."/>
      <w:lvlJc w:val="left"/>
      <w:pPr>
        <w:ind w:left="360" w:hanging="360"/>
        <w:tabs>
          <w:tab w:val="num" w:pos="0" w:leader="none"/>
        </w:tabs>
      </w:pPr>
      <w:rPr>
        <w:rFonts w:ascii="Cambria" w:hAnsi="Cambria" w:eastAsia="Cambria" w:cs="Cambria"/>
        <w:b/>
        <w:sz w:val="14"/>
      </w:rPr>
    </w:lvl>
    <w:lvl w:ilvl="1">
      <w:start w:val="1"/>
      <w:numFmt w:val="decimal"/>
      <w:isLgl w:val="false"/>
      <w:suff w:val="tab"/>
      <w:lvlText w:val="%1.%2."/>
      <w:lvlJc w:val="left"/>
      <w:pPr>
        <w:ind w:left="792" w:hanging="432"/>
        <w:tabs>
          <w:tab w:val="num" w:pos="0" w:leader="none"/>
        </w:tabs>
      </w:pPr>
      <w:rPr>
        <w:b w:val="0"/>
      </w:rPr>
    </w:lvl>
    <w:lvl w:ilvl="2">
      <w:start w:val="1"/>
      <w:numFmt w:val="decimal"/>
      <w:isLgl w:val="false"/>
      <w:suff w:val="tab"/>
      <w:lvlText w:val="%1.%2.%3."/>
      <w:lvlJc w:val="left"/>
      <w:pPr>
        <w:ind w:left="1224" w:hanging="504"/>
        <w:tabs>
          <w:tab w:val="num" w:pos="0" w:leader="none"/>
        </w:tabs>
      </w:p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38">
    <w:multiLevelType w:val="hybridMultilevel"/>
    <w:lvl w:ilvl="0">
      <w:start w:val="1"/>
      <w:numFmt w:val="lowerLetter"/>
      <w:isLgl w:val="false"/>
      <w:suff w:val="tab"/>
      <w:lvlText w:val="%1)"/>
      <w:lvlJc w:val="left"/>
      <w:pPr>
        <w:ind w:left="812" w:hanging="709"/>
        <w:jc w:val="left"/>
      </w:pPr>
      <w:rPr>
        <w:rFonts w:hint="default" w:ascii="Cambria" w:hAnsi="Cambria" w:eastAsia="Cambria" w:cs="Cambria"/>
        <w:sz w:val="22"/>
        <w:szCs w:val="22"/>
        <w:lang w:val="pt-PT" w:eastAsia="en-US" w:bidi="ar-SA"/>
      </w:rPr>
    </w:lvl>
    <w:lvl w:ilvl="1">
      <w:start w:val="0"/>
      <w:numFmt w:val="bullet"/>
      <w:isLgl w:val="false"/>
      <w:suff w:val="tab"/>
      <w:lvlText w:val="•"/>
      <w:lvlJc w:val="left"/>
      <w:pPr>
        <w:ind w:left="1624" w:hanging="709"/>
      </w:pPr>
      <w:rPr>
        <w:rFonts w:hint="default"/>
        <w:lang w:val="pt-PT" w:eastAsia="en-US" w:bidi="ar-SA"/>
      </w:rPr>
    </w:lvl>
    <w:lvl w:ilvl="2">
      <w:start w:val="0"/>
      <w:numFmt w:val="bullet"/>
      <w:isLgl w:val="false"/>
      <w:suff w:val="tab"/>
      <w:lvlText w:val="•"/>
      <w:lvlJc w:val="left"/>
      <w:pPr>
        <w:ind w:left="2429" w:hanging="709"/>
      </w:pPr>
      <w:rPr>
        <w:rFonts w:hint="default"/>
        <w:lang w:val="pt-PT" w:eastAsia="en-US" w:bidi="ar-SA"/>
      </w:rPr>
    </w:lvl>
    <w:lvl w:ilvl="3">
      <w:start w:val="0"/>
      <w:numFmt w:val="bullet"/>
      <w:isLgl w:val="false"/>
      <w:suff w:val="tab"/>
      <w:lvlText w:val="•"/>
      <w:lvlJc w:val="left"/>
      <w:pPr>
        <w:ind w:left="3233" w:hanging="709"/>
      </w:pPr>
      <w:rPr>
        <w:rFonts w:hint="default"/>
        <w:lang w:val="pt-PT" w:eastAsia="en-US" w:bidi="ar-SA"/>
      </w:rPr>
    </w:lvl>
    <w:lvl w:ilvl="4">
      <w:start w:val="0"/>
      <w:numFmt w:val="bullet"/>
      <w:isLgl w:val="false"/>
      <w:suff w:val="tab"/>
      <w:lvlText w:val="•"/>
      <w:lvlJc w:val="left"/>
      <w:pPr>
        <w:ind w:left="4038" w:hanging="709"/>
      </w:pPr>
      <w:rPr>
        <w:rFonts w:hint="default"/>
        <w:lang w:val="pt-PT" w:eastAsia="en-US" w:bidi="ar-SA"/>
      </w:rPr>
    </w:lvl>
    <w:lvl w:ilvl="5">
      <w:start w:val="0"/>
      <w:numFmt w:val="bullet"/>
      <w:isLgl w:val="false"/>
      <w:suff w:val="tab"/>
      <w:lvlText w:val="•"/>
      <w:lvlJc w:val="left"/>
      <w:pPr>
        <w:ind w:left="4843" w:hanging="709"/>
      </w:pPr>
      <w:rPr>
        <w:rFonts w:hint="default"/>
        <w:lang w:val="pt-PT" w:eastAsia="en-US" w:bidi="ar-SA"/>
      </w:rPr>
    </w:lvl>
    <w:lvl w:ilvl="6">
      <w:start w:val="0"/>
      <w:numFmt w:val="bullet"/>
      <w:isLgl w:val="false"/>
      <w:suff w:val="tab"/>
      <w:lvlText w:val="•"/>
      <w:lvlJc w:val="left"/>
      <w:pPr>
        <w:ind w:left="5647" w:hanging="709"/>
      </w:pPr>
      <w:rPr>
        <w:rFonts w:hint="default"/>
        <w:lang w:val="pt-PT" w:eastAsia="en-US" w:bidi="ar-SA"/>
      </w:rPr>
    </w:lvl>
    <w:lvl w:ilvl="7">
      <w:start w:val="0"/>
      <w:numFmt w:val="bullet"/>
      <w:isLgl w:val="false"/>
      <w:suff w:val="tab"/>
      <w:lvlText w:val="•"/>
      <w:lvlJc w:val="left"/>
      <w:pPr>
        <w:ind w:left="6452" w:hanging="709"/>
      </w:pPr>
      <w:rPr>
        <w:rFonts w:hint="default"/>
        <w:lang w:val="pt-PT" w:eastAsia="en-US" w:bidi="ar-SA"/>
      </w:rPr>
    </w:lvl>
    <w:lvl w:ilvl="8">
      <w:start w:val="0"/>
      <w:numFmt w:val="bullet"/>
      <w:isLgl w:val="false"/>
      <w:suff w:val="tab"/>
      <w:lvlText w:val="•"/>
      <w:lvlJc w:val="left"/>
      <w:pPr>
        <w:ind w:left="7257" w:hanging="709"/>
      </w:pPr>
      <w:rPr>
        <w:rFonts w:hint="default"/>
        <w:lang w:val="pt-PT" w:eastAsia="en-US" w:bidi="ar-SA"/>
      </w:rPr>
    </w:lvl>
  </w:abstractNum>
  <w:abstractNum w:abstractNumId="39">
    <w:multiLevelType w:val="hybridMultilevel"/>
    <w:lvl w:ilvl="0">
      <w:start w:val="1"/>
      <w:numFmt w:val="decimal"/>
      <w:isLgl w:val="false"/>
      <w:suff w:val="tab"/>
      <w:lvlText w:val="%1."/>
      <w:lvlJc w:val="left"/>
      <w:pPr>
        <w:ind w:left="670" w:hanging="567"/>
        <w:jc w:val="left"/>
      </w:pPr>
      <w:rPr>
        <w:rFonts w:hint="default" w:ascii="Arial" w:hAnsi="Arial" w:eastAsia="Arial" w:cs="Arial"/>
        <w:b/>
        <w:bCs/>
        <w:spacing w:val="-4"/>
        <w:sz w:val="22"/>
        <w:szCs w:val="22"/>
        <w:lang w:val="pt-PT" w:eastAsia="en-US" w:bidi="ar-SA"/>
      </w:rPr>
    </w:lvl>
    <w:lvl w:ilvl="1">
      <w:start w:val="1"/>
      <w:numFmt w:val="decimal"/>
      <w:isLgl w:val="false"/>
      <w:suff w:val="tab"/>
      <w:lvlText w:val="%1.%2."/>
      <w:lvlJc w:val="left"/>
      <w:pPr>
        <w:ind w:left="104" w:hanging="708"/>
        <w:jc w:val="left"/>
      </w:pPr>
      <w:rPr>
        <w:rFonts w:hint="default"/>
        <w:spacing w:val="-2"/>
        <w:lang w:val="pt-PT" w:eastAsia="en-US" w:bidi="ar-SA"/>
      </w:rPr>
    </w:lvl>
    <w:lvl w:ilvl="2">
      <w:start w:val="1"/>
      <w:numFmt w:val="decimal"/>
      <w:isLgl w:val="false"/>
      <w:suff w:val="tab"/>
      <w:lvlText w:val="%1.%2.%3."/>
      <w:lvlJc w:val="left"/>
      <w:pPr>
        <w:ind w:left="812" w:hanging="708"/>
        <w:jc w:val="left"/>
      </w:pPr>
      <w:rPr>
        <w:rFonts w:hint="default" w:ascii="Cambria" w:hAnsi="Cambria" w:eastAsia="Cambria" w:cs="Cambria"/>
        <w:sz w:val="20"/>
        <w:szCs w:val="20"/>
        <w:lang w:val="pt-PT" w:eastAsia="en-US" w:bidi="ar-SA"/>
      </w:rPr>
    </w:lvl>
    <w:lvl w:ilvl="3">
      <w:start w:val="0"/>
      <w:numFmt w:val="bullet"/>
      <w:isLgl w:val="false"/>
      <w:suff w:val="tab"/>
      <w:lvlText w:val="•"/>
      <w:lvlJc w:val="left"/>
      <w:pPr>
        <w:ind w:left="1825" w:hanging="708"/>
      </w:pPr>
      <w:rPr>
        <w:rFonts w:hint="default"/>
        <w:lang w:val="pt-PT" w:eastAsia="en-US" w:bidi="ar-SA"/>
      </w:rPr>
    </w:lvl>
    <w:lvl w:ilvl="4">
      <w:start w:val="0"/>
      <w:numFmt w:val="bullet"/>
      <w:isLgl w:val="false"/>
      <w:suff w:val="tab"/>
      <w:lvlText w:val="•"/>
      <w:lvlJc w:val="left"/>
      <w:pPr>
        <w:ind w:left="2831" w:hanging="708"/>
      </w:pPr>
      <w:rPr>
        <w:rFonts w:hint="default"/>
        <w:lang w:val="pt-PT" w:eastAsia="en-US" w:bidi="ar-SA"/>
      </w:rPr>
    </w:lvl>
    <w:lvl w:ilvl="5">
      <w:start w:val="0"/>
      <w:numFmt w:val="bullet"/>
      <w:isLgl w:val="false"/>
      <w:suff w:val="tab"/>
      <w:lvlText w:val="•"/>
      <w:lvlJc w:val="left"/>
      <w:pPr>
        <w:ind w:left="3837" w:hanging="708"/>
      </w:pPr>
      <w:rPr>
        <w:rFonts w:hint="default"/>
        <w:lang w:val="pt-PT" w:eastAsia="en-US" w:bidi="ar-SA"/>
      </w:rPr>
    </w:lvl>
    <w:lvl w:ilvl="6">
      <w:start w:val="0"/>
      <w:numFmt w:val="bullet"/>
      <w:isLgl w:val="false"/>
      <w:suff w:val="tab"/>
      <w:lvlText w:val="•"/>
      <w:lvlJc w:val="left"/>
      <w:pPr>
        <w:ind w:left="4843" w:hanging="708"/>
      </w:pPr>
      <w:rPr>
        <w:rFonts w:hint="default"/>
        <w:lang w:val="pt-PT" w:eastAsia="en-US" w:bidi="ar-SA"/>
      </w:rPr>
    </w:lvl>
    <w:lvl w:ilvl="7">
      <w:start w:val="0"/>
      <w:numFmt w:val="bullet"/>
      <w:isLgl w:val="false"/>
      <w:suff w:val="tab"/>
      <w:lvlText w:val="•"/>
      <w:lvlJc w:val="left"/>
      <w:pPr>
        <w:ind w:left="5849" w:hanging="708"/>
      </w:pPr>
      <w:rPr>
        <w:rFonts w:hint="default"/>
        <w:lang w:val="pt-PT" w:eastAsia="en-US" w:bidi="ar-SA"/>
      </w:rPr>
    </w:lvl>
    <w:lvl w:ilvl="8">
      <w:start w:val="0"/>
      <w:numFmt w:val="bullet"/>
      <w:isLgl w:val="false"/>
      <w:suff w:val="tab"/>
      <w:lvlText w:val="•"/>
      <w:lvlJc w:val="left"/>
      <w:pPr>
        <w:ind w:left="6854" w:hanging="708"/>
      </w:pPr>
      <w:rPr>
        <w:rFonts w:hint="default"/>
        <w:lang w:val="pt-PT" w:eastAsia="en-US" w:bidi="ar-SA"/>
      </w:rPr>
    </w:lvl>
  </w:abstractNum>
  <w:abstractNum w:abstractNumId="40">
    <w:multiLevelType w:val="hybridMultilevel"/>
    <w:lvl w:ilvl="0">
      <w:start w:val="1"/>
      <w:numFmt w:val="decimal"/>
      <w:pStyle w:val="1010"/>
      <w:isLgl w:val="false"/>
      <w:suff w:val="tab"/>
      <w:lvlText w:val="%1."/>
      <w:lvlJc w:val="left"/>
      <w:pPr>
        <w:ind w:left="360" w:hanging="360"/>
      </w:pPr>
      <w:rPr>
        <w:b/>
      </w:rPr>
    </w:lvl>
    <w:lvl w:ilvl="1">
      <w:start w:val="1"/>
      <w:numFmt w:val="decimal"/>
      <w:pStyle w:val="1030"/>
      <w:isLgl w:val="false"/>
      <w:suff w:val="tab"/>
      <w:lvlText w:val="%1.%2."/>
      <w:lvlJc w:val="left"/>
      <w:pPr>
        <w:ind w:left="2559" w:hanging="432"/>
      </w:pPr>
      <w:rPr>
        <w:b w:val="0"/>
        <w:i w:val="0"/>
        <w:strike w:val="0"/>
        <w:color w:val="000000"/>
        <w:sz w:val="20"/>
        <w:szCs w:val="20"/>
        <w:u w:val="none"/>
      </w:rPr>
    </w:lvl>
    <w:lvl w:ilvl="2">
      <w:start w:val="1"/>
      <w:numFmt w:val="decimal"/>
      <w:pStyle w:val="1032"/>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4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4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4"/>
  </w:num>
  <w:num w:numId="37">
    <w:abstractNumId w:val="35"/>
  </w:num>
  <w:num w:numId="38">
    <w:abstractNumId w:val="36"/>
  </w:num>
  <w:num w:numId="39">
    <w:abstractNumId w:val="37"/>
  </w:num>
  <w:num w:numId="40">
    <w:abstractNumId w:val="38"/>
  </w:num>
  <w:num w:numId="41">
    <w:abstractNumId w:val="39"/>
  </w:num>
  <w:num w:numId="42">
    <w:abstractNumId w:val="40"/>
  </w:num>
  <w:num w:numId="43">
    <w:abstractNumId w:val="41"/>
  </w:num>
  <w:num w:numId="44">
    <w:abstractNumId w:val="42"/>
  </w:num>
  <w:num w:numId="45">
    <w:abstractNumId w:val="43"/>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Ecofont_Spranq_eco_Sans" w:hAnsi="Ecofont_Spranq_eco_Sans" w:eastAsia="Ecofont_Spranq_eco_Sans" w:cs="Ecofont_Spranq_eco_Sans"/>
        <w:sz w:val="24"/>
        <w:szCs w:val="24"/>
        <w:lang w:val="pt-BR"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2">
    <w:name w:val="Heading 1 Char"/>
    <w:basedOn w:val="977"/>
    <w:link w:val="972"/>
    <w:uiPriority w:val="9"/>
    <w:rPr>
      <w:rFonts w:ascii="Arial" w:hAnsi="Arial" w:eastAsia="Arial" w:cs="Arial"/>
      <w:sz w:val="40"/>
      <w:szCs w:val="40"/>
    </w:rPr>
  </w:style>
  <w:style w:type="character" w:styleId="803">
    <w:name w:val="Heading 2 Char"/>
    <w:basedOn w:val="977"/>
    <w:link w:val="973"/>
    <w:uiPriority w:val="9"/>
    <w:rPr>
      <w:rFonts w:ascii="Arial" w:hAnsi="Arial" w:eastAsia="Arial" w:cs="Arial"/>
      <w:sz w:val="34"/>
    </w:rPr>
  </w:style>
  <w:style w:type="character" w:styleId="804">
    <w:name w:val="Heading 3 Char"/>
    <w:basedOn w:val="977"/>
    <w:link w:val="974"/>
    <w:uiPriority w:val="9"/>
    <w:rPr>
      <w:rFonts w:ascii="Arial" w:hAnsi="Arial" w:eastAsia="Arial" w:cs="Arial"/>
      <w:sz w:val="30"/>
      <w:szCs w:val="30"/>
    </w:rPr>
  </w:style>
  <w:style w:type="character" w:styleId="805">
    <w:name w:val="Heading 4 Char"/>
    <w:basedOn w:val="977"/>
    <w:link w:val="975"/>
    <w:uiPriority w:val="9"/>
    <w:rPr>
      <w:rFonts w:ascii="Arial" w:hAnsi="Arial" w:eastAsia="Arial" w:cs="Arial"/>
      <w:b/>
      <w:bCs/>
      <w:sz w:val="26"/>
      <w:szCs w:val="26"/>
    </w:rPr>
  </w:style>
  <w:style w:type="character" w:styleId="806">
    <w:name w:val="Heading 5 Char"/>
    <w:basedOn w:val="977"/>
    <w:link w:val="968"/>
    <w:uiPriority w:val="9"/>
    <w:rPr>
      <w:rFonts w:ascii="Arial" w:hAnsi="Arial" w:eastAsia="Arial" w:cs="Arial"/>
      <w:b/>
      <w:bCs/>
      <w:sz w:val="24"/>
      <w:szCs w:val="24"/>
    </w:rPr>
  </w:style>
  <w:style w:type="character" w:styleId="807">
    <w:name w:val="Heading 6 Char"/>
    <w:basedOn w:val="977"/>
    <w:link w:val="976"/>
    <w:uiPriority w:val="9"/>
    <w:rPr>
      <w:rFonts w:ascii="Arial" w:hAnsi="Arial" w:eastAsia="Arial" w:cs="Arial"/>
      <w:b/>
      <w:bCs/>
      <w:sz w:val="22"/>
      <w:szCs w:val="22"/>
    </w:rPr>
  </w:style>
  <w:style w:type="paragraph" w:styleId="808">
    <w:name w:val="Heading 7"/>
    <w:basedOn w:val="971"/>
    <w:next w:val="971"/>
    <w:link w:val="809"/>
    <w:uiPriority w:val="9"/>
    <w:unhideWhenUsed/>
    <w:qFormat/>
    <w:pPr>
      <w:keepLines/>
      <w:keepNext/>
      <w:spacing w:before="320" w:after="200"/>
      <w:outlineLvl w:val="6"/>
    </w:pPr>
    <w:rPr>
      <w:rFonts w:ascii="Arial" w:hAnsi="Arial" w:eastAsia="Arial" w:cs="Arial"/>
      <w:b/>
      <w:bCs/>
      <w:i/>
      <w:iCs/>
      <w:sz w:val="22"/>
      <w:szCs w:val="22"/>
    </w:rPr>
  </w:style>
  <w:style w:type="character" w:styleId="809">
    <w:name w:val="Heading 7 Char"/>
    <w:basedOn w:val="977"/>
    <w:link w:val="808"/>
    <w:uiPriority w:val="9"/>
    <w:rPr>
      <w:rFonts w:ascii="Arial" w:hAnsi="Arial" w:eastAsia="Arial" w:cs="Arial"/>
      <w:b/>
      <w:bCs/>
      <w:i/>
      <w:iCs/>
      <w:sz w:val="22"/>
      <w:szCs w:val="22"/>
    </w:rPr>
  </w:style>
  <w:style w:type="paragraph" w:styleId="810">
    <w:name w:val="Heading 8"/>
    <w:basedOn w:val="971"/>
    <w:next w:val="971"/>
    <w:link w:val="811"/>
    <w:uiPriority w:val="9"/>
    <w:unhideWhenUsed/>
    <w:qFormat/>
    <w:pPr>
      <w:keepLines/>
      <w:keepNext/>
      <w:spacing w:before="320" w:after="200"/>
      <w:outlineLvl w:val="7"/>
    </w:pPr>
    <w:rPr>
      <w:rFonts w:ascii="Arial" w:hAnsi="Arial" w:eastAsia="Arial" w:cs="Arial"/>
      <w:i/>
      <w:iCs/>
      <w:sz w:val="22"/>
      <w:szCs w:val="22"/>
    </w:rPr>
  </w:style>
  <w:style w:type="character" w:styleId="811">
    <w:name w:val="Heading 8 Char"/>
    <w:basedOn w:val="977"/>
    <w:link w:val="810"/>
    <w:uiPriority w:val="9"/>
    <w:rPr>
      <w:rFonts w:ascii="Arial" w:hAnsi="Arial" w:eastAsia="Arial" w:cs="Arial"/>
      <w:i/>
      <w:iCs/>
      <w:sz w:val="22"/>
      <w:szCs w:val="22"/>
    </w:rPr>
  </w:style>
  <w:style w:type="paragraph" w:styleId="812">
    <w:name w:val="Heading 9"/>
    <w:basedOn w:val="971"/>
    <w:next w:val="971"/>
    <w:link w:val="813"/>
    <w:uiPriority w:val="9"/>
    <w:unhideWhenUsed/>
    <w:qFormat/>
    <w:pPr>
      <w:keepLines/>
      <w:keepNext/>
      <w:spacing w:before="320" w:after="200"/>
      <w:outlineLvl w:val="8"/>
    </w:pPr>
    <w:rPr>
      <w:rFonts w:ascii="Arial" w:hAnsi="Arial" w:eastAsia="Arial" w:cs="Arial"/>
      <w:i/>
      <w:iCs/>
      <w:sz w:val="21"/>
      <w:szCs w:val="21"/>
    </w:rPr>
  </w:style>
  <w:style w:type="character" w:styleId="813">
    <w:name w:val="Heading 9 Char"/>
    <w:basedOn w:val="977"/>
    <w:link w:val="812"/>
    <w:uiPriority w:val="9"/>
    <w:rPr>
      <w:rFonts w:ascii="Arial" w:hAnsi="Arial" w:eastAsia="Arial" w:cs="Arial"/>
      <w:i/>
      <w:iCs/>
      <w:sz w:val="21"/>
      <w:szCs w:val="21"/>
    </w:rPr>
  </w:style>
  <w:style w:type="paragraph" w:styleId="814">
    <w:name w:val="No Spacing"/>
    <w:uiPriority w:val="1"/>
    <w:qFormat/>
    <w:pPr>
      <w:spacing w:before="0" w:after="0" w:line="240" w:lineRule="auto"/>
    </w:pPr>
  </w:style>
  <w:style w:type="character" w:styleId="815">
    <w:name w:val="Title Char"/>
    <w:basedOn w:val="977"/>
    <w:link w:val="1012"/>
    <w:uiPriority w:val="10"/>
    <w:rPr>
      <w:sz w:val="48"/>
      <w:szCs w:val="48"/>
    </w:rPr>
  </w:style>
  <w:style w:type="character" w:styleId="816">
    <w:name w:val="Subtitle Char"/>
    <w:basedOn w:val="977"/>
    <w:link w:val="1100"/>
    <w:uiPriority w:val="11"/>
    <w:rPr>
      <w:sz w:val="24"/>
      <w:szCs w:val="24"/>
    </w:rPr>
  </w:style>
  <w:style w:type="paragraph" w:styleId="817">
    <w:name w:val="Intense Quote"/>
    <w:basedOn w:val="971"/>
    <w:next w:val="971"/>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name w:val="Intense Quote Char"/>
    <w:link w:val="817"/>
    <w:uiPriority w:val="30"/>
    <w:rPr>
      <w:i/>
    </w:rPr>
  </w:style>
  <w:style w:type="character" w:styleId="819">
    <w:name w:val="Header Char"/>
    <w:basedOn w:val="977"/>
    <w:link w:val="994"/>
    <w:uiPriority w:val="99"/>
  </w:style>
  <w:style w:type="character" w:styleId="820">
    <w:name w:val="Footer Char"/>
    <w:basedOn w:val="977"/>
    <w:link w:val="996"/>
    <w:uiPriority w:val="99"/>
  </w:style>
  <w:style w:type="paragraph" w:styleId="821">
    <w:name w:val="Caption"/>
    <w:basedOn w:val="971"/>
    <w:next w:val="971"/>
    <w:uiPriority w:val="35"/>
    <w:semiHidden/>
    <w:unhideWhenUsed/>
    <w:qFormat/>
    <w:pPr>
      <w:spacing w:line="276" w:lineRule="auto"/>
    </w:pPr>
    <w:rPr>
      <w:b/>
      <w:bCs/>
      <w:color w:val="4f81bd" w:themeColor="accent1"/>
      <w:sz w:val="18"/>
      <w:szCs w:val="18"/>
    </w:rPr>
  </w:style>
  <w:style w:type="character" w:styleId="822">
    <w:name w:val="Caption Char"/>
    <w:basedOn w:val="821"/>
    <w:link w:val="996"/>
    <w:uiPriority w:val="99"/>
  </w:style>
  <w:style w:type="table" w:styleId="823">
    <w:name w:val="Table Grid Light"/>
    <w:basedOn w:val="9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4">
    <w:name w:val="Plain Table 1"/>
    <w:basedOn w:val="9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basedOn w:val="9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basedOn w:val="9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basedOn w:val="9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basedOn w:val="9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basedOn w:val="9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1 Light - Accent 1"/>
    <w:basedOn w:val="9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1">
    <w:name w:val="Grid Table 1 Light - Accent 2"/>
    <w:basedOn w:val="9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2">
    <w:name w:val="Grid Table 1 Light - Accent 3"/>
    <w:basedOn w:val="9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3">
    <w:name w:val="Grid Table 1 Light - Accent 4"/>
    <w:basedOn w:val="9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4">
    <w:name w:val="Grid Table 1 Light - Accent 5"/>
    <w:basedOn w:val="9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5">
    <w:name w:val="Grid Table 1 Light - Accent 6"/>
    <w:basedOn w:val="9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6">
    <w:name w:val="Grid Table 2"/>
    <w:basedOn w:val="9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2 - Accent 1"/>
    <w:basedOn w:val="9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8">
    <w:name w:val="Grid Table 2 - Accent 2"/>
    <w:basedOn w:val="9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2 - Accent 3"/>
    <w:basedOn w:val="9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2 - Accent 4"/>
    <w:basedOn w:val="9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2 - Accent 5"/>
    <w:basedOn w:val="9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2">
    <w:name w:val="Grid Table 2 - Accent 6"/>
    <w:basedOn w:val="9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3">
    <w:name w:val="Grid Table 3"/>
    <w:basedOn w:val="9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1"/>
    <w:basedOn w:val="9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2"/>
    <w:basedOn w:val="9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3"/>
    <w:basedOn w:val="9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4"/>
    <w:basedOn w:val="9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5"/>
    <w:basedOn w:val="9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6"/>
    <w:basedOn w:val="9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4"/>
    <w:basedOn w:val="9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name w:val="Grid Table 4 - Accent 1"/>
    <w:basedOn w:val="9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2">
    <w:name w:val="Grid Table 4 - Accent 2"/>
    <w:basedOn w:val="9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3">
    <w:name w:val="Grid Table 4 - Accent 3"/>
    <w:basedOn w:val="9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4">
    <w:name w:val="Grid Table 4 - Accent 4"/>
    <w:basedOn w:val="9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5">
    <w:name w:val="Grid Table 4 - Accent 5"/>
    <w:basedOn w:val="9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6">
    <w:name w:val="Grid Table 4 - Accent 6"/>
    <w:basedOn w:val="9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7">
    <w:name w:val="Grid Table 5 Dark"/>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5 Dark- Accent 1"/>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9">
    <w:name w:val="Grid Table 5 Dark - Accent 2"/>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0">
    <w:name w:val="Grid Table 5 Dark - Accent 3"/>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1">
    <w:name w:val="Grid Table 5 Dark- Accent 4"/>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2">
    <w:name w:val="Grid Table 5 Dark - Accent 5"/>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3">
    <w:name w:val="Grid Table 5 Dark - Accent 6"/>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4">
    <w:name w:val="Grid Table 6 Colorful"/>
    <w:basedOn w:val="9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6 Colorful - Accent 1"/>
    <w:basedOn w:val="9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6">
    <w:name w:val="Grid Table 6 Colorful - Accent 2"/>
    <w:basedOn w:val="9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7">
    <w:name w:val="Grid Table 6 Colorful - Accent 3"/>
    <w:basedOn w:val="9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8">
    <w:name w:val="Grid Table 6 Colorful - Accent 4"/>
    <w:basedOn w:val="9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9">
    <w:name w:val="Grid Table 6 Colorful - Accent 5"/>
    <w:basedOn w:val="9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6 Colorful - Accent 6"/>
    <w:basedOn w:val="9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1">
    <w:name w:val="Grid Table 7 Colorful"/>
    <w:basedOn w:val="9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Grid Table 7 Colorful - Accent 1"/>
    <w:basedOn w:val="9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3">
    <w:name w:val="Grid Table 7 Colorful - Accent 2"/>
    <w:basedOn w:val="9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7 Colorful - Accent 3"/>
    <w:basedOn w:val="9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7 Colorful - Accent 4"/>
    <w:basedOn w:val="9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7 Colorful - Accent 5"/>
    <w:basedOn w:val="9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7">
    <w:name w:val="Grid Table 7 Colorful - Accent 6"/>
    <w:basedOn w:val="9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8">
    <w:name w:val="List Table 1 Light"/>
    <w:basedOn w:val="9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name w:val="List Table 1 Light - Accent 1"/>
    <w:basedOn w:val="9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0">
    <w:name w:val="List Table 1 Light - Accent 2"/>
    <w:basedOn w:val="9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1">
    <w:name w:val="List Table 1 Light - Accent 3"/>
    <w:basedOn w:val="9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2">
    <w:name w:val="List Table 1 Light - Accent 4"/>
    <w:basedOn w:val="9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3">
    <w:name w:val="List Table 1 Light - Accent 5"/>
    <w:basedOn w:val="9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4">
    <w:name w:val="List Table 1 Light - Accent 6"/>
    <w:basedOn w:val="9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5">
    <w:name w:val="List Table 2"/>
    <w:basedOn w:val="9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2 - Accent 1"/>
    <w:basedOn w:val="9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7">
    <w:name w:val="List Table 2 - Accent 2"/>
    <w:basedOn w:val="9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8">
    <w:name w:val="List Table 2 - Accent 3"/>
    <w:basedOn w:val="9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9">
    <w:name w:val="List Table 2 - Accent 4"/>
    <w:basedOn w:val="9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0">
    <w:name w:val="List Table 2 - Accent 5"/>
    <w:basedOn w:val="9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1">
    <w:name w:val="List Table 2 - Accent 6"/>
    <w:basedOn w:val="9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2">
    <w:name w:val="List Table 3"/>
    <w:basedOn w:val="9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3 - Accent 1"/>
    <w:basedOn w:val="9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3 - Accent 2"/>
    <w:basedOn w:val="9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5">
    <w:name w:val="List Table 3 - Accent 3"/>
    <w:basedOn w:val="9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6">
    <w:name w:val="List Table 3 - Accent 4"/>
    <w:basedOn w:val="9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7">
    <w:name w:val="List Table 3 - Accent 5"/>
    <w:basedOn w:val="9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8">
    <w:name w:val="List Table 3 - Accent 6"/>
    <w:basedOn w:val="9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9">
    <w:name w:val="List Table 4"/>
    <w:basedOn w:val="9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4 - Accent 1"/>
    <w:basedOn w:val="9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1">
    <w:name w:val="List Table 4 - Accent 2"/>
    <w:basedOn w:val="9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2">
    <w:name w:val="List Table 4 - Accent 3"/>
    <w:basedOn w:val="9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3">
    <w:name w:val="List Table 4 - Accent 4"/>
    <w:basedOn w:val="9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4">
    <w:name w:val="List Table 4 - Accent 5"/>
    <w:basedOn w:val="9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5">
    <w:name w:val="List Table 4 - Accent 6"/>
    <w:basedOn w:val="9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6">
    <w:name w:val="List Table 5 Dark"/>
    <w:basedOn w:val="9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1"/>
    <w:basedOn w:val="9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2"/>
    <w:basedOn w:val="9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3"/>
    <w:basedOn w:val="9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4"/>
    <w:basedOn w:val="9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5"/>
    <w:basedOn w:val="9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6"/>
    <w:basedOn w:val="9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6 Colorful"/>
    <w:basedOn w:val="9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4">
    <w:name w:val="List Table 6 Colorful - Accent 1"/>
    <w:basedOn w:val="9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5">
    <w:name w:val="List Table 6 Colorful - Accent 2"/>
    <w:basedOn w:val="9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6">
    <w:name w:val="List Table 6 Colorful - Accent 3"/>
    <w:basedOn w:val="9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7">
    <w:name w:val="List Table 6 Colorful - Accent 4"/>
    <w:basedOn w:val="9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8">
    <w:name w:val="List Table 6 Colorful - Accent 5"/>
    <w:basedOn w:val="9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9">
    <w:name w:val="List Table 6 Colorful - Accent 6"/>
    <w:basedOn w:val="9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0">
    <w:name w:val="List Table 7 Colorful"/>
    <w:basedOn w:val="9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1">
    <w:name w:val="List Table 7 Colorful - Accent 1"/>
    <w:basedOn w:val="9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2">
    <w:name w:val="List Table 7 Colorful - Accent 2"/>
    <w:basedOn w:val="9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3">
    <w:name w:val="List Table 7 Colorful - Accent 3"/>
    <w:basedOn w:val="9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4">
    <w:name w:val="List Table 7 Colorful - Accent 4"/>
    <w:basedOn w:val="9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5">
    <w:name w:val="List Table 7 Colorful - Accent 5"/>
    <w:basedOn w:val="9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6">
    <w:name w:val="List Table 7 Colorful - Accent 6"/>
    <w:basedOn w:val="9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7">
    <w:name w:val="Lined - Accent"/>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Lined - Accent 1"/>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Lined - Accent 2"/>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Lined - Accent 3"/>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Lined - Accent 4"/>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Lined - Accent 5"/>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Lined - Accent 6"/>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amp; Lined - Accent"/>
    <w:basedOn w:val="9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Bordered &amp; Lined - Accent 1"/>
    <w:basedOn w:val="9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6">
    <w:name w:val="Bordered &amp; Lined - Accent 2"/>
    <w:basedOn w:val="9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7">
    <w:name w:val="Bordered &amp; Lined - Accent 3"/>
    <w:basedOn w:val="9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8">
    <w:name w:val="Bordered &amp; Lined - Accent 4"/>
    <w:basedOn w:val="9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9">
    <w:name w:val="Bordered &amp; Lined - Accent 5"/>
    <w:basedOn w:val="9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0">
    <w:name w:val="Bordered &amp; Lined - Accent 6"/>
    <w:basedOn w:val="9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1">
    <w:name w:val="Bordered"/>
    <w:basedOn w:val="9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2">
    <w:name w:val="Bordered - Accent 1"/>
    <w:basedOn w:val="9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3">
    <w:name w:val="Bordered - Accent 2"/>
    <w:basedOn w:val="9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4">
    <w:name w:val="Bordered - Accent 3"/>
    <w:basedOn w:val="9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5">
    <w:name w:val="Bordered - Accent 4"/>
    <w:basedOn w:val="9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6">
    <w:name w:val="Bordered - Accent 5"/>
    <w:basedOn w:val="9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7">
    <w:name w:val="Bordered - Accent 6"/>
    <w:basedOn w:val="9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8">
    <w:name w:val="footnote text"/>
    <w:basedOn w:val="971"/>
    <w:link w:val="949"/>
    <w:uiPriority w:val="99"/>
    <w:semiHidden/>
    <w:unhideWhenUsed/>
    <w:pPr>
      <w:spacing w:after="40" w:line="240" w:lineRule="auto"/>
    </w:pPr>
    <w:rPr>
      <w:sz w:val="18"/>
    </w:rPr>
  </w:style>
  <w:style w:type="character" w:styleId="949">
    <w:name w:val="Footnote Text Char"/>
    <w:link w:val="948"/>
    <w:uiPriority w:val="99"/>
    <w:rPr>
      <w:sz w:val="18"/>
    </w:rPr>
  </w:style>
  <w:style w:type="character" w:styleId="950">
    <w:name w:val="footnote reference"/>
    <w:basedOn w:val="977"/>
    <w:uiPriority w:val="99"/>
    <w:unhideWhenUsed/>
    <w:rPr>
      <w:vertAlign w:val="superscript"/>
    </w:rPr>
  </w:style>
  <w:style w:type="paragraph" w:styleId="951">
    <w:name w:val="endnote text"/>
    <w:basedOn w:val="971"/>
    <w:link w:val="952"/>
    <w:uiPriority w:val="99"/>
    <w:semiHidden/>
    <w:unhideWhenUsed/>
    <w:pPr>
      <w:spacing w:after="0" w:line="240" w:lineRule="auto"/>
    </w:pPr>
    <w:rPr>
      <w:sz w:val="20"/>
    </w:rPr>
  </w:style>
  <w:style w:type="character" w:styleId="952">
    <w:name w:val="Endnote Text Char"/>
    <w:link w:val="951"/>
    <w:uiPriority w:val="99"/>
    <w:rPr>
      <w:sz w:val="20"/>
    </w:rPr>
  </w:style>
  <w:style w:type="character" w:styleId="953">
    <w:name w:val="endnote reference"/>
    <w:basedOn w:val="977"/>
    <w:uiPriority w:val="99"/>
    <w:semiHidden/>
    <w:unhideWhenUsed/>
    <w:rPr>
      <w:vertAlign w:val="superscript"/>
    </w:rPr>
  </w:style>
  <w:style w:type="paragraph" w:styleId="954">
    <w:name w:val="toc 2"/>
    <w:basedOn w:val="971"/>
    <w:next w:val="971"/>
    <w:uiPriority w:val="39"/>
    <w:unhideWhenUsed/>
    <w:pPr>
      <w:ind w:left="283" w:right="0" w:firstLine="0"/>
      <w:spacing w:after="57"/>
    </w:pPr>
  </w:style>
  <w:style w:type="paragraph" w:styleId="955">
    <w:name w:val="toc 3"/>
    <w:basedOn w:val="971"/>
    <w:next w:val="971"/>
    <w:uiPriority w:val="39"/>
    <w:unhideWhenUsed/>
    <w:pPr>
      <w:ind w:left="567" w:right="0" w:firstLine="0"/>
      <w:spacing w:after="57"/>
    </w:pPr>
  </w:style>
  <w:style w:type="paragraph" w:styleId="956">
    <w:name w:val="toc 4"/>
    <w:basedOn w:val="971"/>
    <w:next w:val="971"/>
    <w:uiPriority w:val="39"/>
    <w:unhideWhenUsed/>
    <w:pPr>
      <w:ind w:left="850" w:right="0" w:firstLine="0"/>
      <w:spacing w:after="57"/>
    </w:pPr>
  </w:style>
  <w:style w:type="paragraph" w:styleId="957">
    <w:name w:val="toc 5"/>
    <w:basedOn w:val="971"/>
    <w:next w:val="971"/>
    <w:uiPriority w:val="39"/>
    <w:unhideWhenUsed/>
    <w:pPr>
      <w:ind w:left="1134" w:right="0" w:firstLine="0"/>
      <w:spacing w:after="57"/>
    </w:pPr>
  </w:style>
  <w:style w:type="paragraph" w:styleId="958">
    <w:name w:val="toc 6"/>
    <w:basedOn w:val="971"/>
    <w:next w:val="971"/>
    <w:uiPriority w:val="39"/>
    <w:unhideWhenUsed/>
    <w:pPr>
      <w:ind w:left="1417" w:right="0" w:firstLine="0"/>
      <w:spacing w:after="57"/>
    </w:pPr>
  </w:style>
  <w:style w:type="paragraph" w:styleId="959">
    <w:name w:val="toc 7"/>
    <w:basedOn w:val="971"/>
    <w:next w:val="971"/>
    <w:uiPriority w:val="39"/>
    <w:unhideWhenUsed/>
    <w:pPr>
      <w:ind w:left="1701" w:right="0" w:firstLine="0"/>
      <w:spacing w:after="57"/>
    </w:pPr>
  </w:style>
  <w:style w:type="paragraph" w:styleId="960">
    <w:name w:val="toc 8"/>
    <w:basedOn w:val="971"/>
    <w:next w:val="971"/>
    <w:uiPriority w:val="39"/>
    <w:unhideWhenUsed/>
    <w:pPr>
      <w:ind w:left="1984" w:right="0" w:firstLine="0"/>
      <w:spacing w:after="57"/>
    </w:pPr>
  </w:style>
  <w:style w:type="paragraph" w:styleId="961">
    <w:name w:val="toc 9"/>
    <w:basedOn w:val="971"/>
    <w:next w:val="971"/>
    <w:uiPriority w:val="39"/>
    <w:unhideWhenUsed/>
    <w:pPr>
      <w:ind w:left="2268" w:right="0" w:firstLine="0"/>
      <w:spacing w:after="57"/>
    </w:pPr>
  </w:style>
  <w:style w:type="paragraph" w:styleId="962">
    <w:name w:val="table of figures"/>
    <w:basedOn w:val="971"/>
    <w:next w:val="971"/>
    <w:uiPriority w:val="99"/>
    <w:unhideWhenUsed/>
    <w:pPr>
      <w:spacing w:after="0" w:afterAutospacing="0"/>
    </w:pPr>
  </w:style>
  <w:style w:type="table" w:styleId="963">
    <w:name w:val="Table Normal"/>
    <w:tblPr/>
  </w:style>
  <w:style w:type="paragraph" w:styleId="964">
    <w:name w:val="Heading 1"/>
    <w:basedOn w:val="971"/>
    <w:next w:val="971"/>
    <w:pPr>
      <w:keepLines/>
      <w:keepNext/>
      <w:spacing w:before="480"/>
    </w:pPr>
    <w:rPr>
      <w:rFonts w:ascii="Calibri" w:hAnsi="Calibri" w:eastAsia="Calibri" w:cs="Calibri"/>
      <w:b/>
      <w:color w:val="366091"/>
      <w:sz w:val="28"/>
      <w:szCs w:val="28"/>
    </w:rPr>
  </w:style>
  <w:style w:type="paragraph" w:styleId="965">
    <w:name w:val="Heading 2"/>
    <w:basedOn w:val="971"/>
    <w:next w:val="971"/>
    <w:pPr>
      <w:ind w:right="0"/>
      <w:jc w:val="center"/>
      <w:keepNext/>
      <w:tabs>
        <w:tab w:val="left" w:pos="1701" w:leader="none"/>
      </w:tabs>
    </w:pPr>
    <w:rPr>
      <w:rFonts w:ascii="Times New Roman" w:hAnsi="Times New Roman" w:eastAsia="Times New Roman" w:cs="Times New Roman"/>
      <w:b/>
      <w:color w:val="000000"/>
    </w:rPr>
  </w:style>
  <w:style w:type="paragraph" w:styleId="966">
    <w:name w:val="Heading 3"/>
    <w:basedOn w:val="971"/>
    <w:next w:val="971"/>
    <w:pPr>
      <w:keepLines/>
      <w:keepNext/>
      <w:spacing w:before="40" w:line="259" w:lineRule="auto"/>
    </w:pPr>
    <w:rPr>
      <w:rFonts w:ascii="Calibri" w:hAnsi="Calibri" w:eastAsia="Calibri" w:cs="Calibri"/>
      <w:color w:val="243f61"/>
    </w:rPr>
  </w:style>
  <w:style w:type="paragraph" w:styleId="967">
    <w:name w:val="Heading 4"/>
    <w:basedOn w:val="971"/>
    <w:next w:val="971"/>
    <w:pPr>
      <w:keepLines/>
      <w:keepNext/>
      <w:spacing w:before="40"/>
    </w:pPr>
    <w:rPr>
      <w:rFonts w:ascii="Calibri" w:hAnsi="Calibri" w:eastAsia="Calibri" w:cs="Calibri"/>
      <w:i/>
      <w:color w:val="366091"/>
    </w:rPr>
  </w:style>
  <w:style w:type="paragraph" w:styleId="968">
    <w:name w:val="Heading 5"/>
    <w:basedOn w:val="971"/>
    <w:next w:val="971"/>
    <w:pPr>
      <w:keepLines/>
      <w:keepNext/>
      <w:pageBreakBefore w:val="0"/>
      <w:spacing w:before="220" w:after="40"/>
    </w:pPr>
    <w:rPr>
      <w:b/>
      <w:sz w:val="22"/>
      <w:szCs w:val="22"/>
    </w:rPr>
  </w:style>
  <w:style w:type="paragraph" w:styleId="969">
    <w:name w:val="Heading 6"/>
    <w:basedOn w:val="971"/>
    <w:next w:val="971"/>
    <w:pPr>
      <w:keepLines/>
      <w:keepNext/>
      <w:spacing w:before="40" w:line="259" w:lineRule="auto"/>
    </w:pPr>
    <w:rPr>
      <w:rFonts w:ascii="Calibri" w:hAnsi="Calibri" w:eastAsia="Calibri" w:cs="Calibri"/>
      <w:color w:val="243f61"/>
      <w:sz w:val="22"/>
      <w:szCs w:val="22"/>
    </w:rPr>
  </w:style>
  <w:style w:type="paragraph" w:styleId="970">
    <w:name w:val="Title"/>
    <w:basedOn w:val="971"/>
    <w:next w:val="971"/>
    <w:pPr>
      <w:spacing w:after="300"/>
      <w:pBdr>
        <w:bottom w:val="single" w:color="4F81BD" w:sz="8" w:space="4"/>
      </w:pBdr>
    </w:pPr>
    <w:rPr>
      <w:rFonts w:ascii="Calibri" w:hAnsi="Calibri" w:eastAsia="Calibri" w:cs="Calibri"/>
      <w:color w:val="17365d"/>
      <w:sz w:val="52"/>
      <w:szCs w:val="52"/>
    </w:rPr>
  </w:style>
  <w:style w:type="paragraph" w:styleId="971" w:default="1">
    <w:name w:val="Normal"/>
    <w:rPr>
      <w:rFonts w:ascii="Ecofont_Spranq_eco_Sans" w:hAnsi="Ecofont_Spranq_eco_Sans" w:cs="Tahoma"/>
      <w:sz w:val="24"/>
      <w:szCs w:val="24"/>
      <w:lang w:eastAsia="pt-BR"/>
    </w:rPr>
  </w:style>
  <w:style w:type="paragraph" w:styleId="972">
    <w:name w:val="Heading 1"/>
    <w:basedOn w:val="971"/>
    <w:next w:val="971"/>
    <w:link w:val="1015"/>
    <w:pPr>
      <w:keepLines/>
      <w:keepNext/>
      <w:spacing w:before="480"/>
      <w:outlineLvl w:val="0"/>
    </w:pPr>
    <w:rPr>
      <w:rFonts w:asciiTheme="majorHAnsi" w:hAnsiTheme="majorHAnsi" w:eastAsiaTheme="majorEastAsia" w:cstheme="majorBidi"/>
      <w:b/>
      <w:bCs/>
      <w:color w:val="365f91" w:themeColor="accent1" w:themeShade="00"/>
      <w:sz w:val="28"/>
      <w:szCs w:val="28"/>
    </w:rPr>
  </w:style>
  <w:style w:type="paragraph" w:styleId="973">
    <w:name w:val="Heading 2"/>
    <w:basedOn w:val="971"/>
    <w:next w:val="971"/>
    <w:link w:val="984"/>
    <w:pPr>
      <w:ind w:right="-1"/>
      <w:jc w:val="center"/>
      <w:keepNext/>
      <w:tabs>
        <w:tab w:val="left" w:pos="1701" w:leader="none"/>
      </w:tabs>
      <w:outlineLvl w:val="1"/>
    </w:pPr>
    <w:rPr>
      <w:rFonts w:ascii="Times New Roman" w:hAnsi="Times New Roman" w:cs="Times New Roman"/>
      <w:b/>
      <w:color w:val="000000"/>
      <w:szCs w:val="20"/>
    </w:rPr>
  </w:style>
  <w:style w:type="paragraph" w:styleId="974">
    <w:name w:val="Heading 3"/>
    <w:basedOn w:val="971"/>
    <w:next w:val="971"/>
    <w:link w:val="1065"/>
    <w:uiPriority w:val="9"/>
    <w:semiHidden/>
    <w:unhideWhenUsed/>
    <w:qFormat/>
    <w:pPr>
      <w:keepLines/>
      <w:keepNext/>
      <w:spacing w:before="40" w:line="259" w:lineRule="auto"/>
      <w:outlineLvl w:val="2"/>
    </w:pPr>
    <w:rPr>
      <w:rFonts w:asciiTheme="majorHAnsi" w:hAnsiTheme="majorHAnsi" w:eastAsiaTheme="majorEastAsia" w:cstheme="majorBidi"/>
      <w:color w:val="243f60" w:themeColor="accent1" w:themeShade="00"/>
      <w:lang w:eastAsia="en-US"/>
    </w:rPr>
  </w:style>
  <w:style w:type="paragraph" w:styleId="975">
    <w:name w:val="Heading 4"/>
    <w:basedOn w:val="971"/>
    <w:next w:val="971"/>
    <w:link w:val="1009"/>
    <w:semiHidden/>
    <w:unhideWhenUsed/>
    <w:qFormat/>
    <w:pPr>
      <w:keepLines/>
      <w:keepNext/>
      <w:spacing w:before="40"/>
      <w:outlineLvl w:val="3"/>
    </w:pPr>
    <w:rPr>
      <w:rFonts w:asciiTheme="majorHAnsi" w:hAnsiTheme="majorHAnsi" w:eastAsiaTheme="majorEastAsia" w:cstheme="majorBidi"/>
      <w:i/>
      <w:iCs/>
      <w:color w:val="365f91" w:themeColor="accent1" w:themeShade="00"/>
    </w:rPr>
  </w:style>
  <w:style w:type="paragraph" w:styleId="976">
    <w:name w:val="Heading 6"/>
    <w:basedOn w:val="971"/>
    <w:next w:val="971"/>
    <w:link w:val="1066"/>
    <w:uiPriority w:val="9"/>
    <w:semiHidden/>
    <w:unhideWhenUsed/>
    <w:qFormat/>
    <w:pPr>
      <w:keepLines/>
      <w:keepNext/>
      <w:spacing w:before="40" w:line="259" w:lineRule="auto"/>
      <w:outlineLvl w:val="5"/>
    </w:pPr>
    <w:rPr>
      <w:rFonts w:asciiTheme="majorHAnsi" w:hAnsiTheme="majorHAnsi" w:eastAsiaTheme="majorEastAsia" w:cstheme="majorBidi"/>
      <w:color w:val="243f60" w:themeColor="accent1" w:themeShade="00"/>
      <w:sz w:val="22"/>
      <w:szCs w:val="22"/>
      <w:lang w:eastAsia="en-US"/>
    </w:rPr>
  </w:style>
  <w:style w:type="character" w:styleId="977" w:default="1">
    <w:name w:val="Default Paragraph Font"/>
    <w:uiPriority w:val="1"/>
    <w:semiHidden/>
    <w:unhideWhenUsed/>
  </w:style>
  <w:style w:type="table" w:styleId="978" w:default="1">
    <w:name w:val="Normal Table"/>
    <w:uiPriority w:val="99"/>
    <w:semiHidden/>
    <w:unhideWhenUsed/>
    <w:tblPr>
      <w:tblInd w:w="0" w:type="dxa"/>
      <w:tblCellMar>
        <w:left w:w="108" w:type="dxa"/>
        <w:top w:w="0" w:type="dxa"/>
        <w:right w:w="108" w:type="dxa"/>
        <w:bottom w:w="0" w:type="dxa"/>
      </w:tblCellMar>
    </w:tblPr>
  </w:style>
  <w:style w:type="numbering" w:styleId="979" w:default="1">
    <w:name w:val="No List"/>
    <w:uiPriority w:val="99"/>
    <w:semiHidden/>
    <w:unhideWhenUsed/>
  </w:style>
  <w:style w:type="paragraph" w:styleId="980">
    <w:name w:val="List Paragraph"/>
    <w:basedOn w:val="971"/>
    <w:link w:val="1064"/>
    <w:uiPriority w:val="34"/>
    <w:qFormat/>
    <w:pPr>
      <w:contextualSpacing/>
      <w:ind w:left="720"/>
    </w:pPr>
  </w:style>
  <w:style w:type="paragraph" w:styleId="981">
    <w:name w:val="Normal (Web)"/>
    <w:basedOn w:val="971"/>
    <w:uiPriority w:val="99"/>
    <w:pPr>
      <w:spacing w:before="100" w:beforeAutospacing="1" w:after="100" w:afterAutospacing="1"/>
    </w:pPr>
    <w:rPr>
      <w:rFonts w:ascii="Times New Roman" w:hAnsi="Times New Roman" w:cs="Times New Roman"/>
    </w:rPr>
  </w:style>
  <w:style w:type="paragraph" w:styleId="982">
    <w:name w:val="Balloon Text"/>
    <w:basedOn w:val="971"/>
    <w:link w:val="983"/>
    <w:uiPriority w:val="99"/>
    <w:rPr>
      <w:rFonts w:ascii="Tahoma" w:hAnsi="Tahoma"/>
      <w:sz w:val="16"/>
      <w:szCs w:val="16"/>
    </w:rPr>
  </w:style>
  <w:style w:type="character" w:styleId="983" w:customStyle="1">
    <w:name w:val="Texto de balão Char"/>
    <w:link w:val="982"/>
    <w:uiPriority w:val="99"/>
    <w:rPr>
      <w:rFonts w:ascii="Tahoma" w:hAnsi="Tahoma" w:cs="Tahoma"/>
      <w:sz w:val="16"/>
      <w:szCs w:val="16"/>
    </w:rPr>
  </w:style>
  <w:style w:type="character" w:styleId="984" w:customStyle="1">
    <w:name w:val="Título 2 Char"/>
    <w:link w:val="973"/>
    <w:rPr>
      <w:b/>
      <w:color w:val="000000"/>
      <w:sz w:val="24"/>
    </w:rPr>
  </w:style>
  <w:style w:type="paragraph" w:styleId="985" w:customStyle="1">
    <w:name w:val="Nível 2"/>
    <w:basedOn w:val="971"/>
    <w:next w:val="971"/>
    <w:pPr>
      <w:jc w:val="both"/>
      <w:spacing w:after="120"/>
    </w:pPr>
    <w:rPr>
      <w:rFonts w:ascii="Arial" w:hAnsi="Arial" w:cs="Times New Roman"/>
      <w:b/>
      <w:szCs w:val="20"/>
    </w:rPr>
  </w:style>
  <w:style w:type="character" w:styleId="986" w:customStyle="1">
    <w:name w:val="normal__char1"/>
    <w:rPr>
      <w:rFonts w:hint="default" w:ascii="Arial" w:hAnsi="Arial" w:cs="Arial"/>
      <w:strike w:val="0"/>
      <w:sz w:val="24"/>
      <w:szCs w:val="24"/>
      <w:u w:val="none"/>
    </w:rPr>
  </w:style>
  <w:style w:type="character" w:styleId="987" w:customStyle="1">
    <w:name w:val="apple-style-span"/>
    <w:basedOn w:val="977"/>
  </w:style>
  <w:style w:type="character" w:styleId="988">
    <w:name w:val="Hyperlink"/>
    <w:uiPriority w:val="99"/>
    <w:rPr>
      <w:color w:val="000080"/>
      <w:u w:val="single"/>
    </w:rPr>
  </w:style>
  <w:style w:type="paragraph" w:styleId="989">
    <w:name w:val="Quote"/>
    <w:basedOn w:val="971"/>
    <w:next w:val="971"/>
    <w:link w:val="990"/>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990" w:customStyle="1">
    <w:name w:val="Citação Char"/>
    <w:link w:val="989"/>
    <w:qFormat/>
    <w:rPr>
      <w:rFonts w:ascii="Arial" w:hAnsi="Arial" w:eastAsia="Calibri" w:cs="Tahoma"/>
      <w:i/>
      <w:iCs/>
      <w:color w:val="000000"/>
      <w:szCs w:val="24"/>
      <w:shd w:val="clear" w:color="auto" w:fill="ffffcc"/>
    </w:rPr>
  </w:style>
  <w:style w:type="paragraph" w:styleId="991">
    <w:name w:val="List Bullet 5"/>
    <w:basedOn w:val="971"/>
    <w:pPr>
      <w:numPr>
        <w:numId w:val="0"/>
      </w:numPr>
      <w:contextualSpacing/>
    </w:pPr>
  </w:style>
  <w:style w:type="paragraph" w:styleId="992" w:customStyle="1">
    <w:name w:val="Nota explicativa"/>
    <w:basedOn w:val="989"/>
    <w:link w:val="993"/>
    <w:qFormat/>
    <w:rPr>
      <w:szCs w:val="20"/>
    </w:rPr>
  </w:style>
  <w:style w:type="character" w:styleId="993" w:customStyle="1">
    <w:name w:val="Nota explicativa Char"/>
    <w:basedOn w:val="990"/>
    <w:link w:val="992"/>
    <w:rPr>
      <w:rFonts w:ascii="Arial" w:hAnsi="Arial" w:eastAsia="Calibri" w:cs="Tahoma"/>
      <w:i/>
      <w:iCs/>
      <w:color w:val="000000"/>
      <w:szCs w:val="24"/>
      <w:shd w:val="clear" w:color="auto" w:fill="ffffcc"/>
    </w:rPr>
  </w:style>
  <w:style w:type="paragraph" w:styleId="994">
    <w:name w:val="Header"/>
    <w:basedOn w:val="971"/>
    <w:link w:val="995"/>
    <w:pPr>
      <w:tabs>
        <w:tab w:val="center" w:pos="4252" w:leader="none"/>
        <w:tab w:val="right" w:pos="8504" w:leader="none"/>
      </w:tabs>
    </w:pPr>
  </w:style>
  <w:style w:type="character" w:styleId="995" w:customStyle="1">
    <w:name w:val="Cabeçalho Char"/>
    <w:link w:val="994"/>
    <w:rPr>
      <w:rFonts w:ascii="Ecofont_Spranq_eco_Sans" w:hAnsi="Ecofont_Spranq_eco_Sans" w:cs="Tahoma"/>
      <w:sz w:val="24"/>
      <w:szCs w:val="24"/>
    </w:rPr>
  </w:style>
  <w:style w:type="paragraph" w:styleId="996">
    <w:name w:val="Footer"/>
    <w:basedOn w:val="971"/>
    <w:link w:val="997"/>
    <w:uiPriority w:val="99"/>
    <w:pPr>
      <w:tabs>
        <w:tab w:val="center" w:pos="4252" w:leader="none"/>
        <w:tab w:val="right" w:pos="8504" w:leader="none"/>
      </w:tabs>
    </w:pPr>
  </w:style>
  <w:style w:type="character" w:styleId="997" w:customStyle="1">
    <w:name w:val="Rodapé Char"/>
    <w:link w:val="996"/>
    <w:uiPriority w:val="99"/>
    <w:qFormat/>
    <w:rPr>
      <w:rFonts w:ascii="Ecofont_Spranq_eco_Sans" w:hAnsi="Ecofont_Spranq_eco_Sans" w:cs="Tahoma"/>
      <w:sz w:val="24"/>
      <w:szCs w:val="24"/>
    </w:rPr>
  </w:style>
  <w:style w:type="numbering" w:styleId="998" w:customStyle="1">
    <w:name w:val="Estilo1"/>
    <w:uiPriority w:val="99"/>
    <w:pPr>
      <w:numPr>
        <w:numId w:val="0"/>
      </w:numPr>
    </w:pPr>
  </w:style>
  <w:style w:type="numbering" w:styleId="999" w:customStyle="1">
    <w:name w:val="Estilo2"/>
    <w:uiPriority w:val="99"/>
    <w:pPr>
      <w:numPr>
        <w:numId w:val="0"/>
      </w:numPr>
    </w:pPr>
  </w:style>
  <w:style w:type="numbering" w:styleId="1000" w:customStyle="1">
    <w:name w:val="Estilo3"/>
    <w:uiPriority w:val="99"/>
    <w:pPr>
      <w:numPr>
        <w:numId w:val="0"/>
      </w:numPr>
    </w:pPr>
  </w:style>
  <w:style w:type="numbering" w:styleId="1001" w:customStyle="1">
    <w:name w:val="Estilo4"/>
    <w:uiPriority w:val="99"/>
    <w:pPr>
      <w:numPr>
        <w:numId w:val="0"/>
      </w:numPr>
    </w:pPr>
  </w:style>
  <w:style w:type="numbering" w:styleId="1002" w:customStyle="1">
    <w:name w:val="Estilo5"/>
    <w:uiPriority w:val="99"/>
    <w:pPr>
      <w:numPr>
        <w:numId w:val="0"/>
      </w:numPr>
    </w:pPr>
  </w:style>
  <w:style w:type="numbering" w:styleId="1003" w:customStyle="1">
    <w:name w:val="Estilo6"/>
    <w:uiPriority w:val="99"/>
    <w:pPr>
      <w:numPr>
        <w:numId w:val="0"/>
      </w:numPr>
    </w:pPr>
  </w:style>
  <w:style w:type="character" w:styleId="1004">
    <w:name w:val="annotation reference"/>
    <w:basedOn w:val="977"/>
    <w:unhideWhenUsed/>
    <w:qFormat/>
    <w:rPr>
      <w:sz w:val="16"/>
      <w:szCs w:val="16"/>
    </w:rPr>
  </w:style>
  <w:style w:type="paragraph" w:styleId="1005">
    <w:name w:val="annotation text"/>
    <w:basedOn w:val="971"/>
    <w:link w:val="1006"/>
    <w:unhideWhenUsed/>
    <w:qFormat/>
    <w:rPr>
      <w:sz w:val="20"/>
      <w:szCs w:val="20"/>
    </w:rPr>
  </w:style>
  <w:style w:type="character" w:styleId="1006" w:customStyle="1">
    <w:name w:val="Texto de comentário Char"/>
    <w:basedOn w:val="977"/>
    <w:link w:val="1005"/>
    <w:qFormat/>
    <w:rPr>
      <w:rFonts w:ascii="Ecofont_Spranq_eco_Sans" w:hAnsi="Ecofont_Spranq_eco_Sans" w:cs="Tahoma"/>
      <w:lang w:eastAsia="pt-BR"/>
    </w:rPr>
  </w:style>
  <w:style w:type="paragraph" w:styleId="1007">
    <w:name w:val="annotation subject"/>
    <w:basedOn w:val="1005"/>
    <w:next w:val="1005"/>
    <w:link w:val="1008"/>
    <w:semiHidden/>
    <w:unhideWhenUsed/>
    <w:rPr>
      <w:b/>
      <w:bCs/>
    </w:rPr>
  </w:style>
  <w:style w:type="character" w:styleId="1008" w:customStyle="1">
    <w:name w:val="Assunto do comentário Char"/>
    <w:basedOn w:val="1006"/>
    <w:link w:val="1007"/>
    <w:semiHidden/>
    <w:rPr>
      <w:rFonts w:ascii="Ecofont_Spranq_eco_Sans" w:hAnsi="Ecofont_Spranq_eco_Sans" w:cs="Tahoma"/>
      <w:b/>
      <w:bCs/>
      <w:lang w:eastAsia="pt-BR"/>
    </w:rPr>
  </w:style>
  <w:style w:type="character" w:styleId="1009" w:customStyle="1">
    <w:name w:val="Título 4 Char"/>
    <w:basedOn w:val="977"/>
    <w:link w:val="975"/>
    <w:rPr>
      <w:rFonts w:asciiTheme="majorHAnsi" w:hAnsiTheme="majorHAnsi" w:eastAsiaTheme="majorEastAsia" w:cstheme="majorBidi"/>
      <w:i/>
      <w:iCs/>
      <w:color w:val="365f91" w:themeColor="accent1" w:themeShade="00"/>
      <w:sz w:val="24"/>
      <w:szCs w:val="24"/>
      <w:lang w:eastAsia="pt-BR"/>
    </w:rPr>
  </w:style>
  <w:style w:type="paragraph" w:styleId="1010" w:customStyle="1">
    <w:name w:val="Nivel 01"/>
    <w:basedOn w:val="972"/>
    <w:next w:val="971"/>
    <w:link w:val="1014"/>
    <w:qFormat/>
    <w:pPr>
      <w:numPr>
        <w:numId w:val="1"/>
      </w:numPr>
      <w:ind w:left="0" w:firstLine="0"/>
      <w:jc w:val="both"/>
      <w:spacing w:before="240"/>
      <w:tabs>
        <w:tab w:val="left" w:pos="567" w:leader="none"/>
      </w:tabs>
    </w:pPr>
    <w:rPr>
      <w:rFonts w:ascii="Arial" w:hAnsi="Arial" w:cs="Arial"/>
      <w:color w:val="auto"/>
      <w:sz w:val="20"/>
      <w:szCs w:val="20"/>
    </w:rPr>
  </w:style>
  <w:style w:type="paragraph" w:styleId="1011" w:customStyle="1">
    <w:name w:val="Nivel_01_Titulo"/>
    <w:basedOn w:val="1010"/>
    <w:link w:val="1016"/>
    <w:pPr>
      <w:jc w:val="left"/>
    </w:pPr>
    <w:rPr>
      <w:rFonts w:cstheme="majorBidi"/>
      <w:color w:val="000000" w:themeColor="text1"/>
      <w:spacing w:val="5"/>
      <w:sz w:val="52"/>
      <w:szCs w:val="52"/>
    </w:rPr>
  </w:style>
  <w:style w:type="paragraph" w:styleId="1012">
    <w:name w:val="Title"/>
    <w:basedOn w:val="971"/>
    <w:next w:val="971"/>
    <w:link w:val="1013"/>
    <w:pPr>
      <w:contextualSpacing/>
      <w:spacing w:after="300"/>
      <w:pBdr>
        <w:bottom w:val="single" w:color="4F81BD" w:themeColor="accent1" w:sz="8" w:space="4"/>
      </w:pBdr>
    </w:pPr>
    <w:rPr>
      <w:rFonts w:asciiTheme="majorHAnsi" w:hAnsiTheme="majorHAnsi" w:eastAsiaTheme="majorEastAsia" w:cstheme="majorBidi"/>
      <w:color w:val="17365d" w:themeColor="text2" w:themeShade="00"/>
      <w:spacing w:val="5"/>
      <w:sz w:val="52"/>
      <w:szCs w:val="52"/>
    </w:rPr>
  </w:style>
  <w:style w:type="character" w:styleId="1013" w:customStyle="1">
    <w:name w:val="Título Char"/>
    <w:basedOn w:val="977"/>
    <w:link w:val="1012"/>
    <w:rPr>
      <w:rFonts w:asciiTheme="majorHAnsi" w:hAnsiTheme="majorHAnsi" w:eastAsiaTheme="majorEastAsia" w:cstheme="majorBidi"/>
      <w:color w:val="17365d" w:themeColor="text2" w:themeShade="00"/>
      <w:spacing w:val="5"/>
      <w:sz w:val="52"/>
      <w:szCs w:val="52"/>
      <w:lang w:eastAsia="pt-BR"/>
    </w:rPr>
  </w:style>
  <w:style w:type="character" w:styleId="1014" w:customStyle="1">
    <w:name w:val="Nivel 01 Char"/>
    <w:basedOn w:val="1013"/>
    <w:link w:val="1010"/>
    <w:rPr>
      <w:rFonts w:ascii="Arial" w:hAnsi="Arial" w:cs="Arial" w:eastAsiaTheme="majorEastAsia"/>
      <w:b/>
      <w:bCs/>
      <w:color w:val="17365d" w:themeColor="text2" w:themeShade="00"/>
      <w:spacing w:val="5"/>
      <w:sz w:val="52"/>
      <w:szCs w:val="52"/>
      <w:lang w:eastAsia="pt-BR"/>
    </w:rPr>
  </w:style>
  <w:style w:type="character" w:styleId="1015" w:customStyle="1">
    <w:name w:val="Título 1 Char"/>
    <w:basedOn w:val="977"/>
    <w:link w:val="972"/>
    <w:rPr>
      <w:rFonts w:asciiTheme="majorHAnsi" w:hAnsiTheme="majorHAnsi" w:eastAsiaTheme="majorEastAsia" w:cstheme="majorBidi"/>
      <w:b/>
      <w:bCs/>
      <w:color w:val="365f91" w:themeColor="accent1" w:themeShade="00"/>
      <w:sz w:val="28"/>
      <w:szCs w:val="28"/>
      <w:lang w:eastAsia="pt-BR"/>
    </w:rPr>
  </w:style>
  <w:style w:type="character" w:styleId="1016" w:customStyle="1">
    <w:name w:val="Nivel_01_Titulo Char"/>
    <w:basedOn w:val="1014"/>
    <w:link w:val="1011"/>
    <w:qFormat/>
    <w:rPr>
      <w:rFonts w:ascii="Arial" w:hAnsi="Arial" w:eastAsiaTheme="majorEastAsia" w:cstheme="majorBidi"/>
      <w:b/>
      <w:bCs/>
      <w:color w:val="000000" w:themeColor="text1"/>
      <w:spacing w:val="5"/>
      <w:sz w:val="52"/>
      <w:szCs w:val="52"/>
      <w:lang w:eastAsia="pt-BR"/>
    </w:rPr>
  </w:style>
  <w:style w:type="table" w:styleId="1017">
    <w:name w:val="Table Grid"/>
    <w:basedOn w:val="978"/>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8" w:customStyle="1">
    <w:name w:val="PADRÃO"/>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eastAsia="zh-CN" w:bidi="hi-IN"/>
    </w:rPr>
  </w:style>
  <w:style w:type="character" w:styleId="1019" w:customStyle="1">
    <w:name w:val="Quote Char"/>
    <w:basedOn w:val="977"/>
    <w:link w:val="1020"/>
    <w:rPr>
      <w:rFonts w:ascii="Ecofont_Spranq_eco_Sans" w:hAnsi="Ecofont_Spranq_eco_Sans" w:eastAsia="Calibri" w:cs="Tahoma"/>
      <w:i/>
      <w:iCs/>
      <w:color w:val="000000"/>
      <w:shd w:val="clear" w:color="auto" w:fill="ffffcc"/>
    </w:rPr>
  </w:style>
  <w:style w:type="paragraph" w:styleId="1020" w:customStyle="1">
    <w:name w:val="Citação1"/>
    <w:basedOn w:val="971"/>
    <w:next w:val="971"/>
    <w:link w:val="1019"/>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021" w:customStyle="1">
    <w:name w:val="paragraph"/>
    <w:basedOn w:val="971"/>
    <w:pPr>
      <w:spacing w:before="100" w:beforeAutospacing="1" w:after="100" w:afterAutospacing="1"/>
    </w:pPr>
    <w:rPr>
      <w:rFonts w:ascii="Times New Roman" w:hAnsi="Times New Roman" w:eastAsia="Times New Roman" w:cs="Times New Roman"/>
    </w:rPr>
  </w:style>
  <w:style w:type="character" w:styleId="1022" w:customStyle="1">
    <w:name w:val="normaltextrun"/>
    <w:basedOn w:val="977"/>
  </w:style>
  <w:style w:type="character" w:styleId="1023" w:customStyle="1">
    <w:name w:val="eop"/>
    <w:basedOn w:val="977"/>
  </w:style>
  <w:style w:type="character" w:styleId="1024" w:customStyle="1">
    <w:name w:val="spellingerror"/>
    <w:basedOn w:val="977"/>
  </w:style>
  <w:style w:type="paragraph" w:styleId="1025">
    <w:name w:val="Body Text"/>
    <w:basedOn w:val="971"/>
    <w:link w:val="1026"/>
    <w:unhideWhenUsed/>
    <w:pPr>
      <w:spacing w:before="100" w:beforeAutospacing="1" w:after="100" w:afterAutospacing="1"/>
    </w:pPr>
    <w:rPr>
      <w:rFonts w:ascii="Times New Roman" w:hAnsi="Times New Roman" w:eastAsia="Times New Roman" w:cs="Times New Roman"/>
    </w:rPr>
  </w:style>
  <w:style w:type="character" w:styleId="1026" w:customStyle="1">
    <w:name w:val="Corpo de texto Char"/>
    <w:basedOn w:val="977"/>
    <w:link w:val="1025"/>
    <w:rPr>
      <w:rFonts w:eastAsia="Times New Roman"/>
      <w:sz w:val="24"/>
      <w:szCs w:val="24"/>
      <w:lang w:eastAsia="pt-BR"/>
    </w:rPr>
  </w:style>
  <w:style w:type="paragraph" w:styleId="1027" w:customStyle="1">
    <w:name w:val="Nivel1"/>
    <w:basedOn w:val="972"/>
    <w:link w:val="1028"/>
    <w:qFormat/>
    <w:pPr>
      <w:ind w:left="357" w:hanging="357"/>
      <w:jc w:val="both"/>
      <w:spacing w:line="276" w:lineRule="auto"/>
    </w:pPr>
    <w:rPr>
      <w:rFonts w:ascii="Arial" w:hAnsi="Arial" w:cs="Arial"/>
      <w:bCs w:val="0"/>
      <w:color w:val="000000"/>
    </w:rPr>
  </w:style>
  <w:style w:type="character" w:styleId="1028" w:customStyle="1">
    <w:name w:val="Nivel1 Char"/>
    <w:basedOn w:val="1015"/>
    <w:link w:val="1027"/>
    <w:rPr>
      <w:rFonts w:ascii="Arial" w:hAnsi="Arial" w:cs="Arial" w:eastAsiaTheme="majorEastAsia"/>
      <w:b/>
      <w:bCs w:val="0"/>
      <w:color w:val="000000"/>
      <w:sz w:val="28"/>
      <w:szCs w:val="28"/>
      <w:lang w:eastAsia="pt-BR"/>
    </w:rPr>
  </w:style>
  <w:style w:type="paragraph" w:styleId="1029" w:customStyle="1">
    <w:name w:val="Parágrafo da Lista1"/>
    <w:basedOn w:val="971"/>
    <w:pPr>
      <w:ind w:left="720"/>
    </w:pPr>
    <w:rPr>
      <w:rFonts w:eastAsia="Times New Roman" w:cs="Ecofont_Spranq_eco_Sans"/>
    </w:rPr>
  </w:style>
  <w:style w:type="paragraph" w:styleId="1030" w:customStyle="1">
    <w:name w:val="Nivel 2"/>
    <w:basedOn w:val="971"/>
    <w:link w:val="1058"/>
    <w:qFormat/>
    <w:pPr>
      <w:numPr>
        <w:ilvl w:val="1"/>
        <w:numId w:val="1"/>
      </w:numPr>
      <w:ind w:left="0" w:firstLine="0"/>
      <w:jc w:val="both"/>
      <w:spacing w:before="120" w:after="120" w:line="276" w:lineRule="auto"/>
    </w:pPr>
    <w:rPr>
      <w:rFonts w:ascii="Arial" w:hAnsi="Arial" w:cs="Arial"/>
      <w:color w:val="000000"/>
      <w:sz w:val="20"/>
      <w:szCs w:val="20"/>
    </w:rPr>
  </w:style>
  <w:style w:type="paragraph" w:styleId="1031" w:customStyle="1">
    <w:name w:val="Nivel 1"/>
    <w:basedOn w:val="1030"/>
    <w:next w:val="1030"/>
    <w:pPr>
      <w:numPr>
        <w:ilvl w:val="0"/>
        <w:numId w:val="0"/>
      </w:numPr>
      <w:ind w:left="360" w:hanging="360"/>
    </w:pPr>
    <w:rPr>
      <w:b/>
    </w:rPr>
  </w:style>
  <w:style w:type="paragraph" w:styleId="1032" w:customStyle="1">
    <w:name w:val="Nivel 3"/>
    <w:basedOn w:val="971"/>
    <w:link w:val="1084"/>
    <w:qFormat/>
    <w:pPr>
      <w:numPr>
        <w:ilvl w:val="2"/>
        <w:numId w:val="1"/>
      </w:numPr>
      <w:ind w:left="284" w:firstLine="0"/>
      <w:jc w:val="both"/>
      <w:spacing w:before="120" w:after="120" w:line="276" w:lineRule="auto"/>
    </w:pPr>
    <w:rPr>
      <w:rFonts w:ascii="Arial" w:hAnsi="Arial" w:cs="Arial"/>
      <w:color w:val="000000"/>
      <w:sz w:val="20"/>
      <w:szCs w:val="20"/>
    </w:rPr>
  </w:style>
  <w:style w:type="paragraph" w:styleId="1033" w:customStyle="1">
    <w:name w:val="Nivel 4"/>
    <w:basedOn w:val="1032"/>
    <w:link w:val="1035"/>
    <w:qFormat/>
    <w:pPr>
      <w:numPr>
        <w:ilvl w:val="3"/>
      </w:numPr>
      <w:ind w:left="567" w:firstLine="0"/>
    </w:pPr>
    <w:rPr>
      <w:color w:val="auto"/>
    </w:rPr>
  </w:style>
  <w:style w:type="paragraph" w:styleId="1034" w:customStyle="1">
    <w:name w:val="Nivel 5"/>
    <w:basedOn w:val="1033"/>
    <w:qFormat/>
    <w:pPr>
      <w:numPr>
        <w:ilvl w:val="4"/>
      </w:numPr>
      <w:ind w:left="851" w:firstLine="0"/>
    </w:pPr>
  </w:style>
  <w:style w:type="character" w:styleId="1035" w:customStyle="1">
    <w:name w:val="Nivel 4 Char"/>
    <w:basedOn w:val="977"/>
    <w:link w:val="1033"/>
    <w:rPr>
      <w:rFonts w:ascii="Arial" w:hAnsi="Arial" w:cs="Arial"/>
      <w:lang w:eastAsia="pt-BR"/>
    </w:rPr>
  </w:style>
  <w:style w:type="paragraph" w:styleId="1036" w:customStyle="1">
    <w:name w:val="textbody"/>
    <w:basedOn w:val="971"/>
    <w:pPr>
      <w:spacing w:before="100" w:beforeAutospacing="1" w:after="100" w:afterAutospacing="1"/>
    </w:pPr>
    <w:rPr>
      <w:rFonts w:ascii="Times New Roman" w:hAnsi="Times New Roman" w:eastAsia="Times New Roman" w:cs="Times New Roman"/>
    </w:rPr>
  </w:style>
  <w:style w:type="paragraph" w:styleId="1037" w:customStyle="1">
    <w:name w:val="em_0020ementa"/>
    <w:basedOn w:val="971"/>
    <w:pPr>
      <w:ind w:left="4160"/>
      <w:jc w:val="both"/>
    </w:pPr>
    <w:rPr>
      <w:rFonts w:ascii="Times New Roman" w:hAnsi="Times New Roman" w:eastAsia="Times New Roman" w:cs="Times New Roman"/>
      <w:sz w:val="28"/>
      <w:szCs w:val="28"/>
    </w:rPr>
  </w:style>
  <w:style w:type="character" w:styleId="1038" w:customStyle="1">
    <w:name w:val="cp_0020corpodespacho__char1"/>
    <w:rPr>
      <w:rFonts w:hint="default" w:ascii="Times New Roman" w:hAnsi="Times New Roman" w:cs="Times New Roman"/>
      <w:strike w:val="0"/>
      <w:sz w:val="26"/>
      <w:szCs w:val="26"/>
      <w:u w:val="none"/>
    </w:rPr>
  </w:style>
  <w:style w:type="character" w:styleId="1039" w:customStyle="1">
    <w:name w:val="em_0020ementa__char1"/>
    <w:rPr>
      <w:rFonts w:hint="default" w:ascii="Times New Roman" w:hAnsi="Times New Roman" w:cs="Times New Roman"/>
      <w:strike w:val="0"/>
      <w:sz w:val="28"/>
      <w:szCs w:val="28"/>
      <w:u w:val="none"/>
    </w:rPr>
  </w:style>
  <w:style w:type="paragraph" w:styleId="1040">
    <w:name w:val="Revision"/>
    <w:hidden/>
    <w:uiPriority w:val="99"/>
    <w:semiHidden/>
    <w:rPr>
      <w:rFonts w:ascii="Ecofont_Spranq_eco_Sans" w:hAnsi="Ecofont_Spranq_eco_Sans" w:eastAsia="Times New Roman" w:cs="Tahoma"/>
      <w:sz w:val="24"/>
      <w:szCs w:val="24"/>
      <w:lang w:eastAsia="pt-BR"/>
    </w:rPr>
  </w:style>
  <w:style w:type="character" w:styleId="1041">
    <w:name w:val="Strong"/>
    <w:basedOn w:val="977"/>
    <w:uiPriority w:val="22"/>
    <w:qFormat/>
    <w:rPr>
      <w:b/>
      <w:bCs/>
    </w:rPr>
  </w:style>
  <w:style w:type="character" w:styleId="1042">
    <w:name w:val="Emphasis"/>
    <w:basedOn w:val="977"/>
    <w:rPr>
      <w:i/>
      <w:iCs/>
    </w:rPr>
  </w:style>
  <w:style w:type="character" w:styleId="1043" w:customStyle="1">
    <w:name w:val="Manoel"/>
    <w:rPr>
      <w:rFonts w:ascii="Arial" w:hAnsi="Arial" w:cs="Arial"/>
      <w:color w:val="7030a0"/>
      <w:sz w:val="20"/>
    </w:rPr>
  </w:style>
  <w:style w:type="character" w:styleId="1044" w:customStyle="1">
    <w:name w:val="ListLabel 12"/>
    <w:rPr>
      <w:b/>
    </w:rPr>
  </w:style>
  <w:style w:type="paragraph" w:styleId="1045" w:customStyle="1">
    <w:name w:val="texto1"/>
    <w:basedOn w:val="971"/>
    <w:pPr>
      <w:spacing w:before="100" w:beforeAutospacing="1" w:after="100" w:afterAutospacing="1"/>
    </w:pPr>
    <w:rPr>
      <w:rFonts w:ascii="Times New Roman" w:hAnsi="Times New Roman" w:eastAsia="Times New Roman" w:cs="Times New Roman"/>
    </w:rPr>
  </w:style>
  <w:style w:type="paragraph" w:styleId="1046" w:customStyle="1">
    <w:name w:val="Grade Colorida - Ênfase 11"/>
    <w:basedOn w:val="971"/>
    <w:next w:val="971"/>
    <w:link w:val="1047"/>
    <w:uiPriority w:val="29"/>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047" w:customStyle="1">
    <w:name w:val="Grade Colorida - Ênfase 1 Char"/>
    <w:link w:val="1046"/>
    <w:uiPriority w:val="29"/>
    <w:rPr>
      <w:rFonts w:ascii="Arial" w:hAnsi="Arial" w:eastAsia="Calibri"/>
      <w:i/>
      <w:iCs/>
      <w:color w:val="000000"/>
      <w:szCs w:val="24"/>
      <w:shd w:val="clear" w:color="auto" w:fill="ffffcc"/>
    </w:rPr>
  </w:style>
  <w:style w:type="paragraph" w:styleId="1048" w:customStyle="1">
    <w:name w:val="x_western"/>
    <w:basedOn w:val="971"/>
    <w:pPr>
      <w:spacing w:before="100" w:beforeAutospacing="1" w:after="100" w:afterAutospacing="1"/>
    </w:pPr>
    <w:rPr>
      <w:rFonts w:ascii="Times New Roman" w:hAnsi="Times New Roman" w:eastAsia="Times New Roman" w:cs="Times New Roman"/>
    </w:rPr>
  </w:style>
  <w:style w:type="paragraph" w:styleId="1049" w:customStyle="1">
    <w:name w:val="TCU - Ac - item 9 - §§_0"/>
    <w:basedOn w:val="971"/>
    <w:pPr>
      <w:ind w:firstLine="1134"/>
      <w:jc w:val="both"/>
    </w:pPr>
    <w:rPr>
      <w:rFonts w:ascii="Times New Roman" w:hAnsi="Times New Roman" w:eastAsia="Times New Roman" w:cs="Times New Roman"/>
      <w:szCs w:val="22"/>
      <w:lang w:eastAsia="en-US"/>
    </w:rPr>
  </w:style>
  <w:style w:type="paragraph" w:styleId="1050" w:customStyle="1">
    <w:name w:val="Normal_1"/>
    <w:rPr>
      <w:rFonts w:eastAsia="Times New Roman"/>
      <w:sz w:val="24"/>
      <w:szCs w:val="22"/>
    </w:rPr>
  </w:style>
  <w:style w:type="paragraph" w:styleId="1051" w:customStyle="1">
    <w:name w:val="tcu_-__ac_-_item_9_-_1ª_linha"/>
    <w:basedOn w:val="971"/>
    <w:pPr>
      <w:spacing w:before="100" w:beforeAutospacing="1" w:after="100" w:afterAutospacing="1"/>
    </w:pPr>
    <w:rPr>
      <w:rFonts w:ascii="Times New Roman" w:hAnsi="Times New Roman" w:eastAsia="Times New Roman" w:cs="Times New Roman"/>
    </w:rPr>
  </w:style>
  <w:style w:type="paragraph" w:styleId="1052" w:customStyle="1">
    <w:name w:val="texto_justificado_recuo_primeira_linha"/>
    <w:basedOn w:val="971"/>
    <w:pPr>
      <w:spacing w:before="100" w:beforeAutospacing="1" w:after="100" w:afterAutospacing="1"/>
    </w:pPr>
    <w:rPr>
      <w:rFonts w:ascii="Times New Roman" w:hAnsi="Times New Roman" w:eastAsia="Times New Roman" w:cs="Times New Roman"/>
    </w:rPr>
  </w:style>
  <w:style w:type="character" w:styleId="1053" w:customStyle="1">
    <w:name w:val="highlight"/>
    <w:basedOn w:val="977"/>
  </w:style>
  <w:style w:type="paragraph" w:styleId="1054" w:customStyle="1">
    <w:name w:val="texto_justificado"/>
    <w:basedOn w:val="971"/>
    <w:pPr>
      <w:spacing w:before="100" w:beforeAutospacing="1" w:after="100" w:afterAutospacing="1"/>
    </w:pPr>
    <w:rPr>
      <w:rFonts w:ascii="Times New Roman" w:hAnsi="Times New Roman" w:eastAsia="Times New Roman" w:cs="Times New Roman"/>
    </w:rPr>
  </w:style>
  <w:style w:type="character" w:styleId="1055">
    <w:name w:val="FollowedHyperlink"/>
    <w:basedOn w:val="977"/>
    <w:semiHidden/>
    <w:unhideWhenUsed/>
    <w:rPr>
      <w:color w:val="800080" w:themeColor="followedHyperlink"/>
      <w:u w:val="single"/>
    </w:rPr>
  </w:style>
  <w:style w:type="character" w:styleId="1056" w:customStyle="1">
    <w:name w:val="Menção Pendente1"/>
    <w:basedOn w:val="977"/>
    <w:uiPriority w:val="99"/>
    <w:semiHidden/>
    <w:unhideWhenUsed/>
    <w:rPr>
      <w:color w:val="605e5c"/>
      <w:shd w:val="clear" w:color="auto" w:fill="e1dfdd"/>
    </w:rPr>
  </w:style>
  <w:style w:type="character" w:styleId="1057" w:customStyle="1">
    <w:name w:val="Menção Pendente2"/>
    <w:basedOn w:val="977"/>
    <w:uiPriority w:val="99"/>
    <w:semiHidden/>
    <w:unhideWhenUsed/>
    <w:rPr>
      <w:color w:val="605e5c"/>
      <w:shd w:val="clear" w:color="auto" w:fill="e1dfdd"/>
    </w:rPr>
  </w:style>
  <w:style w:type="character" w:styleId="1058" w:customStyle="1">
    <w:name w:val="Nivel 2 Char"/>
    <w:basedOn w:val="977"/>
    <w:link w:val="1030"/>
    <w:qFormat/>
    <w:rPr>
      <w:rFonts w:ascii="Arial" w:hAnsi="Arial" w:cs="Arial"/>
      <w:color w:val="000000"/>
      <w:lang w:eastAsia="pt-BR"/>
    </w:rPr>
  </w:style>
  <w:style w:type="paragraph" w:styleId="1059" w:customStyle="1">
    <w:name w:val="Nível 2 Opcional"/>
    <w:basedOn w:val="1030"/>
    <w:link w:val="1061"/>
    <w:pPr>
      <w:numPr>
        <w:ilvl w:val="0"/>
        <w:numId w:val="0"/>
      </w:numPr>
      <w:ind w:left="432" w:hanging="432"/>
    </w:pPr>
    <w:rPr>
      <w:rFonts w:eastAsia="Times New Roman"/>
      <w:i/>
      <w:color w:val="ff0000"/>
    </w:rPr>
  </w:style>
  <w:style w:type="paragraph" w:styleId="1060" w:customStyle="1">
    <w:name w:val="Nível 3 Opcional"/>
    <w:basedOn w:val="1032"/>
    <w:link w:val="1062"/>
    <w:pPr>
      <w:numPr>
        <w:ilvl w:val="0"/>
        <w:numId w:val="0"/>
      </w:numPr>
      <w:ind w:left="1072" w:hanging="504"/>
    </w:pPr>
    <w:rPr>
      <w:rFonts w:eastAsia="Times New Roman"/>
      <w:i/>
      <w:iCs/>
      <w:color w:val="ff0000"/>
    </w:rPr>
  </w:style>
  <w:style w:type="character" w:styleId="1061" w:customStyle="1">
    <w:name w:val="Nível 2 Opcional Char"/>
    <w:basedOn w:val="977"/>
    <w:link w:val="1059"/>
    <w:rPr>
      <w:rFonts w:ascii="Arial" w:hAnsi="Arial" w:eastAsia="Times New Roman" w:cs="Arial"/>
      <w:i/>
      <w:color w:val="ff0000"/>
      <w:lang w:eastAsia="pt-BR"/>
    </w:rPr>
  </w:style>
  <w:style w:type="character" w:styleId="1062" w:customStyle="1">
    <w:name w:val="Nível 3 Opcional Char"/>
    <w:basedOn w:val="977"/>
    <w:link w:val="1060"/>
    <w:rPr>
      <w:rFonts w:ascii="Arial" w:hAnsi="Arial" w:eastAsia="Times New Roman" w:cs="Arial"/>
      <w:i/>
      <w:iCs/>
      <w:color w:val="ff0000"/>
      <w:lang w:eastAsia="pt-BR"/>
    </w:rPr>
  </w:style>
  <w:style w:type="character" w:styleId="1063">
    <w:name w:val="Placeholder Text"/>
    <w:basedOn w:val="977"/>
    <w:uiPriority w:val="67"/>
    <w:semiHidden/>
    <w:rPr>
      <w:color w:val="808080"/>
    </w:rPr>
  </w:style>
  <w:style w:type="character" w:styleId="1064" w:customStyle="1">
    <w:name w:val="Parágrafo da Lista Char"/>
    <w:basedOn w:val="977"/>
    <w:link w:val="980"/>
    <w:uiPriority w:val="34"/>
    <w:rPr>
      <w:rFonts w:ascii="Ecofont_Spranq_eco_Sans" w:hAnsi="Ecofont_Spranq_eco_Sans" w:cs="Tahoma"/>
      <w:sz w:val="24"/>
      <w:szCs w:val="24"/>
      <w:lang w:eastAsia="pt-BR"/>
    </w:rPr>
  </w:style>
  <w:style w:type="character" w:styleId="1065" w:customStyle="1">
    <w:name w:val="Título 3 Char"/>
    <w:basedOn w:val="977"/>
    <w:link w:val="974"/>
    <w:uiPriority w:val="9"/>
    <w:semiHidden/>
    <w:rPr>
      <w:rFonts w:asciiTheme="majorHAnsi" w:hAnsiTheme="majorHAnsi" w:eastAsiaTheme="majorEastAsia" w:cstheme="majorBidi"/>
      <w:color w:val="243f60" w:themeColor="accent1" w:themeShade="00"/>
      <w:sz w:val="24"/>
      <w:szCs w:val="24"/>
    </w:rPr>
  </w:style>
  <w:style w:type="character" w:styleId="1066" w:customStyle="1">
    <w:name w:val="Título 6 Char"/>
    <w:basedOn w:val="977"/>
    <w:link w:val="976"/>
    <w:uiPriority w:val="9"/>
    <w:semiHidden/>
    <w:rPr>
      <w:rFonts w:asciiTheme="majorHAnsi" w:hAnsiTheme="majorHAnsi" w:eastAsiaTheme="majorEastAsia" w:cstheme="majorBidi"/>
      <w:color w:val="243f60" w:themeColor="accent1" w:themeShade="00"/>
      <w:sz w:val="22"/>
      <w:szCs w:val="22"/>
    </w:rPr>
  </w:style>
  <w:style w:type="paragraph" w:styleId="1067" w:customStyle="1">
    <w:name w:val="Sombreamento Médio 1 - Ênfase 31"/>
    <w:basedOn w:val="971"/>
    <w:next w:val="971"/>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068" w:customStyle="1">
    <w:name w:val="corpo"/>
    <w:basedOn w:val="971"/>
    <w:pPr>
      <w:spacing w:before="100" w:beforeAutospacing="1" w:after="100" w:afterAutospacing="1"/>
    </w:pPr>
    <w:rPr>
      <w:rFonts w:ascii="Times New Roman" w:hAnsi="Times New Roman" w:eastAsia="Times New Roman" w:cs="Times New Roman"/>
    </w:rPr>
  </w:style>
  <w:style w:type="paragraph" w:styleId="1069" w:customStyle="1">
    <w:name w:val="item_nivel2"/>
    <w:basedOn w:val="971"/>
    <w:pPr>
      <w:spacing w:before="100" w:beforeAutospacing="1" w:after="100" w:afterAutospacing="1"/>
    </w:pPr>
    <w:rPr>
      <w:rFonts w:ascii="Times New Roman" w:hAnsi="Times New Roman" w:eastAsia="Times New Roman" w:cs="Times New Roman"/>
    </w:rPr>
  </w:style>
  <w:style w:type="paragraph" w:styleId="1070" w:customStyle="1">
    <w:name w:val="item_nivel1"/>
    <w:basedOn w:val="971"/>
    <w:pPr>
      <w:spacing w:before="100" w:beforeAutospacing="1" w:after="100" w:afterAutospacing="1"/>
    </w:pPr>
    <w:rPr>
      <w:rFonts w:ascii="Times New Roman" w:hAnsi="Times New Roman" w:eastAsia="Times New Roman" w:cs="Times New Roman"/>
    </w:rPr>
  </w:style>
  <w:style w:type="paragraph" w:styleId="1071" w:customStyle="1">
    <w:name w:val="item_alinea_letra"/>
    <w:basedOn w:val="971"/>
    <w:pPr>
      <w:spacing w:before="100" w:beforeAutospacing="1" w:after="100" w:afterAutospacing="1"/>
    </w:pPr>
    <w:rPr>
      <w:rFonts w:ascii="Times New Roman" w:hAnsi="Times New Roman" w:eastAsia="Times New Roman" w:cs="Times New Roman"/>
    </w:rPr>
  </w:style>
  <w:style w:type="character" w:styleId="1072" w:customStyle="1">
    <w:name w:val="markedcontent"/>
    <w:basedOn w:val="977"/>
  </w:style>
  <w:style w:type="paragraph" w:styleId="1073" w:customStyle="1">
    <w:name w:val="Standard"/>
    <w:rPr>
      <w:rFonts w:ascii="Liberation Serif" w:hAnsi="Liberation Serif" w:eastAsia="NSimSun" w:cs="Lucida Sans"/>
      <w:sz w:val="24"/>
      <w:szCs w:val="24"/>
      <w:lang w:eastAsia="zh-CN" w:bidi="hi-IN"/>
    </w:rPr>
  </w:style>
  <w:style w:type="paragraph" w:styleId="1074" w:customStyle="1">
    <w:name w:val="Text body"/>
    <w:basedOn w:val="1073"/>
    <w:pPr>
      <w:spacing w:after="140" w:line="276" w:lineRule="auto"/>
    </w:pPr>
  </w:style>
  <w:style w:type="character" w:styleId="1075" w:customStyle="1">
    <w:name w:val="Menção Pendente3"/>
    <w:basedOn w:val="977"/>
    <w:uiPriority w:val="99"/>
    <w:semiHidden/>
    <w:unhideWhenUsed/>
    <w:rPr>
      <w:color w:val="605e5c"/>
      <w:shd w:val="clear" w:color="auto" w:fill="e1dfdd"/>
    </w:rPr>
  </w:style>
  <w:style w:type="character" w:styleId="1076" w:customStyle="1">
    <w:name w:val="Menção Pendente4"/>
    <w:basedOn w:val="977"/>
    <w:uiPriority w:val="99"/>
    <w:semiHidden/>
    <w:unhideWhenUsed/>
    <w:rPr>
      <w:color w:val="605e5c"/>
      <w:shd w:val="clear" w:color="auto" w:fill="e1dfdd"/>
    </w:rPr>
  </w:style>
  <w:style w:type="paragraph" w:styleId="1077" w:customStyle="1">
    <w:name w:val="ou"/>
    <w:basedOn w:val="980"/>
    <w:link w:val="1078"/>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078" w:customStyle="1">
    <w:name w:val="ou Char"/>
    <w:basedOn w:val="1064"/>
    <w:link w:val="1077"/>
    <w:rPr>
      <w:rFonts w:ascii="Arial" w:hAnsi="Arial" w:cs="Arial" w:eastAsiaTheme="minorHAnsi"/>
      <w:b/>
      <w:bCs/>
      <w:i/>
      <w:iCs/>
      <w:color w:val="ff0000"/>
      <w:sz w:val="24"/>
      <w:szCs w:val="24"/>
      <w:u w:val="single"/>
      <w:lang w:eastAsia="pt-BR"/>
    </w:rPr>
  </w:style>
  <w:style w:type="paragraph" w:styleId="1079" w:customStyle="1">
    <w:name w:val="dou-paragraph"/>
    <w:basedOn w:val="971"/>
    <w:pPr>
      <w:spacing w:before="100" w:beforeAutospacing="1" w:after="100" w:afterAutospacing="1"/>
    </w:pPr>
    <w:rPr>
      <w:rFonts w:ascii="Times New Roman" w:hAnsi="Times New Roman" w:eastAsia="Times New Roman" w:cs="Times New Roman"/>
    </w:rPr>
  </w:style>
  <w:style w:type="paragraph" w:styleId="1080" w:customStyle="1">
    <w:name w:val="Nível 2 -Red"/>
    <w:basedOn w:val="1030"/>
    <w:link w:val="1082"/>
    <w:qFormat/>
    <w:rPr>
      <w:i/>
      <w:iCs/>
      <w:color w:val="ff0000"/>
    </w:rPr>
  </w:style>
  <w:style w:type="paragraph" w:styleId="1081" w:customStyle="1">
    <w:name w:val="Nível 3-R"/>
    <w:basedOn w:val="1032"/>
    <w:link w:val="1085"/>
    <w:qFormat/>
    <w:rPr>
      <w:i/>
      <w:iCs/>
      <w:color w:val="ff0000"/>
    </w:rPr>
  </w:style>
  <w:style w:type="character" w:styleId="1082" w:customStyle="1">
    <w:name w:val="Nível 2 -Red Char"/>
    <w:basedOn w:val="1058"/>
    <w:link w:val="1080"/>
    <w:rPr>
      <w:rFonts w:ascii="Arial" w:hAnsi="Arial" w:cs="Arial"/>
      <w:i/>
      <w:iCs/>
      <w:color w:val="ff0000"/>
      <w:lang w:eastAsia="pt-BR"/>
    </w:rPr>
  </w:style>
  <w:style w:type="paragraph" w:styleId="1083" w:customStyle="1">
    <w:name w:val="Nível 4-R"/>
    <w:basedOn w:val="1033"/>
    <w:link w:val="1087"/>
    <w:qFormat/>
    <w:rPr>
      <w:i/>
      <w:iCs/>
      <w:color w:val="ff0000"/>
    </w:rPr>
  </w:style>
  <w:style w:type="character" w:styleId="1084" w:customStyle="1">
    <w:name w:val="Nivel 3 Char"/>
    <w:basedOn w:val="977"/>
    <w:link w:val="1032"/>
    <w:rPr>
      <w:rFonts w:ascii="Arial" w:hAnsi="Arial" w:cs="Arial"/>
      <w:color w:val="000000"/>
      <w:lang w:eastAsia="pt-BR"/>
    </w:rPr>
  </w:style>
  <w:style w:type="character" w:styleId="1085" w:customStyle="1">
    <w:name w:val="Nível 3-R Char"/>
    <w:basedOn w:val="1084"/>
    <w:link w:val="1081"/>
    <w:rPr>
      <w:rFonts w:ascii="Arial" w:hAnsi="Arial" w:cs="Arial"/>
      <w:i/>
      <w:iCs/>
      <w:color w:val="ff0000"/>
      <w:lang w:eastAsia="pt-BR"/>
    </w:rPr>
  </w:style>
  <w:style w:type="paragraph" w:styleId="1086" w:customStyle="1">
    <w:name w:val="Nível 1-Sem Num"/>
    <w:basedOn w:val="1010"/>
    <w:link w:val="1089"/>
    <w:qFormat/>
    <w:pPr>
      <w:numPr>
        <w:numId w:val="0"/>
      </w:numPr>
      <w:outlineLvl w:val="1"/>
    </w:pPr>
    <w:rPr>
      <w:color w:val="ff0000"/>
    </w:rPr>
  </w:style>
  <w:style w:type="character" w:styleId="1087" w:customStyle="1">
    <w:name w:val="Nível 4-R Char"/>
    <w:basedOn w:val="1035"/>
    <w:link w:val="1083"/>
    <w:rPr>
      <w:rFonts w:ascii="Arial" w:hAnsi="Arial" w:cs="Arial"/>
      <w:i/>
      <w:iCs/>
      <w:color w:val="ff0000"/>
      <w:lang w:eastAsia="pt-BR"/>
    </w:rPr>
  </w:style>
  <w:style w:type="character" w:styleId="1088" w:customStyle="1">
    <w:name w:val="Link da Internet"/>
    <w:basedOn w:val="977"/>
    <w:uiPriority w:val="99"/>
    <w:unhideWhenUsed/>
    <w:rPr>
      <w:color w:val="0000ff" w:themeColor="hyperlink"/>
      <w:u w:val="single"/>
    </w:rPr>
  </w:style>
  <w:style w:type="character" w:styleId="1089" w:customStyle="1">
    <w:name w:val="Nível 1-Sem Num Char"/>
    <w:basedOn w:val="1014"/>
    <w:link w:val="1086"/>
    <w:rPr>
      <w:rFonts w:ascii="Arial" w:hAnsi="Arial" w:cs="Arial" w:eastAsiaTheme="majorEastAsia"/>
      <w:b/>
      <w:bCs/>
      <w:color w:val="ff0000"/>
      <w:spacing w:val="5"/>
      <w:sz w:val="52"/>
      <w:szCs w:val="52"/>
      <w:lang w:eastAsia="pt-BR"/>
    </w:rPr>
  </w:style>
  <w:style w:type="paragraph" w:styleId="1090" w:customStyle="1">
    <w:name w:val="citação 2"/>
    <w:basedOn w:val="989"/>
    <w:link w:val="1094"/>
    <w:rPr>
      <w:szCs w:val="20"/>
    </w:rPr>
  </w:style>
  <w:style w:type="paragraph" w:styleId="1091" w:customStyle="1">
    <w:name w:val="Preâmbulo"/>
    <w:basedOn w:val="971"/>
    <w:link w:val="1092"/>
    <w:qFormat/>
    <w:pPr>
      <w:ind w:left="4253" w:right="-17"/>
      <w:jc w:val="both"/>
      <w:spacing w:before="480" w:after="120" w:line="360" w:lineRule="auto"/>
    </w:pPr>
    <w:rPr>
      <w:rFonts w:ascii="Arial" w:hAnsi="Arial" w:eastAsia="Arial" w:cs="Arial"/>
      <w:bCs/>
      <w:sz w:val="20"/>
      <w:szCs w:val="20"/>
    </w:rPr>
  </w:style>
  <w:style w:type="character" w:styleId="1092" w:customStyle="1">
    <w:name w:val="Preâmbulo Char"/>
    <w:basedOn w:val="977"/>
    <w:link w:val="1091"/>
    <w:rPr>
      <w:rFonts w:ascii="Arial" w:hAnsi="Arial" w:eastAsia="Arial" w:cs="Arial"/>
      <w:bCs/>
      <w:lang w:eastAsia="pt-BR"/>
    </w:rPr>
  </w:style>
  <w:style w:type="character" w:styleId="1093" w:customStyle="1">
    <w:name w:val="Menção Pendente5"/>
    <w:basedOn w:val="977"/>
    <w:uiPriority w:val="99"/>
    <w:semiHidden/>
    <w:unhideWhenUsed/>
    <w:rPr>
      <w:color w:val="605e5c"/>
      <w:shd w:val="clear" w:color="auto" w:fill="e1dfdd"/>
    </w:rPr>
  </w:style>
  <w:style w:type="character" w:styleId="1094" w:customStyle="1">
    <w:name w:val="citação 2 Char"/>
    <w:basedOn w:val="990"/>
    <w:link w:val="1090"/>
    <w:rPr>
      <w:rFonts w:ascii="Arial" w:hAnsi="Arial" w:eastAsia="Calibri" w:cs="Tahoma"/>
      <w:i/>
      <w:iCs/>
      <w:color w:val="000000"/>
      <w:szCs w:val="24"/>
      <w:shd w:val="clear" w:color="auto" w:fill="ffffcc"/>
    </w:rPr>
  </w:style>
  <w:style w:type="paragraph" w:styleId="1095">
    <w:name w:val="TOC Heading"/>
    <w:basedOn w:val="972"/>
    <w:next w:val="971"/>
    <w:uiPriority w:val="39"/>
    <w:unhideWhenUsed/>
    <w:qFormat/>
    <w:pPr>
      <w:spacing w:before="240" w:line="259" w:lineRule="auto"/>
      <w:outlineLvl w:val="9"/>
    </w:pPr>
    <w:rPr>
      <w:b w:val="0"/>
      <w:bCs w:val="0"/>
      <w:sz w:val="32"/>
      <w:szCs w:val="32"/>
    </w:rPr>
  </w:style>
  <w:style w:type="paragraph" w:styleId="1096">
    <w:name w:val="toc 1"/>
    <w:basedOn w:val="971"/>
    <w:next w:val="971"/>
    <w:uiPriority w:val="39"/>
    <w:unhideWhenUsed/>
    <w:pPr>
      <w:spacing w:after="100"/>
      <w:tabs>
        <w:tab w:val="left" w:pos="426" w:leader="none"/>
        <w:tab w:val="right" w:pos="9628" w:leader="dot"/>
      </w:tabs>
    </w:pPr>
    <w:rPr>
      <w:rFonts w:ascii="Arial" w:hAnsi="Arial" w:eastAsia="Times New Roman"/>
      <w:sz w:val="20"/>
    </w:rPr>
  </w:style>
  <w:style w:type="character" w:styleId="1097" w:customStyle="1">
    <w:name w:val="Menção Pendente6"/>
    <w:basedOn w:val="977"/>
    <w:uiPriority w:val="99"/>
    <w:semiHidden/>
    <w:unhideWhenUsed/>
    <w:rPr>
      <w:color w:val="605e5c"/>
      <w:shd w:val="clear" w:color="auto" w:fill="e1dfdd"/>
    </w:rPr>
  </w:style>
  <w:style w:type="character" w:styleId="1098" w:customStyle="1">
    <w:name w:val="Mention non résolue1"/>
    <w:basedOn w:val="977"/>
    <w:uiPriority w:val="99"/>
    <w:semiHidden/>
    <w:unhideWhenUsed/>
    <w:rPr>
      <w:color w:val="605e5c"/>
      <w:shd w:val="clear" w:color="auto" w:fill="e1dfdd"/>
    </w:rPr>
  </w:style>
  <w:style w:type="character" w:styleId="1099">
    <w:name w:val="Unresolved Mention"/>
    <w:basedOn w:val="977"/>
    <w:uiPriority w:val="99"/>
    <w:semiHidden/>
    <w:unhideWhenUsed/>
    <w:rPr>
      <w:color w:val="605e5c"/>
      <w:shd w:val="clear" w:color="auto" w:fill="e1dfdd"/>
    </w:rPr>
  </w:style>
  <w:style w:type="paragraph" w:styleId="1100">
    <w:name w:val="Subtitle"/>
    <w:basedOn w:val="971"/>
    <w:next w:val="971"/>
    <w:pPr>
      <w:keepLines/>
      <w:keepNext/>
      <w:pageBreakBefore w:val="0"/>
      <w:spacing w:before="360" w:after="80"/>
    </w:pPr>
    <w:rPr>
      <w:rFonts w:ascii="Georgia" w:hAnsi="Georgia" w:eastAsia="Georgia" w:cs="Georgia"/>
      <w:i/>
      <w:color w:val="666666"/>
      <w:sz w:val="48"/>
      <w:szCs w:val="48"/>
    </w:rPr>
  </w:style>
  <w:style w:type="paragraph" w:styleId="1101" w:customStyle="1">
    <w:name w:val="Conteúdo do quadro"/>
    <w:basedOn w:val="1091"/>
    <w:uiPriority w:val="0"/>
    <w:qFormat/>
    <w:pPr>
      <w:contextualSpacing w:val="0"/>
      <w:ind w:left="0" w:right="0" w:firstLine="0"/>
      <w:jc w:val="left"/>
      <w:keepLines w:val="0"/>
      <w:keepNext w:val="0"/>
      <w:pageBreakBefore w:val="0"/>
      <w:spacing w:before="0" w:beforeAutospacing="0" w:after="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paragraph" w:styleId="1102" w:customStyle="1">
    <w:name w:val="Nível 1-Sem Black"/>
    <w:basedOn w:val="980"/>
    <w:link w:val="994"/>
    <w:qFormat/>
    <w:pPr>
      <w:numPr>
        <w:numId w:val="0"/>
      </w:numPr>
      <w:contextualSpacing w:val="0"/>
      <w:ind w:left="0" w:right="0" w:firstLine="0"/>
      <w:jc w:val="both"/>
      <w:keepLines/>
      <w:keepNext/>
      <w:pageBreakBefore w:val="0"/>
      <w:spacing w:before="240" w:beforeAutospacing="0" w:after="120" w:afterAutospacing="0" w:line="276" w:lineRule="auto"/>
      <w:shd w:val="nil" w:color="000000"/>
      <w:widowControl/>
      <w:tabs>
        <w:tab w:val="left" w:pos="567" w:leader="none"/>
      </w:tabs>
      <w:pBdr>
        <w:top w:val="none" w:color="000000" w:sz="4" w:space="0"/>
        <w:left w:val="none" w:color="000000" w:sz="4" w:space="0"/>
        <w:bottom w:val="none" w:color="000000" w:sz="4" w:space="0"/>
        <w:right w:val="none" w:color="000000" w:sz="4" w:space="0"/>
        <w:between w:val="none" w:color="000000" w:sz="4" w:space="0"/>
      </w:pBdr>
      <w:outlineLvl w:val="1"/>
      <w:suppressLineNumbers w:val="0"/>
    </w:pPr>
    <w:rPr>
      <w:rFonts w:ascii="Arial" w:hAnsi="Arial" w:cs="Arial" w:eastAsiaTheme="majorEastAsia"/>
      <w:b/>
      <w:bCs/>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paragraph" w:styleId="1103" w:customStyle="1">
    <w:name w:val="Default"/>
    <w:qFormat/>
    <w:pPr>
      <w:contextualSpacing w:val="0"/>
      <w:ind w:left="0" w:right="0" w:firstLine="0"/>
      <w:jc w:val="left"/>
      <w:keepLines w:val="0"/>
      <w:keepNext w:val="0"/>
      <w:pageBreakBefore w:val="0"/>
      <w:spacing w:before="0" w:beforeAutospacing="0" w:after="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Calibri" w:cs="Times New Roman"/>
      <w:b w:val="0"/>
      <w:bCs w:val="0"/>
      <w:i w:val="0"/>
      <w:iCs w:val="0"/>
      <w:caps w:val="0"/>
      <w:smallCaps w:val="0"/>
      <w:strike w:val="0"/>
      <w:vanish w:val="0"/>
      <w:color w:val="000000"/>
      <w:spacing w:val="0"/>
      <w:position w:val="0"/>
      <w:sz w:val="24"/>
      <w:szCs w:val="24"/>
      <w:highlight w:val="none"/>
      <w:u w:val="none"/>
      <w:vertAlign w:val="baseline"/>
      <w:rtl w:val="0"/>
      <w:cs w:val="0"/>
      <w:lang w:val="pt-BR" w:eastAsia="pt-BR" w:bidi="ar-SA"/>
      <w14:ligatures w14:val="none"/>
    </w:rPr>
  </w:style>
  <w:style w:type="paragraph" w:styleId="1104" w:customStyle="1">
    <w:name w:val="Parágrafo da Lista"/>
    <w:qFormat/>
    <w:pPr>
      <w:contextualSpacing/>
      <w:ind w:left="720" w:right="0" w:firstLine="0"/>
      <w:jc w:val="left"/>
      <w:keepLines w:val="0"/>
      <w:keepNext w:val="0"/>
      <w:pageBreakBefore w:val="0"/>
      <w:spacing w:before="0" w:beforeAutospacing="0" w:after="200" w:afterAutospacing="0" w:line="259"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Calibri" w:hAnsi="Calibri" w:eastAsia="Calibri" w:cs="Calibri"/>
      <w:b w:val="0"/>
      <w:bCs w:val="0"/>
      <w:i w:val="0"/>
      <w:iCs w:val="0"/>
      <w:caps w:val="0"/>
      <w:smallCaps w:val="0"/>
      <w:strike w:val="0"/>
      <w:vanish w:val="0"/>
      <w:color w:val="auto"/>
      <w:spacing w:val="0"/>
      <w:position w:val="0"/>
      <w:sz w:val="22"/>
      <w:szCs w:val="22"/>
      <w:highlight w:val="none"/>
      <w:u w:val="none"/>
      <w:vertAlign w:val="baseline"/>
      <w:rtl w:val="0"/>
      <w:cs w:val="0"/>
      <w:lang w:val="pt-BR" w:eastAsia="pt-BR" w:bidi="ar-SA"/>
      <w14:ligatures w14:val="none"/>
    </w:rPr>
  </w:style>
  <w:style w:type="paragraph" w:styleId="1105" w:customStyle="1">
    <w:name w:val="Corpo de texto 21"/>
    <w:qFormat/>
    <w:pPr>
      <w:contextualSpacing w:val="0"/>
      <w:ind w:left="0" w:right="0" w:firstLine="0"/>
      <w:jc w:val="both"/>
      <w:keepLines w:val="0"/>
      <w:keepNext w:val="0"/>
      <w:pageBreakBefore w:val="0"/>
      <w:spacing w:before="0" w:beforeAutospacing="0" w:after="0" w:afterAutospacing="0" w:line="24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eastAsia="Times New Roman" w:cs="Times New Roman"/>
      <w:b w:val="0"/>
      <w:bCs w:val="0"/>
      <w:i w:val="0"/>
      <w:iCs w:val="0"/>
      <w:caps w:val="0"/>
      <w:smallCaps w:val="0"/>
      <w:strike w:val="0"/>
      <w:vanish w:val="0"/>
      <w:color w:val="auto"/>
      <w:spacing w:val="0"/>
      <w:position w:val="0"/>
      <w:sz w:val="24"/>
      <w:szCs w:val="20"/>
      <w:highlight w:val="none"/>
      <w:u w:val="none"/>
      <w:vertAlign w:val="baseline"/>
      <w:rtl w:val="0"/>
      <w:cs w:val="0"/>
      <w:lang w:val="pt-BR" w:eastAsia="pt-BR" w:bidi="ar-SA"/>
      <w14:ligatures w14:val="none"/>
    </w:rPr>
  </w:style>
  <w:style w:type="paragraph" w:styleId="1106" w:customStyle="1">
    <w:name w:val="N 1.1"/>
    <w:qFormat/>
    <w:pPr>
      <w:contextualSpacing w:val="0"/>
      <w:ind w:left="0" w:right="0" w:firstLine="0"/>
      <w:jc w:val="both"/>
      <w:keepLines w:val="0"/>
      <w:keepNext w:val="0"/>
      <w:pageBreakBefore w:val="0"/>
      <w:spacing w:before="240" w:beforeAutospacing="0" w:after="24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eastAsia="Calibri" w:cs="Times New Roman"/>
      <w:b w:val="0"/>
      <w:bCs w:val="0"/>
      <w:i w:val="0"/>
      <w:iCs w:val="0"/>
      <w:caps w:val="0"/>
      <w:smallCaps w:val="0"/>
      <w:strike w:val="0"/>
      <w:vanish w:val="0"/>
      <w:color w:val="auto"/>
      <w:spacing w:val="0"/>
      <w:position w:val="0"/>
      <w:sz w:val="24"/>
      <w:szCs w:val="22"/>
      <w:highlight w:val="none"/>
      <w:u w:val="none"/>
      <w:vertAlign w:val="baseline"/>
      <w:rtl w:val="0"/>
      <w:cs w:val="0"/>
      <w:lang w:val="pt-BR" w:eastAsia="en-US" w:bidi="ar-SA"/>
      <w14:ligatures w14:val="none"/>
    </w:rPr>
  </w:style>
  <w:style w:type="paragraph" w:styleId="1107" w:customStyle="1">
    <w:name w:val="Table Paragraph"/>
    <w:uiPriority w:val="1"/>
    <w:qFormat/>
    <w:pPr>
      <w:contextualSpacing w:val="0"/>
      <w:ind w:left="0" w:right="0" w:firstLine="0"/>
      <w:jc w:val="center"/>
      <w:keepLines w:val="0"/>
      <w:keepNext w:val="0"/>
      <w:pageBreakBefore w:val="0"/>
      <w:spacing w:before="0" w:beforeAutospacing="0" w:after="0" w:afterAutospacing="0" w:line="24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Cambria" w:hAnsi="Cambria" w:eastAsia="Cambria" w:cs="Cambria"/>
      <w:b w:val="0"/>
      <w:bCs w:val="0"/>
      <w:i w:val="0"/>
      <w:iCs w:val="0"/>
      <w:caps w:val="0"/>
      <w:smallCaps w:val="0"/>
      <w:strike w:val="0"/>
      <w:vanish w:val="0"/>
      <w:color w:val="auto"/>
      <w:spacing w:val="0"/>
      <w:position w:val="0"/>
      <w:sz w:val="22"/>
      <w:szCs w:val="22"/>
      <w:highlight w:val="none"/>
      <w:u w:val="none"/>
      <w:vertAlign w:val="baseline"/>
      <w:rtl w:val="0"/>
      <w:cs w:val="0"/>
      <w:lang w:val="pt-PT"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s://pregaobanrisul.com.br/" TargetMode="External"/><Relationship Id="rId14" Type="http://schemas.openxmlformats.org/officeDocument/2006/relationships/hyperlink" Target="http://www.planalto.gov.br/ccivil_03/_ato2019-2022/2021/lei/L14133.htm" TargetMode="External"/><Relationship Id="rId15" Type="http://schemas.openxmlformats.org/officeDocument/2006/relationships/hyperlink" Target="https://pregaobanrisul.com.br/" TargetMode="External"/><Relationship Id="rId16" Type="http://schemas.openxmlformats.org/officeDocument/2006/relationships/hyperlink" Target="http://www.planalto.gov.br/ccivil_03/_ato2019-2022/2021/lei/L14133.htm#art16" TargetMode="External"/><Relationship Id="rId17"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art9%C2%A71" TargetMode="External"/><Relationship Id="rId1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art7" TargetMode="External"/><Relationship Id="rId21"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art16" TargetMode="External"/><Relationship Id="rId23" Type="http://schemas.openxmlformats.org/officeDocument/2006/relationships/hyperlink" Target="https://www.planalto.gov.br/ccivil_03/leis/lcp/lcp123.htm#art3" TargetMode="External"/><Relationship Id="rId24" Type="http://schemas.openxmlformats.org/officeDocument/2006/relationships/hyperlink" Target="https://www.planalto.gov.br/ccivil_03/leis/lcp/lcp123.htm#art42" TargetMode="External"/><Relationship Id="rId25" Type="http://schemas.openxmlformats.org/officeDocument/2006/relationships/hyperlink" Target="http://www.planalto.gov.br/ccivil_03/_ato2019-2022/2021/lei/L14133.htm#art4%C2%A71" TargetMode="External"/><Relationship Id="rId26"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leis/lcp/lcp123.htm#art44" TargetMode="External"/><Relationship Id="rId30" Type="http://schemas.openxmlformats.org/officeDocument/2006/relationships/hyperlink" Target="https://www.planalto.gov.br/ccivil_03/_ato2015-2018/2015/decreto/d8539.htm" TargetMode="External"/><Relationship Id="rId31" Type="http://schemas.openxmlformats.org/officeDocument/2006/relationships/hyperlink" Target="http://www.planalto.gov.br/ccivil_03/_ato2019-2022/2021/lei/L14133.htm#art60" TargetMode="External"/><Relationship Id="rId32" Type="http://schemas.openxmlformats.org/officeDocument/2006/relationships/hyperlink" Target="https://www.planalto.gov.br/ccivil_03/_ato2007-2010/2009/lei/l12187.htm#:~:text=LEI%20N%C2%BA%2012.187%2C%20DE%2029%20DE%20DEZEMBRO%20DE%202009.&amp;text=Institui%20a%20Pol%C3%ADtica%20Nacional%20sobre,PNMC%20e%20d%C3%A1%20outras%20provid%C3%AAncias." TargetMode="External"/><Relationship Id="rId33" Type="http://schemas.openxmlformats.org/officeDocument/2006/relationships/hyperlink" Target="http://www.planalto.gov.br/ccivil_03/_ato2019-2022/2021/lei/L14133.htm#art14" TargetMode="External"/><Relationship Id="rId34" Type="http://schemas.openxmlformats.org/officeDocument/2006/relationships/hyperlink" Target="https://www.portaltransparencia.gov.br/sancoes/ceis" TargetMode="External"/><Relationship Id="rId35" Type="http://schemas.openxmlformats.org/officeDocument/2006/relationships/hyperlink" Target="https://www.portaltransparencia.gov.br/sancoes/cnep" TargetMode="External"/><Relationship Id="rId36" Type="http://schemas.openxmlformats.org/officeDocument/2006/relationships/hyperlink" Target="https://www.planalto.gov.br/ccivil_03/leis/l8429.htm#:~:text=%C3%A0s%20seguintes%20comina%C3%A7%C3%B5es%3A-,Art.,n%C2%BA%2012.120%2C%20de%202009)." TargetMode="External"/><Relationship Id="rId37" Type="http://schemas.openxmlformats.org/officeDocument/2006/relationships/hyperlink" Target="http://www.planalto.gov.br/ccivil_03/_ato2019-2022/2021/lei/L14133.htm#art62" TargetMode="External"/><Relationship Id="rId38" Type="http://schemas.openxmlformats.org/officeDocument/2006/relationships/hyperlink" Target="https://www.planalto.gov.br/ccivil_03/_ato2015-2018/2016/decreto/d8660.htm" TargetMode="External"/><Relationship Id="rId39" Type="http://schemas.openxmlformats.org/officeDocument/2006/relationships/hyperlink" Target="http://www.planalto.gov.br/ccivil_03/_ato2019-2022/2021/lei/L14133.htm#art63" TargetMode="External"/><Relationship Id="rId40" Type="http://schemas.openxmlformats.org/officeDocument/2006/relationships/hyperlink" Target="http://www.planalto.gov.br/ccivil_03/_ato2019-2022/2021/lei/L14133.htm#art64" TargetMode="External"/><Relationship Id="rId41" Type="http://schemas.openxmlformats.org/officeDocument/2006/relationships/hyperlink" Target="http://www.planalto.gov.br/ccivil_03/_ato2019-2022/2021/lei/L14133.htm#art165" TargetMode="External"/><Relationship Id="rId42" Type="http://schemas.openxmlformats.org/officeDocument/2006/relationships/hyperlink" Target="http://www.planalto.gov.br/ccivil_03/_ato2019-2022/2021/lei/L14133.htm#art17%C2%A71" TargetMode="External"/><Relationship Id="rId43" Type="http://schemas.openxmlformats.org/officeDocument/2006/relationships/hyperlink" Target="https://www.planalto.gov.br/ccivil_03/_ato2011-2014/2013/lei/l12846.htm#art5"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art156%C2%A75"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www.santabarbaradosul.rs.gov.br" TargetMode="External"/><Relationship Id="rId48" Type="http://schemas.openxmlformats.org/officeDocument/2006/relationships/hyperlink" Target="mailto:licita@santabarbaradosul.rs.gov.br." TargetMode="External"/><Relationship Id="rId49"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04-2006/2006/decreto/d5975.htm" TargetMode="External"/><Relationship Id="rId67" Type="http://schemas.openxmlformats.org/officeDocument/2006/relationships/hyperlink" Target="https://www.gov.br/compras/pt-br/acesso-a-informacao/legislacao/instrucoes-normativas/instrucao-normativa-no-01-de-19-de-janeiro-de-2010" TargetMode="External"/><Relationship Id="rId68" Type="http://schemas.openxmlformats.org/officeDocument/2006/relationships/hyperlink" Target="https://www.planalto.gov.br/ccivil_03/leis/l6938.htm" TargetMode="External"/><Relationship Id="rId69" Type="http://schemas.openxmlformats.org/officeDocument/2006/relationships/hyperlink" Target="http://www.ibama.gov.br/component/legislacao/?view=legislacao&amp;legislacao=112647" TargetMode="External"/><Relationship Id="rId70" Type="http://schemas.openxmlformats.org/officeDocument/2006/relationships/hyperlink" Target="http://www.ibama.gov.br/phocadownload/sinaflor/2018/2018-06-13-Ibama-IN-IBAMA-21-24-12-2014-SINAFLOR-DOF-compilada.pdf" TargetMode="External"/><Relationship Id="rId71" Type="http://schemas.openxmlformats.org/officeDocument/2006/relationships/hyperlink" Target="https://www.gov.br/compras/pt-br/acesso-a-informacao/legislacao/instrucoes-normativas/instrucao-normativa-no-01-de-19-de-janeiro-de-2010" TargetMode="External"/><Relationship Id="rId72" Type="http://schemas.openxmlformats.org/officeDocument/2006/relationships/hyperlink" Target="https://cetesb.sp.gov.br/licenciamento/documentos/2002_Res_CONAMA_307.pdf" TargetMode="External"/><Relationship Id="rId73" Type="http://schemas.openxmlformats.org/officeDocument/2006/relationships/hyperlink" Target="http://www.ipaam.am.gov.br/wp-content/uploads/2021/01/Conama-382-Poluentes-atmosfericos.pdf" TargetMode="External"/><Relationship Id="rId74" Type="http://schemas.openxmlformats.org/officeDocument/2006/relationships/hyperlink" Target="http://www.ibama.gov.br/sophia/cnia/legislacao/MMA/RE0001-080390.PDF" TargetMode="External"/><Relationship Id="rId75" Type="http://schemas.openxmlformats.org/officeDocument/2006/relationships/hyperlink" Target="https://www.gov.br/compras/pt-br/acesso-a-informacao/legislacao/instrucoes-normativas/instrucao-normativa-no-01-de-19-de-janeiro-de-2010" TargetMode="External"/><Relationship Id="rId76" Type="http://schemas.openxmlformats.org/officeDocument/2006/relationships/hyperlink" Target="https://www.planalto.gov.br/ccivil_03/_ato2015-2018/2018/lei/l13709.htm" TargetMode="External"/><Relationship Id="rId77" Type="http://schemas.openxmlformats.org/officeDocument/2006/relationships/hyperlink" Target="https://www.planalto.gov.br/ccivil_03/_ato2015-2018/2018/lei/l13709.htm" TargetMode="External"/><Relationship Id="rId78" Type="http://schemas.openxmlformats.org/officeDocument/2006/relationships/hyperlink" Target="https://www.planalto.gov.br/ccivil_03/_ato2015-2018/2018/lei/l13709.htm" TargetMode="External"/><Relationship Id="rId79" Type="http://schemas.openxmlformats.org/officeDocument/2006/relationships/hyperlink" Target="https://www.planalto.gov.br/ccivil_03/_ato2015-2018/2018/lei/l13709.htm" TargetMode="External"/><Relationship Id="rId80"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_ato2015-2018/2018/lei/l13709.htm" TargetMode="External"/><Relationship Id="rId8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2002/l10406compilada.htm" TargetMode="External"/><Relationship Id="rId86" Type="http://schemas.openxmlformats.org/officeDocument/2006/relationships/hyperlink" Target="http://www.planalto.gov.br/ccivil_03/_ato2019-2022/2021/lei/L14133.htm" TargetMode="External"/><Relationship Id="rId87" Type="http://schemas.openxmlformats.org/officeDocument/2006/relationships/hyperlink" Target="https://www.in.gov.br/en/web/dou/-/circular-susep-n-662-de-11-de-abril-de-2022-392772088" TargetMode="External"/><Relationship Id="rId8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90" Type="http://schemas.openxmlformats.org/officeDocument/2006/relationships/hyperlink" Target="https://www.planalto.gov.br/ccivil_03/_ato2011-2014/2013/lei/l12846.htm" TargetMode="External"/><Relationship Id="rId9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03"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05" Type="http://schemas.openxmlformats.org/officeDocument/2006/relationships/hyperlink" Target="https://ceiscadastro.cgu.gov.br/index.aspx?ReturnUrl=%2f" TargetMode="External"/><Relationship Id="rId10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08" Type="http://schemas.openxmlformats.org/officeDocument/2006/relationships/hyperlink" Target="https://www.gov.br/compras/pt-br/acesso-a-informacao/legislacao/instrucoes-normativas/instrucao-normativa-seges-me-no-26-de-13-de-abril-de-2022" TargetMode="External"/><Relationship Id="rId109"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leis/l8078compilado.htm" TargetMode="External"/><Relationship Id="rId117"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22" Type="http://schemas.onlyoffice.com/commentsDocument" Target="commentsDocument.xml" /><Relationship Id="rId123" Type="http://schemas.onlyoffice.com/commentsExtendedDocument" Target="commentsExtendedDocument.xml" /><Relationship Id="rId124" Type="http://schemas.onlyoffice.com/commentsIdsDocument" Target="commentsIdsDocument.xml" /><Relationship Id="rId125"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4GEGJwMtey1yq6Cz6WM4R7pSQ==">CgMxLjAaJwoBMBIiCiAIBCocCgtBQUFCSDJVaFhKZxAIGgtBQUFCSDJVaFhKZxonCgExEiIKIAgEKhwKC0FBQUJIMlVoWEpVEAgaC0FBQUJIMlVoWEpVGicKATISIgogCAQqHAoLQUFBQkgyVWhYSVUQCBoLQUFBQkgyVWhYSVUaJwoBMxIiCiAIBCocCgtBQUFCSDJVaFhJWRAIGgtBQUFCSDJVaFhJWRonCgE0EiIKIAgEKhwKC0FBQUJIMlVoWEkwEAgaC0FBQUJIMlVoWEkwGicKATUSIgogCAQqHAoLQUFBQkgyVWhYSVEQCBoLQUFBQkgyVWhYSVEaJwoBNhIiCiAIBCocCgtBQUFCSDJVaFhKRRAIGgtBQUFCSDJVaFhKRRonCgE3EiIKIAgEKhwKC0FBQUJIMlVoWEg4EAgaC0FBQUJIMlVoWEg4GicKATgSIgogCAQqHAoLQUFBQkgyVWhYSGcQCBoLQUFBQkgyVWhYSGcaJwoBORIiCiAIBCocCgtBQUFCSDJVaFhKQRAIGgtBQUFCSDJVaFhKQRooCgIxMBIiCiAIBCocCgtBQUFCSDJVaFhKSRAIGgtBQUFCSDJVaFhKSRooCgIxMRIiCiAIBCocCgtBQUFCSDJVaFhLRRAIGgtBQUFCSDJVaFhLRRooCgIxMhIiCiAIBCocCgtBQUFCSDJVaFhJbxAIGgtBQUFCSDJVaFhJbxooCgIxMxIiCiAIBCocCgtBQUFCSDJVaFhJZxAIGgtBQUFCSDJVaFhJZxooCgIxNBIiCiAIBCocCgtBQUFCSDJVaFhIcxAIGgtBQUFCSDJVaFhIcxooCgIxNRIiCiAIBCocCgtBQUFCSDJVaFhJQRAIGgtBQUFCSDJVaFhJQRooCgIxNhIiCiAIBCocCgtBQUFCSDJVaFhKYxAIGgtBQUFCSDJVaFhKYxooCgIxNxIiCiAIBCocCgtBQUFCSDJVaFhJOBAIGgtBQUFCSDJVaFhJOBooCgIxOBIiCiAIBCocCgtBQUFCSDJVaFhIdxAIGgtBQUFCSDJVaFhIdxooCgIxORIiCiAIBCocCgtBQUFCSDJVaFhLQRAIGgtBQUFCSDJVaFhLQRooCgIyMBIiCiAIBCocCgtBQUFCSDJVaFhKNBAIGgtBQUFCSDJVaFhKNBooCgIyMRIiCiAIBCocCgtBQUFCSDJVaFhKOBAIGgtBQUFCSDJVaFhKOBooCgIyMhIiCiAIBCocCgtBQUFCSDJVaFhLWRAIGgtBQUFCSDJVaFhLWRooCgIyMxIiCiAIBCocCgtBQUFCSDJVaFhJcxAIGgtBQUFCSDJVaFhJcxooCgIyNBIiCiAIBCocCgtBQUFCSDJVaFhKdxAIGgtBQUFCSDJVaFhKdxooCgIyNRIiCiAIBCocCgtBQUFCSDJVaFhJYxAIGgtBQUFCSDJVaFhJYxooCgIyNhIiCiAIBCocCgtBQUFCSDJVaFhINBAIGgtBQUFCSDJVaFhINBooCgIyNxIiCiAIBCocCgtBQUFCSDJVaFhJSRAIGgtBQUFCSDJVaFhJSRooCgIyOBIiCiAIBCocCgtBQUFCSDJVaFhKbxAIGgtBQUFCSDJVaFhKbxooCgIyORIiCiAIBCocCgtBQUFCSDJVaFhIMBAIGgtBQUFCSDJVaFhIMBooCgIzMBIiCiAIBCocCgtBQUFCSDJVaFhKMBAIGgtBQUFCSDJVaFhKMBooCgIzMRIiCiAIBCocCgtBQUFCSDJVaFhJdxAIGgtBQUFCSDJVaFhJdxooCgIzMhIiCiAIBCocCgtBQUFCSDJVaFhKURAIGgtBQUFCSDJVaFhKURooCgIzMxIiCiAIBCocCgtBQUFCSDJVaFhJaxAIGgtBQUFCSDJVaFhJaxooCgIzNBIiCiAIBCocCgtBQUFCSDJVaFhJNBAIGgtBQUFCSDJVaFhJNBooCgIzNRIiCiAIBCocCgtBQUFCSDJVaFhLSRAIGgtBQUFCSDJVaFhLSRooCgIzNhIiCiAIBCocCgtBQUFCSDJVaFhIbxAIGgtBQUFCSDJVaFhIbxooCgIzNxIiCiAIBCocCgtBQUFCSDJVaFhIaxAIGgtBQUFCSDJVaFhIaxooCgIzOBIiCiAIBCocCgtBQUFCSDJVaFhLTRAIGgtBQUFCSDJVaFhLTRooCgIzORIiCiAIBCocCgtBQUFCSDJVaFhKaxAIGgtBQUFCSDJVaFhKaxooCgI0MBIiCiAIBCocCgtBQUFCSDJVaFhJRRAIGgtBQUFCSDJVaFhJRRooCgI0MRIiCiAIBCocCgtBQUFCSDJVaFhLURAIGgtBQUFCSDJVaFhLURooCgI0MhIiCiAIBCocCgtBQUFCSDJVaFhKcxAIGgtBQUFCSDJVaFhKcxooCgI0MxIiCiAIBCocCgtBQUFCSDJVaFhLVRAIGgtBQUFCSDJVaFhLVRooCgI0NBIiCiAIBCocCgtBQUFCSDJVaFhKTRAIGgtBQUFCSDJVaFhKTRooCgI0NRIiCiAIBCocCgtBQUFCSDJVaFhJTRAIGgtBQUFCSDJVaFhJTRooCgI0NhIiCiAIBCocCgtBQUFCSDJVaFhKWRAIGgtBQUFCSDJVaFhKWSLQBgoLQUFBQkgyVWhYSUUSpQYKC0FBQUJIMlVoWElFEgtBQUFCSDJVaFhJRRrNAQoJdGV4dC9odG1sEr8BTm90YSBleHBsaWNhdGl2YTogQXMgaW5mcmHDp8O1ZXMgZSBwZW5hbGlkYWRlcyBkaXNwb3N0YXMgbmVzc2UgaXRlbSBzZSByZWZlcmVtIGVzcGVjaWFsbWVudGUgw6BzIGRpc3Bvc2nDp8O1ZXMgZGEgbGljaXRhw6fDo28sIGZpY2FuZG8gbm8gY29udHJhdG8gb3MgcmVncmFtZW50b3MgaW5lcmVudGVzIMOgIGZhc2UgY29udHJhdHVhbC4izgEKCnRleHQvcGxhaW4SvwFOb3RhIGV4cGxpY2F0aXZhOiBBcyBpbmZyYcOnw7VlcyBlIHBlbmFsaWRhZGVzIGRpc3Bvc3RhcyBuZXNzZSBpdGVtIHNlIHJlZmVyZW0gZXNwZWNpYWxtZW50ZSDDoHMgZGlzcG9zacOnw7VlcyBkYSBsaWNpdGHDp8OjbywgZmljYW5kbyBubyBjb250cmF0byBvcyByZWdyYW1lbnRvcyBpbmVyZW50ZXMgw6AgZmFzZSBjb250cmF0dWFsLio+CgVBdXRvcho1Ly9zc2wuZ3N0YXRpYy5jb20vZG9jcy9jb21tb24vYmx1ZV9zaWxob3VldHRlOTYtMC5wbmcwnP3Vot8xOJz91aLfMXJACgVBdXRvcho3CjUvL3NzbC5nc3RhdGljLmNvbS9kb2NzL2NvbW1vbi9ibHVlX3NpbGhvdWV0dGU5Ni0wLnBuZ3gAiAEBmgEGCAAQABgAqgHCARK/AU5vdGEgZXhwbGljYXRpdmE6IEFzIGluZnJhw6fDtWVzIGUgcGVuYWxpZGFkZXMgZGlzcG9zdGFzIG5lc3NlIGl0ZW0gc2UgcmVmZXJlbSBlc3BlY2lhbG1lbnRlIMOgcyBkaXNwb3Npw6fDtWVzIGRhIGxpY2l0YcOnw6NvLCBmaWNhbmRvIG5vIGNvbnRyYXRvIG9zIHJlZ3JhbWVudG9zIGluZXJlbnRlcyDDoCBmYXNlIGNvbnRyYXR1YWwusAEAuAEBGJz91aLfMSCc/dWi3zEwAEIJa2l4LmNtdDQwIsIRCgtBQUFCSDJVaFhKZxKYEQoLQUFBQkgyVWhYSmcSC0FBQUJIMlVoWEpnGp4FCgl0ZXh0L2h0bWwSkAVOb3RhIGV4cGxpY2F0aXZhOiBPcyBwcmF6b3MgbcOtbmltb3MgbWFpcyBjb211bnMgcGFyYSBhIGFwcmVzZW50YcOnw6NvIGRhcyBwcm9wb3N0YXMgZSBsYW5jZXMsIGNvbnRhZG9zIGEgcGFydGlyIGRvIDHCuiBkaWEgw7p0aWwgZGEgZGF0YSBkZSBkaXZ1bGdhw6fDo28gZG8gZWRpdGFsIGRlIGxpY2l0YcOnw6NvIG5vIFBOQ1AsIHNlcsOjbyBkZSA4IChvaXRvKSBkaWFzIMO6dGVpcywgcGFyYSBhIGFxdWlzacOnw6NvIGRlIGJlbnMsIGUgMTAgKGRleikgZGlhcyDDunRlaXMsIG5vIGNhc28gZGUgb2JyYXMgZSBzZXJ2acOnb3MgY29tdW5zLiAoQXJ0LiA1NSwgSSwgYSwgZSBJSSwgYSwgZGEgTGVpIG7CuiAxNC4xMzMsIGRlIDIwMjEpLiBFc3NlIHByYXpvIHBvZGVyw6EsIG1lZGlhbnRlIGRlY2lzw6NvIGZ1bmRhbWVudGFkYSwgc2VyIHJlZHV6aWRvIGF0w6kgYSBtZXRhZGUgbmFzIGxpY2l0YcOnw7VlcyByZWFsaXphZGFzIHBlbG8gTWluaXN0w6lyaW8gZGEgU2HDumRlLCBubyDDom1iaXRvIGRvIFNpc3RlbWEgw5puaWNvIGRlIFNhw7pkZSDigJMgU1VTIChBcnQuIDU1LCDCpzLCuiwgZGEgTGVpIG7CuiAxNC4xMzMsIGRlIDIwMjEpLiBTZW1wcmUgw6kgaW1wb3J0YW50ZSBjb25maXJtYXIgbyBwcmF6byBjb3JyZXRvIG5vIGFydC4gNTUgZGEgTGVpLiKfBQoKdGV4dC9wbGFpbhKQBU5vdGEgZXhwbGljYXRpdmE6IE9zIHByYXpvcyBtw61uaW1vcyBtYWlzIGNvbXVucyBwYXJhIGEgYXByZXNlbnRhw6fDo28gZGFzIHByb3Bvc3RhcyBlIGxhbmNlcywgY29udGFkb3MgYSBwYXJ0aXIgZG8gMcK6IGRpYSDDunRpbCBkYSBkYXRhIGRlIGRpdnVsZ2HDp8OjbyBkbyBlZGl0YWwgZGUgbGljaXRhw6fDo28gbm8gUE5DUCwgc2Vyw6NvIGRlIDggKG9pdG8pIGRpYXMgw7p0ZWlzLCBwYXJhIGEgYXF1aXNpw6fDo28gZGUgYmVucywgZSAxMCAoZGV6KSBkaWFzIMO6dGVpcywgbm8gY2FzbyBkZSBvYnJhcyBlIHNlcnZpw6dvcyBjb211bnMuIChBcnQuIDU1LCBJLCBhLCBlIElJLCBhLCBkYSBMZWkgbsK6IDE0LjEzMywgZGUgMjAyMSkuIEVzc2UgcHJhem8gcG9kZXLDoSwgbWVkaWFudGUgZGVjaXPDo28gZnVuZGFtZW50YWRhLCBzZXIgcmVkdXppZG8gYXTDqSBhIG1ldGFkZSBuYXMgbGljaXRhw6fDtWVzIHJlYWxpemFkYXMgcGVsbyBNaW5pc3TDqXJpbyBkYSBTYcO6ZGUsIG5vIMOibWJpdG8gZG8gU2lzdGVtYSDDmm5pY28gZGUgU2HDumRlIOKAkyBTVVMgKEFydC4gNTUsIMKnMsK6LCBkYSBMZWkgbsK6IDE0LjEzMywgZGUgMjAyMSkuIFNlbXByZSDDqSBpbXBvcnRhbnRlIGNvbmZpcm1hciBvIHByYXpvIGNvcnJldG8gbm8gYXJ0LiA1NSBkYSBMZWkuKj4KBUF1dG9yGjUvL3NzbC5nc3RhdGljLmNvbS9kb2NzL2NvbW1vbi9ibHVlX3NpbGhvdWV0dGU5Ni0wLnBuZzCS/dWi3zE4kv3Vot8xckAKBUF1dG9yGjcKNS8vc3NsLmdzdGF0aWMuY29tL2RvY3MvY29tbW9uL2JsdWVfc2lsaG91ZXR0ZTk2LTAucG5neACIAQGaAQYIABAAGACqAZMFEpAFTm90YSBleHBsaWNhdGl2YTogT3MgcHJhem9zIG3DrW5pbW9zIG1haXMgY29tdW5zIHBhcmEgYSBhcHJlc2VudGHDp8OjbyBkYXMgcHJvcG9zdGFzIGUgbGFuY2VzLCBjb250YWRvcyBhIHBhcnRpciBkbyAxwrogZGlhIMO6dGlsIGRhIGRhdGEgZGUgZGl2dWxnYcOnw6NvIGRvIGVkaXRhbCBkZSBsaWNpdGHDp8OjbyBubyBQTkNQLCBzZXLDo28gZGUgOCAob2l0bykgZGlhcyDDunRlaXMsIHBhcmEgYSBhcXVpc2nDp8OjbyBkZSBiZW5zLCBlIDEwIChkZXopIGRpYXMgw7p0ZWlzLCBubyBjYXNvIGRlIG9icmFzIGUgc2VydmnDp29zIGNvbXVucy4gKEFydC4gNTUsIEksIGEsIGUgSUksIGEsIGRhIExlaSBuwrogMTQuMTMzLCBkZSAyMDIxKS4gRXNzZSBwcmF6byBwb2RlcsOhLCBtZWRpYW50ZSBkZWNpc8OjbyBmdW5kYW1lbnRhZGEsIHNlciByZWR1emlkbyBhdMOpIGEgbWV0YWRlIG5hcyBsaWNpdGHDp8O1ZXMgcmVhbGl6YWRhcyBwZWxvIE1pbmlzdMOpcmlvIGRhIFNhw7pkZSwgbm8gw6JtYml0byBkbyBTaXN0ZW1hIMOabmljbyBkZSBTYcO6ZGUg4oCTIFNVUyAoQXJ0LiA1NSwgwqcywrosIGRhIExlaSBuwrogMTQuMTMzLCBkZSAyMDIxKS4gU2VtcHJlIMOpIGltcG9ydGFudGUgY29uZmlybWFyIG8gcHJhem8gY29ycmV0byBubyBhcnQuIDU1IGRhIExlaS6wAQC4AQEYkv3Vot8xIJL91aLfMTAAQghraXguY210MCLlMQoLQUFBQkgyVWhYS0USujEKC0FBQUJIMlVoWEtFEgtBQUFCSDJVaFhLRRqHEAoJdGV4dC9odG1sEvkPTm90YSBFeHBsaWNhdGl2YTogTyBwcmVlbmNoaW1lbnRvIGRvIGNhbXBvICZxdW90O2Rlc2NyacOnw6NvIGRldGFsaGFkYSBkbyBvYmpldG8gY29udHJhdGFkbyZxdW90Oy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8YnI+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48YnI+TWFzIHRhbCBleGlnw6puY2lhIMOpIG11aXRvIGRpZmVyZW50ZSBkZSBleGlnaXIgbyBwcmVlbmNoaW1lbnRvIGRvIGNhbXBvIOKAnGRlc2NyacOnw6NvIGRldGFsaGFkYSBkbyBvYmpldG/igJ0gbm8gc2lzdGVtYSBkZSBwcmVnw6NvIGVsZXRyw7RuaWNvLCBlbSB0b2RvIGUgcXVhbHF1ZXIgY2VydGFtZSwgcXVlIHPDsyB0ZW0gY2F1c2FkbyBjb25mdXPDo28uPGJyP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48YnI+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jxicj5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LvDwoKdGV4dC9wbGFpbhLgD05vdGEgRXhwbGljYXRpdmE6IE8gcHJlZW5jaGltZW50byBkbyBjYW1wbyAiZGVzY3Jpw6fDo28gZGV0YWxoYWRhIGRvIG9iamV0byBjb250cmF0YWRvIi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K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KTWFzIHRhbCBleGlnw6puY2lhIMOpIG11aXRvIGRpZmVyZW50ZSBkZSBleGlnaXIgbyBwcmVlbmNoaW1lbnRvIGRvIGNhbXBvIOKAnGRlc2NyacOnw6NvIGRldGFsaGFkYSBkbyBvYmpldG/igJ0gbm8gc2lzdGVtYSBkZSBwcmVnw6NvIGVsZXRyw7RuaWNvLCBlbSB0b2RvIGUgcXVhbHF1ZXIgY2VydGFtZSwgcXVlIHPDsyB0ZW0gY2F1c2FkbyBjb25mdXPDo28uC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K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gp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o+CgVBdXRvcho1Ly9zc2wuZ3N0YXRpYy5jb20vZG9jcy9jb21tb24vYmx1ZV9zaWxob3VldHRlOTYtMC5wbmcwlv3Vot8xOJb91aLfMXJACgVBdXRvcho3CjUvL3NzbC5nc3RhdGljLmNvbS9kb2NzL2NvbW1vbi9ibHVlX3NpbGhvdWV0dGU5Ni0wLnBuZ3gAiAEBmgEGCAAQABgAqgH8DxL5D05vdGEgRXhwbGljYXRpdmE6IE8gcHJlZW5jaGltZW50byBkbyBjYW1wbyAmcXVvdDtkZXNjcmnDp8OjbyBkZXRhbGhhZGEgZG8gb2JqZXRvIGNvbnRyYXRhZG8mcXVvdDsgdGVtIGNhdXNhZG8gYWxndW5zIGVtYmFyYcOnb3MgYW9zIHByZWfDtWVzLCBlc3BlY2lhbG1lbnRlIHF1YW5kbyBzZSBleGlnZSBvIHByZWVuY2hpbWVudG8gZGUgdsOhcmlvcyBkYWRvcy4gUGFyYSBldml0YXIgaXNzbywgZSBjb25zaWRlcmFuZG8gcXVlIG8gbGljaXRhbnRlIGrDoSBkZWNsYXJvdSBxdWUgc3VhIHByb3Bvc3RhIGVzdMOhIGRlIGFjb3JkbyBjb20gYXMgY29uZGnDp8O1ZXMgZG8gRWRpdGFsLCBvcHRvdS1zZSBwb3Igc2ltcGxlc21lbnRlIHJlbWV0ZXIgw6BzIGVzcGVjaWZpY2HDp8O1ZXMgbm8gVGVybW8gZGUgUmVmZXLDqm5jaWEsIHBhcmEgcXVlLCBhc3NpbSwgYSBhbsOhbGlzZSBkYSBwcm9wb3N0YSBzZSBkw6ogbm8gbW9tZW50byBhZGVxdWFkbywgZGEgYWNlaXRhw6fDo28gZGEgcHJvcG9zdGEsIGUgbsOjbyBuYSBldGFwYSBkZSBjbGFzc2lmaWNhw6fDo28gZGVsYXMgw6Agc2Vzc8OjbyBww7pibGljYS4gPGJyPkRlc3RhIGZvcm1hLCBvIEVkaXRhbCBwb2RlIGUgZGV2ZSBleGlnaXIgcXVlIGEgcHJvcG9zdGEgY29udGVuaGEgZGV0ZXJtaW5hZG9zIGVsZW1lbnRvcywgb3MgcXVhaXMgYXV4aWxpYXLDo28gbyDDs3Jnw6NvIGxpY2l0YW50ZSBhIGV4YW1pbmFyIGRlIGZvcm1hIG9iamV0aXZhLCBuYSBmYXNlIGRlIGFjZWl0YcOnw6NvLCBzdWEgcmVhbCBhZGVxdWHDp8OjbyBlIGV4ZXF1aWJpbGlkYWRlLiBTZW0gYSBpbmRpY2HDp8OjbyBkZSB0YWlzIGVsZW1lbnRvcywgbyDDs3Jnw6NvIG7Do28gZGlzcMO1ZSBkZSBpbmZvcm1hw6fDtWVzIHN1ZmljaWVudGVzIHBhcmEganVsZ2FyIGEgYWNlaXRhYmlsaWRhZGUgZGEgcHJvcG9zdGEuPGJyPk1hcyB0YWwgZXhpZ8OqbmNpYSDDqSBtdWl0byBkaWZlcmVudGUgZGUgZXhpZ2lyIG8gcHJlZW5jaGltZW50byBkbyBjYW1wbyDigJxkZXNjcmnDp8OjbyBkZXRhbGhhZGEgZG8gb2JqZXRv4oCdIG5vIHNpc3RlbWEgZGUgcHJlZ8OjbyBlbGV0csO0bmljbywgZW0gdG9kbyBlIHF1YWxxdWVyIGNlcnRhbWUsIHF1ZSBzw7MgdGVtIGNhdXNhZG8gY29uZnVzw6NvLjxicj5Bc3NpbSwgcmVjb21lbmRhbW9zIHF1ZSwgZGUgYWNvcmRvIGNvbSBvIG9iamV0byBkYSBsaWNpdGHDp8OjbywgbyDDs3Jnw6NvIGV4YW1pbmUgb3MgZGVtYWlzIGRhZG9zIHBlcnRpbmVudGVzIChhbMOpbSBkbyBwcmXDp28pIHF1ZSBkZXZlcsOjbyBzZXIgYW5hbGlzYWRvcyBuYSBmYXNlIGRlIGFjZWl0YcOnw6NvIGRhIHByb3Bvc3RhIGUgaW5zaXJhIG5vIEVkaXRhbCBhIGV4aWfDqm5jaWEgZGUgb3MgbGljaXRhbnRlcyBpbmZvcm1hcmVtIHRhaXMgZGFkb3MgZW0gc3VhcyBwcm9wb3N0YXMuPGJyPkFsZXJ0YW1vcyBxdWUgc8OzIHNlIGRldmUgZXhpZ2lyIG8gcHJlZW5jaGltZW50byBkZSBkYWRvcyBxdWUgc2VqYW0gcmVsZXZhbnRlcyBlIGVmZXRpdmFtZW50ZSB1dGlsaXphZG9zIHBhcmEgYSBjbGFzc2lmaWNhw6fDo28gZSBhY2VpdGHDp8OjbyBkYSBwcm9wb3N0YS4gTGVtYnJhbW9zIHF1ZSwgbmEgZmFzZSBkZSBqdWxnYW1lbnRvLCB0YW1iw6ltIHBvZGVyw6Egc2VyIHNvbGljaXRhZG8gcGVsbyBQcmVnb2Vpcm8sIG8gZW52aW8gZGUgYXJxdWl2byBhbmV4bywgY29udGVuZG8gYXMgaW5mb3JtYcOnw7VlcyByZWxldmFudGVzIHBhcmEgYSBhbsOhbGlzZSBkYSBwcm9wb3N0YS48YnI+QSBtZW7Dp8OjbyBhbyBuw7ptZXJvIGRvIHJlZ2lzdHJvIG91IGluc2NyacOnw6NvIGRvIGJlbSBubyDDs3Jnw6NvIGNvbXBldGVudGUgc8OzIGRldmUgc2VyIGZlaXRhIHF1YW5kbyBhIGxlZ2lzbGHDp8OjbyBlbnZvbHZlbmRvIG8gb2JqZXRvIGxpY2l0YXTDs3JpbyBhc3NpbSBvIGV4aWdpci4gQ29tbyBleGVtcGxvLCBjaXRlLXNlIG8gcmVnaXN0cm8gZGUgZ8OqbmVyb3MgYWxpbWVudMOtY2lvcyBubyBNaW5pc3TDqXJpbyBkYSBBZ3JpY3VsdHVyYSwgUGVjdcOhcmlhIGUgQWJhc3RlY2ltZW50by6wAQC4AQEYlv3Vot8xIJb91aLfMTAAQglraXguY210MTEipQsKC0FBQUJIMlVoWElBEvoKCgtBQUFCSDJVaFhJQRILQUFBQkgyVWhYSUEalAMKCXRleHQvaHRtbB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KVAwoKdGV4dC9wbGFpbh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o+CgVBdXRvcho1Ly9zc2wuZ3N0YXRpYy5jb20vZG9jcy9jb21tb24vYmx1ZV9zaWxob3VldHRlOTYtMC5wbmcwl/3Vot8xOJf91aLfMXJACgVBdXRvcho3CjUvL3NzbC5nc3RhdGljLmNvbS9kb2NzL2NvbW1vbi9ibHVlX3NpbGhvdWV0dGU5Ni0wLnBuZ3gAiAEBmgEGCAAQABgAqgGJAx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rABALgBARiX/dWi3zEgl/3Vot8xMABCCWtpeC5jbXQxNSL/BQoLQUFBQkgyVWhYSmMS1AUKC0FBQUJIMlVoWEpjEgtBQUFCSDJVaFhKYxqyAQoJdGV4dC9odG1sEqQBTm90YSBleHBsaWNhdGl2YTogQ29uZm9ybWUgZXNwZWNpZmljYcOnw7VlcyBkbyBzaXN0ZW1hIG9wZXJhY2lvbmFsLCBhIGV0YXBhIGRlIGxhbmNlcyBzZW1wcmUgYWNvbnRlY2UgcG9yIGl0ZW0gZSBvcyBsYW5jZXMgc8OjbyBlbnZpYWRvcyBzZW1wcmUgcG9yIHZhbG9yIHVuaXTDoXJpby4iswEKCnRleHQvcGxhaW4SpAFOb3RhIGV4cGxpY2F0aXZhOiBDb25mb3JtZSBlc3BlY2lmaWNhw6fDtWVzIGRvIHNpc3RlbWEgb3BlcmFjaW9uYWwsIGEgZXRhcGEgZGUgbGFuY2VzIHNlbXByZSBhY29udGVjZSBwb3IgaXRlbSBlIG9zIGxhbmNlcyBzw6NvIGVudmlhZG9zIHNlbXByZSBwb3IgdmFsb3IgdW5pdMOhcmlvLio+CgVBdXRvcho1Ly9zc2wuZ3N0YXRpYy5jb20vZG9jcy9jb21tb24vYmx1ZV9zaWxob3VldHRlOTYtMC5wbmcwl/3Vot8xOJf91aLfMXJACgVBdXRvcho3CjUvL3NzbC5nc3RhdGljLmNvbS9kb2NzL2NvbW1vbi9ibHVlX3NpbGhvdWV0dGU5Ni0wLnBuZ3gAiAEBmgEGCAAQABgAqgGnARKkAU5vdGEgZXhwbGljYXRpdmE6IENvbmZvcm1lIGVzcGVjaWZpY2HDp8O1ZXMgZG8gc2lzdGVtYSBvcGVyYWNpb25hbCwgYSBldGFwYSBkZSBsYW5jZXMgc2VtcHJlIGFjb250ZWNlIHBvciBpdGVtIGUgb3MgbGFuY2VzIHPDo28gZW52aWFkb3Mgc2VtcHJlIHBvciB2YWxvciB1bml0w6FyaW8usAEAuAEBGJf91aLfMSCX/dWi3zEwAEIJa2l4LmNtdDE2Is4HCgtBQUFCSDJVaFhLQRKjBwoLQUFBQkgyVWhYS0ESC0FBQUJIMlVoWEtBGvcBCgl0ZXh0L2h0bWwS6QFOb3RhIEV4cGxpY2F0aXZhOiBObyBtb2RvIGRlIGRpc3B1dGEg4oCcYWJlcnRvIGUgZmVjaGFkb+KAnSBpbmljaWEtc2UgY29tIGEgYXByZXNlbnRhw6fDo28gZGUgbGFuY2VzIHN1Y2Vzc2l2b3MgKGZhc2UgYWJlcnRhKSwgY29tIGVudmlvIGZpbmFsIGRlIHVtIGxhbmNlIGZlY2hhZG8gcGVsb3MgZGV0ZW50b3JlcyBkYXMgbWVsaG9yZXMgcHJvcG9zdGFzIGRhIGZhc2UgYWJlcnRhIChmYXNlIGZlY2hhZGEpLiL4AQoKdGV4dC9wbGFpbhLpAU5vdGEgRXhwbGljYXRpdmE6IE5vIG1vZG8gZGUgZGlzcHV0YSDigJxhYmVydG8gZSBmZWNoYWRv4oCdIGluaWNpYS1zZSBjb20gYSBhcHJlc2VudGHDp8OjbyBkZSBsYW5jZXMgc3VjZXNzaXZvcyAoZmFzZSBhYmVydGEpLCBjb20gZW52aW8gZmluYWwgZGUgdW0gbGFuY2UgZmVjaGFkbyBwZWxvcyBkZXRlbnRvcmVzIGRhcyBtZWxob3JlcyBwcm9wb3N0YXMgZGEgZmFzZSBhYmVydGEgKGZhc2UgZmVjaGFkYSkuKj4KBUF1dG9yGjUvL3NzbC5nc3RhdGljLmNvbS9kb2NzL2NvbW1vbi9ibHVlX3NpbGhvdWV0dGU5Ni0wLnBuZzCY/dWi3zE4mP3Vot8xckAKBUF1dG9yGjcKNS8vc3NsLmdzdGF0aWMuY29tL2RvY3MvY29tbW9uL2JsdWVfc2lsaG91ZXR0ZTk2LTAucG5neACIAQGaAQYIABAAGACqAewBEukBTm90YSBFeHBsaWNhdGl2YTogTm8gbW9kbyBkZSBkaXNwdXRhIOKAnGFiZXJ0byBlIGZlY2hhZG/igJ0gaW5pY2lhLXNlIGNvbSBhIGFwcmVzZW50YcOnw6NvIGRlIGxhbmNlcyBzdWNlc3Npdm9zIChmYXNlIGFiZXJ0YSksIGNvbSBlbnZpbyBmaW5hbCBkZSB1bSBsYW5jZSBmZWNoYWRvIHBlbG9zIGRldGVudG9yZXMgZGFzIG1lbGhvcmVzIHByb3Bvc3RhcyBkYSBmYXNlIGFiZXJ0YSAoZmFzZSBmZWNoYWRhKS6wAQC4AQEYmP3Vot8xIJj91aLfMTAAQglraXguY210MTkiigUKC0FBQUJIMlVoWElNEt8ECgtBQUFCSDJVaFhJTRILQUFBQkgyVWhYSU0aiwEKCXRleHQvaHRtbBJ+Tm90YSBFeHBsaWNhdGl2YTogw4kgaW1wb3J0YW50ZSBxdWUgc2VqYW0gaW5kaWNhZG9zIG9zIG1laW9zIHBhcmEgYSByZWNlcMOnw6NvIGRhcyBpbXB1Z25hw6fDtWVzIGUgcGVkaWRvcyBkZSBlc2NsYXJlY2ltZW50b3MuIowBCgp0ZXh0L3BsYWluEn5Ob3RhIEV4cGxpY2F0aXZhOiDDiSBpbXBvcnRhbnRlIHF1ZSBzZWphbSBpbmRpY2Fkb3Mgb3MgbWVpb3MgcGFyYSBhIHJlY2Vww6fDo28gZGFzIGltcHVnbmHDp8O1ZXMgZSBwZWRpZG9zIGRlIGVzY2xhcmVjaW1lbnRvcy4qPgoFQXV0b3IaNS8vc3NsLmdzdGF0aWMuY29tL2RvY3MvY29tbW9uL2JsdWVfc2lsaG91ZXR0ZTk2LTAucG5nMJ391aLfMTid/dWi3zFyQAoFQXV0b3IaNwo1Ly9zc2wuZ3N0YXRpYy5jb20vZG9jcy9jb21tb24vYmx1ZV9zaWxob3VldHRlOTYtMC5wbmd4AIgBAZoBBggAEAAYAKoBgAESfk5vdGEgRXhwbGljYXRpdmE6IMOJIGltcG9ydGFudGUgcXVlIHNlamFtIGluZGljYWRvcyBvcyBtZWlvcyBwYXJhIGEgcmVjZXDDp8OjbyBkYXMgaW1wdWduYcOnw7VlcyBlIHBlZGlkb3MgZGUgZXNjbGFyZWNpbWVudG9zLrABALgBARid/dWi3zEgnf3Vot8xMABCCWtpeC5jbXQ0NSKTBQoLQUFBQkgyVWhYSm8S6AQKC0FBQUJIMlVoWEpvEgtBQUFCSDJVaFhKbxqOAQoJdGV4dC9odG1sEoABTm90YSBleHBsaWNhdGl2YTogTyBhcnRpZ28gMTgsIMKnMsK6LCBkYSBJTiBTRUdFUyBuwrogNzMsIGRlIDMwIGRlIHNldGVtYnJvIGRlIDIwMjIsIG9icmlnYSBhIGFwcmVzZW50YcOnw6NvIGRlc3NhIGRlY2xhcmHDp8Ojby4ijwEKCnRleHQvcGxhaW4SgAFOb3RhIGV4cGxpY2F0aXZhOiBPIGFydGlnbyAxOCwgwqcywrosIGRhIElOIFNFR0VTIG7CuiA3MywgZGUgMzAgZGUgc2V0ZW1icm8gZGUgMjAyMiwgb2JyaWdhIGEgYXByZXNlbnRhw6fDo28gZGVzc2EgZGVjbGFyYcOnw6NvLio+CgVBdXRvcho1Ly9zc2wuZ3N0YXRpYy5jb20vZG9jcy9jb21tb24vYmx1ZV9zaWxob3VldHRlOTYtMC5wbmcwmv3Vot8xOJr91aLfMXJACgVBdXRvcho3CjUvL3NzbC5nc3RhdGljLmNvbS9kb2NzL2NvbW1vbi9ibHVlX3NpbGhvdWV0dGU5Ni0wLnBuZ3gAiAEBmgEGCAAQABgAqgGDARKAAU5vdGEgZXhwbGljYXRpdmE6IE8gYXJ0aWdvIDE4LCDCpzLCuiwgZGEgSU4gU0VHRVMgbsK6IDczLCBkZSAzMCBkZSBzZXRlbWJybyBkZSAyMDIyLCBvYnJpZ2EgYSBhcHJlc2VudGHDp8OjbyBkZXNzYSBkZWNsYXJhw6fDo28usAEAuAEBGJr91aLfMSCa/dWi3zEwAEIJa2l4LmNtdDI4ItwDCgtBQUFCSDJVaFhLTRKxAwoLQUFBQkgyVWhYS00SC0FBQUJIMlVoWEtNGlIKCXRleHQvaHRtbBJFTm90YSBFeHBsaWNhdGl2YTogQ29uZm9ybWUgYXJ0aWdvIDE4LCDCpzLCuiwgZG8gRGVjcmV0byBuwrogMTEuNDYyLzIzIlMKCnRleHQvcGxhaW4SRU5vdGEgRXhwbGljYXRpdmE6IENvbmZvcm1lIGFydGlnbyAxOCwgwqcywrosIGRvIERlY3JldG8gbsK6IDExLjQ2Mi8yMyo+CgVBdXRvcho1Ly9zc2wuZ3N0YXRpYy5jb20vZG9jcy9jb21tb24vYmx1ZV9zaWxob3VldHRlOTYtMC5wbmcwnP3Vot8xOJz91aLfMXJACgVBdXRvcho3CjUvL3NzbC5nc3RhdGljLmNvbS9kb2NzL2NvbW1vbi9ibHVlX3NpbGhvdWV0dGU5Ni0wLnBuZ3gAiAEBmgEGCAAQABgAqgFHEkVOb3RhIEV4cGxpY2F0aXZhOiBDb25mb3JtZSBhcnRpZ28gMTgsIMKnMsK6LCBkbyBEZWNyZXRvIG7CuiAxMS40NjIvMjOwAQC4AQEYnP3Vot8xIJz91aLfMTAAQglraXguY210MzgizQMKC0FBQUJIMlVoWEhrEqIDCgtBQUFCSDJVaFhIaxILQUFBQkgyVWhYSGsaTQoJdGV4dC9odG1sEkBOb3RhIEV4cGxpY2F0aXZhOiBDb25mb3JtZSBhcnQuIDE4LCBJSUksIGRvIERlY3JldG9uwrogMTEuNDYyLzIzIk4KCnRleHQvcGxhaW4SQE5vdGEgRXhwbGljYXRpdmE6IENvbmZvcm1lIGFydC4gMTgsIElJSSwgZG8gRGVjcmV0b27CuiAxMS40NjIvMjMqPgoFQXV0b3IaNS8vc3NsLmdzdGF0aWMuY29tL2RvY3MvY29tbW9uL2JsdWVfc2lsaG91ZXR0ZTk2LTAucG5nMJz91aLfMTic/dWi3zFyQAoFQXV0b3IaNwo1Ly9zc2wuZ3N0YXRpYy5jb20vZG9jcy9jb21tb24vYmx1ZV9zaWxob3VldHRlOTYtMC5wbmd4AIgBAZoBBggAEAAYAKoBQhJATm90YSBFeHBsaWNhdGl2YTogQ29uZm9ybWUgYXJ0LiAxOCwgSUlJLCBkbyBEZWNyZXRvbsK6IDExLjQ2Mi8yM7ABALgBARic/dWi3zEgnP3Vot8xMABCCWtpeC5jbXQzNyLuBAoLQUFBQkgyVWhYSUkSwwQKC0FBQUJIMlVoWElJEgtBQUFCSDJVaFhJSRqCAQoJdGV4dC9odG1sEnVOb3RhIGV4cGxpY2F0aXZhIDE6IEEgZGVjaXPDo28gcXVhbnRvIMOgIGV4aWfDqm5jaWEgZGUgYW1vc3RyYSBlIHN1YXMgZXNwZWNpZmljaWRhZGVzIGNvbnN0YSBkbyBUZXJtbyBkZSBSZWZlcsOqbmNpYS4igwEKCnRleHQvcGxhaW4SdU5vdGEgZXhwbGljYXRpdmEgMTogQSBkZWNpc8OjbyBxdWFudG8gw6AgZXhpZ8OqbmNpYSBkZSBhbW9zdHJhIGUgc3VhcyBlc3BlY2lmaWNpZGFkZXMgY29uc3RhIGRvIFRlcm1vIGRlIFJlZmVyw6puY2lhLio+CgVBdXRvcho1Ly9zc2wuZ3N0YXRpYy5jb20vZG9jcy9jb21tb24vYmx1ZV9zaWxob3VldHRlOTYtMC5wbmcwmv3Vot8xOJr91aLfMXJACgVBdXRvcho3CjUvL3NzbC5nc3RhdGljLmNvbS9kb2NzL2NvbW1vbi9ibHVlX3NpbGhvdWV0dGU5Ni0wLnBuZ3gAiAEBmgEGCAAQABgAqgF3EnVOb3RhIGV4cGxpY2F0aXZhIDE6IEEgZGVjaXPDo28gcXVhbnRvIMOgIGV4aWfDqm5jaWEgZGUgYW1vc3RyYSBlIHN1YXMgZXNwZWNpZmljaWRhZGVzIGNvbnN0YSBkbyBUZXJtbyBkZSBSZWZlcsOqbmNpYS6wAQC4AQEYmv3Vot8xIJr91aLfMTAAQglraXguY210Mjci/QMKC0FBQUJIMlVoWEprEtIDCgtBQUFCSDJVaFhKaxILQUFBQkgyVWhYSmsaXQoJdGV4dC9odG1sElBOb3RhIEV4cGxpY2F0aXZhOiBDb25mb3JtZSBhcnQuIDIwLCBwYXLDoWdyYWZvIMO6bmljbywgZG8gRGVjcmV0byBuwrogMTEuNDYyLzIzLiJeCgp0ZXh0L3BsYWluElBOb3RhIEV4cGxpY2F0aXZhOiBDb25mb3JtZSBhcnQuIDIwLCBwYXLDoWdyYWZvIMO6bmljbywgZG8gRGVjcmV0byBuwrogMTEuNDYyLzIzLio+CgVBdXRvcho1Ly9zc2wuZ3N0YXRpYy5jb20vZG9jcy9jb21tb24vYmx1ZV9zaWxob3VldHRlOTYtMC5wbmcwnP3Vot8xOJz91aLfMXJACgVBdXRvcho3CjUvL3NzbC5nc3RhdGljLmNvbS9kb2NzL2NvbW1vbi9ibHVlX3NpbGhvdWV0dGU5Ni0wLnBuZ3gAiAEBmgEGCAAQABgAqgFSElBOb3RhIEV4cGxpY2F0aXZhOiBDb25mb3JtZSBhcnQuIDIwLCBwYXLDoWdyYWZvIMO6bmljbywgZG8gRGVjcmV0byBuwrogMTEuNDYyLzIzLrABALgBARic/dWi3zEgnP3Vot8xMABCCWtpeC5jbXQzOSK7AwoLQUFBQkgyVWhYS0kSkAMKC0FBQUJIMlVoWEtJEgtBQUFCSDJVaFhLSRpHCgl0ZXh0L2h0bWwSOk5vdGEgRXhwbGljYXRpdmE6IENvbmZvcm1lIGFydC4gMjAgZG8gRGVjcmV0byBuLiAxMS40NjIvMjMiSAoKdGV4dC9wbGFpbhI6Tm90YSBFeHBsaWNhdGl2YTogQ29uZm9ybWUgYXJ0LiAyMCBkbyBEZWNyZXRvIG4uIDExLjQ2Mi8yMyo+CgVBdXRvcho1Ly9zc2wuZ3N0YXRpYy5jb20vZG9jcy9jb21tb24vYmx1ZV9zaWxob3VldHRlOTYtMC5wbmcwnP3Vot8xOJz91aLfMXJACgVBdXRvcho3CjUvL3NzbC5nc3RhdGljLmNvbS9kb2NzL2NvbW1vbi9ibHVlX3NpbGhvdWV0dGU5Ni0wLnBuZ3gAiAEBmgEGCAAQABgAqgE8EjpOb3RhIEV4cGxpY2F0aXZhOiBDb25mb3JtZSBhcnQuIDIwIGRvIERlY3JldG8gbi4gMTEuNDYyLzIzsAEAuAEBGJz91aLfMSCc/dWi3zEwAEIJa2l4LmNtdDM1IpwMCgtBQUFCSDJVaFhIZxLyCwoLQUFBQkgyVWhYSGcSC0FBQUJIMlVoWEhnGrwDCgl0ZXh0L2h0bWwSrgNOb3RhIGV4cGxpY2F0aXZhOiBPIGFydGlnbyAxOSBkYSBJbnN0cnXDp8OjbyBOb3JtYXRpdmEgU0VHRVMgbsK6IDczLCBkZSAzMCBkZSBzZXRlbWJybyBkZSAyMDIyLCBhZG1pdGUgcXVlIG8gbGljaXRhbnRlIHV0aWxpemUgZG8gc2lzdGVtYSBvZmljaWFsIHBhcmEgZXN0YWJlbGVjZXIgcHJldmlhbWVudGUgc2V1cyBsYW5jZXMsIGluY2x1c2l2ZSBvIGxhbmNlIG3DrW5pbW8gb3UgbyBtYWlvciBwZXJjZW50dWFsIGRlIGRlc2NvbnRvLCBkZSBtb2RvIHF1ZSBvIHNpc3RlbWEgYXV0b21hdGljYW1lbnRlIHJlY2ViYSBvcyBsYW5jZXMgc2VtIGEgbmVjZXNzaWRhZGUgZGUgaW5zZXLDp8OjbyBtYW51YWwgYSBjYWRhIGxhbmNlLiBBIHV0aWxpemHDp8OjbyBkZXNzZSBpbnN0cnVtZW50byDDqSB1bWEgZmFjdWxkYWRlIG9mZXJlY2lkYSBhbyBsaWNpdGFudGUuIr0DCgp0ZXh0L3BsYWluEq4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cGVyY2VudHVhbCBkZSBkZXNjb250bywgZGUgbW9kbyBxdWUgbyBzaXN0ZW1hIGF1dG9tYXRpY2FtZW50ZSByZWNlYmEgb3MgbGFuY2VzIHNlbSBhIG5lY2Vzc2lkYWRlIGRlIGluc2Vyw6fDo28gbWFudWFsIGEgY2FkYSBsYW5jZS4gQSB1dGlsaXphw6fDo28gZGVzc2UgaW5zdHJ1bWVudG8gw6kgdW1hIGZhY3VsZGFkZSBvZmVyZWNpZGEgYW8gbGljaXRhbnRlLio+CgVBdXRvcho1Ly9zc2wuZ3N0YXRpYy5jb20vZG9jcy9jb21tb24vYmx1ZV9zaWxob3VldHRlOTYtMC5wbmcwlv3Vot8xOJb91aLfMXJACgVBdXRvcho3CjUvL3NzbC5nc3RhdGljLmNvbS9kb2NzL2NvbW1vbi9ibHVlX3NpbGhvdWV0dGU5Ni0wLnBuZ3gAiAEBmgEGCAAQABgAqgGxAxKuA05vdGEgZXhwbGljYXRpdmE6IE8gYXJ0aWdvIDE5IGRhIEluc3RydcOnw6NvIE5vcm1hdGl2YSBTRUdFUyBuwrogNzMsIGRlIDMwIGRlIHNldGVtYnJvIGRlIDIwMjIsIGFkbWl0ZSBxdWUgbyBsaWNpdGFudGUgdXRpbGl6ZSBkbyBzaXN0ZW1hIG9maWNpYWwgcGFyYSBlc3RhYmVsZWNlciBwcmV2aWFtZW50ZSBzZXVzIGxhbmNlcywgaW5jbHVzaXZlIG8gbGFuY2UgbcOtbmltbyBvdSBvIG1haW9yIHBlcmNlbnR1YWwgZGUgZGVzY29udG8sIGRlIG1vZG8gcXVlIG8gc2lzdGVtYSBhdXRvbWF0aWNhbWVudGUgcmVjZWJhIG9zIGxhbmNlcyBzZW0gYSBuZWNlc3NpZGFkZSBkZSBpbnNlcsOnw6NvIG1hbnVhbCBhIGNhZGEgbGFuY2UuIEEgdXRpbGl6YcOnw6NvIGRlc3NlIGluc3RydW1lbnRvIMOpIHVtYSBmYWN1bGRhZGUgb2ZlcmVjaWRhIGFvIGxpY2l0YW50ZS6wAQC4AQEYlv3Vot8xIJb91aLfMTAAQghraXguY210OCLuBgoLQUFBQkgyVWhYSXMSwwYKC0FBQUJIMlVoWElzEgtBQUFCSDJVaFhJcxrXAQoJdGV4dC9odG1sEskBTm90YSBleHBsaWNhdGl2YTogTyBwcmF6byBkZSBkdWFzIGhvcmFzIMOpIG8gbcOtbmltbyBwb3Nzw612ZWwsIHBvZGVuZG8gc2VyIGF1bWVudGFkbyBjYXNvIGEgQWRtaW5pc3RyYcOnw6NvIGVudGVuZGEgcGVydGluZW50ZSwgY29uZm9ybWUgYXJ0LiAyOSwgwqcgMsK6LCBkYSBJTiBTRUdFUyBuwrogNzMsIGRlIDMwIGRlIHNldGVtYnJvIGRlIDIwMjIuItgBCgp0ZXh0L3BsYWluEskBTm90YSBleHBsaWNhdGl2YTogTyBwcmF6byBkZSBkdWFzIGhvcmFzIMOpIG8gbcOtbmltbyBwb3Nzw612ZWwsIHBvZGVuZG8gc2VyIGF1bWVudGFkbyBjYXNvIGEgQWRtaW5pc3RyYcOnw6NvIGVudGVuZGEgcGVydGluZW50ZSwgY29uZm9ybWUgYXJ0LiAyOSwgwqcgMsK6LCBkYSBJTiBTRUdFUyBuwrogNzMsIGRlIDMwIGRlIHNldGVtYnJvIGRlIDIwMjIuKj4KBUF1dG9yGjUvL3NzbC5nc3RhdGljLmNvbS9kb2NzL2NvbW1vbi9ibHVlX3NpbGhvdWV0dGU5Ni0wLnBuZzCY/dWi3zE4mP3Vot8xckAKBUF1dG9yGjcKNS8vc3NsLmdzdGF0aWMuY29tL2RvY3MvY29tbW9uL2JsdWVfc2lsaG91ZXR0ZTk2LTAucG5neACIAQGaAQYIABAAGACqAcwBEskBTm90YSBleHBsaWNhdGl2YTogTyBwcmF6byBkZSBkdWFzIGhvcmFzIMOpIG8gbcOtbmltbyBwb3Nzw612ZWwsIHBvZGVuZG8gc2VyIGF1bWVudGFkbyBjYXNvIGEgQWRtaW5pc3RyYcOnw6NvIGVudGVuZGEgcGVydGluZW50ZSwgY29uZm9ybWUgYXJ0LiAyOSwgwqcgMsK6LCBkYSBJTiBTRUdFUyBuwrogNzMsIGRlIDMwIGRlIHNldGVtYnJvIGRlIDIwMjIusAEAuAEBGJj91aLfMSCY/dWi3zEwAEIJa2l4LmNtdDIzIv8DCgtBQUFCSDJVaFhKVRLVAwoLQUFBQkgyVWhYSlUSC0FBQUJIMlVoWEpVGl4KCXRleHQvaHRtbBJRTm90YSBleHBsaWNhdGl2YTogRGV2ZSBhIGF1dG9yaWRhZGUgaW5kaWNhciBvIG7Dum1lcm8gZGUgaXRlbnMgYSBzZXJlbSBsaWNpdGFkb3MuIl8KCnRleHQvcGxhaW4SUU5vdGEgZXhwbGljYXRpdmE6IERldmUgYSBhdXRvcmlkYWRlIGluZGljYXIgbyBuw7ptZXJvIGRlIGl0ZW5zIGEgc2VyZW0gbGljaXRhZG9zLio+CgVBdXRvcho1Ly9zc2wuZ3N0YXRpYy5jb20vZG9jcy9jb21tb24vYmx1ZV9zaWxob3VldHRlOTYtMC5wbmcwkv3Vot8xOJL91aLfMXJACgVBdXRvcho3CjUvL3NzbC5nc3RhdGljLmNvbS9kb2NzL2NvbW1vbi9ibHVlX3NpbGhvdWV0dGU5Ni0wLnBuZ3gAiAEBmgEGCAAQABgAqgFTElFOb3RhIGV4cGxpY2F0aXZhOiBEZXZlIGEgYXV0b3JpZGFkZSBpbmRpY2FyIG8gbsO6bWVybyBkZSBpdGVucyBhIHNlcmVtIGxpY2l0YWRvcy6wAQC4AQEYkv3Vot8xIJL91aLfMTAAQghraXguY210MSKgAwoLQUFBQkgyVWhYSTQS9QIKC0FBQUJIMlVoWEk0EgtBQUFCSDJVaFhJNBo+Cgl0ZXh0L2h0bWwSMU5vdGEgRXhwbGljYXRpdmE6IEFydC4gMjEgZG8gRGVjcmV0byBuLiAxMi40NjIvMjMiPwoKdGV4dC9wbGFpbhIxTm90YSBFeHBsaWNhdGl2YTogQXJ0LiAyMSBkbyBEZWNyZXRvIG4uIDEyLjQ2Mi8yMyo+CgVBdXRvcho1Ly9zc2wuZ3N0YXRpYy5jb20vZG9jcy9jb21tb24vYmx1ZV9zaWxob3VldHRlOTYtMC5wbmcwm/3Vot8xOJv91aLfMXJACgVBdXRvcho3CjUvL3NzbC5nc3RhdGljLmNvbS9kb2NzL2NvbW1vbi9ibHVlX3NpbGhvdWV0dGU5Ni0wLnBuZ3gAiAEBmgEGCAAQABgAqgEzEjFOb3RhIEV4cGxpY2F0aXZhOiBBcnQuIDIxIGRvIERlY3JldG8gbi4gMTIuNDYyLzIzsAEAuAEBGJv91aLfMSCb/dWi3zEwAEIJa2l4LmNtdDM0IrUDCgtBQUFCSDJVaFhJbxKKAwoLQUFBQkgyVWhYSW8SC0FBQUJIMlVoWElvGkUKCXRleHQvaHRtbBI4Tm90YSBFeHBsaWNhdGl2YTogQXJ0LiAxNSwgSUksIGRvIERlY3JldG8gwrogMTEuNDYyLzIwMjMiRgoKdGV4dC9wbGFpbhI4Tm90YSBFeHBsaWNhdGl2YTogQXJ0LiAxNSwgSUksIGRvIERlY3JldG8gwrogMTEuNDYyLzIwMjMqPgoFQXV0b3IaNS8vc3NsLmdzdGF0aWMuY29tL2RvY3MvY29tbW9uL2JsdWVfc2lsaG91ZXR0ZTk2LTAucG5nMJb91aLfMTiW/dWi3zFyQAoFQXV0b3IaNwo1Ly9zc2wuZ3N0YXRpYy5jb20vZG9jcy9jb21tb24vYmx1ZV9zaWxob3VldHRlOTYtMC5wbmd4AIgBAZoBBggAEAAYAKoBOhI4Tm90YSBFeHBsaWNhdGl2YTogQXJ0LiAxNSwgSUksIGRvIERlY3JldG8gwrogMTEuNDYyLzIwMjOwAQC4AQEYlv3Vot8xIJb91aLfMTAAQglraXguY210MTIi1gMKC0FBQUJIMlVoWEpREqsDCgtBQUFCSDJVaFhKURILQUFBQkgyVWhYSlEaUAoJdGV4dC9odG1sEkNOb3RhIEV4cGxpY2F0aXZhOiBDb25mb3JtZSBhcnQuIDE5LCDCpzHCuiwgZG8gRGVjcmV0byBuLiAxMS40NjIvMjMuIlEKCnRleHQvcGxhaW4SQ05vdGEgRXhwbGljYXRpdmE6IENvbmZvcm1lIGFydC4gMTksIMKnMcK6LCBkbyBEZWNyZXRvIG4uIDExLjQ2Mi8yMy4qPgoFQXV0b3IaNS8vc3NsLmdzdGF0aWMuY29tL2RvY3MvY29tbW9uL2JsdWVfc2lsaG91ZXR0ZTk2LTAucG5nMJv91aLfMTib/dWi3zFyQAoFQXV0b3IaNwo1Ly9zc2wuZ3N0YXRpYy5jb20vZG9jcy9jb21tb24vYmx1ZV9zaWxob3VldHRlOTYtMC5wbmd4AIgBAZoBBggAEAAYAKoBRRJDTm90YSBFeHBsaWNhdGl2YTogQ29uZm9ybWUgYXJ0LiAxOSwgwqcxwrosIGRvIERlY3JldG8gbi4gMTEuNDYyLzIzLrABALgBARib/dWi3zEgm/3Vot8xMABCCWtpeC5jbXQzMiK6IQoLQUFBQkgyVWhYSTASkCEKC0FBQUJIMlVoWEkwEgtBQUFCSDJVaFhJMBrKCgoJdGV4dC9odG1sErwKTm90YSBFeHBsaWNhdGl2YTogQ29uZm9ybWUgUEFSRUNFUiBuLiAwMDAwMi8yMDIzL0RFQ09SL0NHVS9BR1UsIGFwcm92YWRvIHBlbG8gREVTUEFDSE8gREUgQVBST1ZBw4fDg08gbi4gMDAwMDYvMjAyMy9TR1BQL0NHVS9BR1UsIOKAnC4uLmNvbnNpZGVyYS1zZSBkZSBkaWbDrWNpbCBzdXBlcmHDp8OjbyBxdWUgYXMgY29vcGVyYXRpdmFzLCBtZXNtbyBzb2IgYSBsw7NnaWNhIGRhIG5vdmEgbGVpLCB2ZW5oYW0gYSBwYXJ0aWNpcGFyIGRlIG1vZG8gZ2VyYWwgZG9zIGNlcnRhbWVzIGxpY2l0YXTDs3Jpb3MgcGFyYSBwcmVzdGFyIHNlcnZpw6dvcyBjb250w61udW9zIGNvbSByZWdpbWUgZGUgZGVkaWNhw6fDo28gZXhjbHVzaXZhIGRlIG3Do28gZGUgb2JyYSwgY3VqYXMgY2FyYWN0ZXLDrXN0aWNhcyBlbmNvbnRyYW0tc2UgYmVtIGRlbGluZWFkYXMgbm8gYXJ0aWdvIDbCuiwgWFZJLCBkYSBMZWkgbsK6IDE0LjEzMy8yMDIxLCBvdSBzZWphLCBlbSBxdWUgbW9kZWxvIGRlIGV4ZWN1w6fDo28gY29udHJhdHVhbCBleGlqYSBlbnRyZSBvdXRyb3MgcmVxdWlzaXRvcywgcXVlPGJyPiAgICBhKSBvcyBlbXByZWdhZG9zIGRvIGNvbnRyYXRhZG8gZmlxdWVtIMOgIGRpc3Bvc2nDp8OjbyBuYXMgZGVwZW5kw6puY2lhcyBkbyBjb250cmF0YW50ZSBwYXJhIGEgcHJlc3Rhw6fDo28gZG9zIHNlcnZpw6dvczs8YnI+ICAgIGIpIG8gY29udHJhdGFkbyBuw6NvIGNvbXBhcnRpbGhlIG9zIHJlY3Vyc29zIGh1bWFub3MgZSBtYXRlcmlhaXMgZGlzcG9uw612ZWlzIGRlIHVtYSBjb250cmF0YcOnw6NvIHBhcmEgZXhlY3XDp8OjbyBzaW11bHTDom5lYSBkZSBvdXRyb3MgY29udHJhdG9zOzxicj4gICAgYykgbyBjb250cmF0YWRvIHBvc3NpYmlsaXRlIGEgZmlzY2FsaXphw6fDo28gcGVsbyBjb250cmF0YW50ZSBxdWFudG8gw6AgZGlzdHJpYnVpw6fDo28sIGNvbnRyb2xlIGUgc3VwZXJ2aXPDo28gZG9zIHJlY3Vyc29zIGh1bWFub3MgYWxvY2Fkb3MgYW9zIHNldXMgY29udHJhdG9zLjxicj5EZXNzYSBmb3JtYSwgbyBhcnQuIDE2IGRhIExlaSBuwrogMTQuMTMzLzIwMjEgZGV2ZSBzZXIgaW50ZXJwcmV0YWRvIHNpc3RlbWF0aWNhbWVudGUsIGRlIGFjb3JkbyBjb20gbyBhcmNhYm91w6dvIGp1csOtZGljbyBxdWUgZW52b2x2ZSBhIG1hdMOpcmlhIGRhcyBDb29wZXJhdGl2YXMsIG7Do28gdGVuZG8gbyBjb25kw6NvIGRlIGFmYXN0YXIgYSBhcGxpY2FiaWxpZGFkZSBkbyBUZXJtbyBkZSBDb25jaWxpYcOnw6NvIGZpcm1hZG8gZW50cmUgTWluaXN0w6lyaW8gUMO6YmxpY28gZG8gVHJhYmFsaG8gLSBNUFQgZSBhIEFkdm9jYWNpYSBHZXJhbCBkYSBVbmnDo28g4oCTIEFHVS7igJ0ivwoKCnRleHQvcGxhaW4SsApOb3RhIEV4cGxpY2F0aXZhOiBDb25mb3JtZSBQQVJFQ0VSIG4uIDAwMDAyLzIwMjMvREVDT1IvQ0dVL0FHVSwgYXByb3ZhZG8gcGVsbyBERVNQQUNITyBERSBBUFJPVkHDh8ODTyBuLiAwMDAwNi8yMDIzL1NHUFAvQ0dVL0FHVSwg4oCcLi4uY29uc2lkZXJhLXNlIGRlIGRpZsOtY2lsIHN1cGVyYcOnw6NvIHF1ZSBhcyBjb29wZXJhdGl2YXMsIG1lc21vIHNvYiBhIGzDs2dpY2EgZGEgbm92YSBsZWksIHZlbmhhbSBhIHBhcnRpY2lwYXIgZGUgbW9kbyBnZXJhbCBkb3MgY2VydGFtZXMgbGljaXRhdMOzcmlvcyBwYXJhIHByZXN0YXIgc2VydmnDp29zIGNvbnTDrW51b3MgY29tIHJlZ2ltZSBkZSBkZWRpY2HDp8OjbyBleGNsdXNpdmEgZGUgbcOjbyBkZSBvYnJhLCBjdWphcyBjYXJhY3RlcsOtc3RpY2FzIGVuY29udHJhbS1zZSBiZW0gZGVsaW5lYWRhcyBubyBhcnRpZ28gNsK6LCBYVkksIGRhIExlaSBuwrogMTQuMTMzLzIwMjEsIG91IHNlamEsIGVtIHF1ZSBtb2RlbG8gZGUgZXhlY3XDp8OjbyBjb250cmF0dWFsIGV4aWphIGVudHJlIG91dHJvcyByZXF1aXNpdG9zLCBxdWUKICAgIGEpIG9zIGVtcHJlZ2Fkb3MgZG8gY29udHJhdGFkbyBmaXF1ZW0gw6AgZGlzcG9zacOnw6NvIG5hcyBkZXBlbmTDqm5jaWFzIGRvIGNvbnRyYXRhbnRlIHBhcmEgYSBwcmVzdGHDp8OjbyBkb3Mgc2VydmnDp29zOwogICAgYikgbyBjb250cmF0YWRvIG7Do28gY29tcGFydGlsaGUgb3MgcmVjdXJzb3MgaHVtYW5vcyBlIG1hdGVyaWFpcyBkaXNwb27DrXZlaXMgZGUgdW1hIGNvbnRyYXRhw6fDo28gcGFyYSBleGVjdcOnw6NvIHNpbXVsdMOibmVhIGRlIG91dHJvcyBjb250cmF0b3M7CiAgICBjKSBvIGNvbnRyYXRhZG8gcG9zc2liaWxpdGUgYSBmaXNjYWxpemHDp8OjbyBwZWxvIGNvbnRyYXRhbnRlIHF1YW50byDDoCBkaXN0cmlidWnDp8OjbywgY29udHJvbGUgZSBzdXBlcnZpc8OjbyBkb3MgcmVjdXJzb3MgaHVtYW5vcyBhbG9jYWRvcyBhb3Mgc2V1cyBjb250cmF0b3MuCkRlc3NhIGZvcm1hLCBvIGFydC4gMTYgZGEgTGVpIG7CuiAxNC4xMzMvMjAyMSBkZXZlIHNlciBpbnRlcnByZXRhZG8gc2lzdGVtYXRpY2FtZW50ZSwgZGUgYWNvcmRvIGNvbSBvIGFyY2Fib3XDp28ganVyw61kaWNvIHF1ZSBlbnZvbHZlIGEgbWF0w6lyaWEgZGFzIENvb3BlcmF0aXZhcywgbsOjbyB0ZW5kbyBvIGNvbmTDo28gZGUgYWZhc3RhciBhIGFwbGljYWJpbGlkYWRlIGRvIFRlcm1vIGRlIENvbmNpbGlhw6fDo28gZmlybWFkbyBlbnRyZSBNaW5pc3TDqXJpbyBQw7pibGljbyBkbyBUcmFiYWxobyAtIE1QVCBlIGEgQWR2b2NhY2lhIEdlcmFsIGRhIFVuacOjbyDigJMgQUdVLuKAnSo+CgVBdXRvcho1Ly9zc2wuZ3N0YXRpYy5jb20vZG9jcy9jb21tb24vYmx1ZV9zaWxob3VldHRlOTYtMC5wbmcwlf3Vot8xOJX91aLfMXJACgVBdXRvcho3CjUvL3NzbC5nc3RhdGljLmNvbS9kb2NzL2NvbW1vbi9ibHVlX3NpbGhvdWV0dGU5Ni0wLnBuZ3gAiAEBmgEGCAAQABgAqgG/ChK8Ck5vdGEgRXhwbGljYXRpdmE6IENvbmZvcm1lIFBBUkVDRVIgbi4gMDAwMDIvMjAyMy9ERUNPUi9DR1UvQUdVLCBhcHJvdmFkbyBwZWxvIERFU1BBQ0hPIERFIEFQUk9WQcOHw4NPIG4uIDAwMDA2LzIwMjMvU0dQUC9DR1UvQUdVLCDigJwuLi5jb25zaWRlcmEtc2UgZGUgZGlmw61jaWwgc3VwZXJhw6fDo28gcXVlIGFzIGNvb3BlcmF0aXZhcywgbWVzbW8gc29iIGEgbMOzZ2ljYSBkYSBub3ZhIGxlaSwgdmVuaGFtIGEgcGFydGljaXBhciBkZSBtb2RvIGdlcmFsIGRvcyBjZXJ0YW1lcyBsaWNpdGF0w7NyaW9zIHBhcmEgcHJlc3RhciBzZXJ2acOnb3MgY29udMOtbnVvcyBjb20gcmVnaW1lIGRlIGRlZGljYcOnw6NvIGV4Y2x1c2l2YSBkZSBtw6NvIGRlIG9icmEsIGN1amFzIGNhcmFjdGVyw61zdGljYXMgZW5jb250cmFtLXNlIGJlbSBkZWxpbmVhZGFzIG5vIGFydGlnbyA2wrosIFhWSSwgZGEgTGVpIG7CuiAxNC4xMzMvMjAyMSwgb3Ugc2VqYSwgZW0gcXVlIG1vZGVsbyBkZSBleGVjdcOnw6NvIGNvbnRyYXR1YWwgZXhpamEgZW50cmUgb3V0cm9zIHJlcXVpc2l0b3MsIHF1ZTxicj4gICAgYSkgb3MgZW1wcmVnYWRvcyBkbyBjb250cmF0YWRvIGZpcXVlbSDDoCBkaXNwb3Npw6fDo28gbmFzIGRlcGVuZMOqbmNpYXMgZG8gY29udHJhdGFudGUgcGFyYSBhIHByZXN0YcOnw6NvIGRvcyBzZXJ2acOnb3M7PGJyPiAgICBiKSBvIGNvbnRyYXRhZG8gbsOjbyBjb21wYXJ0aWxoZSBvcyByZWN1cnNvcyBodW1hbm9zIGUgbWF0ZXJpYWlzIGRpc3BvbsOtdmVpcyBkZSB1bWEgY29udHJhdGHDp8OjbyBwYXJhIGV4ZWN1w6fDo28gc2ltdWx0w6JuZWEgZGUgb3V0cm9zIGNvbnRyYXRvczs8YnI+ICAgIGMpIG8gY29udHJhdGFkbyBwb3NzaWJpbGl0ZSBhIGZpc2NhbGl6YcOnw6NvIHBlbG8gY29udHJhdGFudGUgcXVhbnRvIMOgIGRpc3RyaWJ1acOnw6NvLCBjb250cm9sZSBlIHN1cGVydmlzw6NvIGRvcyByZWN1cnNvcyBodW1hbm9zIGFsb2NhZG9zIGFvcyBzZXVzIGNvbnRyYXRvcy48YnI+RGVzc2EgZm9ybWEsIG8gYXJ0LiAxNiBkYSBMZWkgbsK6IDE0LjEzMy8yMDIxIGRldmUgc2VyIGludGVycHJldGFkbyBzaXN0ZW1hdGljYW1lbnRlLCBkZSBhY29yZG8gY29tIG8gYXJjYWJvdcOnbyBqdXLDrWRpY28gcXVlIGVudm9sdmUgYSBtYXTDqXJpYSBkYXMgQ29vcGVyYXRpdmFzLCBuw6NvIHRlbmRvIG8gY29uZMOjbyBkZSBhZmFzdGFyIGEgYXBsaWNhYmlsaWRhZGUgZG8gVGVybW8gZGUgQ29uY2lsaWHDp8OjbyBmaXJtYWRvIGVudHJlIE1pbmlzdMOpcmlvIFDDumJsaWNvIGRvIFRyYWJhbGhvIC0gTVBUIGUgYSBBZHZvY2FjaWEgR2VyYWwgZGEgVW5pw6NvIOKAkyBBR1Uu4oCdsAEAuAEBGJX91aLfMSCV/dWi3zEwAEIIa2l4LmNtdDQikgQKC0FBQUJIMlVoWEl3EucDCgtBQUFCSDJVaFhJdxILQUFBQkgyVWhYSXcaZAoJdGV4dC9odG1sEldOb3RhIEV4cGxpY2F0aXZhOiBBZG90YXIgZXNzZSBpdGVtIGFwZW5hcyBzZSBhIGxpY2l0YcOnw6NvIGZvciBwYXJhIHJlZ2lzdHJvIGRlIHByZcOnb3MiZQoKdGV4dC9wbGFpbhJXTm90YSBFeHBsaWNhdGl2YTogQWRvdGFyIGVzc2UgaXRlbSBhcGVuYXMgc2UgYSBsaWNpdGHDp8OjbyBmb3IgcGFyYSByZWdpc3RybyBkZSBwcmXDp29zKj4KBUF1dG9yGjUvL3NzbC5nc3RhdGljLmNvbS9kb2NzL2NvbW1vbi9ibHVlX3NpbGhvdWV0dGU5Ni0wLnBuZzCb/dWi3zE4m/3Vot8xckAKBUF1dG9yGjcKNS8vc3NsLmdzdGF0aWMuY29tL2RvY3MvY29tbW9uL2JsdWVfc2lsaG91ZXR0ZTk2LTAucG5neACIAQGaAQYIABAAGACqAVkSV05vdGEgRXhwbGljYXRpdmE6IEFkb3RhciBlc3NlIGl0ZW0gYXBlbmFzIHNlIGEgbGljaXRhw6fDo28gZm9yIHBhcmEgcmVnaXN0cm8gZGUgcHJlw6dvc7ABALgBARib/dWi3zEgm/3Vot8xMABCCWtpeC5jbXQzMSL/BQoLQUFBQkgyVWhYSlkS1AUKC0FBQUJIMlVoWEpZEgtBQUFCSDJVaFhKWRqyAQoJdGV4dC9odG1sEqQBTm90YSBFeHBsaWNhdGl2YTogQSBhdHJpYnVpw6fDo28gcGFyYSBjb25jZXNzw6NvIGRvIGVmZWl0byBzdXNwZW5zaXZvIGZvaSBjb25mZXJpZGEgYW8gYWdlbnRlIGRlIGNvbnRyYXRhw6fDo28gcGVsbyDCpyAywrogZG8gYXJ0aWdvIDE2IGRhIElOIFNFR0VTIG7CuiA3MywgZGUgMjAyMi4iswEKCnRleHQvcGxhaW4SpAFOb3RhIEV4cGxpY2F0aXZhOiBBIGF0cmlidWnDp8OjbyBwYXJhIGNvbmNlc3PDo28gZG8gZWZlaXRvIHN1c3BlbnNpdm8gZm9pIGNvbmZlcmlkYSBhbyBhZ2VudGUgZGUgY29udHJhdGHDp8OjbyBwZWxvIMKnIDLCuiBkbyBhcnRpZ28gMTYgZGEgSU4gU0VHRVMgbsK6IDczLCBkZSAyMDIyLio+CgVBdXRvcho1Ly9zc2wuZ3N0YXRpYy5jb20vZG9jcy9jb21tb24vYmx1ZV9zaWxob3VldHRlOTYtMC5wbmcwnf3Vot8xOJ391aLfMXJACgVBdXRvcho3CjUvL3NzbC5nc3RhdGljLmNvbS9kb2NzL2NvbW1vbi9ibHVlX3NpbGhvdWV0dGU5Ni0wLnBuZ3gAiAEBmgEGCAAQABgAqgGnARKkAU5vdGEgRXhwbGljYXRpdmE6IEEgYXRyaWJ1acOnw6NvIHBhcmEgY29uY2Vzc8OjbyBkbyBlZmVpdG8gc3VzcGVuc2l2byBmb2kgY29uZmVyaWRhIGFvIGFnZW50ZSBkZSBjb250cmF0YcOnw6NvIHBlbG8gwqcgMsK6IGRvIGFydGlnbyAxNiBkYSBJTiBTRUdFUyBuwrogNzMsIGRlIDIwMjIusAEAuAEBGJ391aLfMSCd/dWi3zEwAEIJa2l4LmNtdDQ2IuIGCgtBQUFCSDJVaFhJOBK3BgoLQUFBQkgyVWhYSTgSC0FBQUJIMlVoWEk4GtMBCgl0ZXh0L2h0bWwSxQFOb3RhIEV4cGxpY2F0aXZhOiBQZWxvIGFydGlnbyAyMiwgwqcgMcK6LCBkYSBJbnN0cnXDp8OjbyBOb3JtYXRpdmEgU0VHRVMgbsK6IDczLCBkZSAzMCBkZSBzZXRlbWJybyBkZSAyMDIyLCDDqSBvYnJpZ2F0w7NyaWEgYSBwcmV2aXPDo28gZGUgaW50ZXJ2YWxvIG3DrW5pbW8gZGUgZGlmZXJlbsOnYSBkZSB2YWxvcmVzIG91IHBlcmNlbnR1YWlzLiLUAQoKdGV4dC9wbGFpbhLFAU5vdGEgRXhwbGljYXRpdmE6IFBlbG8gYXJ0aWdvIDIyLCDCpyAxwrosIGRhIEluc3RydcOnw6NvIE5vcm1hdGl2YSBTRUdFUyBuwrogNzMsIGRlIDMwIGRlIHNldGVtYnJvIGRlIDIwMjIsIMOpIG9icmlnYXTDs3JpYSBhIHByZXZpc8OjbyBkZSBpbnRlcnZhbG8gbcOtbmltbyBkZSBkaWZlcmVuw6dhIGRlIHZhbG9yZXMgb3UgcGVyY2VudHVhaXMuKj4KBUF1dG9yGjUvL3NzbC5nc3RhdGljLmNvbS9kb2NzL2NvbW1vbi9ibHVlX3NpbGhvdWV0dGU5Ni0wLnBuZzCX/dWi3zE4l/3Vot8xckAKBUF1dG9yGjcKNS8vc3NsLmdzdGF0aWMuY29tL2RvY3MvY29tbW9uL2JsdWVfc2lsaG91ZXR0ZTk2LTAucG5neACIAQGaAQYIABAAGACqAcgBEsUBTm90YSBFeHBsaWNhdGl2YTogUGVsbyBhcnRpZ28gMjIsIMKnIDHCuiwgZGEgSW5zdHJ1w6fDo28gTm9ybWF0aXZhIFNFR0VTIG7CuiA3MywgZGUgMzAgZGUgc2V0ZW1icm8gZGUgMjAyMiwgw6kgb2JyaWdhdMOzcmlhIGEgcHJldmlzw6NvIGRlIGludGVydmFsbyBtw61uaW1vIGRlIGRpZmVyZW7Dp2EgZGUgdmFsb3JlcyBvdSBwZXJjZW50dWFpcy6wAQC4AQEYl/3Vot8xIJf91aLfMTAAQglraXguY210MTci7BYKC0FBQUJIMlVoWEljEsEWCgtBQUFCSDJVaFhJYxILQUFBQkgyVWhYSWMagQcKCXRleHQvaHRtbBLzBk5vdGEgZXhwbGljYXRpdmE6IFNlIG8gcmVnaW1lIMOpIG8gZGUgZW1wcmVpdGFkYSBwb3IgcHJlw6dvIHVuaXTDoXJpbywgY2FiZSBkZXNjbGFzc2lmaWNhw6fDo28gZW0gcmF6w6NvIGRlIGN1c3RvcyB1bml0w6FyaW9zIHN1cGVyaW9yZXMgYW9zIG9yw6dhZG9zIHBlbGEgQWRtaW5pc3RyYcOnw6NvLCBjb25mb3JtZSBhcnQuIDU5LCDCpzPCuiwgZGEgTGVpIG7CuiAxNC4xMzMvMjAyMSwgcXVlIGV4cHJlc3NhbWVudGUgc2UgcmVmZXJlIGFvIGNyaXTDqXJpbyBkZSBhY2VpdGFiaWxpZGFkZSBkZSBwcmXDp29zIHVuaXTDoXJpbyBlIGdsb2JhbCBhIHNlciBmaXhhZG8gbm8gZWRpdGFsLCBiZW0gY29tbyBwZWxhIGRlZmluacOnw6NvIGRlIHNvYnJlcHJlw6dvIGRvIGFydC4gNsK6LCBMVkksIHF1ZSBleHByZXNzYW1lbnRlIGVzdGFiZWxlY2UgcXVlIGVzc2UgcG9kZSBvY29ycmVyIGVtIHJlbGHDp8OjbyBhbyBwcmXDp28gdW5pdMOhcmlvIG5lc3NlIHJlZ2ltZS4gQXNzaW0sIGVtIHByaW5jw61waW8sIMOpIGNhYsOtdmVsIGVzdGFiZWxlY2VyIHVtIGNyaXTDqXJpbyBwcsOzcHJpbywgY29uZm9ybWUgYXMgcGVjdWxpYXJpZGFkZXMgZG8gY2FzbywgcXVlIHBvZGUgZW52b2x2ZXIgb3MgY3VzdG9zIHRpZG9zIGNvbW8gcmVsZXZhbnRlcywgZXZlbnR1YWwgbWFyZ2VtIGVtIHJlbGHDp8OjbyBhbyBwcmXDp28gZGUgcmVmZXLDqm5jaWEgZXRjLiBBIG1lbsOnw6NvIGFvcyBjdXN0b3MgdW5pdMOhcmlvcyB0aWRvcyBjb21vIHJlbGV2YW50ZXMgYWNpbWEgw6kgbWVyYSBzdWdlc3TDo28sIHBvZGVuZG8gbyDDs3Jnw6NvIG91IGVudGlkYWRlIGVzdGFiZWxlY2VyIG8gY3JpdMOpcmlvIHF1ZSBsaGUgcGFyZWNlciBtYWlzIGFkZXF1YWRvIHRlY25pY2FtZW50ZS4iggcKCnRleHQvcGxhaW4S8wZOb3RhIGV4cGxpY2F0aXZhOiBTZSBvIHJlZ2ltZSDDqSBvIGRlIGVtcHJlaXRhZGEgcG9yIHByZcOnbyB1bml0w6FyaW8sIGNhYmUgZGVzY2xhc3NpZmljYcOnw6NvIGVtIHJhesOjbyBkZSBjdXN0b3MgdW5pdMOhcmlvcyBzdXBlcmlvcmVzIGFvcyBvcsOnYWRvcyBwZWxhIEFkbWluaXN0cmHDp8OjbywgY29uZm9ybWUgYXJ0LiA1OSwgwqczwrosIGRhIExlaSBuwrogMTQuMTMzLzIwMjEsIHF1ZSBleHByZXNzYW1lbnRlIHNlIHJlZmVyZSBhbyBjcml0w6lyaW8gZGUgYWNlaXRhYmlsaWRhZGUgZGUgcHJlw6dvcyB1bml0w6FyaW8gZSBnbG9iYWwgYSBzZXIgZml4YWRvIG5vIGVkaXRhbCwgYmVtIGNvbW8gcGVsYSBkZWZpbmnDp8OjbyBkZSBzb2JyZXByZcOnbyBkbyBhcnQuIDbCuiwgTFZJLCBxdWUgZXhwcmVzc2FtZW50ZSBlc3RhYmVsZWNlIHF1ZSBlc3NlIHBvZGUgb2NvcnJlciBlbSByZWxhw6fDo28gYW8gcHJlw6dvIHVuaXTDoXJpbyBuZXNzZSByZWdpbWUuIEFzc2ltLCBlbSBwcmluY8OtcGlvLCDDqSBjYWLDrXZlbCBlc3RhYmVsZWNlciB1bSBjcml0w6lyaW8gcHLDs3ByaW8sIGNvbmZvcm1lIGFzIHBlY3VsaWFyaWRhZGVzIGRvIGNhc28sIHF1ZSBwb2RlIGVudm9sdmVyIG9zIGN1c3RvcyB0aWRvcyBjb21vIHJlbGV2YW50ZXMsIGV2ZW50dWFsIG1hcmdlbSBlbSByZWxhw6fDo28gYW8gcHJlw6dvIGRlIHJlZmVyw6puY2lhIGV0Yy4gQSBtZW7Dp8OjbyBhb3MgY3VzdG9zIHVuaXTDoXJpb3MgdGlkb3MgY29tbyByZWxldmFudGVzIGFjaW1hIMOpIG1lcmEgc3VnZXN0w6NvLCBwb2RlbmRvIG8gw7NyZ8OjbyBvdSBlbnRpZGFkZSBlc3RhYmVsZWNlciBvIGNyaXTDqXJpbyBxdWUgbGhlIHBhcmVjZXIgbWFpcyBhZGVxdWFkbyB0ZWNuaWNhbWVudGUuKj4KBUF1dG9yGjUvL3NzbC5nc3RhdGljLmNvbS9kb2NzL2NvbW1vbi9ibHVlX3NpbGhvdWV0dGU5Ni0wLnBuZzCZ/dWi3zE4mf3Vot8xckAKBUF1dG9yGjcKNS8vc3NsLmdzdGF0aWMuY29tL2RvY3MvY29tbW9uL2JsdWVfc2lsaG91ZXR0ZTk2LTAucG5neACIAQGaAQYIABAAGACqAfYGEvMGTm90YSBleHBsaWNhdGl2YTogU2UgbyByZWdpbWUgw6kgbyBkZSBlbXByZWl0YWRhIHBvciBwcmXDp28gdW5pdMOhcmlvLCBjYWJlIGRlc2NsYXNzaWZpY2HDp8OjbyBlbSByYXrDo28gZGUgY3VzdG9zIHVuaXTDoXJpb3Mgc3VwZXJpb3JlcyBhb3Mgb3LDp2Fkb3MgcGVsYSBBZG1pbmlzdHJhw6fDo28sIGNvbmZvcm1lIGFydC4gNTksIMKnM8K6LCBkYSBMZWkgbsK6IDE0LjEzMy8yMDIxLCBxdWUgZXhwcmVzc2FtZW50ZSBzZSByZWZlcmUgYW8gY3JpdMOpcmlvIGRlIGFjZWl0YWJpbGlkYWRlIGRlIHByZcOnb3MgdW5pdMOhcmlvIGUgZ2xvYmFsIGEgc2VyIGZpeGFkbyBubyBlZGl0YWwsIGJlbSBjb21vIHBlbGEgZGVmaW5pw6fDo28gZGUgc29icmVwcmXDp28gZG8gYXJ0LiA2wrosIExWSSwgcXVlIGV4cHJlc3NhbWVudGUgZXN0YWJlbGVjZSBxdWUgZXNzZSBwb2RlIG9jb3JyZXIgZW0gcmVsYcOnw6NvIGFvIHByZcOnbyB1bml0w6FyaW8gbmVzc2UgcmVnaW1lLiBBc3NpbSwgZW0gcHJpbmPDrXBpbywgw6kgY2Fiw612ZWwgZXN0YWJlbGVjZXIgdW0gY3JpdMOpcmlvIHByw7NwcmlvLCBjb25mb3JtZSBhcyBwZWN1bGlhcmlkYWRlcyBkbyBjYXNvLCBxdWUgcG9kZSBlbnZvbHZlciBvcyBjdXN0b3MgdGlkb3MgY29tbyByZWxldmFudGVzLCBldmVudHVhbCBtYXJnZW0gZW0gcmVsYcOnw6NvIGFvIHByZcOnbyBkZSByZWZlcsOqbmNpYSBldGMuIEEgbWVuw6fDo28gYW9zIGN1c3RvcyB1bml0w6FyaW9zIHRpZG9zIGNvbW8gcmVsZXZhbnRlcyBhY2ltYSDDqSBtZXJhIHN1Z2VzdMOjbywgcG9kZW5kbyBvIMOzcmfDo28gb3UgZW50aWRhZGUgZXN0YWJlbGVjZXIgbyBjcml0w6lyaW8gcXVlIGxoZSBwYXJlY2VyIG1haXMgYWRlcXVhZG8gdGVjbmljYW1lbnRlLrABALgBARiZ/dWi3zEgmf3Vot8xMABCCWtpeC5jbXQyNSKqDgoLQUFBQkgyVWhYSkUSgA4KC0FBQUJIMlVoWEpFEgtBQUFCSDJVaFhKRRqXBAoJdGV4dC9odG1sEokETm90YSBleHBsaWNhdGl2YTogQSBmYXNlIGRlIGhhYmlsaXRhw6fDo28gcG9kZXLDoSwgbWVkaWFudGUgYXRvIG1vdGl2YWRvIGNvbSBleHBsaWNpdGHDp8OjbyBkb3MgYmVuZWbDrWNpb3MgZGVjb3JyZW50ZXMsIGFudGVjZWRlciBhcyBmYXNlcyBkZSBhcHJlc2VudGHDp8OjbyBkZSBwcm9wb3N0YXMgZSBsYW5jZXMsIG5vcyB0ZXJtb3MgZG8gYXJ0LiAxNywgwqcxwrosIGRhIExlaSBuwrogMTQuMTMzLCBkZSAyMDIxLiBObyBlbnRhbnRvLCB0YWwgZnVuY2lvbmFsaWRhZGUgbsOjbyBlc3TDoSBkaXNwb27DrXZlbCBhaW5kYSBubyBzaXN0ZW1hLiBBcMOzcyBhIGRpc3BvbmliaWxpemHDp8OjbyBlIHNlbmRvIGVzc2EgYSBvcMOnw6NvIGRvIMOzcmfDo28sIHV0aWxpemFyIGEgc2VndWludGUgcmVkYcOnw6NvOiA8YnI+My4xLglOYSBwcmVzZW50ZSBsaWNpdGHDp8OjbywgYSBmYXNlIGRlIGhhYmlsaXRhw6fDo28gYW50ZWNlZGVyw6EgYSBmYXNlIGRlIGFwcmVzZW50YcOnw6NvIGRlIHByb3Bvc3RhcyBlIGxhbmNlcy4ilQQKCnRleHQvcGxhaW4ShgR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vIGVudGFudG8sIHRhbCBmdW5jaW9uYWxpZGFkZSBuw6NvIGVzdMOhIGRpc3BvbsOtdmVsIGFpbmRhIG5vIHNpc3RlbWEuIEFww7NzIGEgZGlzcG9uaWJpbGl6YcOnw6NvIGUgc2VuZG8gZXNzYSBhIG9ww6fDo28gZG8gw7NyZ8OjbywgdXRpbGl6YXIgYSBzZWd1aW50ZSByZWRhw6fDo286IAozLjEuCU5hIHByZXNlbnRlIGxpY2l0YcOnw6NvLCBhIGZhc2UgZGUgaGFiaWxpdGHDp8OjbyBhbnRlY2VkZXLDoSBhIGZhc2UgZGUgYXByZXNlbnRhw6fDo28gZGUgcHJvcG9zdGFzIGUgbGFuY2VzLio+CgVBdXRvcho1Ly9zc2wuZ3N0YXRpYy5jb20vZG9jcy9jb21tb24vYmx1ZV9zaWxob3VldHRlOTYtMC5wbmcwlf3Vot8xOJX91aLfMXJACgVBdXRvcho3CjUvL3NzbC5nc3RhdGljLmNvbS9kb2NzL2NvbW1vbi9ibHVlX3NpbGhvdWV0dGU5Ni0wLnBuZ3gAiAEBmgEGCAAQABgAqgGMBBKJBE5vdGEgZXhwbGljYXRpdmE6IEEgZmFzZSBkZSBoYWJpbGl0YcOnw6NvIHBvZGVyw6EsIG1lZGlhbnRlIGF0byBtb3RpdmFkbyBjb20gZXhwbGljaXRhw6fDo28gZG9zIGJlbmVmw61jaW9zIGRlY29ycmVudGVzLCBhbnRlY2VkZXIgYXMgZmFzZXMgZGUgYXByZXNlbnRhw6fDo28gZGUgcHJvcG9zdGFzIGUgbGFuY2VzLCBub3MgdGVybW9zIGRvIGFydC4gMTcsIMKnMcK6LCBkYSBMZWkgbsK6IDE0LjEzMywgZGUgMjAyMS4gTm8gZW50YW50bywgdGFsIGZ1bmNpb25hbGlkYWRlIG7Do28gZXN0w6EgZGlzcG9uw612ZWwgYWluZGEgbm8gc2lzdGVtYS4gQXDDs3MgYSBkaXNwb25pYmlsaXphw6fDo28gZSBzZW5kbyBlc3NhIGEgb3DDp8OjbyBkbyDDs3Jnw6NvLCB1dGlsaXphciBhIHNlZ3VpbnRlIHJlZGHDp8OjbzogPGJyPjMuMS4JTmEgcHJlc2VudGUgbGljaXRhw6fDo28sIGEgZmFzZSBkZSBoYWJpbGl0YcOnw6NvIGFudGVjZWRlcsOhIGEgZmFzZSBkZSBhcHJlc2VudGHDp8OjbyBkZSBwcm9wb3N0YXMgZSBsYW5jZXMusAEAuAEBGJX91aLfMSCV/dWi3zEwAEIIa2l4LmNtdDYiswUKC0FBQUJIMlVoWEpBEokFCgtBQUFCSDJVaFhKQRILQUFBQkgyVWhYSkEamQEKCXRleHQvaHRtbBKLAU5vdGEgZXhwbGljYXRpdmE6IEEgY2zDoXVzdWxhIDMuMTIuMiB0YW1iw6ltIMOpIG9yaXVuZGEgZGEgSW5zdHJ1w6fDo28gTm9ybWF0aXZhIFNFR0VTIG7CuiA3MywgZGUgMzAgZGUgc2V0ZW1icm8gZGUgMjAyMiAoYXJ0LiAxOSwgwqcgMcK6KS4imgEKCnRleHQvcGxhaW4SiwFOb3RhIGV4cGxpY2F0aXZhOiBBIGNsw6F1c3VsYSAzLjEyLjIgdGFtYsOpbSDDqSBvcml1bmRhIGRhIEluc3RydcOnw6NvIE5vcm1hdGl2YSBTRUdFUyBuwrogNzMsIGRlIDMwIGRlIHNldGVtYnJvIGRlIDIwMjIgKGFydC4gMTksIMKnIDHCuikuKj4KBUF1dG9yGjUvL3NzbC5nc3RhdGljLmNvbS9kb2NzL2NvbW1vbi9ibHVlX3NpbGhvdWV0dGU5Ni0wLnBuZzCW/dWi3zE4lv3Vot8xckAKBUF1dG9yGjcKNS8vc3NsLmdzdGF0aWMuY29tL2RvY3MvY29tbW9uL2JsdWVfc2lsaG91ZXR0ZTk2LTAucG5neACIAQGaAQYIABAAGACqAY4BEosBTm90YSBleHBsaWNhdGl2YTogQSBjbMOhdXN1bGEgMy4xMi4yIHRhbWLDqW0gw6kgb3JpdW5kYSBkYSBJbnN0cnXDp8OjbyBOb3JtYXRpdmEgU0VHRVMgbsK6IDczLCBkZSAzMCBkZSBzZXRlbWJybyBkZSAyMDIyIChhcnQuIDE5LCDCpyAxwropLrABALgBARiW/dWi3zEglv3Vot8xMABCCGtpeC5jbXQ5ItMDCgtBQUFCSDJVaFhJaxKoAwoLQUFBQkgyVWhYSWsSC0FBQUJIMlVoWElrGk8KCXRleHQvaHRtbBJCTm90YSBFeHBsaWNhdGl2YTogQ29uZm9ybWUgYXJ0LiAxOCwgwqc0wrosIGRvIERlY3JldG8gbi4gMTEuNDYyLzIzIlAKCnRleHQvcGxhaW4SQk5vdGEgRXhwbGljYXRpdmE6IENvbmZvcm1lIGFydC4gMTgsIMKnNMK6LCBkbyBEZWNyZXRvIG4uIDExLjQ2Mi8yMyo+CgVBdXRvcho1Ly9zc2wuZ3N0YXRpYy5jb20vZG9jcy9jb21tb24vYmx1ZV9zaWxob3VldHRlOTYtMC5wbmcwm/3Vot8xOJv91aLfMXJACgVBdXRvcho3CjUvL3NzbC5nc3RhdGljLmNvbS9kb2NzL2NvbW1vbi9ibHVlX3NpbGhvdWV0dGU5Ni0wLnBuZ3gAiAEBmgEGCAAQABgAqgFEEkJOb3RhIEV4cGxpY2F0aXZhOiBDb25mb3JtZSBhcnQuIDE4LCDCpzTCuiwgZG8gRGVjcmV0byBuLiAxMS40NjIvMjOwAQC4AQEYm/3Vot8xIJv91aLfMTAAQglraXguY210MzMikQYKC0FBQUJIMlVoWEpNEuYFCgtBQUFCSDJVaFhKTRILQUFBQkgyVWhYSk0auAEKCXRleHQvaHRtbBKqAU5vdGEgZXhwbGljYXRpdmE6IENvbmZvcm1lIGVzdGFiZWxlY2UgbyBhcnQuIDE1Niwgwqc5wrosIGVzc2EgZGlzcG9zacOnw6NvIGRldmVyw6EgaW5kaWNhciBvIHJlc3BlY3Rpdm8gZW50ZSBmZWRlcmF0aXZvIGEgcXVlIHBlcnRlbmNlIG8gw7NyZ8OjbyBvdSBlbnRpZGFkZSBzYW5jaW9uYWRvcmEuIrkBCgp0ZXh0L3BsYWluEqoBTm90YSBleHBsaWNhdGl2YTogQ29uZm9ybWUgZXN0YWJlbGVjZSBvIGFydC4gMTU2LCDCpznCuiwgZXNzYSBkaXNwb3Npw6fDo28gZGV2ZXLDoSBpbmRpY2FyIG8gcmVzcGVjdGl2byBlbnRlIGZlZGVyYXRpdm8gYSBxdWUgcGVydGVuY2UgbyDDs3Jnw6NvIG91IGVudGlkYWRlIHNhbmNpb25hZG9yYS4qPgoFQXV0b3IaNS8vc3NsLmdzdGF0aWMuY29tL2RvY3MvY29tbW9uL2JsdWVfc2lsaG91ZXR0ZTk2LTAucG5nMJ391aLfMTid/dWi3zFyQAoFQXV0b3IaNwo1Ly9zc2wuZ3N0YXRpYy5jb20vZG9jcy9jb21tb24vYmx1ZV9zaWxob3VldHRlOTYtMC5wbmd4AIgBAZoBBggAEAAYAKoBrQESqgFOb3RhIGV4cGxpY2F0aXZhOiBDb25mb3JtZSBlc3RhYmVsZWNlIG8gYXJ0LiAxNTYsIMKnOcK6LCBlc3NhIGRpc3Bvc2nDp8OjbyBkZXZlcsOhIGluZGljYXIgbyByZXNwZWN0aXZvIGVudGUgZmVkZXJhdGl2byBhIHF1ZSBwZXJ0ZW5jZSBvIMOzcmfDo28gb3UgZW50aWRhZGUgc2FuY2lvbmFkb3JhLrABALgBARid/dWi3zEgnf3Vot8xMABCCWtpeC5jbXQ0NCL/AgoLQUFBQkgyVWhYSWcS1AIKC0FBQUJIMlVoWElnEgtBQUFCSDJVaFhJZxozCgl0ZXh0L2h0bWwSJkFydC4gMTUsIElWLCBkbyBEZWNyZXRvIG4uIDExLjQ2Mi8yMDIzIjQKCnRleHQvcGxhaW4SJkFydC4gMTUsIElWLCBkbyBEZWNyZXRvIG4uIDExLjQ2Mi8yMDIzKj4KBUF1dG9yGjUvL3NzbC5nc3RhdGljLmNvbS9kb2NzL2NvbW1vbi9ibHVlX3NpbGhvdWV0dGU5Ni0wLnBuZzCX/dWi3zE4l/3Vot8xckAKBUF1dG9yGjcKNS8vc3NsLmdzdGF0aWMuY29tL2RvY3MvY29tbW9uL2JsdWVfc2lsaG91ZXR0ZTk2LTAucG5neACIAQGaAQYIABAAGACqASgSJkFydC4gMTUsIElWLCBkbyBEZWNyZXRvIG4uIDExLjQ2Mi8yMDIzsAEAuAEBGJf91aLfMSCX/dWi3zEwAEIJa2l4LmNtdDEzIt4FCgtBQUFCSDJVaFhKSRKzBQoLQUFBQkgyVWhYSkkSC0FBQUJIMlVoWEpJGqcBCgl0ZXh0L2h0bWwSmQFOb3RhIEV4cGxpY2F0aXZhOiBEZXZlIGEgYXV0b3JpZGFkZSBhZGVxdWFyIHJlZGHDp8OjbyBkbyBpdGVtIGVtIGNvbmZvcm1pZGFkZSBhbyBvYmpldG8gbGljaXRhZG8gZSBhbyBjcml0w6lyaW8gZGUganVsZ2FtZW50byBqw6EgZXN0YWJlbGVjaWRvIG5vIGVkaXRhbC4iqAEKCnRleHQvcGxhaW4SmQFOb3RhIEV4cGxpY2F0aXZhOiBEZXZlIGEgYXV0b3JpZGFkZSBhZGVxdWFyIHJlZGHDp8OjbyBkbyBpdGVtIGVtIGNvbmZvcm1pZGFkZSBhbyBvYmpldG8gbGljaXRhZG8gZSBhbyBjcml0w6lyaW8gZGUganVsZ2FtZW50byBqw6EgZXN0YWJlbGVjaWRvIG5vIGVkaXRhbC4qPgoFQXV0b3IaNS8vc3NsLmdzdGF0aWMuY29tL2RvY3MvY29tbW9uL2JsdWVfc2lsaG91ZXR0ZTk2LTAucG5nMJb91aLfMTiW/dWi3zFyQAoFQXV0b3IaNwo1Ly9zc2wuZ3N0YXRpYy5jb20vZG9jcy9jb21tb24vYmx1ZV9zaWxob3VldHRlOTYtMC5wbmd4AIgBAZoBBggAEAAYAKoBnAESmQFOb3RhIEV4cGxpY2F0aXZhOiBEZXZlIGEgYXV0b3JpZGFkZSBhZGVxdWFyIHJlZGHDp8OjbyBkbyBpdGVtIGVtIGNvbmZvcm1pZGFkZSBhbyBvYmpldG8gbGljaXRhZG8gZSBhbyBjcml0w6lyaW8gZGUganVsZ2FtZW50byBqw6EgZXN0YWJlbGVjaWRvIG5vIGVkaXRhbC6wAQC4AQEYlv3Vot8xIJb91aLfMTAAQglraXguY210MTAimhYKC0FBQUJIMlVoWElVEvAVCgtBQUFCSDJVaFhJVRILQUFBQkgyVWhYSVUa5wYKCXRleHQvaHRtbBLZBk5vdGEgZXhwbGljYXRpdmEgMTogUG9yIGZvcsOnYSBkbyBhcnQuIDE4LCDCpzPCuiBkYSBMZWkgbi4gMTQuMTMzLzIwMTkgYSBlc3BlY2lmaWNhw6fDo28gZG8gb2JqZXRvIHBvZGVyw6Egc2VyIHJlYWxpemFkYSBhcGVuYXMgZW0gVGVybW8gZGUgUmVmZXLDqm5jaWEgb3UgZW0gUHJvamV0byBCw6FzaWNvIG5hcyBjb250cmF0YcOnw7VlcyBkZSBvYnJhcyBlIHNlcnZpw6dvcyBjb211bnMgZGUgZW5nZW5oYXJpYS48YnI+Tm90YSBleHBsaWNhdGl2YSAyOiBBaW5kYSBxdWUgbyDDs3Jnw6NvIG9wdGUgcG9yIGVzcGVjaWZpY2FyIG8gb2JqZXRvIGVtIFByb2pldG8gQsOhc2ljbywgbWVzbW8gYXNzaW0gZGV2ZXLDoSBlbGFib3JhciBvIFRlcm1vIGRlIFJlZmVyw6puY2lhLCBlbnRlbmRpZG8gY29tbyBvIGRvY3VtZW50byBwcmV2aXN0byBubyBhcnQuIDbCuiwgWFhJSUksIGRhIExlaSBuwrogMTQuMTMzLzIwMjEsIHF1ZSBjb250w6ltIGFzIGluZm9ybWHDp8O1ZXMgbmVjZXNzw6FyaWFzLCBmb3JuZWNpZGFzIHBlbGEgQWRtaW5pc3RyYcOnw6NvIFDDumJsaWNhLCBwYXJhIGRlbGltaXRhciBvIG9iamV0byBjb250cmF0YWRvIG5vcyBzZXVzIGFzcGVjdG9zIGp1csOtZGljb3MgZSBhZG1pbmlzdHJhdGl2b3MsIGVucXVhbnRvIG8gUHJvamV0byBCw6FzaWNvIGNvbnRlbXBsYXLDoSBhcyBlc3BlY2lmaWNhw6fDtWVzIHTDqWNuaWNhcyBwcmV2aXN0YXMgbm8gYXJ0LiA2wrosIFhYViwgZGEgbWVzbWEgTGVpLCBjdWphIHByZXBhcmHDp8OjbyDDqSBwcml2YXRpdmEgZGUgZGV0ZXJtaW5hZG9zIHByb2Zpc3Npb25haXMsIGNvbW8gZW5nZW5oZWlyb3MsIGFycXVpdGV0b3MgZSB0w6ljbmljb3MgaW5kdXN0cmlhaXMuIuUGCgp0ZXh0L3BsYWluEtYGTm90YSBleHBsaWNhdGl2YSAxOiBQb3IgZm9yw6dhIGRvIGFydC4gMTgsIMKnM8K6IGRhIExlaSBuLiAxNC4xMzMvMjAxOSBhIGVzcGVjaWZpY2HDp8OjbyBkbyBvYmpldG8gcG9kZXLDoSBzZXIgcmVhbGl6YWRhIGFwZW5hcyBlbSBUZXJtbyBkZSBSZWZlcsOqbmNpYSBvdSBlbSBQcm9qZXRvIELDoXNpY28gbmFzIGNvbnRyYXRhw6fDtWVzIGRlIG9icmFzIGUgc2VydmnDp29zIGNvbXVucyBkZSBlbmdlbmhhcmlhLgpOb3RhIGV4cGxpY2F0aXZhIDI6IEFpbmRhIHF1ZSBvIMOzcmfDo28gb3B0ZSBwb3IgZXNwZWNpZmljYXIgbyBvYmpldG8gZW0gUHJvamV0byBCw6FzaWNvLCBtZXNtbyBhc3NpbSBkZXZlcsOhIGVsYWJvcmFyIG8gVGVybW8gZGUgUmVmZXLDqm5jaWEsIGVudGVuZGlkbyBjb21vIG8gZG9jdW1lbnRvIHByZXZpc3RvIG5vIGFydC4gNsK6LCBYWElJSSwgZGEgTGVpIG7CuiAxNC4xMzMvMjAyMSwgcXVlIGNvbnTDqW0gYXMgaW5mb3JtYcOnw7VlcyBuZWNlc3PDoXJpYXMsIGZvcm5lY2lkYXMgcGVsYSBBZG1pbmlzdHJhw6fDo28gUMO6YmxpY2EsIHBhcmEgZGVsaW1pdGFyIG8gb2JqZXRvIGNvbnRyYXRhZG8gbm9zIHNldXMgYXNwZWN0b3MganVyw61kaWNvcyBlIGFkbWluaXN0cmF0aXZvcywgZW5xdWFudG8gbyBQcm9qZXRvIELDoXNpY28gY29udGVtcGxhcsOhIGFzIGVzcGVjaWZpY2HDp8O1ZXMgdMOpY25pY2FzIHByZXZpc3RhcyBubyBhcnQuIDbCuiwgWFhWLCBkYSBtZXNtYSBMZWksIGN1amEgcHJlcGFyYcOnw6NvIMOpIHByaXZhdGl2YSBkZSBkZXRlcm1pbmFkb3MgcHJvZmlzc2lvbmFpcywgY29tbyBlbmdlbmhlaXJvcywgYXJxdWl0ZXRvcyBlIHTDqWNuaWNvcyBpbmR1c3RyaWFpcy4qPgoFQXV0b3IaNS8vc3NsLmdzdGF0aWMuY29tL2RvY3MvY29tbW9uL2JsdWVfc2lsaG91ZXR0ZTk2LTAucG5nMJL91aLfMTiS/dWi3zFyQAoFQXV0b3IaNwo1Ly9zc2wuZ3N0YXRpYy5jb20vZG9jcy9jb21tb24vYmx1ZV9zaWxob3VldHRlOTYtMC5wbmd4AIgBAZoBBggAEAAYAKoB3AYS2QZOb3RhIGV4cGxpY2F0aXZhIDE6IFBvciBmb3LDp2EgZG8gYXJ0LiAxOCwgwqczwrogZGEgTGVpIG4uIDE0LjEzMy8yMDE5IGEgZXNwZWNpZmljYcOnw6NvIGRvIG9iamV0byBwb2RlcsOhIHNlciByZWFsaXphZGEgYXBlbmFzIGVtIFRlcm1vIGRlIFJlZmVyw6puY2lhIG91IGVtIFByb2pldG8gQsOhc2ljbyBuYXMgY29udHJhdGHDp8O1ZXMgZGUgb2JyYXMgZSBzZXJ2acOnb3MgY29tdW5zIGRlIGVuZ2VuaGFyaWEuPGJyPk5vdGEgZXhwbGljYXRpdmEgMjogQWluZGEgcXVlIG8gw7NyZ8OjbyBvcHRlIHBvciBlc3BlY2lmaWNhciBvIG9iamV0byBlbSBQcm9qZXRvIELDoXNpY28sIG1lc21vIGFzc2ltIGRldmVyw6EgZWxhYm9yYXIgbyBUZXJtbyBkZSBSZWZlcsOqbmNpYSwgZW50ZW5kaWRvIGNvbW8gbyBkb2N1bWVudG8gcHJldmlzdG8gbm8gYXJ0LiA2wrosIFhYSUlJLCBkYSBMZWkgbsK6IDE0LjEzMy8yMDIxLCBxdWUgY29udMOpbSBhcyBpbmZvcm1hw6fDtWVzIG5lY2Vzc8OhcmlhcywgZm9ybmVjaWRhcyBwZWxhIEFkbWluaXN0cmHDp8OjbyBQw7pibGljYSwgcGFyYSBkZWxpbWl0YXIgbyBvYmpldG8gY29udHJhdGFkbyBub3Mgc2V1cyBhc3BlY3RvcyBqdXLDrWRpY29zIGUgYWRtaW5pc3RyYXRpdm9zLCBlbnF1YW50byBvIFByb2pldG8gQsOhc2ljbyBjb250ZW1wbGFyw6EgYXMgZXNwZWNpZmljYcOnw7VlcyB0w6ljbmljYXMgcHJldmlzdGFzIG5vIGFydC4gNsK6LCBYWFYsIGRhIG1lc21hIExlaSwgY3VqYSBwcmVwYXJhw6fDo28gw6kgcHJpdmF0aXZhIGRlIGRldGVybWluYWRvcyBwcm9maXNzaW9uYWlzLCBjb21vIGVuZ2VuaGVpcm9zLCBhcnF1aXRldG9zIGUgdMOpY25pY29zIGluZHVzdHJpYWlzLrABALgBARiS/dWi3zEgkv3Vot8xMABCCGtpeC5jbXQyIt0KCgtBQUFCSDJVaFhINBKyCgoLQUFBQkgyVWhYSDQSC0FBQUJIMlVoWEg0GvwCCgl0ZXh0L2h0bWw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i/QIKCnRleHQvcGxhaW4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qPgoFQXV0b3IaNS8vc3NsLmdzdGF0aWMuY29tL2RvY3MvY29tbW9uL2JsdWVfc2lsaG91ZXR0ZTk2LTAucG5nMJn91aLfMTiZ/dWi3zFyQAoFQXV0b3IaNwo1Ly9zc2wuZ3N0YXRpYy5jb20vZG9jcy9jb21tb24vYmx1ZV9zaWxob3VldHRlOTYtMC5wbmd4AIgBAZoBBggAEAAYAKoB8QI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6wAQC4AQEYmf3Vot8xIJn91aLfMTAAQglraXguY210MjYixAkKC0FBQUJIMlVoWEp3EpkJCgtBQUFCSDJVaFhKdxILQUFBQkgyVWhYSncayQIKCXRleHQvaHRtbB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LKAgoKdGV4dC9wbGFpb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o+CgVBdXRvcho1Ly9zc2wuZ3N0YXRpYy5jb20vZG9jcy9jb21tb24vYmx1ZV9zaWxob3VldHRlOTYtMC5wbmcwmf3Vot8xOJn91aLfMXJACgVBdXRvcho3CjUvL3NzbC5nc3RhdGljLmNvbS9kb2NzL2NvbW1vbi9ibHVlX3NpbGhvdWV0dGU5Ni0wLnBuZ3gAiAEBmgEGCAAQABgAqgG+A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rABALgBARiZ/dWi3zEgmf3Vot8xMABCCWtpeC5jbXQyNCLICgoLQUFBQkgyVWhYS1USnQoKC0FBQUJIMlVoWEtVEgtBQUFCSDJVaFhLVRr1AgoJdGV4dC9odG1sEucCTm90YSBleHBsaWNhdGl2YTogQ29uZm9ybWUgZXN0YWJlbGVjZSBvIGFydC4gMTU4LCDCpzHCuiwgcXVhbmRvIG8gw7NyZ8OjbyBvdSBlbnRpZGFkZSBuw6NvIGRpc3B1c2VyIGVtIHNldSBxdWFkcm8gZnVuY2lvbmFsIGRlIHNlcnZpZG9yZXMgZXN0YXR1dMOhcmlvcywgYSBjb21pc3PDo28gc2Vyw6EgY29tcG9zdGEgcG9yIDIgKGRvaXMpIG91IG1haXMgZW1wcmVnYWRvcyBww7pibGljb3MgcGVydGVuY2VudGVzIGFvcyBzZXVzIHF1YWRyb3MgcGVybWFuZW50ZXMsIHByZWZlcmVuY2lhbG1lbnRlIGNvbSwgbm8gbcOtbmltbywgMyAodHLDqnMpIGFub3MgZGUgdGVtcG8gZGUgc2VydmnDp28gbm8gw7NyZ8OjbyBvdSBlbnRpZGFkZS4i9gIKCnRleHQvcGxhaW4S5wJOb3RhIGV4cGxpY2F0aXZhOiBDb25mb3JtZSBlc3RhYmVsZWNlIG8gYXJ0LiAxNTgsIMKnMcK6LCBxdWFuZG8gbyDDs3Jnw6NvIG91IGVudGlkYWRlIG7Do28gZGlzcHVzZXIgZW0gc2V1IHF1YWRybyBmdW5jaW9uYWwgZGUgc2Vydmlkb3JlcyBlc3RhdHV0w6FyaW9zLCBhIGNvbWlzc8OjbyBzZXLDoSBjb21wb3N0YSBwb3IgMiAoZG9pcykgb3UgbWFpcyBlbXByZWdhZG9zIHDDumJsaWNvcyBwZXJ0ZW5jZW50ZXMgYW9zIHNldXMgcXVhZHJvcyBwZXJtYW5lbnRlcywgcHJlZmVyZW5jaWFsbWVudGUgY29tLCBubyBtw61uaW1vLCAzICh0csOqcykgYW5vcyBkZSB0ZW1wbyBkZSBzZXJ2acOnbyBubyDDs3Jnw6NvIG91IGVudGlkYWRlLio+CgVBdXRvcho1Ly9zc2wuZ3N0YXRpYy5jb20vZG9jcy9jb21tb24vYmx1ZV9zaWxob3VldHRlOTYtMC5wbmcwnf3Vot8xOJ391aLfMXJACgVBdXRvcho3CjUvL3NzbC5nc3RhdGljLmNvbS9kb2NzL2NvbW1vbi9ibHVlX3NpbGhvdWV0dGU5Ni0wLnBuZ3gAiAEBmgEGCAAQABgAqgHqAhLnAk5vdGEgZXhwbGljYXRpdmE6IENvbmZvcm1lIGVzdGFiZWxlY2UgbyBhcnQuIDE1OCwgwqcxwrosIHF1YW5kbyBvIMOzcmfDo28gb3UgZW50aWRhZGUgbsOjbyBkaXNwdXNlciBlbSBzZXUgcXVhZHJvIGZ1bmNpb25hbCBkZSBzZXJ2aWRvcmVzIGVzdGF0dXTDoXJpb3MsIGEgY29taXNzw6NvIHNlcsOhIGNvbXBvc3RhIHBvciAyIChkb2lzKSBvdSBtYWlzIGVtcHJlZ2Fkb3MgcMO6YmxpY29zIHBlcnRlbmNlbnRlcyBhb3Mgc2V1cyBxdWFkcm9zIHBlcm1hbmVudGVzLCBwcmVmZXJlbmNpYWxtZW50ZSBjb20sIG5vIG3DrW5pbW8sIDMgKHRyw6pzKSBhbm9zIGRlIHRlbXBvIGRlIHNlcnZpw6dvIG5vIMOzcmfDo28gb3UgZW50aWRhZGUusAEAuAEBGJ391aLfMSCd/dWi3zEwAEIJa2l4LmNtdDQzIuAKCgtBQUFCSDJVaFhKNBK1CgoLQUFBQkgyVWhYSjQSC0FBQUJIMlVoWEo0Gv0CCgl0ZXh0L2h0bWwS7wJOb3RhIEV4cGxpY2F0aXZhOiBObyBtb2RvIGRlIGRpc3B1dGEgZmVjaGFkbyBlIGFiZXJ0bywgc2Vyw6NvIGNsYXNzaWZpY2Fkb3MgcGFyYSBhIGV0YXBhIGRhIGRpc3B1dGEgYWJlcnRhLCBjb20gYSBhcHJlc2VudGHDp8OjbyBkZSBsYW5jZXMgcMO6YmxpY29zIGUgc3VjZXNzaXZvcywgbyBsaWNpdGFudGUgcXVlIGFwcmVzZW50b3UgYSBwcm9wb3N0YSBkZSBtZW5vciBwcmXDp28gb3UgbWFpb3IgcGVyY2VudHVhbCBkZXNjb250byBlIG9zIGRhcyBwcm9wb3N0YXMgYXTDqSAxMCUgKGRleiBwb3IgY2VudG8pIHN1cGVyaW9yZXMgb3UgaW5mZXJpb3JlcyDDoHF1ZWxhLCBjb25mb3JtZSBvIGNyaXTDqXJpbyBkZSBqdWxnYW1lbnRvIGFkb3RhZG8uIv4CCgp0ZXh0L3BsYWluEu8CTm90YSBFeHBsaWNhdGl2YTogTm8gbW9kbyBkZSBkaXNwdXRhIGZlY2hhZG8gZSBhYmVydG8sIHNlcsOjbyBjbGFzc2lmaWNhZG9zIHBhcmEgYSBldGFwYSBkYSBkaXNwdXRhIGFiZXJ0YSwgY29tIGEgYXByZXNlbnRhw6fDo28gZGUgbGFuY2VzIHDDumJsaWNvcyBlIHN1Y2Vzc2l2b3MsIG8gbGljaXRhbnRlIHF1ZSBhcHJlc2VudG91IGEgcHJvcG9zdGEgZGUgbWVub3IgcHJlw6dvIG91IG1haW9yIHBlcmNlbnR1YWwgZGVzY29udG8gZSBvcyBkYXMgcHJvcG9zdGFzIGF0w6kgMTAlIChkZXogcG9yIGNlbnRvKSBzdXBlcmlvcmVzIG91IGluZmVyaW9yZXMgw6BxdWVsYSwgY29uZm9ybWUgbyBjcml0w6lyaW8gZGUganVsZ2FtZW50byBhZG90YWRvLio+CgVBdXRvcho1Ly9zc2wuZ3N0YXRpYy5jb20vZG9jcy9jb21tb24vYmx1ZV9zaWxob3VldHRlOTYtMC5wbmcwmP3Vot8xOJj91aLfMXJACgVBdXRvcho3CjUvL3NzbC5nc3RhdGljLmNvbS9kb2NzL2NvbW1vbi9ibHVlX3NpbGhvdWV0dGU5Ni0wLnBuZ3gAiAEBmgEGCAAQABgAqgHyAhLvAk5vdGEgRXhwbGljYXRpdmE6IE5vIG1vZG8gZGUgZGlzcHV0YSBmZWNoYWRvIGUgYWJlcnRvLCBzZXLDo28gY2xhc3NpZmljYWRvcyBwYXJhIGEgZXRhcGEgZGEgZGlzcHV0YSBhYmVydGEsIGNvbSBhIGFwcmVzZW50YcOnw6NvIGRlIGxhbmNlcyBww7pibGljb3MgZSBzdWNlc3Npdm9zLCBvIGxpY2l0YW50ZSBxdWUgYXByZXNlbnRvdSBhIHByb3Bvc3RhIGRlIG1lbm9yIHByZcOnbyBvdSBtYWlvciBwZXJjZW50dWFsIGRlc2NvbnRvIGUgb3MgZGFzIHByb3Bvc3RhcyBhdMOpIDEwJSAoZGV6IHBvciBjZW50bykgc3VwZXJpb3JlcyBvdSBpbmZlcmlvcmVzIMOgcXVlbGEsIGNvbmZvcm1lIG8gY3JpdMOpcmlvIGRlIGp1bGdhbWVudG8gYWRvdGFkby6wAQC4AQEYmP3Vot8xIJj91aLfMTAAQglraXguY210MjAihxEKC0FBQUJIMlVoWEhzEtwQCgtBQUFCSDJVaFhIcxILQUFBQkgyVWhYSHMaiwUKCXRleHQvaHRtbBL9BE5vdGEgZXhwbGljYXRpdmE6IEEgc2VndW5kYSBhbHRlcm5hdGl2YSBkZSByZWRhw6fDo28gZGV2ZXLDoSBzZXIgdXRpbGl6YWRhIGNhc28gYSBsaWNpdGHDp8OjbyB0ZW5oYSBwb3Igb2JqZXRvIG9zIHNlcnZpw6dvcyBkZSB2aWdpbMOibmNpYSwgbGltcGV6YSBvdSBjb25zZXJ2YcOnw6NvLCBub3MgdGVybW9zIGRvIGFydC4gMTgsIMKnIDXCui1DLCBpbmNpc28gVkksIGMvYyDCpyA1wrotSCwgZGEgTGVpIENvbXBsZW1lbnRhciBubyAxMjMvMjAwNi4gVGFtYsOpbSBzZXLDoSBhZG90YWRhIHF1YW5kbyBvIHNlcnZpw6dvIGVzdGl2ZXIgZW50cmUgYXMgb3V0cmFzIGhpcMOzdGVzZXMgZW0gcXVlIGVzc2EgTGVpIHBlcm1pdGUgYSBhcGxpY2HDp8OjbyBkbyByZWdpbWUgZG8gU0lNUExFUywgbm9zIHRlcm1vcyBkbyDCpzHCuiBkbyBhcnQuIDE3IGRhIExlaSBDb21wbGVtZW50YXIgMTIzLzIwMDYuPGJyPk5vcyBhdXRvcyBkbyBwcm9jZXNzbyBkZXZlcsOhIGNvbnN0YXIgYW7DoWxpc2UgZG8gZW5xdWFkcmFtZW50byBvdSBuw6NvIGRhIGF0aXZpZGFkZSBlbnRyZSBhcyBoaXDDs3Rlc2VzIGFicmFuZ2lkYXMgcGVsbyBTSU1QTEVTLCBkZSBtb2RvIGEganVzdGlmaWNhciBhIHJlZGHDp8OjbyBhZG90YWRhIG5vIGVkaXRhbC4iiQUKCnRleHQvcGxhaW4S+gROb3RhIGV4cGxpY2F0aXZhOiBBIHNlZ3VuZGEgYWx0ZXJuYXRpdmEgZGUgcmVkYcOnw6NvIGRldmVyw6Egc2VyIHV0aWxpemFkYSBjYXNvIGEgbGljaXRhw6fDo28gdGVuaGEgcG9yIG9iamV0byBvcyBzZXJ2acOnb3MgZGUgdmlnaWzDom5jaWEsIGxpbXBlemEgb3UgY29uc2VydmHDp8Ojbywgbm9zIHRlcm1vcyBkbyBhcnQuIDE4LCDCpyA1wrotQywgaW5jaXNvIFZJLCBjL2MgwqcgNcK6LUgsIGRhIExlaSBDb21wbGVtZW50YXIgbm8gMTIzLzIwMDYuIFRhbWLDqW0gc2Vyw6EgYWRvdGFkYSBxdWFuZG8gbyBzZXJ2acOnbyBlc3RpdmVyIGVudHJlIGFzIG91dHJhcyBoaXDDs3Rlc2VzIGVtIHF1ZSBlc3NhIExlaSBwZXJtaXRlIGEgYXBsaWNhw6fDo28gZG8gcmVnaW1lIGRvIFNJTVBMRVMsIG5vcyB0ZXJtb3MgZG8gwqcxwrogZG8gYXJ0LiAxNyBkYSBMZWkgQ29tcGxlbWVudGFyIDEyMy8yMDA2LgpOb3MgYXV0b3MgZG8gcHJvY2Vzc28gZGV2ZXLDoSBjb25zdGFyIGFuw6FsaXNlIGRvIGVucXVhZHJhbWVudG8gb3UgbsOjbyBkYSBhdGl2aWRhZGUgZW50cmUgYXMgaGlww7N0ZXNlcyBhYnJhbmdpZGFzIHBlbG8gU0lNUExFUywgZGUgbW9kbyBhIGp1c3RpZmljYXIgYSByZWRhw6fDo28gYWRvdGFkYSBubyBlZGl0YWwuKj4KBUF1dG9yGjUvL3NzbC5nc3RhdGljLmNvbS9kb2NzL2NvbW1vbi9ibHVlX3NpbGhvdWV0dGU5Ni0wLnBuZzCX/dWi3zE4l/3Vot8xckAKBUF1dG9yGjcKNS8vc3NsLmdzdGF0aWMuY29tL2RvY3MvY29tbW9uL2JsdWVfc2lsaG91ZXR0ZTk2LTAucG5neACIAQGaAQYIABAAGACqAYAFEv0ETm90YSBleHBsaWNhdGl2YTogQSBzZWd1bmRhIGFsdGVybmF0aXZhIGRlIHJlZGHDp8OjbyBkZXZlcsOhIHNlciB1dGlsaXphZGEgY2FzbyBhIGxpY2l0YcOnw6NvIHRlbmhhIHBvciBvYmpldG8gb3Mgc2VydmnDp29zIGRlIHZpZ2lsw6JuY2lhLCBsaW1wZXphIG91IGNvbnNlcnZhw6fDo28sIG5vcyB0ZXJtb3MgZG8gYXJ0LiAxOCwgwqcgNcK6LUMsIGluY2lzbyBWSSwgYy9jIMKnIDXCui1ILCBkYSBMZWkgQ29tcGxlbWVudGFyIG5vIDEyMy8yMDA2LiBUYW1iw6ltIHNlcsOhIGFkb3RhZGEgcXVhbmRvIG8gc2VydmnDp28gZXN0aXZlciBlbnRyZSBhcyBvdXRyYXMgaGlww7N0ZXNlcyBlbSBxdWUgZXNzYSBMZWkgcGVybWl0ZSBhIGFwbGljYcOnw6NvIGRvIHJlZ2ltZSBkbyBTSU1QTEVTLCBub3MgdGVybW9zIGRvIMKnMcK6IGRvIGFydC4gMTcgZGEgTGVpIENvbXBsZW1lbnRhciAxMjMvMjAwNi48YnI+Tm9zIGF1dG9zIGRvIHByb2Nlc3NvIGRldmVyw6EgY29uc3RhciBhbsOhbGlzZSBkbyBlbnF1YWRyYW1lbnRvIG91IG7Do28gZGEgYXRpdmlkYWRlIGVudHJlIGFzIGhpcMOzdGVzZXMgYWJyYW5naWRhcyBwZWxvIFNJTVBMRVMsIGRlIG1vZG8gYSBqdXN0aWZpY2FyIGEgcmVkYcOnw6NvIGFkb3RhZGEgbm8gZWRpdGFsLrABALgBARiX/dWi3zEgl/3Vot8xMABCCWtpeC5jbXQxNCKhCAoLQUFBQkgyVWhYSVES9wcKC0FBQUJIMlVoWElREgtBQUFCSDJVaFhJURqTAgoJdGV4dC9odG1s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IpQCCgp0ZXh0L3BsYWlu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Kj4KBUF1dG9yGjUvL3NzbC5nc3RhdGljLmNvbS9kb2NzL2NvbW1vbi9ibHVlX3NpbGhvdWV0dGU5Ni0wLnBuZzCV/dWi3zE4lf3Vot8xckAKBUF1dG9yGjcKNS8vc3NsLmdzdGF0aWMuY29tL2RvY3MvY29tbW9uL2JsdWVfc2lsaG91ZXR0ZTk2LTAucG5neACIAQGaAQYIABAAGACqAYgC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sAEAuAEBGJX91aLfMSCV/dWi3zEwAEIIa2l4LmNtdDUiklgKC0FBQUJIMlVoWEgwEudXCgtBQUFCSDJVaFhIMBILQUFBQkgyVWhYSDAa7RwKCXRleHQvaHRtbBLfHE5vdGEgZXhwbGljYXRpdmEgMTogQSBwcmVzZW50ZSBjbMOhdXN1bGEgZGV2ZXLDoSBzZXIgc3VwcmltaWRhIG5vIGNhc28gZGUgYXF1aXNpw6fDtWVzIG91IHNlcnZpw6dvcyBxdWUgaW5kZXBlbmRhbSBkZSBjb25oZWNpbWVudG8gZG8gbG9jYWwuIDxicj5Ob3RhIGV4cGxpY2F0aXZhIDI6IE5hIGxpbmhhIGRvIGVudGVuZGltZW50byBjb25zb2xpZGFkbyBwZWxvIFRDVSBhaW5kYSBzb2IgbyBhbXBhcm8gZGEgTGVpIG7CuiA4LjY2NiwgZGUgMTk5MyAocG9yIGV4ZW1wbG8sIEFjw7NyZMOjb3MgbsKwIDIuMTUwLzIwMDgsIG7CsCAxLjU5OS8yMDEwLCBuwrAgMi4yNjYvMjAxMSwgbsKwIDIuNzc2LzIwMTEsIG7CsCAxMTAvMjAxMiBlIG7CuiAxNzAvMjAxOCwgdG9kb3MgZG8gUGxlbsOhcmlvKSwgbyBhcnQuIDYzLCDCpyAywrosIGRhIExlaSBuwrogMTQuMTMzLCBkZSAyMDIxLCBhc3NlZ3VyYSBhbyBmb3JuZWNlZG9yIG8gZGlyZWl0byBkZSByZWFsaXphciB2aXN0b3JpYSBwcsOpdmlhIG5vIGxvY2FsIGRlIGV4ZWN1w6fDo28gZG8gc2VydmnDp28gc2VtcHJlIHF1ZSBvIMOzcmfDo28gb3UgZW50aWRhZGUgY29udHJhdGFudGUgY29uc2lkZXJhciBlc3NhIGF2YWxpYcOnw6NvIGltcHJlc2NpbmTDrXZlbCBwYXJhIG8gY29uaGVjaW1lbnRvIHBsZW5vIGRhcyBjb25kacOnw7VlcyBlIHBlY3VsaWFyaWRhZGVzIGRvIG9iamV0byBhIHNlciBjb250cmF0YWRvLiBBaW5kYSBhc3NpbSwgc2VndW5kbyBvIHRleHRvIGxlZ2FsLCBvIGNvbnRyYXRhZG8gcG9kZXLDoSBvcHRhciBwb3IgbsOjbyByZWFsaXphciBhIHZpc3RvcmlhLCBjYXNvIGVtIHF1ZSB0ZXLDoSBkZSBhdGVzdGFyIG8gY29uaGVjaW1lbnRvIHBsZW5vIGRhcyBjb25kacOnw7VlcyBlIHBlY3VsaWFyaWRhZGVzIGRhIGNvbnRyYXRhw6fDo28sIG1lZGlhbnRlIGRlY2xhcmHDp8OjbyBmb3JtYWwgKGFydC4gNjMsIMKnM8K6KS7CoMKgPGJyPk5lc3NlIGNvbnRleHRvLCB1bWEgdmV6IGZhY3VsdGFkYSBhIHJlYWxpemHDp8OjbyBkYSB2aXN0b3JpYSBwcsOpdmlhLCBvcyBpbnRlcmVzc2Fkb3MgdGVyw6NvIHRyw6pzIG9ww6fDtWVzIHBhcmEgY3VtcHJpciBvIHJlcXVpc2l0byBkZSBoYWJpbGl0YcOnw6NvIGNvcnJlc3BvbmRlbnRlLCBjb25mb3JtZSDCp8KnMsK6IGUgM8K6IGRvIGFydC4gNjMsIGRhIExlaSBuwrogMTQuMTMzLCBkZSAyMDIxLCBhIHNhYmVyOsKgPGJyPmEpIHJlYWxpemFyIGEgdmlzdG9yaWEgZSBhdGVzdGFyIHF1ZSBjb25oZWNlIG8gbG9jYWwgZSBhcyBjb25kacOnw7VlcyBkYSByZWFsaXphw6fDo28gZG8gc2VydmnDp287wqDCoDxicj5iKSBhdGVzdGFyIHF1ZSBjb25oZWNlIG8gbG9jYWwgZSBhcyBjb25kacOnw7VlcyBkYSByZWFsaXphw6fDo28gZG8gc2VydmnDp287wqDCoDxicj5jKSBkZWNsYXJhciBmb3JtYWxtZW50ZSwgcG9yIG1laW8gZG8gcmVzcGVjdGl2byByZXNwb25zw6F2ZWwgdMOpY25pY28sIHF1ZSBwb3NzdWkgY29uaGVjaW1lbnRvIHBsZW5vIGRhcyBjb25kacOnw7VlcyBlIHBlY3VsaWFyaWRhZGVzIGRhIGNvbnRyYXRhw6fDo28uwqDCoDxicj5BIGhpcMOzdGVzZSDigJxh4oCdIGRpc3BlbnNhIG1haW9yZXMgY29tZW50w6FyaW9zLCBhIG7Do28gc2VyIG8gZGUgcXVlIMOpIG8gcHLDs3ByaW8gZm9ybmVjZWRvciBxdWUgYXRlc3RhIGNvbmhlY2VyIG8gbG9jYWwgZSBhcyBjb25kacOnw7VlcywgZSBuw6NvIGEgQWRtaW5pc3RyYcOnw6NvIHF1ZSB0ZW0gbyDDtG51cyBkZSBlbWl0aXIgbyBhdGVzdGFkbyBkZSB2aXN0b3JpYSwgY29tbyBzZSBwYXNzYSBubyDDom1iaXRvIGRhIExlaSBuwrogOC42NjYsIGRlIDE5OTMuwqA8YnI+SsOhIG5hIGhpcMOzdGVzZSDigJxi4oCdLCBvIGZvcm5lY2Vkb3IgbsOjbyBuZWNlc3NhcmlhbWVudGUgcmVhbGl6YSBhIHZpc3RvcmlhIGZhY3VsdGFkYSBuYSBjb250cmF0YcOnw6NvLCBtYXMsIGRhIG1lc21hIGZvcm1hLCBhdGVzdGEgcXVlIGNvbmhlY2UgbyBsb2NhbCBkYSBvYnJhIG91IHNlcnZpw6dvLCBhbMOpbSBkYXMgcmVzcGVjdGl2YXMgY29uZGnDp8O1ZXMgZGUgZXhlY3XDp8OjbywgcHJlc3N1cG9uZG8tc2UgcXVlIGrDoSB0ZW5oYSBjb21wYXJlY2lkbyBhbnRlcmlvcm1lbnRlIGFvIGxvY2FsIHBhcmEgcG9kZXIgZW1pdGlyIGEgZGVjbGFyYcOnw6NvIHNlbSBpbmNvcnJlciBlbSBmYWxzaWRhZGUgaWRlb2zDs2dpY2EuIElzc28gcG9kZSBvY29ycmVyIHNvYnJldHVkbyBxdWFuZG8gc2UgdHJhdGEgZGUgZW1wcmVzYSBxdWUgasOhIHByZXN0b3Ugc2VydmnDp29zIG5vIG1lc21vIGxvY2FsIG91IGrDoSByZWFsaXpvdSB2aXN0b3JpYSBlbSBvdXRyYSBvcG9ydHVuaWRhZGUuwqDCoDxicj5Qb3IgZmltLCBuYSBoaXDDs3Rlc2Ug4oCcY+KAnSwgbsOjbyBzZSBkZWNsYXJhIHF1ZSBjb25oZWNlIG8gbG9jYWwsIGUgc2ltIGFzIGNvbmRpw6fDtWVzIGUgcGVjdWxpYXJpZGFkZXMgZGEgY29udHJhdGHDp8OjbyBlbSBzdWEgcGxlbml0dWRlLiBQb3IgaXNzbyBxdWUsIGVtIGNvbnRyYXBhcnRpZGEsIGEgZGVjbGFyYcOnw6NvIGRldmUgc2VyIGZpcm1hZGEgcGVsbyByZXNwb25zw6F2ZWwgdMOpY25pY28sIHF1ZSBwb2RlcsOhIGNoZWdhciBhIGVzc2UgY29uaGVjaW1lbnRvIGNvbSBiYXNlIG5hcyBkaXNwb3Npw6fDtWVzIGRvIGVkaXRhbCBlIGFuZXhvcywgc29tYWRhIMOgIHN1YSBleHBlcmnDqm5jaWEgcHJvZmlzc2lvbmFsLCBxdWUgbGhlIHBlcm1pdGUgZW1pdGlyIGEgZGVjbGFyYcOnw6NvIHNlbSBjb25oZWNlciBvIGxvY2FsIGUgc2VtIGluY29ycmVyIGVtIGZhbHNpZGFkZS7CoDxicj5Db250dWRvLCBjYXNvIG7Do28gc2UgdmVyaWZpcXVlIGEgZXhpZ8OqbmNpYSBsZWdhbCBkZSBxdWUgYSBlbXByZXNhIGEgc2VyIGNvbnRyYXRhZGEgcG9zc3VhIHVtIHJlc3BvbnPDoXZlbCB0w6ljbmljbyAtIGFzc2ltIGNvbnNpZGVyYWRvIG8gcHJvZmlzc2lvbmFsIGhhYmlsaXRhZG8sIG5hIGZvcm1hIGRhIGxlaSwgcGFyYSBjb25kdXppciwgb3JpZW50YXIgZSBzZSByZXNwb25zYWJpbGl6YXIgcG9yIHRvZGFzIGFzIGF0aXZpZGFkZXMgZSBzZXJ2acOnb3MgYSBzZXJlbSBleGVyY2lkb3MgcGVsYSBlbXByZXNhIC0sIGEgZGVjbGFyYcOnw6NvIGZvcm1hbCBkZSBxdWUgdHJhdGEgbyDCpyAzwrogZG8gYXJ0LiA2MywgZGEgTGVpIG4uwrogMTQuMTMzLCBkZSAyMDIxLCBkZXZlcsOhIHNlciBmaXJtYWRhIHBlbG8gcmVzcG9uc8OhdmVsIGxlZ2FsIGRhIGVtcHJlc2Egb3UgcG9yIHBlc3NvYSBwb3IgZWxlIGluZGljYWRhLCBxdWUgcG9zc3VhIGNvbmRpw6fDtWVzIHTDqWNuaWNhcyBkZSBzZSByZXNwb25zYWJpbGl6YXIgcGVsYSBleGVjdcOnw6NvIGRvcyBzZXJ2acOnb3MgYSBzZXJlbSBjb250cmF0YWRvcy7CoMKgPGJyPlJlY29tZW5kYS1zZSBxdWUgYSBwcmV2aXPDo28gZGUgdmlzdG9yaWEgc2VqYSBhZG90YWRhIGRlIGZvcm1hIG1vdGl2YWRhLCBqw6EgcXVlIGF1bWVudGEgb3MgY3VzdG9zIHRyYW5zYWNpb25haXMgZG9zIGludGVyZXNzYWRvcywgZGV2ZW5kbywgc2VtcHJlIHF1ZSBwb3Nzw612ZWwsIHNlciBzdWJzdGl0dcOtZGEgcGVsYSBhcHJlc2VudGHDp8OjbyBkZSBmb3RvZ3JhZmlhcywgcGxhbnRhcywgZGVzZW5ob3MgdMOpY25pY29zIGUgY29uZ8OqbmVyZXMgcmVsYXRpdm9zIGFvIGxvY2FsIGRlIGV4ZWN1w6fDo28gZG8gc2VydmnDp28uwqAi0BwKCnRleHQvcGxhaW4SwRxOb3RhIGV4cGxpY2F0aXZhIDE6IEEgcHJlc2VudGUgY2zDoXVzdWxhIGRldmVyw6Egc2VyIHN1cHJpbWlkYSBubyBjYXNvIGRlIGFxdWlzacOnw7VlcyBvdSBzZXJ2acOnb3MgcXVlIGluZGVwZW5kYW0gZGUgY29uaGVjaW1lbnRvIGRvIGxvY2FsLiAKTm90YSBleHBsaWNhdGl2YSAyOiBOYSBsaW5oYSBkbyBlbnRlbmRpbWVudG8gY29uc29saWRhZG8gcGVsbyBUQ1UgYWluZGEgc29iIG8gYW1wYXJvIGRhIExlaSBuwrogOC42NjYsIGRlIDE5OTMgKHBvciBleGVtcGxvLCBBY8OzcmTDo29zIG7CsCAyLjE1MC8yMDA4LCBuwrAgMS41OTkvMjAxMCwgbsKwIDIuMjY2LzIwMTEsIG7CsCAyLjc3Ni8yMDExLCBuwrAgMTEwLzIwMTIgZSBuwrogMTcwLzIwMTgsIHRvZG9zIGRvIFBsZW7DoXJpbyksIG8gYXJ0LiA2MywgwqcgMsK6LCBkYSBMZWkgbsK6IDE0LjEzMywgZGUgMjAyMSwgYXNzZWd1cmEgYW8gZm9ybmVjZWRvciBvIGRpcmVpdG8gZGUgcmVhbGl6YXIgdmlzdG9yaWEgcHLDqXZpYSBubyBsb2NhbCBkZSBleGVjdcOnw6NvIGRvIHNlcnZpw6dvIHNlbXByZSBxdWUgbyDDs3Jnw6NvIG91IGVudGlkYWRlIGNvbnRyYXRhbnRlIGNvbnNpZGVyYXIgZXNzYSBhdmFsaWHDp8OjbyBpbXByZXNjaW5kw612ZWwgcGFyYSBvIGNvbmhlY2ltZW50byBwbGVubyBkYXMgY29uZGnDp8O1ZXMgZSBwZWN1bGlhcmlkYWRlcyBkbyBvYmpldG8gYSBzZXIgY29udHJhdGFkby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ChhcnQuIDYzLCDCpzPCuikuwqDCoApOZXNzZSBjb250ZXh0bywgdW1hIHZleiBmYWN1bHRhZGEgYSByZWFsaXphw6fDo28gZGEgdmlzdG9yaWEgcHLDqXZpYSwgb3MgaW50ZXJlc3NhZG9zIHRlcsOjbyB0csOqcyBvcMOnw7VlcyBwYXJhIGN1bXByaXIgbyByZXF1aXNpdG8gZGUgaGFiaWxpdGHDp8OjbyBjb3JyZXNwb25kZW50ZSwgY29uZm9ybWUgwqfCpzLCuiBlIDPCuiBkbyBhcnQuIDYzLCBkYSBMZWkgbsK6IDE0LjEzMywgZGUgMjAyMSwgYSBzYWJlcjrCoAphKSByZWFsaXphciBhIHZpc3RvcmlhIGUgYXRlc3RhciBxdWUgY29uaGVjZSBvIGxvY2FsIGUgYXMgY29uZGnDp8O1ZXMgZGEgcmVhbGl6YcOnw6NvIGRvIHNlcnZpw6dvO8KgwqAKYikgYXRlc3RhciBxdWUgY29uaGVjZSBvIGxvY2FsIGUgYXMgY29uZGnDp8O1ZXMgZGEgcmVhbGl6YcOnw6NvIGRvIHNlcnZpw6dvO8KgwqAKYykgZGVjbGFyYXIgZm9ybWFsbWVudGUsIHBvciBtZWlvIGRvIHJlc3BlY3Rpdm8gcmVzcG9uc8OhdmVsIHTDqWNuaWNvLCBxdWUgcG9zc3VpIGNvbmhlY2ltZW50byBwbGVubyBkYXMgY29uZGnDp8O1ZXMgZSBwZWN1bGlhcmlkYWRlcyBkYSBjb250cmF0YcOnw6NvLsKgwqAKQSBoaXDDs3Rlc2Ug4oCcYeKAnSBkaXNwZW5zYSBtYWlvcmVzIGNvbWVudMOhcmlvcywgYSBuw6NvIHNlciBvIGRlIHF1ZSDDqSBvIHByw7NwcmlvIGZvcm5lY2Vkb3IgcXVlIGF0ZXN0YSBjb25oZWNlciBvIGxvY2FsIGUgYXMgY29uZGnDp8O1ZXMsIGUgbsOjbyBhIEFkbWluaXN0cmHDp8OjbyBxdWUgdGVtIG8gw7RudXMgZGUgZW1pdGlyIG8gYXRlc3RhZG8gZGUgdmlzdG9yaWEsIGNvbW8gc2UgcGFzc2Egbm8gw6JtYml0byBkYSBMZWkgbsK6IDguNjY2LCBkZSAxOTkzLsKgCkrDoSBuYSBoaXDDs3Rlc2Ug4oCcYuKAnSwgbyBmb3JuZWNlZG9yIG7Do28gbmVjZXNzYXJpYW1lbnRlIHJlYWxpemEgYSB2aXN0b3JpYSBmYWN1bHRhZGEgbmEgY29udHJh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wcmVzdG91IHNlcnZpw6dvcyBubyBtZXNtbyBsb2NhbCBvdSBqw6EgcmVhbGl6b3UgdmlzdG9yaWEgZW0gb3V0cmEgb3BvcnR1bmlkYWRlLsKgwqAKUG9yIGZpbSwgbmEgaGlww7N0ZXNlIOKAnGPigJ0sIG7Do28gc2UgZGVjbGFyYSBxdWUgY29uaGVjZSBvIGxvY2FsLCBlIHNpbSBhcyBjb25kacOnw7VlcyBlIHBlY3VsaWFyaWRhZGVzIGRhIGNvbnRyYXRhw6fDo28gZW0gc3VhIHBsZW5pdHVkZS4gUG9yIGlzc28gcXVlLCBlbSBjb250cmFwYXJ0aWRhLCBhIGRlY2xhcmHDp8OjbyBkZXZlIHNlciBmaXJtYWRhIHBlbG8gcmVzcG9uc8OhdmVsIHTDqWNuaWNvLCBxdWUgcG9kZXLDoSBjaGVnYXIgYSBlc3NlIGNvbmhlY2ltZW50byBjb20gYmFzZSBuYXMgZGlzcG9zacOnw7VlcyBkbyBlZGl0YWwgZSBhbmV4b3MsIHNvbWFkYSDDoCBzdWEgZXhwZXJpw6puY2lhIHByb2Zpc3Npb25hbCwgcXVlIGxoZSBwZXJtaXRlIGVtaXRpciBhIGRlY2xhcmHDp8OjbyBzZW0gY29uaGVjZXIgbyBsb2NhbCBlIHNlbSBpbmNvcnJlciBlbSBmYWxzaWRhZGUuwqAKQ29udHVkbywgY2FzbyBuw6NvIHNlIHZlcmlmaXF1ZSBhIGV4aWfDqm5jaWEgbGVnYWwgZGUgcXVlIGEgZW1wcmVzYSBhIHNlciBjb250cmF0YWRhIHBvc3N1YSB1bSByZXNwb25zw6F2ZWwgdMOpY25pY28gLSBhc3NpbSBjb25zaWRlcmFkbyBvIHByb2Zpc3Npb25hbCBoYWJpbGl0YWRvLCBuYSBmb3JtYSBkYSBsZWksIHBhcmEgY29uZHV6aXIsIG9yaWVudGFyIGUgc2UgcmVzcG9uc2FiaWxpemFyIHBvciB0b2RhcyBhcyBhdGl2aWRhZGVzIGUgc2VydmnDp29zIGEgc2VyZW0gZXhlcmNpZG9zIHBlbGEgZW1wcmVzYSAtLCBhIGRlY2xhcmHDp8OjbyBmb3JtYWwgZGUgcXVlIHRyYXRhIG8gwqcgM8K6IGRvIGFydC4gNjMsIGRhIExlaSBuLsK6IDE0LjEzMywgZGUgMjAyMSwgZGV2ZXLDoSBzZXIgZmlybWFkYSBwZWxvIHJlc3BvbnPDoXZlbCBsZWdhbCBkYSBlbXByZXNhIG91IHBvciBwZXNzb2EgcG9yIGVsZSBpbmRpY2FkYSwgcXVlIHBvc3N1YSBjb25kacOnw7VlcyB0w6ljbmljYXMgZGUgc2UgcmVzcG9uc2FiaWxpemFyIHBlbGEgZXhlY3XDp8OjbyBkb3Mgc2VydmnDp29zIGEgc2VyZW0gY29udHJhdGFkb3MuwqDCoApSZWNvbWVuZGEtc2UgcXVlIGEgcHJldmlzw6NvIGRlIHZpc3RvcmlhIHNlamEgYWRvdGFkYSBkZSBmb3JtYSBtb3RpdmFkYSwgasOhIHF1ZSBhdW1lbnRhIG9zIGN1c3RvcyB0cmFuc2FjaW9uYWlzIGRvcyBpbnRlcmVzc2Fkb3MsIGRldmVuZG8sIHNlbXByZSBxdWUgcG9zc8OtdmVsLCBzZXIgc3Vic3RpdHXDrWRhIHBlbGEgYXByZXNlbnRhw6fDo28gZGUgZm90b2dyYWZpYXMsIHBsYW50YXMsIGRlc2VuaG9zIHTDqWNuaWNvcyBlIGNvbmfDqm5lcmVzIHJlbGF0aXZvcyBhbyBsb2NhbCBkZSBleGVjdcOnw6NvIGRvIHNlcnZpw6dvLsKgKj4KBUF1dG9yGjUvL3NzbC5nc3RhdGljLmNvbS9kb2NzL2NvbW1vbi9ibHVlX3NpbGhvdWV0dGU5Ni0wLnBuZzCa/dWi3zE4mv3Vot8xckAKBUF1dG9yGjcKNS8vc3NsLmdzdGF0aWMuY29tL2RvY3MvY29tbW9uL2JsdWVfc2lsaG91ZXR0ZTk2LTAucG5neACIAQGaAQYIABAAGACqAeIcEt8cTm90YSBleHBsaWNhdGl2YSAxOiBBIHByZXNlbnRlIGNsw6F1c3VsYSBkZXZlcsOhIHNlciBzdXByaW1pZGEgbm8gY2FzbyBkZSBhcXVpc2nDp8O1ZXMgb3Ugc2VydmnDp29zIHF1ZSBpbmRlcGVuZGFtIGRlIGNvbmhlY2ltZW50byBkbyBsb2NhbC4gPGJyPk5vdGEgZXhwbGljYXRpdmEgMjogTmEgbGluaGEgZG8gZW50ZW5kaW1lbnRvIGNvbnNvbGlkYWRvIHBlbG8gVENVIGFpbmRhIHNvYiBvIGFtcGFybyBkYSBMZWkgbsK6IDguNjY2LCBkZSAxOTkzIChwb3IgZXhlbXBsbywgQWPDs3Jkw6NvcyBuwrAgMi4xNTAvMjAwOCwgbsKwIDEuNTk5LzIwMTAsIG7CsCAyLjI2Ni8yMDExLCBuwrAgMi43NzYvMjAxMSwgbsKwIDExMC8yMDEyIGUgbsK6IDE3MC8yMDE4LCB0b2RvcyBkbyBQbGVuw6FyaW8pLCBvIGFydC4gNjMsIMKnIDLCuiwgZGEgTGVpIG7CuiAxNC4xMzMsIGRlIDIwMjEsIGFzc2VndXJhIGFvIGZvcm5lY2Vkb3IgbyBkaXJlaXRvIGRlIHJlYWxpemFyIHZpc3RvcmlhIHByw6l2aWEgbm8gbG9jYWwgZGUgZXhlY3XDp8OjbyBkbyBzZXJ2acOnbyBzZW1wcmUgcXVlIG8gw7NyZ8OjbyBvdSBlbnRpZGFkZSBjb250cmF0YW50ZSBjb25zaWRlcmFyIGVzc2EgYXZhbGlhw6fDo28gaW1wcmVzY2luZMOtdmVsIHBhcmEgbyBjb25oZWNpbWVudG8gcGxlbm8gZGFzIGNvbmRpw6fDtWVzIGUgcGVjdWxpYXJpZGFkZXMgZG8gb2JqZXRvIGEgc2VyIGNvbnRyYXRhZG8uIEFpbmRhIGFzc2ltLCBzZWd1bmRvIG8gdGV4dG8gbGVnYWwsIG8gY29udHJhdGFkbyBwb2RlcsOhIG9wdGFyIHBvciBuw6NvIHJlYWxpemFyIGEgdmlzdG9yaWEsIGNhc28gZW0gcXVlIHRlcsOhIGRlIGF0ZXN0YXIgbyBjb25oZWNpbWVudG8gcGxlbm8gZGFzIGNvbmRpw6fDtWVzIGUgcGVjdWxpYXJpZGFkZXMgZGEgY29udHJhdGHDp8OjbywgbWVkaWFudGUgZGVjbGFyYcOnw6NvIGZvcm1hbCAoYXJ0LiA2MywgwqczwropLsKgwqA8YnI+TmVzc2UgY29udGV4dG8sIHVtYSB2ZXogZmFjdWx0YWRhIGEgcmVhbGl6YcOnw6NvIGRhIHZpc3RvcmlhIHByw6l2aWEsIG9zIGludGVyZXNzYWRvcyB0ZXLDo28gdHLDqnMgb3DDp8O1ZXMgcGFyYSBjdW1wcmlyIG8gcmVxdWlzaXRvIGRlIGhhYmlsaXRhw6fDo28gY29ycmVzcG9uZGVudGUsIGNvbmZvcm1lIMKnwqcywrogZSAzwrogZG8gYXJ0LiA2MywgZGEgTGVpIG7CuiAxNC4xMzMsIGRlIDIwMjEsIGEgc2FiZXI6wqA8YnI+YSkgcmVhbGl6YXIgYSB2aXN0b3JpYSBlIGF0ZXN0YXIgcXVlIGNvbmhlY2UgbyBsb2NhbCBlIGFzIGNvbmRpw6fDtWVzIGRhIHJlYWxpemHDp8OjbyBkbyBzZXJ2acOnbzvCoMKgPGJyPmIpIGF0ZXN0YXIgcXVlIGNvbmhlY2UgbyBsb2NhbCBlIGFzIGNvbmRpw6fDtWVzIGRhIHJlYWxpemHDp8OjbyBkbyBzZXJ2acOnbzvCoMKgPGJyPmMpIGRlY2xhcmFyIGZvcm1hbG1lbnRlLCBwb3IgbWVpbyBkbyByZXNwZWN0aXZvIHJlc3BvbnPDoXZlbCB0w6ljbmljbywgcXVlIHBvc3N1aSBjb25oZWNpbWVudG8gcGxlbm8gZGFzIGNvbmRpw6fDtWVzIGUgcGVjdWxpYXJpZGFkZXMgZGEgY29udHJhdGHDp8Ojby7CoMKgPGJyPkEgaGlww7N0ZXNlIOKAnGHigJ0gZGlzcGVuc2EgbWFpb3JlcyBjb21lbnTDoXJpb3MsIGEgbsOjbyBzZXIgbyBkZSBxdWUgw6kgbyBwcsOzcHJpbyBmb3JuZWNlZG9yIHF1ZSBhdGVzdGEgY29uaGVjZXIgbyBsb2NhbCBlIGFzIGNvbmRpw6fDtWVzLCBlIG7Do28gYSBBZG1pbmlzdHJhw6fDo28gcXVlIHRlbSBvIMO0bnVzIGRlIGVtaXRpciBvIGF0ZXN0YWRvIGRlIHZpc3RvcmlhLCBjb21vIHNlIHBhc3NhIG5vIMOibWJpdG8gZGEgTGVpIG7CuiA4LjY2NiwgZGUgMTk5My7CoDxicj5Kw6EgbmEgaGlww7N0ZXNlIOKAnGLigJ0sIG8gZm9ybmVjZWRvciBuw6NvIG5lY2Vzc2FyaWFtZW50ZSByZWFsaXphIGEgdmlzdG9yaWEgZmFjdWx0YWRhIG5hIGNvbnRyYXRhw6fDo28sIG1hcywgZGEgbWVzbWEgZm9ybWEsIGF0ZXN0YSBxdWUgY29uaGVjZSBvIGxvY2FsIGRhIG9icmEgb3Ugc2VydmnDp28sIGFsw6ltIGRhcyByZXNwZWN0aXZhcyBjb25kacOnw7VlcyBkZSBleGVjdcOnw6NvLCBwcmVzc3Vwb25kby1zZSBxdWUgasOhIHRlbmhhIGNvbXBhcmVjaWRvIGFudGVyaW9ybWVudGUgYW8gbG9jYWwgcGFyYSBwb2RlciBlbWl0aXIgYSBkZWNsYXJhw6fDo28gc2VtIGluY29ycmVyIGVtIGZhbHNpZGFkZSBpZGVvbMOzZ2ljYS4gSXNzbyBwb2RlIG9jb3JyZXIgc29icmV0dWRvIHF1YW5kbyBzZSB0cmF0YSBkZSBlbXByZXNhIHF1ZSBqw6EgcHJlc3RvdSBzZXJ2acOnb3Mgbm8gbWVzbW8gbG9jYWwgb3UgasOhIHJlYWxpem91IHZpc3RvcmlhIGVtIG91dHJhIG9wb3J0dW5pZGFkZS7CoMKgPGJyPlBvciBmaW0sIG5hIGhpcMOzdGVzZSDigJxj4oCdLCBuw6NvIHNlIGRlY2xhcmEgcXVlIGNvbmhlY2UgbyBsb2NhbCwgZSBzaW0gYXMgY29uZGnDp8O1ZXMgZSBwZWN1bGlhcmlkYWRlcyBkYSBjb250cmF0YcOnw6NvIGVtIHN1YSBwbGVuaXR1ZGUuIFBvciBpc3NvIHF1ZSwgZW0gY29udHJhcGFydGlkYSwgYSBkZWNsYXJhw6fDo28gZGV2ZSBzZXIgZmlybWFkYSBwZWxvIHJlc3BvbnPDoXZlbCB0w6ljbmljbywgcXVlIHBvZGVyw6EgY2hlZ2FyIGEgZXNzZSBjb25oZWNpbWVudG8gY29tIGJhc2UgbmFzIGRpc3Bvc2nDp8O1ZXMgZG8gZWRpdGFsIGUgYW5leG9zLCBzb21hZGEgw6Agc3VhIGV4cGVyacOqbmNpYSBwcm9maXNzaW9uYWwsIHF1ZSBsaGUgcGVybWl0ZSBlbWl0aXIgYSBkZWNsYXJhw6fDo28gc2VtIGNvbmhlY2VyIG8gbG9jYWwgZSBzZW0gaW5jb3JyZXIgZW0gZmFsc2lkYWRlLsKgPGJyPkNvbnR1ZG8sIGNhc28gbsOjbyBzZSB2ZXJpZmlxdWUgYSBleGlnw6puY2lhIGxlZ2FsIGRlIHF1ZSBhIGVtcHJlc2EgYSBzZXIgY29udHJhdGFkYSBwb3NzdWEgdW0gcmVzcG9uc8OhdmVsIHTDqWNuaWNvIC0gYXNzaW0gY29uc2lkZXJhZG8gbyBwcm9maXNzaW9uYWwgaGFiaWxpdGFkbywgbmEgZm9ybWEgZGEgbGVpLCBwYXJhIGNvbmR1emlyLCBvcmllbnRhciBlIHNlIHJlc3BvbnNhYmlsaXphciBwb3IgdG9kYXMgYXMgYXRpdmlkYWRlcyBlIHNlcnZpw6dvcyBhIHNlcmVtIGV4ZXJjaWRvcyBwZWxhIGVtcHJlc2EgLSwgYSBkZWNsYXJhw6fDo28gZm9ybWFsIGRlIHF1ZSB0cmF0YSBvIMKnIDPCuiBkbyBhcnQuIDYzLCBkYSBMZWkgbi7CuiAxNC4xMzMsIGRlIDIwMjEsIGRldmVyw6Egc2VyIGZpcm1hZGEgcGVsbyByZXNwb25zw6F2ZWwgbGVnYWwgZGEgZW1wcmVzYSBvdSBwb3IgcGVzc29hIHBvciBlbGUgaW5kaWNhZGEsIHF1ZSBwb3NzdWEgY29uZGnDp8O1ZXMgdMOpY25pY2FzIGRlIHNlIHJlc3BvbnNhYmlsaXphciBwZWxhIGV4ZWN1w6fDo28gZG9zIHNlcnZpw6dvcyBhIHNlcmVtIGNvbnRyYXRhZG9zLsKgwqA8YnI+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7CoLABALgBARia/dWi3zEgmv3Vot8xMABCCWtpeC5jbXQyOSKRBgoLQUFBQkgyVWhYSnMS5gUKC0FBQUJIMlVoWEpzEgtBQUFCSDJVaFhKcxq4AQoJdGV4dC9odG1sEqoBTm90YSBleHBsaWNhdGl2YTogQ29uZm9ybWUgZXN0YWJlbGVjZSBvIGFydC4gMTU2LCDCpzTCuiwgZXNzYSBkaXNwb3Npw6fDo28gZGV2ZXLDoSBpbmRpY2FyIG8gcmVzcGVjdGl2byBlbnRlIGZlZGVyYXRpdm8gYSBxdWUgcGVydGVuY2UgbyDDs3Jnw6NvIG91IGVudGlkYWRlIHNhbmNpb25hZG9yYS4iuQEKCnRleHQvcGxhaW4SqgFOb3RhIGV4cGxpY2F0aXZhOiBDb25mb3JtZSBlc3RhYmVsZWNlIG8gYXJ0LiAxNTYsIMKnNMK6LCBlc3NhIGRpc3Bvc2nDp8OjbyBkZXZlcsOhIGluZGljYXIgbyByZXNwZWN0aXZvIGVudGUgZmVkZXJhdGl2byBhIHF1ZSBwZXJ0ZW5jZSBvIMOzcmfDo28gb3UgZW50aWRhZGUgc2FuY2lvbmFkb3JhLio+CgVBdXRvcho1Ly9zc2wuZ3N0YXRpYy5jb20vZG9jcy9jb21tb24vYmx1ZV9zaWxob3VldHRlOTYtMC5wbmcwnf3Vot8xOJ391aLfMXJACgVBdXRvcho3CjUvL3NzbC5nc3RhdGljLmNvbS9kb2NzL2NvbW1vbi9ibHVlX3NpbGhvdWV0dGU5Ni0wLnBuZ3gAiAEBmgEGCAAQABgAqgGtARKqAU5vdGEgZXhwbGljYXRpdmE6IENvbmZvcm1lIGVzdGFiZWxlY2UgbyBhcnQuIDE1Niwgwqc0wrosIGVzc2EgZGlzcG9zacOnw6NvIGRldmVyw6EgaW5kaWNhciBvIHJlc3BlY3Rpdm8gZW50ZSBmZWRlcmF0aXZvIGEgcXVlIHBlcnRlbmNlIG8gw7NyZ8OjbyBvdSBlbnRpZGFkZSBzYW5jaW9uYWRvcmEusAEAuAEBGJ391aLfMSCd/dWi3zEwAEIJa2l4LmNtdDQyIrQXCgtBQUFCSDJVaFhLURKJFwoLQUFBQkgyVWhYS1ESC0FBQUJIMlVoWEtRGpsHCgl0ZXh0L2h0bWw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ilgcKCnRleHQvcGxhaW4ShwdOb3RhIGV4cGxpY2F0aXZhOiBPIHZhbG9yIGRhIG11bHRhIGRldmVyw6Egb2JzZXJ2YXIgbyBkaXNwb3N0byBubyBhcnQuIDE1NiwgwqcxwrosIGRhIExlaSBuwrogMTQuMTMzLCBkZSAyMDIxLgp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gp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qPgoFQXV0b3IaNS8vc3NsLmdzdGF0aWMuY29tL2RvY3MvY29tbW9uL2JsdWVfc2lsaG91ZXR0ZTk2LTAucG5nMJz91aLfMTic/dWi3zFyQAoFQXV0b3IaNwo1Ly9zc2wuZ3N0YXRpYy5jb20vZG9jcy9jb21tb24vYmx1ZV9zaWxob3VldHRlOTYtMC5wbmd4AIgBAZoBBggAEAAYAKoBkAc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6wAQC4AQEYnP3Vot8xIJz91aLfMTAAQglraXguY210NDEizxEKC0FBQUJIMlVoWEowEqQRCgtBQUFCSDJVaFhKMBILQUFBQkgyVWhYSjAaogUKCXRleHQvaHRtbB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KjBQoKdGV4dC9wbGFpbh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o+CgVBdXRvcho1Ly9zc2wuZ3N0YXRpYy5jb20vZG9jcy9jb21tb24vYmx1ZV9zaWxob3VldHRlOTYtMC5wbmcwm/3Vot8xOJv91aLfMXJACgVBdXRvcho3CjUvL3NzbC5nc3RhdGljLmNvbS9kb2NzL2NvbW1vbi9ibHVlX3NpbGhvdWV0dGU5Ni0wLnBuZ3gAiAEBmgEGCAAQABgAqgGXBR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rABALgBARib/dWi3zEgm/3Vot8xMABCCWtpeC5jbXQzMCLNAwoLQUFBQkgyVWhYSG8SogMKC0FBQUJIMlVoWEhvEgtBQUFCSDJVaFhIbxpNCgl0ZXh0L2h0bWwSQE5vdGEgRXhwbGljYXRpdmE6IENvbmZvcm1lIGFydC4gMTgsIElJLCBkbyBEZWNyZXRvIG7CuiAxMS40OTIvMjMiTgoKdGV4dC9wbGFpbhJATm90YSBFeHBsaWNhdGl2YTogQ29uZm9ybWUgYXJ0LiAxOCwgSUksIGRvIERlY3JldG8gbsK6IDExLjQ5Mi8yMyo+CgVBdXRvcho1Ly9zc2wuZ3N0YXRpYy5jb20vZG9jcy9jb21tb24vYmx1ZV9zaWxob3VldHRlOTYtMC5wbmcwnP3Vot8xOJz91aLfMXJACgVBdXRvcho3CjUvL3NzbC5nc3RhdGljLmNvbS9kb2NzL2NvbW1vbi9ibHVlX3NpbGhvdWV0dGU5Ni0wLnBuZ3gAiAEBmgEGCAAQABgAqgFCEkBOb3RhIEV4cGxpY2F0aXZhOiBDb25mb3JtZSBhcnQuIDE4LCBJSSwgZG8gRGVjcmV0byBuwrogMTEuNDkyLzIzsAEAuAEBGJz91aLfMSCc/dWi3zEwAEIJa2l4LmNtdDM2It4YCgtBQUFCSDJVaFhJWRK0GAoLQUFBQkgyVWhYSVkSC0FBQUJIMlVoWElZGtQHCgl0ZXh0L2h0bWw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4izwcKCnRleHQvcGxhaW4SwA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gp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gpOYXMgY29udHJhdGHDp8O1ZXMgY29tIHByYXpvIGRlIHZpZ8OqbmNpYSBzdXBlcmlvciBhIDEgKHVtKSBhbm8sIHNlcsOhIGNvbnNpZGVyYWRvIG8gdmFsb3IgYW51YWwgZG8gY29udHJhdG8gbmEgYXBsaWNhw6fDo28gZG9zIGxpbWl0ZXMgYWNpbWEgZXN0YWJlbGVjaWRvcyAoYXJ0LiA0wrosIMKnM8K6LCBkYSBMZWkgbsK6IDE0LjEzMy8yMDIxKS4qPgoFQXV0b3IaNS8vc3NsLmdzdGF0aWMuY29tL2RvY3MvY29tbW9uL2JsdWVfc2lsaG91ZXR0ZTk2LTAucG5nMJL91aLfMTiS/dWi3zFyQAoFQXV0b3IaNwo1Ly9zc2wuZ3N0YXRpYy5jb20vZG9jcy9jb21tb24vYmx1ZV9zaWxob3VldHRlOTYtMC5wbmd4AIgBAZoBBggAEAAYAKoByQc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6wAQC4AQEYkv3Vot8xIJL91aLfMTAAQghraXguY210MyK3BgoLQUFBQkgyVWhYSDgSjQYKC0FBQUJIMlVoWEg4EgtBQUFCSDJVaFhIOBrFAQoJdGV4dC9odG1sErcBTm90YSBleHBsaWNhdGl2YTogQXMgcHJldmlzw7VlcyBkZWNvcnJlbSBkbyBmdW5jaW9uYW1lbnRvIGRvIHNpc3RlbWEuIFNlIG8gc2lzdGVtYSBmb3IgbW9kaWZpY2FkbyBwYXJhIGFsdGVyYXIgZXNzYXMgcG9zc2liaWxpZGFkZXMsIGFzIGRpc3Bvc2nDp8O1ZXMgc3VwcmFjaXRhZGFzIGRldmVtIHNlciBhanVzdGFkYXMuIsYBCgp0ZXh0L3BsYWluErcBTm90YSBleHBsaWNhdGl2YTogQXMgcHJldmlzw7VlcyBkZWNvcnJlbSBkbyBmdW5jaW9uYW1lbnRvIGRvIHNpc3RlbWEuIFNlIG8gc2lzdGVtYSBmb3IgbW9kaWZpY2FkbyBwYXJhIGFsdGVyYXIgZXNzYXMgcG9zc2liaWxpZGFkZXMsIGFzIGRpc3Bvc2nDp8O1ZXMgc3VwcmFjaXRhZGFzIGRldmVtIHNlciBhanVzdGFkYXMuKj4KBUF1dG9yGjUvL3NzbC5nc3RhdGljLmNvbS9kb2NzL2NvbW1vbi9ibHVlX3NpbGhvdWV0dGU5Ni0wLnBuZzCW/dWi3zE4lv3Vot8xckAKBUF1dG9yGjcKNS8vc3NsLmdzdGF0aWMuY29tL2RvY3MvY29tbW9uL2JsdWVfc2lsaG91ZXR0ZTk2LTAucG5neACIAQGaAQYIABAAGACqAboBErcBTm90YSBleHBsaWNhdGl2YTogQXMgcHJldmlzw7VlcyBkZWNvcnJlbSBkbyBmdW5jaW9uYW1lbnRvIGRvIHNpc3RlbWEuIFNlIG8gc2lzdGVtYSBmb3IgbW9kaWZpY2FkbyBwYXJhIGFsdGVyYXIgZXNzYXMgcG9zc2liaWxpZGFkZXMsIGFzIGRpc3Bvc2nDp8O1ZXMgc3VwcmFjaXRhZGFzIGRldmVtIHNlciBhanVzdGFkYXMusAEAuAEBGJb91aLfMSCW/dWi3zEwAEIIa2l4LmNtdDci6QoKC0FBQUJIMlVoWEtZEr4KCgtBQUFCSDJVaFhLWRILQUFBQkgyVWhYS1kagAMKCXRleHQvaHRtbBLyAk5vdGEgRXhwbGljYXRpdmE6IENvbmZvcm1lIGFydC4gMTUsIElJSSwgZG8gRGVjcmV0byAxMS40NjIsIGRlIDIwMjMsIGVzcGVjaWZpY2FyIHNlIHNlcsOhIGFkbWl0aWRhIG91IG7Do28gZGlmZXJlbmNpYcOnw6NvIGRlIHByZcOnbyBhKSBxdWFuZG8gbyBvYmpldG8gZm9yIHJlYWxpemFkbyBvdSBlbnRyZWd1ZSBlbSBsb2NhaXMgZGlmZXJlbnRlczsgYikgZW0gcmF6w6NvIGRhIGZvcm1hIGUgZG8gbG9jYWwgZGUgYWNvbmRpY2lvbmFtZW50bzsgYykgcXVhbmRvIGFkbWl0aWRhIGNvdGHDp8OjbyB2YXJpw6F2ZWwgZW0gcmF6w6NvIGRvIHRhbWFuaG8gZG8gbG90ZTsgZCkgcG9yIG91dHJvcyBtb3Rpdm9zIGp1c3RpZmljYWRvcyBubyBwcm9jZXNzbzsigQMKCnRleHQvcGxhaW4S8gJOb3RhIEV4cGxpY2F0aXZhOiBDb25mb3JtZSBhcnQuIDE1LCBJSUksIGRvIERlY3JldG8gMTEuNDYyLCBkZSAyMDIzLCBlc3BlY2lmaWNhciBzZSBzZXLDoSBhZG1pdGlkYSBvdSBuw6NvIGRpZmVyZW5jaWHDp8OjbyBkZSBwcmXDp28gYSkgcXVhbmRvIG8gb2JqZXRvIGZvciByZWFsaXphZG8gb3UgZW50cmVndWUgZW0gbG9jYWlzIGRpZmVyZW50ZXM7IGIpIGVtIHJhesOjbyBkYSBmb3JtYSBlIGRvIGxvY2FsIGRlIGFjb25kaWNpb25hbWVudG87IGMpIHF1YW5kbyBhZG1pdGlkYSBjb3Rhw6fDo28gdmFyacOhdmVsIGVtIHJhesOjbyBkbyB0YW1hbmhvIGRvIGxvdGU7IGQpIHBvciBvdXRyb3MgbW90aXZvcyBqdXN0aWZpY2Fkb3Mgbm8gcHJvY2Vzc287Kj4KBUF1dG9yGjUvL3NzbC5nc3RhdGljLmNvbS9kb2NzL2NvbW1vbi9ibHVlX3NpbGhvdWV0dGU5Ni0wLnBuZzCY/dWi3zE4mP3Vot8xckAKBUF1dG9yGjcKNS8vc3NsLmdzdGF0aWMuY29tL2RvY3MvY29tbW9uL2JsdWVfc2lsaG91ZXR0ZTk2LTAucG5neACIAQGaAQYIABAAGACqAfUCEvICTm90YSBFeHBsaWNhdGl2YTogQ29uZm9ybWUgYXJ0LiAxNSwgSUlJLCBkbyBEZWNyZXRvIDExLjQ2MiwgZGUgMjAyMywgZXNwZWNpZmljYXIgc2Ugc2Vyw6EgYWRtaXRpZGEgb3UgbsOjbyBkaWZlcmVuY2lhw6fDo28gZGUgcHJlw6dvIGEpIHF1YW5kbyBvIG9iamV0byBmb3IgcmVhbGl6YWRvIG91IGVudHJlZ3VlIGVtIGxvY2FpcyBkaWZlcmVudGVzOyBiKSBlbSByYXrDo28gZGEgZm9ybWEgZSBkbyBsb2NhbCBkZSBhY29uZGljaW9uYW1lbnRvOyBjKSBxdWFuZG8gYWRtaXRpZGEgY290YcOnw6NvIHZhcmnDoXZlbCBlbSByYXrDo28gZG8gdGFtYW5obyBkbyBsb3RlOyBkKSBwb3Igb3V0cm9zIG1vdGl2b3MganVzdGlmaWNhZG9zIG5vIHByb2Nlc3NvO7ABALgBARiY/dWi3zEgmP3Vot8xMABCCWtpeC5jbXQyMiLrAwoLQUFBQkgyVWhYSjgSwAMKC0FBQUJIMlVoWEo4EgtBQUFCSDJVaFhKOBpXCgl0ZXh0L2h0bWwSSk5vdGEgRXhwbGljYXRpdmE6IFVzYXIgZXNzYSBkaXNwb3Npw6fDo28gcXVhbmRvIGEgbGljaXRhw6fDo28gZm9yIGVtIGdydXBvIlgKCnRleHQvcGxhaW4SSk5vdGEgRXhwbGljYXRpdmE6IFVzYXIgZXNzYSBkaXNwb3Npw6fDo28gcXVhbmRvIGEgbGljaXRhw6fDo28gZm9yIGVtIGdydXBvKj4KBUF1dG9yGjUvL3NzbC5nc3RhdGljLmNvbS9kb2NzL2NvbW1vbi9ibHVlX3NpbGhvdWV0dGU5Ni0wLnBuZzCY/dWi3zE4mP3Vot8xckAKBUF1dG9yGjcKNS8vc3NsLmdzdGF0aWMuY29tL2RvY3MvY29tbW9uL2JsdWVfc2lsaG91ZXR0ZTk2LTAucG5neACIAQGaAQYIABAAGACqAUwSSk5vdGEgRXhwbGljYXRpdmE6IFVzYXIgZXNzYSBkaXNwb3Npw6fDo28gcXVhbmRvIGEgbGljaXRhw6fDo28gZm9yIGVtIGdydXBvsAEAuAEBGJj91aLfMSCY/dWi3zEwAEIJa2l4LmNtdDIxIucICgtBQUFCSDJVaFhIdxK8CAoLQUFBQkgyVWhYSHcSC0FBQUJIMlVoWEh3GqoCCgl0ZXh0L2h0bWwSnAJOb3RhIEV4cGxpY2F0aXZhOiBObyBtb2RvIGRlIGRpc3B1dGEgYWJlcnRvLCBhIGZhc2UgZGUgbGFuY2VzIHJlc3VtZS1zZSDDoCBkaXNwdXRhIGVsZXRyw7RuaWNhLCByZWFsaXphZGEgcG9yIHRvZG9zIG9zIGxpY2l0YW50ZXMsIG9wb3J0dW5pZGFkZSBlbSBxdWUgb3MgdmFsb3JlcyBzw6NvIHJlZ2lzdHJhZG9zIHBlbG8gc2lzdGVtYSBlIG8gbGFuY2UgdmVuY2Vkb3Igw6kgYXF1ZWxlIHF1ZSBjb250w6ltIG8gbWVsaG9yIHByZcOnbywgb2J0aWRvIG5vIGVuY2VycmFtZW50byBkYSBzZXNzw6NvLiKrAgoKdGV4dC9wbGFpbhKcAk5vdGEgRXhwbGljYXRpdmE6IE5vIG1vZG8gZGUgZGlzcHV0YSBhYmVydG8sIGEgZmFzZSBkZSBsYW5jZXMgcmVzdW1lLXNlIMOgIGRpc3B1dGEgZWxldHLDtG5pY2EsIHJlYWxpemFkYSBwb3IgdG9kb3Mgb3MgbGljaXRhbnRlcywgb3BvcnR1bmlkYWRlIGVtIHF1ZSBvcyB2YWxvcmVzIHPDo28gcmVnaXN0cmFkb3MgcGVsbyBzaXN0ZW1hIGUgbyBsYW5jZSB2ZW5jZWRvciDDqSBhcXVlbGUgcXVlIGNvbnTDqW0gbyBtZWxob3IgcHJlw6dvLCBvYnRpZG8gbm8gZW5jZXJyYW1lbnRvIGRhIHNlc3PDo28uKj4KBUF1dG9yGjUvL3NzbC5nc3RhdGljLmNvbS9kb2NzL2NvbW1vbi9ibHVlX3NpbGhvdWV0dGU5Ni0wLnBuZzCY/dWi3zE4mP3Vot8xckAKBUF1dG9yGjcKNS8vc3NsLmdzdGF0aWMuY29tL2RvY3MvY29tbW9uL2JsdWVfc2lsaG91ZXR0ZTk2LTAucG5neACIAQGaAQYIABAAGACqAZ8CEpwCTm90YSBFeHBsaWNhdGl2YTogTm8gbW9kbyBkZSBkaXNwdXRhIGFiZXJ0bywgYSBmYXNlIGRlIGxhbmNlcyByZXN1bWUtc2Ugw6AgZGlzcHV0YSBlbGV0csO0bmljYSwgcmVhbGl6YWRhIHBvciB0b2RvcyBvcyBsaWNpdGFudGVzLCBvcG9ydHVuaWRhZGUgZW0gcXVlIG9zIHZhbG9yZXMgc8OjbyByZWdpc3RyYWRvcyBwZWxvIHNpc3RlbWEgZSBvIGxhbmNlIHZlbmNlZG9yIMOpIGFxdWVsZSBxdWUgY29udMOpbSBvIG1lbGhvciBwcmXDp28sIG9idGlkbyBubyBlbmNlcnJhbWVudG8gZGEgc2Vzc8Ojby6wAQC4AQEYmP3Vot8xIJj91aLfMTAAQglraXguY210MTgyCGguZ2pkZ3hzMgloLjMwajB6bGwyCWguMWZvYjl0ZTIJaC4zem55c2g3MgloLjJldDkycDAyCGgudHlqY3d0MgloLjNkeTZ2a20yCWguMXQzaDVzZjIJaC40ZDM0b2c4MgloLjJzOGV5bzEyCWguMTdkcDh2dTIKaWQuM3JkY3JqbjIKaWQuMjZpbjFyZzIJaWQubG54Yno5MgppZC4zNW5rdW4yMgloLjFrc3Y0dXYyCWguNDRzaW5pbzIJaC4yanhzeHFoMghoLnozMzd5YTIJaC4zajJxcW0zMgloLjF5ODEwdHcyCWguNGk3b2pocDIJaC4yeGN5dHBpMgloLjFjaTkzeGIyCWguM3dod21sNDIJaC4yYm42d3N4MghoLnFzaDcwcTIJaC4zYXM0cG9qMgppZC4xcHhlendjMgppZC40OXgyaWs1MgppZC4ycDJjc3J5MgppZ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4AHIhMVVSRkVZdW1KX1NYcG95QlRmMDNzbG4xTnA1SUpIZU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Application>ONLYOFFICE/7.2.1.36</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19</cp:revision>
  <dcterms:created xsi:type="dcterms:W3CDTF">2024-02-28T18:01:00Z</dcterms:created>
  <dcterms:modified xsi:type="dcterms:W3CDTF">2024-08-27T13:15:52Z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