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mc:AlternateContent>
          <mc:Choice Requires="wpg">
            <w:drawing>
              <wp:anchor xmlns:wp="http://schemas.openxmlformats.org/drawingml/2006/wordprocessingDrawing" xmlns:wp14="http://schemas.microsoft.com/office/word/2010/wordprocessingDrawing" distT="0" distB="0" distL="115200" distR="115200" simplePos="0" relativeHeight="251659264" behindDoc="0" locked="0" layoutInCell="1" allowOverlap="1">
                <wp:simplePos x="0" y="0"/>
                <wp:positionH relativeFrom="column">
                  <wp:posOffset>338160</wp:posOffset>
                </wp:positionH>
                <wp:positionV relativeFrom="paragraph">
                  <wp:posOffset>76397</wp:posOffset>
                </wp:positionV>
                <wp:extent cx="5524500" cy="6591300"/>
                <wp:effectExtent l="4762" t="4762" r="4762" b="4762"/>
                <wp:wrapNone/>
                <wp:docPr id="5" name=""/>
                <wp:cNvGraphicFramePr/>
                <a:graphic xmlns:a="http://schemas.openxmlformats.org/drawingml/2006/main">
                  <a:graphicData uri="http://schemas.microsoft.com/office/word/2010/wordprocessingShape">
                    <wps:wsp>
                      <wps:cNvPr id="0" name=""/>
                      <wps:cNvSpPr/>
                      <wps:spPr bwMode="auto">
                        <a:xfrm flipH="0" flipV="0">
                          <a:off x="0" y="0"/>
                          <a:ext cx="5524499" cy="6591299"/>
                        </a:xfrm>
                        <a:prstGeom prst="rect">
                          <a:avLst/>
                        </a:prstGeom>
                        <a:noFill/>
                        <a:ln w="19049" cap="flat" cmpd="sng" algn="ctr">
                          <a:solidFill>
                            <a:srgbClr val="0070C0"/>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4" o:spid="_x0000_s4" o:spt="1" type="#_x0000_t1" style="position:absolute;z-index:251659264;o:allowoverlap:true;o:allowincell:true;mso-position-horizontal-relative:text;margin-left:26.6pt;mso-position-horizontal:absolute;mso-position-vertical-relative:text;margin-top:6.0pt;mso-position-vertical:absolute;width:435.0pt;height:519.0pt;mso-wrap-distance-left:9.1pt;mso-wrap-distance-top:0.0pt;mso-wrap-distance-right:9.1pt;mso-wrap-distance-bottom:0.0pt;visibility:visible;" filled="f" strokecolor="#0070C0" strokeweight="1.50pt">
                <v:stroke dashstyle="solid"/>
              </v:shape>
            </w:pict>
          </mc:Fallback>
        </mc:AlternateContent>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b/>
          <w:bCs/>
          <w:i w:val="0"/>
          <w:iCs w:val="0"/>
          <w:color w:val="000000" w:themeColor="text1"/>
          <w:sz w:val="22"/>
          <w:szCs w:val="22"/>
        </w:rPr>
        <w:t xml:space="preserve">PREGÃO</w:t>
      </w:r>
      <w:r>
        <w:rPr>
          <w:rFonts w:ascii="Cambria" w:hAnsi="Cambria" w:cs="Cambria"/>
          <w:b/>
          <w:bCs/>
          <w:i w:val="0"/>
          <w:iCs w:val="0"/>
          <w:color w:val="000000" w:themeColor="text1"/>
          <w:sz w:val="22"/>
          <w:szCs w:val="22"/>
        </w:rPr>
        <w:t xml:space="preserve"> </w:t>
      </w:r>
      <w:r>
        <w:rPr>
          <w:rFonts w:ascii="Cambria" w:hAnsi="Cambria" w:cs="Cambria"/>
          <w:b/>
          <w:bCs/>
          <w:i w:val="0"/>
          <w:iCs w:val="0"/>
          <w:color w:val="000000" w:themeColor="text1"/>
          <w:sz w:val="22"/>
          <w:szCs w:val="22"/>
        </w:rPr>
        <w:t xml:space="preserve">ELETRÔNICO</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 Nº</w:t>
      </w:r>
      <w:r>
        <w:rPr>
          <w:rFonts w:ascii="Cambria" w:hAnsi="Cambria" w:cs="Cambria"/>
          <w:i w:val="0"/>
          <w:iCs w:val="0"/>
          <w:color w:val="000000" w:themeColor="text1"/>
          <w:sz w:val="22"/>
          <w:szCs w:val="22"/>
        </w:rPr>
        <w:t xml:space="preserve"> 03/2024</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t xml:space="preserve">OBJETO</w:t>
      </w:r>
      <w:r>
        <w:rPr>
          <w:rFonts w:ascii="Cambria" w:hAnsi="Cambria" w:cs="Cambria"/>
          <w:i w:val="0"/>
          <w:iCs w:val="0"/>
          <w:sz w:val="22"/>
          <w:szCs w:val="22"/>
        </w:rPr>
      </w:r>
      <w:r/>
    </w:p>
    <w:p>
      <w:pPr>
        <w:jc w:val="center"/>
        <w:rPr>
          <w:rFonts w:ascii="Cambria" w:hAnsi="Cambria" w:cs="Cambria"/>
          <w:bCs w:val="0"/>
          <w:i w:val="0"/>
          <w:color w:val="000000" w:themeColor="text1"/>
          <w:sz w:val="22"/>
          <w:szCs w:val="22"/>
          <w:highlight w:val="none"/>
        </w:rPr>
      </w:pPr>
      <w:r>
        <w:rPr>
          <w:rFonts w:ascii="Cambria" w:hAnsi="Cambria" w:cs="Cambria"/>
          <w:i w:val="0"/>
          <w:iCs w:val="0"/>
          <w:color w:val="000000" w:themeColor="text1"/>
          <w:sz w:val="22"/>
          <w:szCs w:val="22"/>
          <w:highlight w:val="none"/>
        </w:rPr>
        <w:t xml:space="preserve">LOCAÇÃO DE CENTRAL TELEFÔNICA  – PABX</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t xml:space="preserve">VALOR TOTAL DA CONTRATAÇÃO</w:t>
      </w:r>
      <w:r>
        <w:rPr>
          <w:rFonts w:ascii="Cambria" w:hAnsi="Cambria" w:cs="Cambria"/>
          <w:i w:val="0"/>
          <w:iCs w:val="0"/>
          <w:sz w:val="22"/>
          <w:szCs w:val="22"/>
        </w:rPr>
      </w:r>
      <w:r/>
    </w:p>
    <w:p>
      <w:pPr>
        <w:jc w:val="center"/>
        <w:rPr>
          <w:rFonts w:ascii="Cambria" w:hAnsi="Cambria" w:cs="Cambria"/>
          <w:b w:val="0"/>
          <w:bCs w:val="0"/>
          <w:i w:val="0"/>
          <w:color w:val="000000" w:themeColor="text1"/>
          <w:sz w:val="22"/>
          <w:szCs w:val="22"/>
          <w:highlight w:val="none"/>
        </w:rPr>
      </w:pPr>
      <w:r>
        <w:rPr>
          <w:rFonts w:ascii="Cambria" w:hAnsi="Cambria" w:cs="Cambria"/>
          <w:b w:val="0"/>
          <w:bCs w:val="0"/>
          <w:i w:val="0"/>
          <w:iCs w:val="0"/>
          <w:color w:val="000000" w:themeColor="text1"/>
          <w:sz w:val="22"/>
          <w:szCs w:val="22"/>
        </w:rPr>
        <w:t xml:space="preserve">R$ 2.142,74 (MENSAIS)</w:t>
      </w:r>
      <w:r>
        <w:rPr>
          <w:rFonts w:ascii="Cambria" w:hAnsi="Cambria" w:cs="Cambria"/>
          <w:i w:val="0"/>
          <w:iCs w:val="0"/>
          <w:sz w:val="22"/>
          <w:szCs w:val="22"/>
        </w:rPr>
      </w:r>
      <w:r/>
    </w:p>
    <w:p>
      <w:pPr>
        <w:jc w:val="center"/>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highlight w:val="none"/>
        </w:rPr>
        <w:t xml:space="preserve">R$ 25.712,88 (12 MESES)</w:t>
      </w:r>
      <w:r>
        <w:rPr>
          <w:rFonts w:ascii="Cambria" w:hAnsi="Cambria" w:cs="Cambria"/>
          <w:i w:val="0"/>
          <w:iCs w:val="0"/>
          <w:sz w:val="22"/>
          <w:szCs w:val="22"/>
        </w:rPr>
      </w:r>
      <w:r/>
    </w:p>
    <w:p>
      <w:pPr>
        <w:jc w:val="center"/>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b/>
          <w:bCs/>
          <w:i w:val="0"/>
          <w:iCs w:val="0"/>
          <w:color w:val="000000" w:themeColor="text1"/>
          <w:sz w:val="22"/>
          <w:szCs w:val="22"/>
        </w:rPr>
        <w:t xml:space="preserve">DATA DA SESSÃO PÚBLICA</w:t>
      </w:r>
      <w:r>
        <w:rPr>
          <w:rFonts w:ascii="Cambria" w:hAnsi="Cambria" w:cs="Cambria"/>
          <w:i w:val="0"/>
          <w:iCs w:val="0"/>
          <w:sz w:val="22"/>
          <w:szCs w:val="22"/>
        </w:rPr>
      </w:r>
      <w:r/>
    </w:p>
    <w:p>
      <w:pPr>
        <w:jc w:val="center"/>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t xml:space="preserve">Dia 05/03/2024</w:t>
      </w:r>
      <w:r>
        <w:rPr>
          <w:rFonts w:ascii="Cambria" w:hAnsi="Cambria" w:cs="Cambria"/>
          <w:b w:val="0"/>
          <w:bCs w:val="0"/>
          <w:i w:val="0"/>
          <w:iCs w:val="0"/>
          <w:color w:val="000000" w:themeColor="text1"/>
          <w:sz w:val="22"/>
          <w:szCs w:val="22"/>
        </w:rPr>
        <w:t xml:space="preserve"> </w:t>
      </w:r>
      <w:r>
        <w:rPr>
          <w:rFonts w:ascii="Cambria" w:hAnsi="Cambria" w:cs="Cambria"/>
          <w:b w:val="0"/>
          <w:bCs w:val="0"/>
          <w:i w:val="0"/>
          <w:iCs w:val="0"/>
          <w:color w:val="000000" w:themeColor="text1"/>
          <w:sz w:val="22"/>
          <w:szCs w:val="22"/>
        </w:rPr>
        <w:t xml:space="preserve">às 08</w:t>
      </w:r>
      <w:r>
        <w:rPr>
          <w:rFonts w:ascii="Cambria" w:hAnsi="Cambria" w:cs="Cambria"/>
          <w:b w:val="0"/>
          <w:bCs w:val="0"/>
          <w:i w:val="0"/>
          <w:iCs w:val="0"/>
          <w:color w:val="000000" w:themeColor="text1"/>
          <w:sz w:val="22"/>
          <w:szCs w:val="22"/>
        </w:rPr>
        <w:t xml:space="preserve">h</w:t>
      </w:r>
      <w:r>
        <w:rPr>
          <w:rFonts w:ascii="Cambria" w:hAnsi="Cambria" w:cs="Cambria"/>
          <w:b w:val="0"/>
          <w:bCs w:val="0"/>
          <w:i w:val="0"/>
          <w:iCs w:val="0"/>
          <w:color w:val="000000" w:themeColor="text1"/>
          <w:sz w:val="22"/>
          <w:szCs w:val="22"/>
        </w:rPr>
        <w:t xml:space="preserve"> (horário de Brasília)</w:t>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aps/>
          <w:color w:val="000000" w:themeColor="text1"/>
          <w:sz w:val="22"/>
          <w:szCs w:val="22"/>
        </w:rPr>
      </w:pPr>
      <w:r>
        <w:rPr>
          <w:rFonts w:ascii="Cambria" w:hAnsi="Cambria" w:cs="Cambria"/>
          <w:b/>
          <w:bCs/>
          <w:i w:val="0"/>
          <w:iCs w:val="0"/>
          <w:caps/>
          <w:color w:val="000000" w:themeColor="text1"/>
          <w:sz w:val="22"/>
          <w:szCs w:val="22"/>
        </w:rPr>
      </w:r>
      <w:r>
        <w:rPr>
          <w:rFonts w:ascii="Cambria" w:hAnsi="Cambria" w:cs="Cambria"/>
          <w:i w:val="0"/>
          <w:iCs w:val="0"/>
          <w:sz w:val="22"/>
          <w:szCs w:val="22"/>
        </w:rPr>
      </w:r>
      <w:r/>
    </w:p>
    <w:p>
      <w:pPr>
        <w:jc w:val="center"/>
        <w:rPr>
          <w:rFonts w:ascii="Cambria" w:hAnsi="Cambria" w:cs="Cambria"/>
          <w:bCs w:val="0"/>
          <w:i w:val="0"/>
          <w:caps/>
          <w:color w:val="000000" w:themeColor="text1"/>
          <w:sz w:val="22"/>
          <w:szCs w:val="22"/>
        </w:rPr>
      </w:pPr>
      <w:r>
        <w:rPr>
          <w:rFonts w:ascii="Cambria" w:hAnsi="Cambria" w:cs="Cambria"/>
          <w:b/>
          <w:bCs/>
          <w:i w:val="0"/>
          <w:iCs w:val="0"/>
          <w:caps/>
          <w:color w:val="000000" w:themeColor="text1"/>
          <w:sz w:val="22"/>
          <w:szCs w:val="22"/>
        </w:rPr>
        <w:t xml:space="preserve">Critério de Julgamento:</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MENOR PREÇO GLOBAL</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aps/>
          <w:color w:val="000000" w:themeColor="text1"/>
          <w:sz w:val="22"/>
          <w:szCs w:val="22"/>
        </w:rPr>
      </w:pPr>
      <w:r>
        <w:rPr>
          <w:rFonts w:ascii="Cambria" w:hAnsi="Cambria" w:cs="Cambria"/>
          <w:b/>
          <w:bCs/>
          <w:i w:val="0"/>
          <w:iCs w:val="0"/>
          <w:caps/>
          <w:color w:val="000000" w:themeColor="text1"/>
          <w:sz w:val="22"/>
          <w:szCs w:val="22"/>
        </w:rPr>
        <w:t xml:space="preserve">Modo de disputa:</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ABERTO</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t xml:space="preserve">PREFERÊNCIA ME/EPP/EQUIPARADAS</w:t>
      </w:r>
      <w:r>
        <w:rPr>
          <w:rFonts w:ascii="Cambria" w:hAnsi="Cambria" w:cs="Cambria"/>
          <w:i w:val="0"/>
          <w:iCs w:val="0"/>
          <w:sz w:val="22"/>
          <w:szCs w:val="22"/>
        </w:rPr>
      </w:r>
      <w:r/>
    </w:p>
    <w:p>
      <w:pPr>
        <w:jc w:val="center"/>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t xml:space="preserve">SIM </w:t>
      </w:r>
      <w:r>
        <w:rPr>
          <w:rFonts w:ascii="Cambria" w:hAnsi="Cambria" w:cs="Cambria"/>
          <w:i w:val="0"/>
          <w:iCs w:val="0"/>
          <w:sz w:val="22"/>
          <w:szCs w:val="22"/>
        </w:rPr>
      </w:r>
      <w:r/>
    </w:p>
    <w:p>
      <w:pPr>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jc w:val="both"/>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ind w:firstLine="0"/>
        <w:jc w:val="left"/>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ind w:firstLine="567"/>
        <w:jc w:val="center"/>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sz w:val="22"/>
          <w:szCs w:val="22"/>
        </w:rPr>
      </w:r>
      <w:r/>
    </w:p>
    <w:p>
      <w:pPr>
        <w:ind w:firstLine="567"/>
        <w:jc w:val="center"/>
        <w:rPr>
          <w:rFonts w:ascii="Cambria" w:hAnsi="Cambria" w:cs="Cambria"/>
          <w:b/>
          <w:bCs w:val="0"/>
          <w:i w:val="0"/>
          <w:color w:val="000000" w:themeColor="text1"/>
          <w:sz w:val="22"/>
          <w:szCs w:val="22"/>
        </w:rPr>
      </w:pPr>
      <w:r>
        <w:rPr>
          <w:rFonts w:ascii="Cambria" w:hAnsi="Cambria" w:cs="Cambria"/>
          <w:b/>
          <w:i w:val="0"/>
          <w:iCs w:val="0"/>
          <w:color w:val="000000" w:themeColor="text1"/>
          <w:sz w:val="22"/>
          <w:szCs w:val="22"/>
          <w:highlight w:val="none"/>
        </w:rPr>
      </w:r>
      <w:r>
        <w:rPr>
          <w:rFonts w:ascii="Cambria" w:hAnsi="Cambria" w:cs="Cambria"/>
          <w:b/>
          <w:i w:val="0"/>
          <w:iCs w:val="0"/>
          <w:color w:val="000000" w:themeColor="text1"/>
          <w:sz w:val="22"/>
          <w:szCs w:val="22"/>
          <w:highlight w:val="none"/>
        </w:rPr>
      </w:r>
      <w:r/>
    </w:p>
    <w:p>
      <w:pPr>
        <w:ind w:firstLine="567"/>
        <w:jc w:val="center"/>
        <w:rPr>
          <w:rFonts w:ascii="Cambria" w:hAnsi="Cambria" w:cs="Cambria"/>
          <w:b/>
          <w:bCs w:val="0"/>
          <w:i w:val="0"/>
          <w:color w:val="000000" w:themeColor="text1"/>
          <w:sz w:val="22"/>
          <w:szCs w:val="22"/>
          <w:highlight w:val="none"/>
        </w:rPr>
      </w:pPr>
      <w:r>
        <w:rPr>
          <w:rFonts w:ascii="Cambria" w:hAnsi="Cambria" w:cs="Cambria"/>
          <w:b/>
          <w:bCs w:val="0"/>
          <w:i w:val="0"/>
          <w:color w:val="000000" w:themeColor="text1"/>
          <w:sz w:val="22"/>
          <w:szCs w:val="22"/>
          <w:highlight w:val="none"/>
        </w:rPr>
      </w:r>
      <w:r>
        <w:rPr>
          <w:rFonts w:ascii="Cambria" w:hAnsi="Cambria" w:cs="Cambria"/>
          <w:b/>
          <w:bCs w:val="0"/>
          <w:i w:val="0"/>
          <w:color w:val="000000" w:themeColor="text1"/>
          <w:sz w:val="22"/>
          <w:szCs w:val="22"/>
          <w:highlight w:val="none"/>
        </w:rPr>
      </w:r>
    </w:p>
    <w:p>
      <w:pPr>
        <w:ind w:firstLine="567"/>
        <w:jc w:val="center"/>
        <w:rPr>
          <w:rFonts w:ascii="Cambria" w:hAnsi="Cambria" w:cs="Cambria"/>
          <w:b/>
          <w:bCs w:val="0"/>
          <w:i w:val="0"/>
          <w:color w:val="000000" w:themeColor="text1"/>
          <w:sz w:val="22"/>
          <w:szCs w:val="22"/>
          <w:highlight w:val="none"/>
        </w:rPr>
      </w:pPr>
      <w:r>
        <w:rPr>
          <w:rFonts w:ascii="Cambria" w:hAnsi="Cambria" w:cs="Cambria"/>
          <w:b/>
          <w:bCs w:val="0"/>
          <w:i w:val="0"/>
          <w:color w:val="000000" w:themeColor="text1"/>
          <w:sz w:val="22"/>
          <w:szCs w:val="22"/>
          <w:highlight w:val="none"/>
        </w:rPr>
      </w:r>
      <w:r>
        <w:rPr>
          <w:rFonts w:ascii="Cambria" w:hAnsi="Cambria" w:cs="Cambria"/>
          <w:b/>
          <w:bCs w:val="0"/>
          <w:i w:val="0"/>
          <w:color w:val="000000" w:themeColor="text1"/>
          <w:sz w:val="22"/>
          <w:szCs w:val="22"/>
          <w:highlight w:val="none"/>
        </w:rPr>
      </w:r>
    </w:p>
    <w:p>
      <w:pPr>
        <w:ind w:firstLine="567"/>
        <w:jc w:val="center"/>
        <w:rPr>
          <w:rFonts w:ascii="Cambria" w:hAnsi="Cambria" w:cs="Cambria"/>
          <w:b/>
          <w:bCs w:val="0"/>
          <w:i w:val="0"/>
          <w:color w:val="000000" w:themeColor="text1"/>
          <w:sz w:val="22"/>
          <w:szCs w:val="22"/>
          <w:highlight w:val="none"/>
        </w:rPr>
      </w:pPr>
      <w:r>
        <w:rPr>
          <w:rFonts w:ascii="Cambria" w:hAnsi="Cambria" w:cs="Cambria"/>
          <w:b/>
          <w:bCs w:val="0"/>
          <w:i w:val="0"/>
          <w:color w:val="000000" w:themeColor="text1"/>
          <w:sz w:val="22"/>
          <w:szCs w:val="22"/>
          <w:highlight w:val="none"/>
        </w:rPr>
      </w:r>
      <w:r>
        <w:rPr>
          <w:rFonts w:ascii="Cambria" w:hAnsi="Cambria" w:cs="Cambria"/>
          <w:b/>
          <w:bCs w:val="0"/>
          <w:i w:val="0"/>
          <w:color w:val="000000" w:themeColor="text1"/>
          <w:sz w:val="22"/>
          <w:szCs w:val="22"/>
          <w:highlight w:val="none"/>
        </w:rPr>
      </w:r>
    </w:p>
    <w:p>
      <w:pPr>
        <w:ind w:firstLine="567"/>
        <w:jc w:val="center"/>
        <w:rPr>
          <w:rFonts w:ascii="Cambria" w:hAnsi="Cambria" w:cs="Cambria"/>
          <w:b/>
          <w:bCs w:val="0"/>
          <w:i w:val="0"/>
          <w:color w:val="000000" w:themeColor="text1"/>
          <w:sz w:val="22"/>
          <w:szCs w:val="22"/>
          <w:highlight w:val="none"/>
        </w:rPr>
      </w:pPr>
      <w:r>
        <w:rPr>
          <w:rFonts w:ascii="Cambria" w:hAnsi="Cambria" w:cs="Cambria"/>
          <w:b/>
          <w:bCs w:val="0"/>
          <w:i w:val="0"/>
          <w:color w:val="000000" w:themeColor="text1"/>
          <w:sz w:val="22"/>
          <w:szCs w:val="22"/>
          <w:highlight w:val="none"/>
        </w:rPr>
      </w:r>
      <w:r>
        <w:rPr>
          <w:rFonts w:ascii="Cambria" w:hAnsi="Cambria" w:cs="Cambria"/>
          <w:b/>
          <w:bCs w:val="0"/>
          <w:i w:val="0"/>
          <w:color w:val="000000" w:themeColor="text1"/>
          <w:sz w:val="22"/>
          <w:szCs w:val="22"/>
          <w:highlight w:val="none"/>
        </w:rPr>
      </w:r>
    </w:p>
    <w:p>
      <w:pPr>
        <w:ind w:firstLine="567"/>
        <w:jc w:val="center"/>
        <w:rPr>
          <w:rFonts w:ascii="Cambria" w:hAnsi="Cambria" w:cs="Cambria"/>
          <w:b/>
          <w:bCs w:val="0"/>
          <w:i w:val="0"/>
          <w:color w:val="000000" w:themeColor="text1"/>
          <w:sz w:val="22"/>
          <w:szCs w:val="22"/>
          <w:highlight w:val="none"/>
        </w:rPr>
      </w:pPr>
      <w:r>
        <w:rPr>
          <w:rFonts w:ascii="Cambria" w:hAnsi="Cambria" w:cs="Cambria"/>
          <w:b/>
          <w:bCs w:val="0"/>
          <w:i w:val="0"/>
          <w:color w:val="000000" w:themeColor="text1"/>
          <w:sz w:val="22"/>
          <w:szCs w:val="22"/>
          <w:highlight w:val="none"/>
        </w:rPr>
      </w:r>
      <w:r>
        <w:rPr>
          <w:rFonts w:ascii="Cambria" w:hAnsi="Cambria" w:cs="Cambria"/>
          <w:b/>
          <w:bCs w:val="0"/>
          <w:i w:val="0"/>
          <w:color w:val="000000" w:themeColor="text1"/>
          <w:sz w:val="22"/>
          <w:szCs w:val="22"/>
          <w:highlight w:val="none"/>
        </w:rPr>
      </w:r>
    </w:p>
    <w:p>
      <w:pPr>
        <w:ind w:firstLine="567"/>
        <w:jc w:val="center"/>
        <w:rPr>
          <w:rFonts w:ascii="Cambria" w:hAnsi="Cambria" w:cs="Cambria"/>
          <w:b/>
          <w:bCs w:val="0"/>
          <w:i w:val="0"/>
          <w:color w:val="000000" w:themeColor="text1"/>
          <w:sz w:val="22"/>
          <w:szCs w:val="22"/>
          <w:highlight w:val="none"/>
        </w:rPr>
      </w:pPr>
      <w:r>
        <w:rPr>
          <w:rFonts w:ascii="Cambria" w:hAnsi="Cambria" w:cs="Cambria"/>
          <w:b/>
          <w:i w:val="0"/>
          <w:iCs w:val="0"/>
          <w:color w:val="000000" w:themeColor="text1"/>
          <w:sz w:val="22"/>
          <w:szCs w:val="22"/>
          <w:highlight w:val="none"/>
        </w:rPr>
      </w:r>
      <w:r>
        <w:rPr>
          <w:rFonts w:ascii="Cambria" w:hAnsi="Cambria" w:cs="Cambria"/>
          <w:b/>
          <w:i w:val="0"/>
          <w:iCs w:val="0"/>
          <w:color w:val="000000" w:themeColor="text1"/>
          <w:sz w:val="22"/>
          <w:szCs w:val="22"/>
          <w:highlight w:val="none"/>
        </w:rPr>
      </w:r>
      <w:r/>
    </w:p>
    <w:p>
      <w:pPr>
        <w:ind w:firstLine="567"/>
        <w:jc w:val="center"/>
        <w:rPr>
          <w:rFonts w:ascii="Cambria" w:hAnsi="Cambria" w:cs="Cambria"/>
          <w:b/>
          <w:bCs w:val="0"/>
          <w:i w:val="0"/>
          <w:color w:val="000000" w:themeColor="text1"/>
          <w:sz w:val="22"/>
          <w:szCs w:val="22"/>
          <w:highlight w:val="none"/>
        </w:rPr>
      </w:pPr>
      <w:r>
        <w:rPr>
          <w:rFonts w:ascii="Cambria" w:hAnsi="Cambria" w:cs="Cambria"/>
          <w:b/>
          <w:i w:val="0"/>
          <w:iCs w:val="0"/>
          <w:color w:val="000000" w:themeColor="text1"/>
          <w:sz w:val="22"/>
          <w:szCs w:val="22"/>
          <w:highlight w:val="none"/>
        </w:rPr>
      </w:r>
      <w:r>
        <w:rPr>
          <w:rFonts w:ascii="Cambria" w:hAnsi="Cambria" w:cs="Cambria"/>
          <w:b/>
          <w:i w:val="0"/>
          <w:iCs w:val="0"/>
          <w:color w:val="000000" w:themeColor="text1"/>
          <w:sz w:val="22"/>
          <w:szCs w:val="22"/>
          <w:highlight w:val="none"/>
        </w:rPr>
      </w:r>
      <w:r/>
    </w:p>
    <w:p>
      <w:pPr>
        <w:ind w:firstLine="567"/>
        <w:jc w:val="center"/>
        <w:rPr>
          <w:rFonts w:ascii="Cambria" w:hAnsi="Cambria" w:cs="Cambria"/>
          <w:b/>
          <w:bCs w:val="0"/>
          <w:i w:val="0"/>
          <w:color w:val="000000" w:themeColor="text1"/>
          <w:sz w:val="22"/>
          <w:szCs w:val="22"/>
          <w:highlight w:val="none"/>
        </w:rPr>
      </w:pPr>
      <w:r>
        <w:rPr>
          <w:rFonts w:ascii="Cambria" w:hAnsi="Cambria" w:cs="Cambria"/>
          <w:b/>
          <w:i w:val="0"/>
          <w:iCs w:val="0"/>
          <w:color w:val="000000" w:themeColor="text1"/>
          <w:sz w:val="22"/>
          <w:szCs w:val="22"/>
        </w:rPr>
        <w:t xml:space="preserve">PREFEITURA MUNICIPAL DE </w:t>
      </w:r>
      <w:r>
        <w:rPr>
          <w:rFonts w:ascii="Cambria" w:hAnsi="Cambria" w:cs="Cambria"/>
          <w:b/>
          <w:i w:val="0"/>
          <w:iCs w:val="0"/>
          <w:color w:val="000000" w:themeColor="text1"/>
          <w:sz w:val="22"/>
          <w:szCs w:val="22"/>
        </w:rPr>
        <w:t xml:space="preserve">SANTA BÁRBARA DO SUL</w:t>
      </w:r>
      <w:r>
        <w:rPr>
          <w:rFonts w:ascii="Cambria" w:hAnsi="Cambria" w:cs="Cambria"/>
          <w:b/>
          <w:i w:val="0"/>
          <w:iCs w:val="0"/>
          <w:color w:val="000000" w:themeColor="text1"/>
          <w:sz w:val="22"/>
          <w:szCs w:val="22"/>
        </w:rPr>
        <w:t xml:space="preserve">/RS</w:t>
      </w:r>
      <w:r>
        <w:rPr>
          <w:rFonts w:ascii="Cambria" w:hAnsi="Cambria" w:cs="Cambria"/>
          <w:i w:val="0"/>
          <w:iCs w:val="0"/>
          <w:sz w:val="22"/>
          <w:szCs w:val="22"/>
        </w:rPr>
      </w:r>
      <w:r/>
    </w:p>
    <w:p>
      <w:pPr>
        <w:ind w:firstLine="567"/>
        <w:jc w:val="center"/>
        <w:rPr>
          <w:rFonts w:ascii="Cambria" w:hAnsi="Cambria" w:cs="Cambria"/>
          <w:b/>
          <w:bCs w:val="0"/>
          <w:i w:val="0"/>
          <w:color w:val="000000" w:themeColor="text1"/>
          <w:sz w:val="22"/>
          <w:szCs w:val="22"/>
        </w:rPr>
      </w:pPr>
      <w:r>
        <w:rPr>
          <w:rFonts w:ascii="Cambria" w:hAnsi="Cambria" w:cs="Cambria"/>
          <w:b/>
          <w:i w:val="0"/>
          <w:iCs w:val="0"/>
          <w:color w:val="000000" w:themeColor="text1"/>
          <w:sz w:val="22"/>
          <w:szCs w:val="22"/>
        </w:rPr>
        <w:t xml:space="preserve">PREGÃO ELETRÔNICO Nº 03/2024</w:t>
      </w:r>
      <w:r>
        <w:rPr>
          <w:rFonts w:ascii="Cambria" w:hAnsi="Cambria" w:cs="Cambria"/>
          <w:i w:val="0"/>
          <w:iCs w:val="0"/>
          <w:sz w:val="22"/>
          <w:szCs w:val="22"/>
        </w:rPr>
      </w:r>
      <w:r/>
    </w:p>
    <w:p>
      <w:pPr>
        <w:ind w:firstLine="567"/>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(Processo Administrativo n</w:t>
      </w:r>
      <w:r>
        <w:rPr>
          <w:rFonts w:ascii="Cambria" w:hAnsi="Cambria" w:cs="Cambria"/>
          <w:bCs/>
          <w:i w:val="0"/>
          <w:iCs w:val="0"/>
          <w:color w:val="000000" w:themeColor="text1"/>
          <w:sz w:val="22"/>
          <w:szCs w:val="22"/>
        </w:rPr>
        <w:t xml:space="preserve">°13/2024)</w:t>
      </w:r>
      <w:r>
        <w:rPr>
          <w:rFonts w:ascii="Cambria" w:hAnsi="Cambria" w:cs="Cambria"/>
          <w:i w:val="0"/>
          <w:iCs w:val="0"/>
          <w:sz w:val="22"/>
          <w:szCs w:val="22"/>
        </w:rPr>
      </w:r>
      <w:r/>
    </w:p>
    <w:p>
      <w:pPr>
        <w:ind w:firstLine="567"/>
        <w:jc w:val="both"/>
        <w:rPr>
          <w:rFonts w:ascii="Cambria" w:hAnsi="Cambria" w:cs="Cambria"/>
          <w:b/>
          <w:bCs w:val="0"/>
          <w:i w:val="0"/>
          <w:color w:val="000000" w:themeColor="text1"/>
          <w:sz w:val="22"/>
          <w:szCs w:val="22"/>
        </w:rPr>
      </w:pPr>
      <w:r>
        <w:rPr>
          <w:rFonts w:ascii="Cambria" w:hAnsi="Cambria" w:cs="Cambria"/>
          <w:b/>
          <w:i w:val="0"/>
          <w:iCs w:val="0"/>
          <w:color w:val="000000" w:themeColor="text1"/>
          <w:sz w:val="22"/>
          <w:szCs w:val="22"/>
        </w:rPr>
      </w:r>
      <w:r>
        <w:rPr>
          <w:rFonts w:ascii="Cambria" w:hAnsi="Cambria" w:cs="Cambria"/>
          <w:i w:val="0"/>
          <w:iCs w:val="0"/>
          <w:sz w:val="22"/>
          <w:szCs w:val="22"/>
        </w:rPr>
      </w:r>
      <w:r/>
    </w:p>
    <w:p>
      <w:pPr>
        <w:pStyle w:val="1064"/>
        <w:numPr>
          <w:ilvl w:val="0"/>
          <w:numId w:val="0"/>
        </w:numPr>
        <w:ind w:firstLine="709"/>
        <w:spacing w:before="0" w:after="0" w:line="240" w:lineRule="auto"/>
        <w:rPr>
          <w:rFonts w:ascii="Cambria" w:hAnsi="Cambria" w:cs="Cambria"/>
          <w:bCs w:val="0"/>
          <w:i w:val="0"/>
          <w:color w:val="000000" w:themeColor="text1"/>
          <w:sz w:val="22"/>
          <w:szCs w:val="22"/>
          <w:highlight w:val="none"/>
        </w:rPr>
      </w:pPr>
      <w:r>
        <w:rPr>
          <w:rFonts w:ascii="Cambria" w:hAnsi="Cambria" w:cs="Cambria"/>
          <w:i w:val="0"/>
          <w:iCs w:val="0"/>
          <w:color w:val="000000" w:themeColor="text1"/>
          <w:sz w:val="22"/>
          <w:szCs w:val="22"/>
        </w:rPr>
        <w:t xml:space="preserve">Torna-se público que a Prefeitura Municipal de </w:t>
      </w:r>
      <w:r>
        <w:rPr>
          <w:rFonts w:ascii="Cambria" w:hAnsi="Cambria" w:cs="Cambria"/>
          <w:i w:val="0"/>
          <w:iCs w:val="0"/>
          <w:color w:val="000000" w:themeColor="text1"/>
          <w:sz w:val="22"/>
          <w:szCs w:val="22"/>
        </w:rPr>
        <w:t xml:space="preserve">Santa Bárbara do </w:t>
      </w:r>
      <w:r>
        <w:rPr>
          <w:rFonts w:ascii="Cambria" w:hAnsi="Cambria" w:cs="Cambria"/>
          <w:i w:val="0"/>
          <w:iCs w:val="0"/>
          <w:color w:val="000000" w:themeColor="text1"/>
          <w:sz w:val="22"/>
          <w:szCs w:val="22"/>
        </w:rPr>
        <w:t xml:space="preserve">Sul</w:t>
      </w:r>
      <w:r>
        <w:rPr>
          <w:rFonts w:ascii="Cambria" w:hAnsi="Cambria" w:cs="Cambria"/>
          <w:i w:val="0"/>
          <w:iCs w:val="0"/>
          <w:color w:val="000000" w:themeColor="text1"/>
          <w:sz w:val="22"/>
          <w:szCs w:val="22"/>
        </w:rPr>
        <w:t xml:space="preserve">l</w:t>
      </w:r>
      <w:r>
        <w:rPr>
          <w:rFonts w:ascii="Cambria" w:hAnsi="Cambria" w:cs="Cambria"/>
          <w:i w:val="0"/>
          <w:iCs w:val="0"/>
          <w:color w:val="000000" w:themeColor="text1"/>
          <w:sz w:val="22"/>
          <w:szCs w:val="22"/>
        </w:rPr>
        <w:t xml:space="preserve">/RS, por meio do</w:t>
      </w:r>
      <w:r>
        <w:rPr>
          <w:rFonts w:ascii="Cambria" w:hAnsi="Cambria" w:cs="Cambria"/>
          <w:i w:val="0"/>
          <w:iCs w:val="0"/>
          <w:color w:val="000000" w:themeColor="text1"/>
          <w:sz w:val="22"/>
          <w:szCs w:val="22"/>
          <w:highlight w:val="none"/>
        </w:rPr>
        <w:t xml:space="preserve"> </w:t>
      </w:r>
      <w:r>
        <w:rPr>
          <w:rFonts w:ascii="Cambria" w:hAnsi="Cambria" w:cs="Cambria"/>
          <w:i w:val="0"/>
          <w:iCs w:val="0"/>
          <w:color w:val="000000" w:themeColor="text1"/>
          <w:sz w:val="22"/>
          <w:szCs w:val="22"/>
          <w:highlight w:val="none"/>
        </w:rPr>
        <w:t xml:space="preserve">Setor de Licitações</w:t>
      </w:r>
      <w:r>
        <w:rPr>
          <w:rFonts w:ascii="Cambria" w:hAnsi="Cambria" w:cs="Cambria"/>
          <w:i w:val="0"/>
          <w:iCs w:val="0"/>
          <w:color w:val="000000" w:themeColor="text1"/>
          <w:sz w:val="22"/>
          <w:szCs w:val="22"/>
          <w:highlight w:val="none"/>
        </w:rPr>
        <w:t xml:space="preserve">, sediado na </w:t>
      </w:r>
      <w:r>
        <w:rPr>
          <w:rFonts w:ascii="Cambria" w:hAnsi="Cambria" w:cs="Cambria"/>
          <w:i w:val="0"/>
          <w:iCs w:val="0"/>
          <w:color w:val="000000" w:themeColor="text1"/>
          <w:sz w:val="22"/>
          <w:szCs w:val="22"/>
          <w:highlight w:val="none"/>
        </w:rPr>
        <w:t xml:space="preserve">Avenida Eduardo de Britto</w:t>
      </w:r>
      <w:r>
        <w:rPr>
          <w:rFonts w:ascii="Cambria" w:hAnsi="Cambria" w:cs="Cambria"/>
          <w:i w:val="0"/>
          <w:iCs w:val="0"/>
          <w:color w:val="000000" w:themeColor="text1"/>
          <w:sz w:val="22"/>
          <w:szCs w:val="22"/>
          <w:highlight w:val="none"/>
        </w:rPr>
        <w:t xml:space="preserve">, nº </w:t>
      </w:r>
      <w:r>
        <w:rPr>
          <w:rFonts w:ascii="Cambria" w:hAnsi="Cambria" w:cs="Cambria"/>
          <w:i w:val="0"/>
          <w:iCs w:val="0"/>
          <w:color w:val="000000" w:themeColor="text1"/>
          <w:sz w:val="22"/>
          <w:szCs w:val="22"/>
          <w:highlight w:val="none"/>
        </w:rPr>
        <w:t xml:space="preserve">101</w:t>
      </w:r>
      <w:r>
        <w:rPr>
          <w:rFonts w:ascii="Cambria" w:hAnsi="Cambria" w:cs="Cambria"/>
          <w:i w:val="0"/>
          <w:iCs w:val="0"/>
          <w:color w:val="000000" w:themeColor="text1"/>
          <w:sz w:val="22"/>
          <w:szCs w:val="22"/>
          <w:highlight w:val="none"/>
        </w:rPr>
        <w:t xml:space="preserve">, </w:t>
      </w:r>
      <w:r>
        <w:rPr>
          <w:rFonts w:ascii="Cambria" w:hAnsi="Cambria" w:cs="Cambria"/>
          <w:i w:val="0"/>
          <w:iCs w:val="0"/>
          <w:color w:val="000000" w:themeColor="text1"/>
          <w:sz w:val="22"/>
          <w:szCs w:val="22"/>
          <w:highlight w:val="none"/>
        </w:rPr>
        <w:t xml:space="preserve">Bairro Cerutti</w:t>
      </w:r>
      <w:r>
        <w:rPr>
          <w:rFonts w:ascii="Cambria" w:hAnsi="Cambria" w:cs="Cambria"/>
          <w:i w:val="0"/>
          <w:iCs w:val="0"/>
          <w:color w:val="000000" w:themeColor="text1"/>
          <w:sz w:val="22"/>
          <w:szCs w:val="22"/>
          <w:highlight w:val="none"/>
        </w:rPr>
        <w:t xml:space="preserve">, no município de </w:t>
      </w:r>
      <w:r>
        <w:rPr>
          <w:rFonts w:ascii="Cambria" w:hAnsi="Cambria" w:cs="Cambria"/>
          <w:i w:val="0"/>
          <w:iCs w:val="0"/>
          <w:color w:val="000000" w:themeColor="text1"/>
          <w:sz w:val="22"/>
          <w:szCs w:val="22"/>
          <w:highlight w:val="none"/>
        </w:rPr>
        <w:t xml:space="preserve">Santa Bárbara do Sul</w:t>
      </w:r>
      <w:r>
        <w:rPr>
          <w:rFonts w:ascii="Cambria" w:hAnsi="Cambria" w:cs="Cambria"/>
          <w:i w:val="0"/>
          <w:iCs w:val="0"/>
          <w:color w:val="000000" w:themeColor="text1"/>
          <w:sz w:val="22"/>
          <w:szCs w:val="22"/>
          <w:highlight w:val="none"/>
        </w:rPr>
        <w:t xml:space="preserve">/RS, CEP 98.</w:t>
      </w:r>
      <w:r>
        <w:rPr>
          <w:rFonts w:ascii="Cambria" w:hAnsi="Cambria" w:cs="Cambria"/>
          <w:i w:val="0"/>
          <w:iCs w:val="0"/>
          <w:color w:val="000000" w:themeColor="text1"/>
          <w:sz w:val="22"/>
          <w:szCs w:val="22"/>
          <w:highlight w:val="none"/>
        </w:rPr>
        <w:t xml:space="preserve">240</w:t>
      </w:r>
      <w:r>
        <w:rPr>
          <w:rFonts w:ascii="Cambria" w:hAnsi="Cambria" w:cs="Cambria"/>
          <w:i w:val="0"/>
          <w:iCs w:val="0"/>
          <w:color w:val="000000" w:themeColor="text1"/>
          <w:sz w:val="22"/>
          <w:szCs w:val="22"/>
          <w:highlight w:val="none"/>
        </w:rPr>
        <w:t xml:space="preserve">-000, realizará licitação, </w:t>
      </w:r>
      <w:r>
        <w:rPr>
          <w:rFonts w:ascii="Cambria" w:hAnsi="Cambria" w:cs="Cambria"/>
          <w:i w:val="0"/>
          <w:iCs w:val="0"/>
          <w:color w:val="000000" w:themeColor="text1"/>
          <w:sz w:val="22"/>
          <w:szCs w:val="22"/>
          <w:highlight w:val="none"/>
        </w:rPr>
        <w:t xml:space="preserve">para registro de preços</w:t>
      </w:r>
      <w:r>
        <w:rPr>
          <w:rFonts w:ascii="Cambria" w:hAnsi="Cambria" w:cs="Cambria"/>
          <w:i w:val="0"/>
          <w:iCs w:val="0"/>
          <w:color w:val="000000" w:themeColor="text1"/>
          <w:sz w:val="22"/>
          <w:szCs w:val="22"/>
          <w:highlight w:val="none"/>
        </w:rPr>
        <w:t xml:space="preserve">, na modalidade PREGÃO, na forma ELETRÔNICA,</w:t>
      </w:r>
      <w:r>
        <w:rPr>
          <w:rFonts w:ascii="Cambria" w:hAnsi="Cambria" w:eastAsia="Times New Roman" w:cs="Cambria"/>
          <w:i w:val="0"/>
          <w:iCs w:val="0"/>
          <w:color w:val="000000" w:themeColor="text1"/>
          <w:sz w:val="22"/>
          <w:szCs w:val="22"/>
          <w:highlight w:val="none"/>
        </w:rPr>
        <w:t xml:space="preserve"> </w:t>
      </w:r>
      <w:r>
        <w:rPr>
          <w:rFonts w:ascii="Cambria" w:hAnsi="Cambria" w:cs="Cambria"/>
          <w:i w:val="0"/>
          <w:iCs w:val="0"/>
          <w:color w:val="000000" w:themeColor="text1"/>
          <w:sz w:val="22"/>
          <w:szCs w:val="22"/>
          <w:highlight w:val="none"/>
        </w:rPr>
        <w:t xml:space="preserve">nos termos da </w:t>
      </w:r>
      <w:hyperlink r:id="rId17" w:tooltip="http://www.planalto.gov.br/ccivil_03/_ato2019-2022/2021/lei/L14133.htm" w:history="1">
        <w:r>
          <w:rPr>
            <w:rStyle w:val="863"/>
            <w:rFonts w:ascii="Cambria" w:hAnsi="Cambria" w:cs="Cambria"/>
            <w:i w:val="0"/>
            <w:iCs w:val="0"/>
            <w:color w:val="000000" w:themeColor="text1"/>
            <w:sz w:val="22"/>
            <w:szCs w:val="22"/>
            <w:highlight w:val="none"/>
          </w:rPr>
          <w:t xml:space="preserve">Lei nº 14.133, de 1º de abril de 2021</w:t>
        </w:r>
      </w:hyperlink>
      <w:r>
        <w:rPr>
          <w:rFonts w:ascii="Cambria" w:hAnsi="Cambria" w:cs="Cambria"/>
          <w:i w:val="0"/>
          <w:iCs w:val="0"/>
          <w:color w:val="000000" w:themeColor="text1"/>
          <w:sz w:val="22"/>
          <w:szCs w:val="22"/>
          <w:highlight w:val="none"/>
        </w:rPr>
        <w:t xml:space="preserve">, </w:t>
      </w:r>
      <w:r>
        <w:rPr>
          <w:rFonts w:ascii="Cambria" w:hAnsi="Cambria" w:cs="Cambria"/>
          <w:i w:val="0"/>
          <w:iCs w:val="0"/>
          <w:color w:val="000000" w:themeColor="text1"/>
          <w:sz w:val="22"/>
          <w:szCs w:val="22"/>
          <w:highlight w:val="none"/>
        </w:rPr>
        <w:t xml:space="preserve">do </w:t>
      </w:r>
      <w:r>
        <w:rPr>
          <w:rFonts w:ascii="Cambria" w:hAnsi="Cambria" w:cs="Cambria"/>
          <w:i w:val="0"/>
          <w:iCs w:val="0"/>
          <w:color w:val="000000" w:themeColor="text1"/>
          <w:sz w:val="22"/>
          <w:szCs w:val="22"/>
          <w:highlight w:val="none"/>
        </w:rPr>
        <w:t xml:space="preserve">Decreto</w:t>
      </w:r>
      <w:r>
        <w:rPr>
          <w:rFonts w:ascii="Cambria" w:hAnsi="Cambria" w:cs="Cambria"/>
          <w:i w:val="0"/>
          <w:iCs w:val="0"/>
          <w:color w:val="000000" w:themeColor="text1"/>
          <w:sz w:val="22"/>
          <w:szCs w:val="22"/>
          <w:highlight w:val="none"/>
        </w:rPr>
        <w:t xml:space="preserve"> nº </w:t>
      </w:r>
      <w:r>
        <w:rPr>
          <w:rFonts w:ascii="Cambria" w:hAnsi="Cambria" w:cs="Cambria"/>
          <w:i w:val="0"/>
          <w:iCs w:val="0"/>
          <w:color w:val="000000" w:themeColor="text1"/>
          <w:sz w:val="22"/>
          <w:szCs w:val="22"/>
          <w:highlight w:val="none"/>
        </w:rPr>
        <w:t xml:space="preserve">5.456</w:t>
      </w:r>
      <w:r>
        <w:rPr>
          <w:rFonts w:ascii="Cambria" w:hAnsi="Cambria" w:cs="Cambria"/>
          <w:i w:val="0"/>
          <w:iCs w:val="0"/>
          <w:color w:val="000000" w:themeColor="text1"/>
          <w:sz w:val="22"/>
          <w:szCs w:val="22"/>
          <w:highlight w:val="none"/>
        </w:rPr>
        <w:t xml:space="preserve">, de </w:t>
      </w:r>
      <w:r>
        <w:rPr>
          <w:rFonts w:ascii="Cambria" w:hAnsi="Cambria" w:cs="Cambria"/>
          <w:i w:val="0"/>
          <w:iCs w:val="0"/>
          <w:color w:val="000000" w:themeColor="text1"/>
          <w:sz w:val="22"/>
          <w:szCs w:val="22"/>
          <w:highlight w:val="none"/>
        </w:rPr>
        <w:t xml:space="preserve">05 </w:t>
      </w:r>
      <w:r>
        <w:rPr>
          <w:rFonts w:ascii="Cambria" w:hAnsi="Cambria" w:cs="Cambria"/>
          <w:i w:val="0"/>
          <w:iCs w:val="0"/>
          <w:color w:val="000000" w:themeColor="text1"/>
          <w:sz w:val="22"/>
          <w:szCs w:val="22"/>
          <w:highlight w:val="none"/>
        </w:rPr>
        <w:t xml:space="preserve">de </w:t>
      </w:r>
      <w:r>
        <w:rPr>
          <w:rFonts w:ascii="Cambria" w:hAnsi="Cambria" w:cs="Cambria"/>
          <w:i w:val="0"/>
          <w:iCs w:val="0"/>
          <w:color w:val="000000" w:themeColor="text1"/>
          <w:sz w:val="22"/>
          <w:szCs w:val="22"/>
          <w:highlight w:val="none"/>
        </w:rPr>
        <w:t xml:space="preserve">setembro</w:t>
      </w:r>
      <w:r>
        <w:rPr>
          <w:rFonts w:ascii="Cambria" w:hAnsi="Cambria" w:cs="Cambria"/>
          <w:i w:val="0"/>
          <w:iCs w:val="0"/>
          <w:color w:val="000000" w:themeColor="text1"/>
          <w:sz w:val="22"/>
          <w:szCs w:val="22"/>
          <w:highlight w:val="none"/>
        </w:rPr>
        <w:t xml:space="preserve"> de 2024</w:t>
      </w:r>
      <w:r>
        <w:rPr>
          <w:rFonts w:ascii="Cambria" w:hAnsi="Cambria" w:cs="Cambria"/>
          <w:i w:val="0"/>
          <w:iCs w:val="0"/>
          <w:color w:val="000000" w:themeColor="text1"/>
          <w:sz w:val="22"/>
          <w:szCs w:val="22"/>
          <w:highlight w:val="none"/>
        </w:rPr>
        <w:t xml:space="preserve">, e demais legislações aplicáveis e, ainda, de acordo com as condições estabelecidas neste Edital</w:t>
      </w:r>
      <w:r>
        <w:rPr>
          <w:rFonts w:ascii="Cambria" w:hAnsi="Cambria" w:eastAsia="Times New Roman" w:cs="Cambria"/>
          <w:i w:val="0"/>
          <w:iCs w:val="0"/>
          <w:color w:val="000000" w:themeColor="text1"/>
          <w:sz w:val="22"/>
          <w:szCs w:val="22"/>
          <w:highlight w:val="none"/>
        </w:rPr>
        <w:t xml:space="preserve">.</w:t>
      </w:r>
      <w:r>
        <w:rPr>
          <w:rFonts w:ascii="Cambria" w:hAnsi="Cambria" w:cs="Cambria"/>
          <w:i w:val="0"/>
          <w:iCs w:val="0"/>
          <w:sz w:val="22"/>
          <w:szCs w:val="22"/>
        </w:rPr>
      </w:r>
      <w:r/>
    </w:p>
    <w:p>
      <w:pPr>
        <w:pStyle w:val="1064"/>
        <w:numPr>
          <w:ilvl w:val="0"/>
          <w:numId w:val="0"/>
        </w:numPr>
        <w:ind w:firstLine="709"/>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pStyle w:val="1047"/>
        <w:ind w:left="0" w:firstLine="0"/>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bookmarkStart w:id="2" w:name="_Toc135469223"/>
      <w:r>
        <w:rPr>
          <w:rFonts w:ascii="Cambria" w:hAnsi="Cambria" w:cs="Cambria"/>
          <w:i w:val="0"/>
          <w:iCs w:val="0"/>
          <w:color w:val="000000" w:themeColor="text1"/>
          <w:sz w:val="22"/>
          <w:szCs w:val="22"/>
          <w:lang w:eastAsia="en-US"/>
        </w:rPr>
        <w:t xml:space="preserve">DO OBJETO</w:t>
      </w:r>
      <w:bookmarkEnd w:id="2"/>
      <w:r>
        <w:rPr>
          <w:rFonts w:ascii="Cambria" w:hAnsi="Cambria" w:cs="Cambria"/>
          <w:i w:val="0"/>
          <w:iCs w:val="0"/>
          <w:sz w:val="22"/>
          <w:szCs w:val="22"/>
        </w:rPr>
      </w:r>
      <w:r/>
    </w:p>
    <w:p>
      <w:pPr>
        <w:pStyle w:val="1064"/>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O objeto da presente licitação é LOCAÇÃO DE CENTRAL TELEFÔNICA - PABX</w:t>
      </w:r>
      <w:r>
        <w:rPr>
          <w:rFonts w:ascii="Cambria" w:hAnsi="Cambria" w:cs="Cambria"/>
          <w:i w:val="0"/>
          <w:iCs w:val="0"/>
          <w:color w:val="000000" w:themeColor="text1"/>
          <w:sz w:val="22"/>
          <w:szCs w:val="22"/>
        </w:rPr>
        <w:t xml:space="preserve">, conforme condições, quantidades e exigências estabelecidas neste Edital e seus anexos.</w:t>
      </w:r>
      <w:r>
        <w:rPr>
          <w:rFonts w:ascii="Cambria" w:hAnsi="Cambria" w:cs="Cambria"/>
          <w:i w:val="0"/>
          <w:iCs w:val="0"/>
          <w:sz w:val="22"/>
          <w:szCs w:val="22"/>
        </w:rPr>
      </w:r>
      <w:r/>
    </w:p>
    <w:p>
      <w:pPr>
        <w:pStyle w:val="1111"/>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A licitação será realizada em único item</w:t>
      </w:r>
      <w:r>
        <w:rPr>
          <w:rFonts w:ascii="Cambria" w:hAnsi="Cambria" w:cs="Cambria"/>
          <w:i w:val="0"/>
          <w:iCs w:val="0"/>
          <w:color w:val="000000" w:themeColor="text1"/>
          <w:sz w:val="22"/>
          <w:szCs w:val="22"/>
        </w:rPr>
      </w:r>
      <w:r/>
    </w:p>
    <w:p>
      <w:pPr>
        <w:pStyle w:val="1111"/>
        <w:numPr>
          <w:ilvl w:val="0"/>
          <w:numId w:val="0"/>
        </w:numPr>
        <w:ind w:left="360" w:firstLine="0"/>
        <w:spacing w:before="0" w:after="0" w:line="240" w:lineRule="auto"/>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highlight w:val="none"/>
        </w:rPr>
      </w:r>
      <w:r>
        <w:rPr>
          <w:rFonts w:ascii="Cambria" w:hAnsi="Cambria" w:cs="Cambria"/>
          <w:b/>
          <w:bCs/>
          <w:i w:val="0"/>
          <w:iCs w:val="0"/>
          <w:color w:val="000000" w:themeColor="text1"/>
          <w:sz w:val="22"/>
          <w:szCs w:val="22"/>
          <w:highlight w:val="none"/>
        </w:rPr>
      </w:r>
      <w:r/>
    </w:p>
    <w:p>
      <w:pPr>
        <w:pStyle w:val="1111"/>
        <w:numPr>
          <w:ilvl w:val="0"/>
          <w:numId w:val="2"/>
        </w:numPr>
        <w:spacing w:before="0" w:after="0" w:line="240" w:lineRule="auto"/>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highlight w:val="none"/>
        </w:rPr>
      </w:r>
      <w:r>
        <w:rPr>
          <w:rFonts w:ascii="Cambria" w:hAnsi="Cambria" w:cs="Cambria"/>
          <w:b/>
          <w:bCs/>
          <w:i w:val="0"/>
          <w:iCs w:val="0"/>
          <w:color w:val="000000" w:themeColor="text1"/>
          <w:sz w:val="22"/>
          <w:szCs w:val="22"/>
        </w:rPr>
      </w:r>
      <w:bookmarkStart w:id="5" w:name="_Toc135469225"/>
      <w:r>
        <w:rPr>
          <w:rFonts w:ascii="Cambria" w:hAnsi="Cambria" w:cs="Cambria"/>
          <w:b/>
          <w:bCs/>
          <w:i w:val="0"/>
          <w:iCs w:val="0"/>
          <w:color w:val="000000" w:themeColor="text1"/>
          <w:sz w:val="22"/>
          <w:szCs w:val="22"/>
        </w:rPr>
        <w:t xml:space="preserve">DA PARTICIPAÇÃO NA LICITAÇÃO</w:t>
      </w:r>
      <w:bookmarkEnd w:id="5"/>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 w:val="0"/>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b w:val="0"/>
          <w:bCs w:val="0"/>
          <w:i w:val="0"/>
          <w:iCs w:val="0"/>
          <w:color w:val="000000" w:themeColor="text1"/>
          <w:sz w:val="22"/>
          <w:szCs w:val="22"/>
        </w:rPr>
      </w:r>
      <w:bookmarkStart w:id="6" w:name="_Hlk135302270"/>
      <w:r>
        <w:rPr>
          <w:rFonts w:ascii="Cambria" w:hAnsi="Cambria" w:cs="Cambria"/>
          <w:b w:val="0"/>
          <w:bCs w:val="0"/>
          <w:i w:val="0"/>
          <w:iCs w:val="0"/>
          <w:color w:val="000000" w:themeColor="text1"/>
          <w:sz w:val="22"/>
          <w:szCs w:val="22"/>
        </w:rPr>
        <w:t xml:space="preserve">Poderão participar deste Pregão os interessados que estiverem previamente credenciados no </w:t>
      </w:r>
      <w:r>
        <w:rPr>
          <w:rFonts w:ascii="Cambria" w:hAnsi="Cambria" w:eastAsia="CIDFont" w:cs="Cambria"/>
          <w:b w:val="0"/>
          <w:bCs w:val="0"/>
          <w:i w:val="0"/>
          <w:iCs w:val="0"/>
          <w:color w:val="000000" w:themeColor="text1"/>
          <w:sz w:val="22"/>
          <w:szCs w:val="22"/>
          <w:lang w:eastAsia="zh-CN" w:bidi="ar"/>
        </w:rPr>
        <w:t xml:space="preserve">ao sistema eletrônico, no site </w:t>
      </w:r>
      <w:r>
        <w:rPr>
          <w:rFonts w:ascii="Cambria" w:hAnsi="Cambria" w:eastAsia="CIDFont" w:cs="Cambria"/>
          <w:b w:val="0"/>
          <w:bCs w:val="0"/>
          <w:i w:val="0"/>
          <w:iCs w:val="0"/>
          <w:color w:val="000000" w:themeColor="text1"/>
          <w:sz w:val="22"/>
          <w:szCs w:val="22"/>
          <w:lang w:eastAsia="zh-CN" w:bidi="ar"/>
        </w:rPr>
        <w:t xml:space="preserve">https://pregaohttps://pregaobanrisul.com.br/.com.br/</w:t>
      </w:r>
      <w:r>
        <w:rPr>
          <w:rFonts w:ascii="Cambria" w:hAnsi="Cambria" w:eastAsia="CIDFont" w:cs="Cambria"/>
          <w:b w:val="0"/>
          <w:bCs w:val="0"/>
          <w:i w:val="0"/>
          <w:iCs w:val="0"/>
          <w:color w:val="000000" w:themeColor="text1"/>
          <w:sz w:val="22"/>
          <w:szCs w:val="22"/>
          <w:lang w:eastAsia="zh-CN" w:bidi="ar"/>
        </w:rPr>
        <w:t xml:space="preserve">.</w:t>
      </w:r>
      <w:bookmarkEnd w:id="6"/>
      <w:r>
        <w:rPr>
          <w:rFonts w:ascii="Cambria" w:hAnsi="Cambria" w:cs="Cambria"/>
          <w:b w:val="0"/>
          <w:bCs w:val="0"/>
          <w:i w:val="0"/>
          <w:iCs w:val="0"/>
          <w:color w:val="000000" w:themeColor="text1"/>
          <w:sz w:val="22"/>
          <w:szCs w:val="22"/>
        </w:rPr>
        <w:t xml:space="preserve">O licitante responsabiliza-se exclusiva e formalmente pelas transações efetuadas em seu nome, assume como firmes e verdadeiras suas propostas e seus lances, inclusiv</w:t>
      </w:r>
      <w:r>
        <w:rPr>
          <w:rFonts w:ascii="Cambria" w:hAnsi="Cambria" w:cs="Cambria"/>
          <w:b w:val="0"/>
          <w:bCs w:val="0"/>
          <w:i w:val="0"/>
          <w:iCs w:val="0"/>
          <w:color w:val="000000" w:themeColor="text1"/>
          <w:sz w:val="22"/>
          <w:szCs w:val="22"/>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t xml:space="preserve">É de responsabilidade do cadastrado conferir a exatidão dos seus dados cadastrais</w:t>
      </w:r>
      <w:r>
        <w:rPr>
          <w:rFonts w:ascii="Cambria" w:hAnsi="Cambria" w:cs="Cambria"/>
          <w:b w:val="0"/>
          <w:bCs w:val="0"/>
          <w:i w:val="0"/>
          <w:iCs w:val="0"/>
          <w:color w:val="000000" w:themeColor="text1"/>
          <w:sz w:val="22"/>
          <w:szCs w:val="22"/>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t xml:space="preserve">A não observância do disposto no item anterior poderá ensejar desclassificação no momento da habilitação.</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t xml:space="preserve">A participação é exclusiva a microempresas e empresas de pequeno porte, nos termos do </w:t>
      </w:r>
      <w:hyperlink r:id="rId18" w:tooltip="https://www.planalto.gov.br/ccivil_03/leis/lcp/lcp123.htm" w:history="1">
        <w:r>
          <w:rPr>
            <w:rStyle w:val="863"/>
            <w:rFonts w:ascii="Cambria" w:hAnsi="Cambria" w:cs="Cambria"/>
            <w:b w:val="0"/>
            <w:bCs w:val="0"/>
            <w:i w:val="0"/>
            <w:iCs w:val="0"/>
            <w:color w:val="000000" w:themeColor="text1"/>
            <w:sz w:val="22"/>
            <w:szCs w:val="22"/>
          </w:rPr>
          <w:t xml:space="preserve">art. 48 da Lei Complementar nº 123, de 14 de dezembro de 2006</w:t>
        </w:r>
      </w:hyperlink>
      <w:r>
        <w:rPr>
          <w:rFonts w:ascii="Cambria" w:hAnsi="Cambria" w:cs="Cambria"/>
          <w:b w:val="0"/>
          <w:bCs w:val="0"/>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r>
      <w:bookmarkStart w:id="7" w:name="_Ref117015508"/>
      <w:r>
        <w:rPr>
          <w:rFonts w:ascii="Cambria" w:hAnsi="Cambria" w:cs="Cambria"/>
          <w:b w:val="0"/>
          <w:bCs w:val="0"/>
          <w:i w:val="0"/>
          <w:iCs w:val="0"/>
          <w:color w:val="000000" w:themeColor="text1"/>
          <w:sz w:val="22"/>
          <w:szCs w:val="22"/>
        </w:rPr>
        <w:t xml:space="preserve">A obtenção do benefício a que se refere o item anterior fica limitada às microempresas e às empresas</w:t>
      </w:r>
      <w:r>
        <w:rPr>
          <w:rFonts w:ascii="Cambria" w:hAnsi="Cambria" w:cs="Cambria"/>
          <w:b w:val="0"/>
          <w:bCs w:val="0"/>
          <w:i w:val="0"/>
          <w:iCs w:val="0"/>
          <w:color w:val="000000" w:themeColor="text1"/>
          <w:sz w:val="22"/>
          <w:szCs w:val="22"/>
        </w:rPr>
        <w:t xml:space="preserve"> de pequeno porte que, no ano-calendário de realização da licitação, ainda não tenham celebrado contratos com a Administração Pública cujos valores somados extrapolem a receita bruta máxima admitida para fins de enquadramento como empresa de pequeno porte.</w:t>
      </w:r>
      <w:r>
        <w:rPr>
          <w:rFonts w:ascii="Cambria" w:hAnsi="Cambria" w:cs="Cambria"/>
          <w:b w:val="0"/>
          <w:bCs w:val="0"/>
          <w:i w:val="0"/>
          <w:iCs w:val="0"/>
          <w:color w:val="000000" w:themeColor="text1"/>
          <w:sz w:val="22"/>
          <w:szCs w:val="22"/>
        </w:rPr>
      </w:r>
      <w:bookmarkEnd w:id="7"/>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Style w:val="863"/>
          <w:rFonts w:ascii="Cambria" w:hAnsi="Cambria" w:cs="Cambria"/>
          <w:b w:val="0"/>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b w:val="0"/>
          <w:bCs w:val="0"/>
          <w:i w:val="0"/>
          <w:iCs w:val="0"/>
          <w:color w:val="000000" w:themeColor="text1"/>
          <w:sz w:val="22"/>
          <w:szCs w:val="22"/>
        </w:rPr>
        <w:t xml:space="preserve">Será concedido tratamento favorecido para as microempresas e empresas de pequeno porte, </w:t>
      </w:r>
      <w:r>
        <w:rPr>
          <w:rFonts w:ascii="Cambria" w:hAnsi="Cambria" w:cs="Cambria"/>
          <w:b w:val="0"/>
          <w:bCs w:val="0"/>
          <w:i w:val="0"/>
          <w:iCs w:val="0"/>
          <w:color w:val="000000" w:themeColor="text1"/>
          <w:sz w:val="22"/>
          <w:szCs w:val="22"/>
        </w:rPr>
        <w:t xml:space="preserve">para as sociedades cooperativas </w:t>
      </w:r>
      <w:r>
        <w:rPr>
          <w:rFonts w:ascii="Cambria" w:hAnsi="Cambria" w:eastAsia="Times New Roman" w:cs="Cambria"/>
          <w:b w:val="0"/>
          <w:bCs w:val="0"/>
          <w:i w:val="0"/>
          <w:iCs w:val="0"/>
          <w:color w:val="000000" w:themeColor="text1"/>
          <w:sz w:val="22"/>
          <w:szCs w:val="22"/>
        </w:rPr>
        <w:t xml:space="preserve">mencionadas no </w:t>
      </w:r>
      <w:hyperlink r:id="rId19" w:tooltip="http://www.planalto.gov.br/ccivil_03/_ato2019-2022/2021/lei/L14133.htm#art16" w:anchor="art16" w:history="1">
        <w:r>
          <w:rPr>
            <w:rStyle w:val="863"/>
            <w:rFonts w:ascii="Cambria" w:hAnsi="Cambria" w:eastAsia="Times New Roman" w:cs="Cambria"/>
            <w:b w:val="0"/>
            <w:bCs w:val="0"/>
            <w:i w:val="0"/>
            <w:iCs w:val="0"/>
            <w:color w:val="000000" w:themeColor="text1"/>
            <w:sz w:val="22"/>
            <w:szCs w:val="22"/>
          </w:rPr>
          <w:t xml:space="preserve">artigo </w:t>
        </w:r>
        <w:r>
          <w:rPr>
            <w:rStyle w:val="863"/>
            <w:rFonts w:ascii="Cambria" w:hAnsi="Cambria" w:cs="Cambria"/>
            <w:b w:val="0"/>
            <w:bCs w:val="0"/>
            <w:i w:val="0"/>
            <w:iCs w:val="0"/>
            <w:color w:val="000000" w:themeColor="text1"/>
            <w:sz w:val="22"/>
            <w:szCs w:val="22"/>
          </w:rPr>
          <w:t xml:space="preserve">16 da Lei nº 14.133, de 2021</w:t>
        </w:r>
      </w:hyperlink>
      <w:r>
        <w:rPr>
          <w:rFonts w:ascii="Cambria" w:hAnsi="Cambria" w:cs="Cambria"/>
          <w:b w:val="0"/>
          <w:bCs w:val="0"/>
          <w:i w:val="0"/>
          <w:iCs w:val="0"/>
          <w:color w:val="000000" w:themeColor="text1"/>
          <w:sz w:val="22"/>
          <w:szCs w:val="22"/>
        </w:rPr>
        <w:t xml:space="preserve">, para o agricultor familiar, o produtor rural pessoa física e para o microempreendedor individual - MEI, nos limites previstos da </w:t>
      </w:r>
      <w:hyperlink r:id="rId20" w:tooltip="https://www.planalto.gov.br/ccivil_03/leis/lcp/lcp123.htm" w:history="1">
        <w:r>
          <w:rPr>
            <w:rStyle w:val="863"/>
            <w:rFonts w:ascii="Cambria" w:hAnsi="Cambria" w:cs="Cambria"/>
            <w:b w:val="0"/>
            <w:bCs w:val="0"/>
            <w:i w:val="0"/>
            <w:iCs w:val="0"/>
            <w:color w:val="000000" w:themeColor="text1"/>
            <w:sz w:val="22"/>
            <w:szCs w:val="22"/>
          </w:rPr>
          <w:t xml:space="preserve">Lei Complementar nº 123, de 2006</w:t>
        </w:r>
      </w:hyperlink>
      <w:r>
        <w:rPr>
          <w:rStyle w:val="863"/>
          <w:rFonts w:ascii="Cambria" w:hAnsi="Cambria" w:cs="Cambria"/>
          <w:b w:val="0"/>
          <w:bCs w:val="0"/>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
          <w:bCs w:val="0"/>
          <w:i w:val="0"/>
          <w:color w:val="000000" w:themeColor="text1"/>
          <w:sz w:val="22"/>
          <w:szCs w:val="22"/>
        </w:rPr>
      </w:pPr>
      <w:r>
        <w:rPr>
          <w:rStyle w:val="863"/>
          <w:rFonts w:ascii="Cambria" w:hAnsi="Cambria" w:cs="Cambria"/>
          <w:b w:val="0"/>
          <w:bCs w:val="0"/>
          <w:i w:val="0"/>
          <w:iCs w:val="0"/>
          <w:color w:val="000000" w:themeColor="text1"/>
          <w:sz w:val="22"/>
          <w:szCs w:val="22"/>
        </w:rPr>
      </w:r>
      <w:r>
        <w:rPr>
          <w:rFonts w:ascii="Cambria" w:hAnsi="Cambria" w:cs="Cambria"/>
          <w:i w:val="0"/>
          <w:iCs w:val="0"/>
          <w:color w:val="000000" w:themeColor="text1"/>
          <w:sz w:val="22"/>
          <w:szCs w:val="22"/>
        </w:rPr>
      </w:r>
      <w:bookmarkStart w:id="9" w:name="_Ref117000692"/>
      <w:r>
        <w:rPr>
          <w:rFonts w:ascii="Cambria" w:hAnsi="Cambria" w:cs="Cambria"/>
          <w:i w:val="0"/>
          <w:iCs w:val="0"/>
          <w:color w:val="000000" w:themeColor="text1"/>
          <w:sz w:val="22"/>
          <w:szCs w:val="22"/>
        </w:rPr>
        <w:t xml:space="preserve">Não poderão disputar esta licitação:</w:t>
      </w:r>
      <w:bookmarkEnd w:id="9"/>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 w:val="0"/>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b w:val="0"/>
          <w:bCs w:val="0"/>
          <w:i w:val="0"/>
          <w:iCs w:val="0"/>
          <w:color w:val="000000" w:themeColor="text1"/>
          <w:sz w:val="22"/>
          <w:szCs w:val="22"/>
        </w:rPr>
        <w:t xml:space="preserve">A</w:t>
      </w:r>
      <w:bookmarkStart w:id="10" w:name="_Ref113883338"/>
      <w:r>
        <w:rPr>
          <w:rFonts w:ascii="Cambria" w:hAnsi="Cambria" w:cs="Cambria"/>
          <w:b w:val="0"/>
          <w:bCs w:val="0"/>
          <w:i w:val="0"/>
          <w:iCs w:val="0"/>
          <w:color w:val="000000" w:themeColor="text1"/>
          <w:sz w:val="22"/>
          <w:szCs w:val="22"/>
        </w:rPr>
        <w:t xml:space="preserve">queles que não atendam às condições previstas neste Edital e seu(s) anexo(s);</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r>
      <w:bookmarkStart w:id="11" w:name="_Ref114659912"/>
      <w:r>
        <w:rPr>
          <w:rFonts w:ascii="Cambria" w:hAnsi="Cambria" w:cs="Cambria"/>
          <w:b w:val="0"/>
          <w:bCs w:val="0"/>
          <w:i w:val="0"/>
          <w:iCs w:val="0"/>
          <w:color w:val="000000" w:themeColor="text1"/>
          <w:sz w:val="22"/>
          <w:szCs w:val="22"/>
        </w:rPr>
        <w:t xml:space="preserve">O autor do anteprojeto, do projeto básico ou do projeto executivo, pessoa física ou jurídica, quando a licitação versar sobre serviços ou fornecimento de equipamentos a ele relacionados;</w:t>
      </w:r>
      <w:bookmarkEnd w:id="10"/>
      <w:r>
        <w:rPr>
          <w:rFonts w:ascii="Cambria" w:hAnsi="Cambria" w:cs="Cambria"/>
          <w:b w:val="0"/>
          <w:bCs w:val="0"/>
          <w:i w:val="0"/>
          <w:iCs w:val="0"/>
          <w:color w:val="000000" w:themeColor="text1"/>
          <w:sz w:val="22"/>
          <w:szCs w:val="22"/>
        </w:rPr>
      </w:r>
      <w:bookmarkEnd w:id="11"/>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b w:val="0"/>
          <w:bCs w:val="0"/>
          <w:i w:val="0"/>
          <w:iCs w:val="0"/>
          <w:color w:val="000000" w:themeColor="text1"/>
          <w:sz w:val="22"/>
          <w:szCs w:val="22"/>
        </w:rPr>
      </w:r>
      <w:bookmarkStart w:id="12" w:name="_Ref114659913"/>
      <w:r>
        <w:rPr>
          <w:rFonts w:ascii="Cambria" w:hAnsi="Cambria" w:cs="Cambria"/>
          <w:b w:val="0"/>
          <w:bCs w:val="0"/>
          <w:i w:val="0"/>
          <w:iCs w:val="0"/>
          <w:color w:val="000000" w:themeColor="text1"/>
          <w:sz w:val="22"/>
          <w:szCs w:val="22"/>
        </w:rPr>
      </w:r>
      <w:bookmarkStart w:id="13" w:name="_Ref113883339"/>
      <w:r>
        <w:rPr>
          <w:rFonts w:ascii="Cambria" w:hAnsi="Cambria" w:cs="Cambria"/>
          <w:b w:val="0"/>
          <w:bCs w:val="0"/>
          <w:i w:val="0"/>
          <w:iCs w:val="0"/>
          <w:color w:val="000000" w:themeColor="text1"/>
          <w:sz w:val="22"/>
          <w:szCs w:val="22"/>
        </w:rPr>
        <w:t xml:space="preserve">A empresa, isoladamente ou em consórcio, responsável pela elaboração do projeto básico ou do projeto executivo, ou empresa da qual o autor</w:t>
      </w:r>
      <w:r>
        <w:rPr>
          <w:rFonts w:ascii="Cambria" w:hAnsi="Cambria" w:cs="Cambria"/>
          <w:b w:val="0"/>
          <w:bCs w:val="0"/>
          <w:i w:val="0"/>
          <w:iCs w:val="0"/>
          <w:color w:val="000000" w:themeColor="text1"/>
          <w:sz w:val="22"/>
          <w:szCs w:val="22"/>
        </w:rPr>
        <w:t xml:space="preserve"> do projeto seja dirigente, gerente, controlador, acionista ou detentor de mais de 5% (cinco por cento) do capital com direito a voto, responsável técnico ou subcontratado, quando a licitação versar sobre serviços ou fornecimento de equipamentos a ela necessários;</w:t>
      </w:r>
      <w:bookmarkEnd w:id="12"/>
      <w:r>
        <w:rPr>
          <w:rFonts w:ascii="Cambria" w:hAnsi="Cambria" w:cs="Cambria"/>
          <w:b w:val="0"/>
          <w:bCs w:val="0"/>
          <w:i w:val="0"/>
          <w:iCs w:val="0"/>
          <w:color w:val="000000" w:themeColor="text1"/>
          <w:sz w:val="22"/>
          <w:szCs w:val="22"/>
        </w:rPr>
        <w:t xml:space="preserve"> </w:t>
      </w:r>
      <w:bookmarkEnd w:id="13"/>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b w:val="0"/>
          <w:bCs w:val="0"/>
          <w:i w:val="0"/>
          <w:iCs w:val="0"/>
          <w:color w:val="000000" w:themeColor="text1"/>
          <w:sz w:val="22"/>
          <w:szCs w:val="22"/>
        </w:rPr>
      </w:r>
      <w:bookmarkStart w:id="14" w:name="_Ref113883003"/>
      <w:r>
        <w:rPr>
          <w:rFonts w:ascii="Cambria" w:hAnsi="Cambria" w:cs="Cambria"/>
          <w:b w:val="0"/>
          <w:bCs w:val="0"/>
          <w:i w:val="0"/>
          <w:iCs w:val="0"/>
          <w:color w:val="000000" w:themeColor="text1"/>
          <w:sz w:val="22"/>
          <w:szCs w:val="22"/>
        </w:rPr>
        <w:t xml:space="preserve">Pessoa física ou jurídica que se encontre, ao tempo da licitação, impossibilitada de participar da licitação em decorrência de sanção que lhe foi imposta;</w:t>
      </w:r>
      <w:bookmarkEnd w:id="14"/>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 w:val="0"/>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b w:val="0"/>
          <w:bCs w:val="0"/>
          <w:i w:val="0"/>
          <w:iCs w:val="0"/>
          <w:color w:val="000000" w:themeColor="text1"/>
          <w:sz w:val="22"/>
          <w:szCs w:val="22"/>
        </w:rPr>
        <w:t xml:space="preserve">Aquele que mantenha vínculo de natureza técnica, comercial, econômica, financeira, trabalhista ou civil com dirigen</w:t>
      </w:r>
      <w:r>
        <w:rPr>
          <w:rFonts w:ascii="Cambria" w:hAnsi="Cambria" w:cs="Cambria"/>
          <w:b w:val="0"/>
          <w:bCs w:val="0"/>
          <w:i w:val="0"/>
          <w:iCs w:val="0"/>
          <w:color w:val="000000" w:themeColor="text1"/>
          <w:sz w:val="22"/>
          <w:szCs w:val="22"/>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i w:val="0"/>
          <w:iCs w:val="0"/>
          <w:color w:val="000000" w:themeColor="text1"/>
          <w:sz w:val="22"/>
          <w:szCs w:val="22"/>
        </w:rPr>
        <w:t xml:space="preserve">E</w:t>
      </w:r>
      <w:bookmarkStart w:id="15" w:name="_Ref113883579"/>
      <w:r>
        <w:rPr>
          <w:rFonts w:ascii="Cambria" w:hAnsi="Cambria" w:cs="Cambria"/>
          <w:b w:val="0"/>
          <w:bCs w:val="0"/>
          <w:i w:val="0"/>
          <w:iCs w:val="0"/>
          <w:color w:val="000000" w:themeColor="text1"/>
          <w:sz w:val="22"/>
          <w:szCs w:val="22"/>
        </w:rPr>
        <w:t xml:space="preserve">mpresas controladoras, controladas ou coligadas, nos termos da Lei nº 6.404, de 15 de dezembro de 1976, concorrendo entre si;</w:t>
      </w:r>
      <w:bookmarkEnd w:id="15"/>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 w:val="0"/>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b w:val="0"/>
          <w:bCs w:val="0"/>
          <w:i w:val="0"/>
          <w:iCs w:val="0"/>
          <w:color w:val="000000" w:themeColor="text1"/>
          <w:sz w:val="22"/>
          <w:szCs w:val="22"/>
        </w:rPr>
        <w:t xml:space="preserve">Pessoa física ou jurídica que, nos 5 (cinco) anos anteriores à divulgação </w:t>
      </w:r>
      <w:r>
        <w:rPr>
          <w:rFonts w:ascii="Cambria" w:hAnsi="Cambria" w:cs="Cambria"/>
          <w:b w:val="0"/>
          <w:bCs w:val="0"/>
          <w:i w:val="0"/>
          <w:iCs w:val="0"/>
          <w:color w:val="000000" w:themeColor="text1"/>
          <w:sz w:val="22"/>
          <w:szCs w:val="22"/>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r>
      <w:bookmarkStart w:id="16" w:name="_Ref113962336"/>
      <w:r>
        <w:rPr>
          <w:rFonts w:ascii="Cambria" w:hAnsi="Cambria" w:cs="Cambria"/>
          <w:b w:val="0"/>
          <w:bCs w:val="0"/>
          <w:i w:val="0"/>
          <w:iCs w:val="0"/>
          <w:color w:val="000000" w:themeColor="text1"/>
          <w:sz w:val="22"/>
          <w:szCs w:val="22"/>
        </w:rPr>
        <w:t xml:space="preserve">Agente público do órgão ou entidade licitante;</w:t>
      </w:r>
      <w:bookmarkEnd w:id="16"/>
      <w:r>
        <w:rPr>
          <w:rFonts w:ascii="Cambria" w:hAnsi="Cambria" w:cs="Cambria"/>
          <w:b w:val="0"/>
          <w:bCs w:val="0"/>
          <w:i w:val="0"/>
          <w:iCs w:val="0"/>
          <w:sz w:val="22"/>
          <w:szCs w:val="22"/>
        </w:rPr>
      </w:r>
      <w:r>
        <w:rPr>
          <w:rFonts w:ascii="Cambria" w:hAnsi="Cambria" w:cs="Cambria"/>
          <w:b w:val="0"/>
          <w:bCs w:val="0"/>
          <w:i w:val="0"/>
          <w:iCs w:val="0"/>
          <w:sz w:val="22"/>
          <w:szCs w:val="22"/>
        </w:rPr>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 w:val="0"/>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b w:val="0"/>
          <w:bCs w:val="0"/>
          <w:i w:val="0"/>
          <w:iCs w:val="0"/>
          <w:color w:val="000000" w:themeColor="text1"/>
          <w:sz w:val="22"/>
          <w:szCs w:val="22"/>
        </w:rPr>
        <w:t xml:space="preserve">Organizações da Sociedade Civil de Interesse Público - OSCIP, atuando nessa condição;</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t xml:space="preserve">Não poderá participar, direta ou indiretamente, da licitação ou da execução </w:t>
      </w:r>
      <w:r>
        <w:rPr>
          <w:rFonts w:ascii="Cambria" w:hAnsi="Cambria" w:cs="Cambria"/>
          <w:b w:val="0"/>
          <w:bCs w:val="0"/>
          <w:i w:val="0"/>
          <w:iCs w:val="0"/>
          <w:color w:val="000000" w:themeColor="text1"/>
          <w:sz w:val="22"/>
          <w:szCs w:val="22"/>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tooltip="http://www.planalto.gov.br/ccivil_03/_ato2019-2022/2021/lei/L14133.htm#art9§1" w:anchor="art9§1" w:history="1">
        <w:r>
          <w:rPr>
            <w:rStyle w:val="863"/>
            <w:rFonts w:ascii="Cambria" w:hAnsi="Cambria" w:cs="Cambria"/>
            <w:b w:val="0"/>
            <w:bCs w:val="0"/>
            <w:i w:val="0"/>
            <w:iCs w:val="0"/>
            <w:color w:val="000000" w:themeColor="text1"/>
            <w:sz w:val="22"/>
            <w:szCs w:val="22"/>
          </w:rPr>
          <w:t xml:space="preserve">§ 1º do art. 9º da Lei nº 14.133, de 2021</w:t>
        </w:r>
      </w:hyperlink>
      <w:r>
        <w:rPr>
          <w:rFonts w:ascii="Cambria" w:hAnsi="Cambria" w:cs="Cambria"/>
          <w:b w:val="0"/>
          <w:bCs w:val="0"/>
          <w:i w:val="0"/>
          <w:iCs w:val="0"/>
          <w:color w:val="000000" w:themeColor="text1"/>
          <w:sz w:val="22"/>
          <w:szCs w:val="22"/>
        </w:rPr>
        <w:t xml:space="preserve">.</w:t>
      </w:r>
      <w:r>
        <w:rPr>
          <w:rFonts w:ascii="Cambria" w:hAnsi="Cambria" w:cs="Cambria"/>
          <w:i w:val="0"/>
          <w:iCs w:val="0"/>
          <w:color w:val="000000" w:themeColor="text1"/>
          <w:sz w:val="22"/>
          <w:szCs w:val="22"/>
        </w:rPr>
      </w:r>
      <w:bookmarkStart w:id="21" w:name="art14§5"/>
      <w:r>
        <w:rPr>
          <w:rFonts w:ascii="Cambria" w:hAnsi="Cambria" w:cs="Cambria"/>
          <w:i w:val="0"/>
          <w:iCs w:val="0"/>
          <w:color w:val="000000" w:themeColor="text1"/>
          <w:sz w:val="22"/>
          <w:szCs w:val="22"/>
        </w:rPr>
      </w:r>
      <w:bookmarkEnd w:id="21"/>
      <w:r>
        <w:rPr>
          <w:rFonts w:ascii="Cambria" w:hAnsi="Cambria" w:cs="Cambria"/>
          <w:b/>
          <w:bCs w:val="0"/>
          <w:i w:val="0"/>
          <w:iCs w:val="0"/>
          <w:color w:val="000000" w:themeColor="text1"/>
          <w:sz w:val="22"/>
          <w:szCs w:val="22"/>
        </w:rPr>
      </w:r>
      <w:r/>
    </w:p>
    <w:p>
      <w:pPr>
        <w:pStyle w:val="1064"/>
        <w:numPr>
          <w:ilvl w:val="1"/>
          <w:numId w:val="0"/>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pStyle w:val="1047"/>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bookmarkStart w:id="22" w:name="_Toc135469226"/>
      <w:r>
        <w:rPr>
          <w:rFonts w:ascii="Cambria" w:hAnsi="Cambria" w:cs="Cambria"/>
          <w:i w:val="0"/>
          <w:iCs w:val="0"/>
          <w:color w:val="000000" w:themeColor="text1"/>
          <w:sz w:val="22"/>
          <w:szCs w:val="22"/>
        </w:rPr>
        <w:t xml:space="preserve">DA APRESENTAÇÃO DA PROPOSTA E DOS DOCUMENTOS DE HABILITAÇÃO</w:t>
      </w:r>
      <w:bookmarkEnd w:id="22"/>
      <w:r>
        <w:rPr>
          <w:rFonts w:ascii="Cambria" w:hAnsi="Cambria" w:cs="Cambria"/>
          <w:i w:val="0"/>
          <w:iCs w:val="0"/>
          <w:sz w:val="22"/>
          <w:szCs w:val="22"/>
        </w:rPr>
      </w:r>
      <w:r/>
    </w:p>
    <w:p>
      <w:pPr>
        <w:pStyle w:val="1111"/>
        <w:spacing w:before="0" w:after="0" w:line="240" w:lineRule="auto"/>
        <w:rPr>
          <w:rFonts w:ascii="Cambria" w:hAnsi="Cambria" w:cs="Cambria"/>
          <w:bCs/>
          <w:i w:val="0"/>
          <w:iCs w:val="0"/>
          <w:color w:val="000000" w:themeColor="text1"/>
          <w:sz w:val="22"/>
          <w:szCs w:val="22"/>
        </w:rPr>
      </w:pPr>
      <w:r>
        <w:rPr>
          <w:rFonts w:ascii="Cambria" w:hAnsi="Cambria" w:cs="Cambria"/>
          <w:i w:val="0"/>
          <w:iCs w:val="0"/>
          <w:color w:val="000000" w:themeColor="text1"/>
          <w:sz w:val="22"/>
          <w:szCs w:val="22"/>
        </w:rPr>
      </w:r>
      <w:bookmarkStart w:id="24" w:name="_Ref113886867"/>
      <w:r>
        <w:rPr>
          <w:rFonts w:ascii="Cambria" w:hAnsi="Cambria" w:cs="Cambria"/>
          <w:i w:val="0"/>
          <w:iCs w:val="0"/>
          <w:color w:val="000000" w:themeColor="text1"/>
          <w:sz w:val="22"/>
          <w:szCs w:val="22"/>
        </w:rPr>
        <w:t xml:space="preserve">Os licitantes encaminharão, </w:t>
      </w:r>
      <w:r>
        <w:rPr>
          <w:rFonts w:ascii="Cambria" w:hAnsi="Cambria" w:cs="Cambria"/>
          <w:i w:val="0"/>
          <w:iCs w:val="0"/>
          <w:color w:val="000000" w:themeColor="text1"/>
          <w:sz w:val="22"/>
          <w:szCs w:val="22"/>
          <w:u w:val="single"/>
        </w:rPr>
        <w:t xml:space="preserve">exclusivamente</w:t>
      </w:r>
      <w:r>
        <w:rPr>
          <w:rFonts w:ascii="Cambria" w:hAnsi="Cambria" w:cs="Cambria"/>
          <w:i w:val="0"/>
          <w:iCs w:val="0"/>
          <w:color w:val="000000" w:themeColor="text1"/>
          <w:sz w:val="22"/>
          <w:szCs w:val="22"/>
        </w:rPr>
        <w:t xml:space="preserve"> por meio do sistema eletrônico, a proposta com o preço , conforme o critério de julgamento adotado neste Edital, até a data e o horário estabelecidos para abertura da sessão pública.</w:t>
      </w:r>
      <w:bookmarkEnd w:id="24"/>
      <w:r>
        <w:rPr>
          <w:rFonts w:ascii="Cambria" w:hAnsi="Cambria" w:cs="Cambria"/>
          <w:i w:val="0"/>
          <w:iCs w:val="0"/>
          <w:sz w:val="22"/>
          <w:szCs w:val="22"/>
        </w:rPr>
      </w:r>
      <w:r/>
    </w:p>
    <w:p>
      <w:pPr>
        <w:pStyle w:val="1111"/>
        <w:spacing w:before="0" w:after="0" w:line="240" w:lineRule="auto"/>
        <w:rPr>
          <w:rFonts w:ascii="Cambria" w:hAnsi="Cambria" w:cs="Cambria"/>
          <w:bCs/>
          <w:i w:val="0"/>
          <w:iCs w:val="0"/>
          <w:color w:val="000000" w:themeColor="text1"/>
          <w:sz w:val="22"/>
          <w:szCs w:val="22"/>
        </w:rPr>
      </w:pPr>
      <w:r>
        <w:rPr>
          <w:rFonts w:ascii="Cambria" w:hAnsi="Cambria" w:cs="Cambria"/>
          <w:i w:val="0"/>
          <w:iCs w:val="0"/>
          <w:color w:val="000000" w:themeColor="text1"/>
          <w:sz w:val="22"/>
          <w:szCs w:val="22"/>
        </w:rPr>
      </w:r>
      <w:bookmarkStart w:id="26" w:name="_Ref113968921"/>
      <w:r>
        <w:rPr>
          <w:rFonts w:ascii="Cambria" w:hAnsi="Cambria" w:cs="Cambria"/>
          <w:i w:val="0"/>
          <w:iCs w:val="0"/>
          <w:color w:val="000000" w:themeColor="text1"/>
          <w:sz w:val="22"/>
          <w:szCs w:val="22"/>
        </w:rPr>
        <w:t xml:space="preserve">No cadastramento da proposta inicial, o licitante declarará, em campo próprio do sistema, que:</w:t>
      </w:r>
      <w:bookmarkEnd w:id="26"/>
      <w:r>
        <w:rPr>
          <w:rFonts w:ascii="Cambria" w:hAnsi="Cambria" w:cs="Cambria"/>
          <w:i w:val="0"/>
          <w:iCs w:val="0"/>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cs="Cambria"/>
          <w:i w:val="0"/>
          <w:iCs w:val="0"/>
          <w:color w:val="000000" w:themeColor="text1"/>
          <w:sz w:val="22"/>
          <w:szCs w:val="22"/>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i w:val="0"/>
          <w:iCs w:val="0"/>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emprega menor de 18 anos em trabalho noturno, perigoso ou insalubre e não emprega menor de 16 anos, salvo menor, a partir de 14 anos, na condição de aprendiz, nos termos do </w:t>
      </w:r>
      <w:hyperlink r:id="rId22" w:tooltip="https://www.planalto.gov.br/ccivil_03/constituicao/constituicaocompilado.htm#art7" w:anchor="art7" w:history="1">
        <w:r>
          <w:rPr>
            <w:rStyle w:val="863"/>
            <w:rFonts w:ascii="Cambria" w:hAnsi="Cambria" w:cs="Cambria"/>
            <w:i w:val="0"/>
            <w:iCs w:val="0"/>
            <w:color w:val="000000" w:themeColor="text1"/>
            <w:sz w:val="22"/>
            <w:szCs w:val="22"/>
          </w:rPr>
          <w:t xml:space="preserve">artigo 7°, XXXIII, da Constituição</w:t>
        </w:r>
      </w:hyperlink>
      <w:r>
        <w:rPr>
          <w:rFonts w:ascii="Cambria" w:hAnsi="Cambria" w:cs="Cambria"/>
          <w:i w:val="0"/>
          <w:iCs w:val="0"/>
          <w:color w:val="000000" w:themeColor="text1"/>
          <w:sz w:val="22"/>
          <w:szCs w:val="22"/>
        </w:rPr>
        <w:t xml:space="preserve">;</w:t>
      </w:r>
      <w:r>
        <w:rPr>
          <w:rFonts w:ascii="Cambria" w:hAnsi="Cambria" w:cs="Cambria"/>
          <w:i w:val="0"/>
          <w:iCs w:val="0"/>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w:t>
      </w:r>
      <w:r>
        <w:rPr>
          <w:rFonts w:ascii="Cambria" w:hAnsi="Cambria" w:cs="Cambria"/>
          <w:i w:val="0"/>
          <w:iCs w:val="0"/>
          <w:color w:val="000000" w:themeColor="text1"/>
          <w:sz w:val="22"/>
          <w:szCs w:val="22"/>
        </w:rPr>
        <w:t xml:space="preserve">ão possui empregados executando trabalho degradante ou forçado, observando o disposto nos </w:t>
      </w:r>
      <w:hyperlink r:id="rId23" w:tooltip="https://www.planalto.gov.br/ccivil_03/constituicao/constituicaocompilado.htm" w:history="1">
        <w:r>
          <w:rPr>
            <w:rStyle w:val="863"/>
            <w:rFonts w:ascii="Cambria" w:hAnsi="Cambria" w:cs="Cambria"/>
            <w:i w:val="0"/>
            <w:iCs w:val="0"/>
            <w:color w:val="000000" w:themeColor="text1"/>
            <w:sz w:val="22"/>
            <w:szCs w:val="22"/>
          </w:rPr>
          <w:t xml:space="preserve">incisos III e IV do art. 1º e no inciso III do art. 5º da Constituição Federal</w:t>
        </w:r>
      </w:hyperlink>
      <w:r>
        <w:rPr>
          <w:rFonts w:ascii="Cambria" w:hAnsi="Cambria" w:cs="Cambria"/>
          <w:i w:val="0"/>
          <w:iCs w:val="0"/>
          <w:color w:val="000000" w:themeColor="text1"/>
          <w:sz w:val="22"/>
          <w:szCs w:val="22"/>
        </w:rPr>
        <w:t xml:space="preserve">;</w:t>
      </w:r>
      <w:r>
        <w:rPr>
          <w:rFonts w:ascii="Cambria" w:hAnsi="Cambria" w:cs="Cambria"/>
          <w:i w:val="0"/>
          <w:iCs w:val="0"/>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Cumpre as exigências de reserva de cargos para pessoa com deficiência e para reabilitado da Previdência Social, previstas em lei e em outras normas específicas.</w:t>
      </w:r>
      <w:r>
        <w:rPr>
          <w:rFonts w:ascii="Cambria" w:hAnsi="Cambria" w:cs="Cambria"/>
          <w:i w:val="0"/>
          <w:iCs w:val="0"/>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licitante organizado em cooperativa deverá declarar, ainda, em campo próprio do sistema eletrônico, que cumpre os requisitos estabelecidos no </w:t>
      </w:r>
      <w:hyperlink r:id="rId24" w:tooltip="http://www.planalto.gov.br/ccivil_03/_ato2019-2022/2021/lei/L14133.htm#art16" w:anchor="art16" w:history="1">
        <w:r>
          <w:rPr>
            <w:rStyle w:val="863"/>
            <w:rFonts w:ascii="Cambria" w:hAnsi="Cambria" w:cs="Cambria"/>
            <w:i w:val="0"/>
            <w:iCs w:val="0"/>
            <w:color w:val="000000" w:themeColor="text1"/>
            <w:sz w:val="22"/>
            <w:szCs w:val="22"/>
          </w:rPr>
          <w:t xml:space="preserve">artigo 16 da Lei nº 14.133, de 2021</w:t>
        </w:r>
      </w:hyperlink>
      <w:r>
        <w:rPr>
          <w:rFonts w:ascii="Cambria" w:hAnsi="Cambria" w:cs="Cambria"/>
          <w:i w:val="0"/>
          <w:iCs w:val="0"/>
          <w:color w:val="000000" w:themeColor="text1"/>
          <w:sz w:val="22"/>
          <w:szCs w:val="22"/>
        </w:rPr>
        <w:t xml:space="preserve">.</w:t>
      </w:r>
      <w:r>
        <w:rPr>
          <w:rFonts w:ascii="Cambria" w:hAnsi="Cambria" w:cs="Cambria"/>
          <w:i w:val="0"/>
          <w:iCs w:val="0"/>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27" w:name="_Ref117000019"/>
      <w:r>
        <w:rPr>
          <w:rFonts w:ascii="Cambria" w:hAnsi="Cambria" w:cs="Cambria"/>
          <w:i w:val="0"/>
          <w:iCs w:val="0"/>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5" w:tooltip="https://www.planalto.gov.br/ccivil_03/leis/lcp/lcp123.htm#art3" w:anchor="art3" w:history="1">
        <w:r>
          <w:rPr>
            <w:rStyle w:val="863"/>
            <w:rFonts w:ascii="Cambria" w:hAnsi="Cambria" w:cs="Cambria"/>
            <w:i w:val="0"/>
            <w:iCs w:val="0"/>
            <w:color w:val="000000" w:themeColor="text1"/>
            <w:sz w:val="22"/>
            <w:szCs w:val="22"/>
          </w:rPr>
          <w:t xml:space="preserve">artigo 3° da Lei Complementar nº 123, de 2006</w:t>
        </w:r>
      </w:hyperlink>
      <w:r>
        <w:rPr>
          <w:rFonts w:ascii="Cambria" w:hAnsi="Cambria" w:cs="Cambria"/>
          <w:i w:val="0"/>
          <w:iCs w:val="0"/>
          <w:color w:val="000000" w:themeColor="text1"/>
          <w:sz w:val="22"/>
          <w:szCs w:val="22"/>
        </w:rPr>
        <w:t xml:space="preserve">, estando apto a usufruir do tratamento favorecido estabelecido em seus </w:t>
      </w:r>
      <w:bookmarkEnd w:id="27"/>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HYPERLINK "https://www.planalto.gov.br/ccivil_03/leis/lcp/lcp123.htm" \l "art42"</w:instrText>
      </w:r>
      <w:r>
        <w:rPr>
          <w:rFonts w:ascii="Cambria" w:hAnsi="Cambria" w:cs="Cambria"/>
          <w:i w:val="0"/>
          <w:iCs w:val="0"/>
          <w:color w:val="000000" w:themeColor="text1"/>
          <w:sz w:val="22"/>
          <w:szCs w:val="22"/>
        </w:rPr>
        <w:fldChar w:fldCharType="separate"/>
      </w:r>
      <w:r>
        <w:rPr>
          <w:rStyle w:val="863"/>
          <w:rFonts w:ascii="Cambria" w:hAnsi="Cambria" w:cs="Cambria"/>
          <w:i w:val="0"/>
          <w:iCs w:val="0"/>
          <w:color w:val="000000" w:themeColor="text1"/>
          <w:sz w:val="22"/>
          <w:szCs w:val="22"/>
        </w:rPr>
        <w:t xml:space="preserve">arts</w:t>
      </w:r>
      <w:r>
        <w:rPr>
          <w:rStyle w:val="863"/>
          <w:rFonts w:ascii="Cambria" w:hAnsi="Cambria" w:cs="Cambria"/>
          <w:i w:val="0"/>
          <w:iCs w:val="0"/>
          <w:color w:val="000000" w:themeColor="text1"/>
          <w:sz w:val="22"/>
          <w:szCs w:val="22"/>
        </w:rPr>
        <w:t xml:space="preserve">. 42 a 49</w:t>
      </w:r>
      <w:r>
        <w:rPr>
          <w:rStyle w:val="863"/>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observado o disposto nos </w:t>
      </w:r>
      <w:hyperlink r:id="rId26" w:tooltip="http://www.planalto.gov.br/ccivil_03/_ato2019-2022/2021/lei/L14133.htm#art4§1" w:anchor="art4§1" w:history="1">
        <w:r>
          <w:rPr>
            <w:rStyle w:val="863"/>
            <w:rFonts w:ascii="Cambria" w:hAnsi="Cambria" w:cs="Cambria"/>
            <w:i w:val="0"/>
            <w:iCs w:val="0"/>
            <w:color w:val="000000" w:themeColor="text1"/>
            <w:sz w:val="22"/>
            <w:szCs w:val="22"/>
          </w:rPr>
          <w:t xml:space="preserve">§§ 1º ao 3º do art. 4º, da Lei n.º 14.133, de 2021.</w:t>
        </w:r>
      </w:hyperlink>
      <w:r>
        <w:rPr>
          <w:rFonts w:ascii="Cambria" w:hAnsi="Cambria" w:cs="Cambria"/>
          <w:i w:val="0"/>
          <w:iCs w:val="0"/>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Cs w:val="0"/>
          <w:i w:val="0"/>
          <w:iCs w:val="0"/>
          <w:color w:val="000000" w:themeColor="text1"/>
          <w:sz w:val="22"/>
          <w:szCs w:val="22"/>
        </w:rPr>
      </w:r>
      <w:r>
        <w:rPr>
          <w:rFonts w:ascii="Cambria" w:hAnsi="Cambria" w:cs="Cambria"/>
          <w:i w:val="0"/>
          <w:iCs w:val="0"/>
          <w:color w:val="000000" w:themeColor="text1"/>
          <w:sz w:val="22"/>
          <w:szCs w:val="22"/>
        </w:rPr>
        <w:t xml:space="preserve">Para participação de microempresas e empresas de pequeno porte, a assinalação do campo “</w:t>
      </w:r>
      <w:r>
        <w:rPr>
          <w:rFonts w:ascii="Cambria" w:hAnsi="Cambria" w:cs="Cambria"/>
          <w:i w:val="0"/>
          <w:iCs w:val="0"/>
          <w:color w:val="000000" w:themeColor="text1"/>
          <w:sz w:val="22"/>
          <w:szCs w:val="22"/>
        </w:rPr>
        <w:t xml:space="preserve">não” impedirá o prosseguimento no certame, para aquele item;</w:t>
      </w:r>
      <w:r>
        <w:rPr>
          <w:rFonts w:ascii="Cambria" w:hAnsi="Cambria" w:cs="Cambria"/>
          <w:i w:val="0"/>
          <w:iCs w:val="0"/>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7" w:tooltip="https://www.planalto.gov.br/ccivil_03/leis/lcp/lcp123.htm" w:history="1">
        <w:r>
          <w:rPr>
            <w:rStyle w:val="863"/>
            <w:rFonts w:ascii="Cambria" w:hAnsi="Cambria" w:cs="Cambria"/>
            <w:i w:val="0"/>
            <w:iCs w:val="0"/>
            <w:color w:val="000000" w:themeColor="text1"/>
            <w:sz w:val="22"/>
            <w:szCs w:val="22"/>
          </w:rPr>
          <w:t xml:space="preserve">Lei Complementar nº 123, de 2006</w:t>
        </w:r>
      </w:hyperlink>
      <w:r>
        <w:rPr>
          <w:rFonts w:ascii="Cambria" w:hAnsi="Cambria" w:cs="Cambria"/>
          <w:i w:val="0"/>
          <w:iCs w:val="0"/>
          <w:color w:val="000000" w:themeColor="text1"/>
          <w:sz w:val="22"/>
          <w:szCs w:val="22"/>
        </w:rPr>
        <w:t xml:space="preserve">, mesmo que microempresa, empresa de pequeno porte ou sociedade cooperativa.</w:t>
      </w:r>
      <w:r>
        <w:rPr>
          <w:rFonts w:ascii="Cambria" w:hAnsi="Cambria" w:cs="Cambria"/>
          <w:i w:val="0"/>
          <w:iCs w:val="0"/>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falsidade da declaração de que trata 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_Ref113968921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4.4</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ou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_Ref117000019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4.6</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sujeitará o licitante às sanções previstas na </w:t>
      </w:r>
      <w:hyperlink r:id="rId28" w:tooltip="http://www.planalto.gov.br/ccivil_03/_ato2019-2022/2021/lei/L14133.htm" w:history="1">
        <w:r>
          <w:rPr>
            <w:rStyle w:val="863"/>
            <w:rFonts w:ascii="Cambria" w:hAnsi="Cambria" w:cs="Cambria"/>
            <w:i w:val="0"/>
            <w:iCs w:val="0"/>
            <w:color w:val="000000" w:themeColor="text1"/>
            <w:sz w:val="22"/>
            <w:szCs w:val="22"/>
          </w:rPr>
          <w:t xml:space="preserve">Lei nº 14.133, de 2021</w:t>
        </w:r>
      </w:hyperlink>
      <w:r>
        <w:rPr>
          <w:rFonts w:ascii="Cambria" w:hAnsi="Cambria" w:cs="Cambria"/>
          <w:i w:val="0"/>
          <w:iCs w:val="0"/>
          <w:color w:val="000000" w:themeColor="text1"/>
          <w:sz w:val="22"/>
          <w:szCs w:val="22"/>
        </w:rPr>
        <w:t xml:space="preserve">, e neste Edital.</w:t>
      </w:r>
      <w:r>
        <w:rPr>
          <w:rFonts w:ascii="Cambria" w:hAnsi="Cambria" w:cs="Cambria"/>
          <w:i w:val="0"/>
          <w:iCs w:val="0"/>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licitante</w:t>
      </w:r>
      <w:r>
        <w:rPr>
          <w:rFonts w:ascii="Cambria" w:hAnsi="Cambria" w:cs="Cambria"/>
          <w:i w:val="0"/>
          <w:iCs w:val="0"/>
          <w:color w:val="000000" w:themeColor="text1"/>
          <w:sz w:val="22"/>
          <w:szCs w:val="22"/>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i w:val="0"/>
          <w:iCs w:val="0"/>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i w:val="0"/>
          <w:iCs w:val="0"/>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Serão disponibilizados para acesso público os documentos que compõem a proposta dos licitantes convocados para apresentação de propostas, após a fase de envio de lances.</w:t>
      </w:r>
      <w:r>
        <w:rPr>
          <w:rFonts w:ascii="Cambria" w:hAnsi="Cambria" w:cs="Cambria"/>
          <w:i w:val="0"/>
          <w:iCs w:val="0"/>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29" w:name="_Ref116992247"/>
      <w:r>
        <w:rPr>
          <w:rFonts w:ascii="Cambria" w:hAnsi="Cambria" w:cs="Cambria"/>
          <w:i w:val="0"/>
          <w:iCs w:val="0"/>
          <w:color w:val="000000" w:themeColor="text1"/>
          <w:sz w:val="22"/>
          <w:szCs w:val="22"/>
        </w:rPr>
        <w:t xml:space="preserve">Desde que disponibilizada a funcionalidade no sistema, o licitante poderá parametrizar o seu valor final mínimo ou o seu percentual de desconto máximo quando do cadastramento da proposta e obedecerá às seguintes regras:</w:t>
      </w:r>
      <w:bookmarkEnd w:id="29"/>
      <w:r>
        <w:rPr>
          <w:rFonts w:ascii="Cambria" w:hAnsi="Cambria" w:cs="Cambria"/>
          <w:i w:val="0"/>
          <w:iCs w:val="0"/>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bCs w:val="0"/>
          <w:i w:val="0"/>
          <w:iCs w:val="0"/>
          <w:color w:val="000000" w:themeColor="text1"/>
          <w:sz w:val="22"/>
          <w:szCs w:val="22"/>
        </w:rPr>
      </w:r>
      <w:r>
        <w:rPr>
          <w:rFonts w:ascii="Cambria" w:hAnsi="Cambria" w:cs="Cambria"/>
          <w:i w:val="0"/>
          <w:iCs w:val="0"/>
          <w:color w:val="000000" w:themeColor="text1"/>
          <w:sz w:val="22"/>
          <w:szCs w:val="22"/>
        </w:rPr>
        <w:t xml:space="preserve">A aplicação do intervalo mínimo de diferença de valores ou de percentuais entre os lances, que incidirá tanto em relação aos lances intermediários quanto em relação ao lance que cobrir a melhor oferta; e</w:t>
      </w:r>
      <w:r>
        <w:rPr>
          <w:rFonts w:ascii="Cambria" w:hAnsi="Cambria" w:cs="Cambria"/>
          <w:i w:val="0"/>
          <w:iCs w:val="0"/>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lances serão de envio automático pelo sistema, respeitado o valor final mínimo, caso estabelecido, e o intervalo de que trata o subitem acima.</w:t>
      </w:r>
      <w:r>
        <w:rPr>
          <w:rFonts w:ascii="Cambria" w:hAnsi="Cambria" w:cs="Cambria"/>
          <w:i w:val="0"/>
          <w:iCs w:val="0"/>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valor final mínimo o parametrizado no sistema poderá ser alterado pelo fornecedor durante a fase de disputa, sendo vedado:</w:t>
      </w:r>
      <w:r>
        <w:rPr>
          <w:rFonts w:ascii="Cambria" w:hAnsi="Cambria" w:cs="Cambria"/>
          <w:i w:val="0"/>
          <w:iCs w:val="0"/>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valor superior a lance já registrado pelo fornecedor no sistema, quando adotado o critério de julgamento por menor preço; e</w:t>
      </w:r>
      <w:r>
        <w:rPr>
          <w:rFonts w:ascii="Cambria" w:hAnsi="Cambria" w:cs="Cambria"/>
          <w:i w:val="0"/>
          <w:iCs w:val="0"/>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valor final mínimo o parametrizado na forma do item 3.1</w:t>
      </w:r>
      <w:r>
        <w:rPr>
          <w:rFonts w:ascii="Cambria" w:hAnsi="Cambria" w:cs="Cambria"/>
          <w:i w:val="0"/>
          <w:iCs w:val="0"/>
          <w:color w:val="000000" w:themeColor="text1"/>
          <w:sz w:val="22"/>
          <w:szCs w:val="22"/>
        </w:rPr>
        <w:t xml:space="preserve">2</w:t>
      </w:r>
      <w:r>
        <w:rPr>
          <w:rFonts w:ascii="Cambria" w:hAnsi="Cambria" w:cs="Cambria"/>
          <w:i w:val="0"/>
          <w:iCs w:val="0"/>
          <w:color w:val="000000" w:themeColor="text1"/>
          <w:sz w:val="22"/>
          <w:szCs w:val="22"/>
        </w:rPr>
        <w:t xml:space="preserve"> possuirá caráter sigiloso para os demais fornecedores e para o órgão ou entidade promotora da licitação, podendo ser disponibilizado estrita e permanentemente aos órgãos de controle externo e interno.</w:t>
      </w:r>
      <w:r>
        <w:rPr>
          <w:rFonts w:ascii="Cambria" w:hAnsi="Cambria" w:cs="Cambria"/>
          <w:i w:val="0"/>
          <w:iCs w:val="0"/>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eastAsia="Times New Roman" w:cs="Cambria"/>
          <w:i w:val="0"/>
          <w:iCs w:val="0"/>
          <w:color w:val="000000" w:themeColor="text1"/>
          <w:sz w:val="22"/>
          <w:szCs w:val="22"/>
        </w:rPr>
        <w:t xml:space="preserve">Caberá ao licitante interessado em participar da licitação </w:t>
      </w:r>
      <w:r>
        <w:rPr>
          <w:rFonts w:ascii="Cambria" w:hAnsi="Cambria" w:cs="Cambria"/>
          <w:i w:val="0"/>
          <w:iCs w:val="0"/>
          <w:color w:val="000000" w:themeColor="text1"/>
          <w:sz w:val="22"/>
          <w:szCs w:val="22"/>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i w:val="0"/>
          <w:iCs w:val="0"/>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eastAsia="Times New Roman" w:cs="Cambria"/>
          <w:i w:val="0"/>
          <w:iCs w:val="0"/>
          <w:color w:val="000000" w:themeColor="text1"/>
          <w:sz w:val="22"/>
          <w:szCs w:val="22"/>
        </w:rPr>
        <w:t xml:space="preserve">O licitante deverá </w:t>
      </w:r>
      <w:r>
        <w:rPr>
          <w:rFonts w:ascii="Cambria" w:hAnsi="Cambria" w:cs="Cambria"/>
          <w:i w:val="0"/>
          <w:iCs w:val="0"/>
          <w:color w:val="000000" w:themeColor="text1"/>
          <w:sz w:val="22"/>
          <w:szCs w:val="22"/>
        </w:rPr>
        <w:t xml:space="preserve">comunicar imediatamente ao provedor do sistema qualquer acontecimento que possa comprometer o sigilo ou a segurança, para imediato bloqueio de acesso.</w:t>
      </w:r>
      <w:r>
        <w:rPr>
          <w:rFonts w:ascii="Cambria" w:hAnsi="Cambria" w:cs="Cambria"/>
          <w:i w:val="0"/>
          <w:iCs w:val="0"/>
          <w:sz w:val="22"/>
          <w:szCs w:val="22"/>
        </w:rPr>
      </w:r>
      <w:r/>
    </w:p>
    <w:p>
      <w:pPr>
        <w:pStyle w:val="1111"/>
        <w:numPr>
          <w:ilvl w:val="0"/>
          <w:numId w:val="0"/>
        </w:numPr>
        <w:ind w:left="360" w:firstLine="0"/>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highlight w:val="none"/>
        </w:rPr>
      </w:r>
      <w:r>
        <w:rPr>
          <w:rFonts w:ascii="Cambria" w:hAnsi="Cambria" w:cs="Cambria"/>
          <w:i w:val="0"/>
          <w:iCs w:val="0"/>
          <w:sz w:val="22"/>
          <w:szCs w:val="22"/>
        </w:rPr>
      </w:r>
      <w:r/>
    </w:p>
    <w:p>
      <w:pPr>
        <w:pStyle w:val="1111"/>
        <w:numPr>
          <w:ilvl w:val="0"/>
          <w:numId w:val="2"/>
        </w:numPr>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32" w:name="_Toc135469227"/>
      <w:r>
        <w:rPr>
          <w:rFonts w:ascii="Cambria" w:hAnsi="Cambria" w:cs="Cambria"/>
          <w:b/>
          <w:bCs/>
          <w:i w:val="0"/>
          <w:iCs w:val="0"/>
          <w:color w:val="000000" w:themeColor="text1"/>
          <w:sz w:val="22"/>
          <w:szCs w:val="22"/>
        </w:rPr>
        <w:t xml:space="preserve">DO PREENCHIMENTO DA PROPOSTA</w:t>
      </w:r>
      <w:bookmarkEnd w:id="32"/>
      <w:r>
        <w:rPr>
          <w:rFonts w:ascii="Cambria" w:hAnsi="Cambria" w:cs="Cambria"/>
          <w:i w:val="0"/>
          <w:iCs w:val="0"/>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color w:val="000000" w:themeColor="text1"/>
          <w:sz w:val="22"/>
          <w:szCs w:val="22"/>
        </w:rPr>
        <w:t xml:space="preserve">O licitante deverá enviar sua proposta mediante o preenchimento, no sistema eletrônico, dos seguintes campos:</w:t>
      </w:r>
      <w:r>
        <w:rPr>
          <w:rFonts w:ascii="Cambria" w:hAnsi="Cambria" w:cs="Cambria"/>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highlight w:val="white"/>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va</w:t>
      </w:r>
      <w:r>
        <w:rPr>
          <w:rFonts w:ascii="Cambria" w:hAnsi="Cambria" w:cs="Cambria"/>
          <w:i w:val="0"/>
          <w:iCs w:val="0"/>
          <w:color w:val="000000" w:themeColor="text1"/>
          <w:sz w:val="22"/>
          <w:szCs w:val="22"/>
          <w:highlight w:val="white"/>
        </w:rPr>
        <w:t xml:space="preserve">lor </w:t>
      </w:r>
      <w:r>
        <w:rPr>
          <w:rFonts w:ascii="Cambria" w:hAnsi="Cambria" w:cs="Cambria"/>
          <w:i w:val="0"/>
          <w:iCs w:val="0"/>
          <w:color w:val="000000" w:themeColor="text1"/>
          <w:sz w:val="22"/>
          <w:szCs w:val="22"/>
          <w:highlight w:val="white"/>
        </w:rPr>
        <w:t xml:space="preserve">unitário</w:t>
      </w:r>
      <w:r>
        <w:rPr>
          <w:rFonts w:ascii="Cambria" w:hAnsi="Cambria" w:cs="Cambria"/>
          <w:i w:val="0"/>
          <w:iCs w:val="0"/>
          <w:color w:val="000000" w:themeColor="text1"/>
          <w:sz w:val="22"/>
          <w:szCs w:val="22"/>
          <w:highlight w:val="white"/>
        </w:rPr>
        <w:t xml:space="preserve"> </w:t>
      </w:r>
      <w:r>
        <w:rPr>
          <w:rFonts w:ascii="Cambria" w:hAnsi="Cambria" w:cs="Cambria"/>
          <w:i w:val="0"/>
          <w:iCs w:val="0"/>
          <w:color w:val="000000" w:themeColor="text1"/>
          <w:sz w:val="22"/>
          <w:szCs w:val="22"/>
          <w:highlight w:val="white"/>
        </w:rPr>
        <w:t xml:space="preserve">do item</w:t>
      </w:r>
      <w:r>
        <w:rPr>
          <w:rFonts w:ascii="Cambria" w:hAnsi="Cambria" w:cs="Cambria"/>
          <w:bCs w:val="0"/>
          <w:i w:val="0"/>
          <w:iCs w:val="0"/>
          <w:color w:val="000000" w:themeColor="text1"/>
          <w:sz w:val="22"/>
          <w:szCs w:val="22"/>
        </w:rPr>
      </w:r>
      <w:r/>
    </w:p>
    <w:p>
      <w:pPr>
        <w:pStyle w:val="1111"/>
        <w:numPr>
          <w:ilvl w:val="2"/>
          <w:numId w:val="2"/>
        </w:numPr>
        <w:spacing w:before="0" w:after="0" w:line="240" w:lineRule="auto"/>
        <w:rPr>
          <w:rStyle w:val="1057"/>
          <w:rFonts w:ascii="Cambria" w:hAnsi="Cambria" w:cs="Cambria"/>
          <w:bCs w:val="0"/>
          <w:i w:val="0"/>
          <w:color w:val="000000" w:themeColor="text1"/>
          <w:sz w:val="22"/>
          <w:szCs w:val="22"/>
          <w:highlight w:val="white"/>
          <w:u w:val="single"/>
        </w:rPr>
      </w:pPr>
      <w:r>
        <w:rPr>
          <w:rFonts w:ascii="Cambria" w:hAnsi="Cambria" w:cs="Cambria"/>
          <w:i w:val="0"/>
          <w:iCs w:val="0"/>
          <w:color w:val="000000" w:themeColor="text1"/>
          <w:sz w:val="22"/>
          <w:szCs w:val="22"/>
          <w:highlight w:val="white"/>
        </w:rPr>
      </w:r>
      <w:r>
        <w:rPr>
          <w:rStyle w:val="1057"/>
          <w:rFonts w:ascii="Cambria" w:hAnsi="Cambria" w:cs="Cambria"/>
          <w:i w:val="0"/>
          <w:iCs w:val="0"/>
          <w:color w:val="000000" w:themeColor="text1"/>
          <w:sz w:val="22"/>
          <w:szCs w:val="22"/>
          <w:highlight w:val="white"/>
          <w:u w:val="single"/>
          <w:shd w:val="clear" w:color="auto" w:fill="00ffff"/>
        </w:rPr>
        <w:t xml:space="preserve">Quantidade cotada</w:t>
      </w:r>
      <w:r>
        <w:rPr>
          <w:rStyle w:val="1057"/>
          <w:rFonts w:ascii="Cambria" w:hAnsi="Cambria" w:cs="Cambria"/>
          <w:i w:val="0"/>
          <w:iCs w:val="0"/>
          <w:color w:val="000000" w:themeColor="text1"/>
          <w:sz w:val="22"/>
          <w:szCs w:val="22"/>
          <w:highlight w:val="white"/>
          <w:u w:val="single"/>
          <w:shd w:val="clear" w:color="auto" w:fill="00ffff"/>
        </w:rPr>
        <w:t xml:space="preserve">;</w:t>
      </w:r>
      <w:r>
        <w:rPr>
          <w:rFonts w:ascii="Cambria" w:hAnsi="Cambria" w:cs="Cambria"/>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highlight w:val="white"/>
        </w:rPr>
      </w:pPr>
      <w:r>
        <w:rPr>
          <w:rStyle w:val="1057"/>
          <w:rFonts w:ascii="Cambria" w:hAnsi="Cambria" w:cs="Cambria"/>
          <w:i w:val="0"/>
          <w:iCs w:val="0"/>
          <w:color w:val="000000" w:themeColor="text1"/>
          <w:sz w:val="22"/>
          <w:szCs w:val="22"/>
          <w:highlight w:val="white"/>
          <w:u w:val="single"/>
          <w:shd w:val="clear" w:color="auto" w:fill="00ffff"/>
        </w:rPr>
      </w:r>
      <w:r>
        <w:rPr>
          <w:rFonts w:ascii="Cambria" w:hAnsi="Cambria" w:cs="Cambria"/>
          <w:i w:val="0"/>
          <w:iCs w:val="0"/>
          <w:color w:val="000000" w:themeColor="text1"/>
          <w:sz w:val="22"/>
          <w:szCs w:val="22"/>
          <w:highlight w:val="white"/>
        </w:rPr>
        <w:t xml:space="preserve">Todas as especificações do objeto contidas na proposta vinculam o licitante.</w:t>
      </w:r>
      <w:r>
        <w:rPr>
          <w:rFonts w:ascii="Cambria" w:hAnsi="Cambria" w:cs="Cambria"/>
          <w:bCs w:val="0"/>
          <w:i w:val="0"/>
          <w:iCs w:val="0"/>
          <w:color w:val="000000" w:themeColor="text1"/>
          <w:sz w:val="22"/>
          <w:szCs w:val="22"/>
        </w:rPr>
      </w:r>
      <w:r/>
    </w:p>
    <w:p>
      <w:pPr>
        <w:pStyle w:val="1111"/>
        <w:numPr>
          <w:ilvl w:val="1"/>
          <w:numId w:val="2"/>
        </w:numPr>
        <w:spacing w:before="0" w:after="0" w:line="240" w:lineRule="auto"/>
        <w:rPr>
          <w:rStyle w:val="1057"/>
          <w:rFonts w:ascii="Cambria" w:hAnsi="Cambria" w:cs="Cambria"/>
          <w:bCs w:val="0"/>
          <w:i w:val="0"/>
          <w:color w:val="000000" w:themeColor="text1"/>
          <w:sz w:val="22"/>
          <w:szCs w:val="22"/>
          <w:highlight w:val="white"/>
          <w:u w:val="single"/>
        </w:rPr>
      </w:pPr>
      <w:r>
        <w:rPr>
          <w:rFonts w:ascii="Cambria" w:hAnsi="Cambria" w:cs="Cambria"/>
          <w:i w:val="0"/>
          <w:iCs w:val="0"/>
          <w:color w:val="000000" w:themeColor="text1"/>
          <w:sz w:val="22"/>
          <w:szCs w:val="22"/>
          <w:highlight w:val="white"/>
        </w:rPr>
      </w:r>
      <w:r>
        <w:rPr>
          <w:rFonts w:ascii="Cambria" w:hAnsi="Cambria" w:cs="Cambria"/>
          <w:i w:val="0"/>
          <w:iCs w:val="0"/>
          <w:color w:val="000000" w:themeColor="text1"/>
          <w:sz w:val="22"/>
          <w:szCs w:val="22"/>
          <w:highlight w:val="white"/>
        </w:rPr>
        <w:t xml:space="preserve"> </w:t>
      </w:r>
      <w:r>
        <w:rPr>
          <w:rStyle w:val="1057"/>
          <w:rFonts w:ascii="Cambria" w:hAnsi="Cambria" w:cs="Cambria"/>
          <w:i w:val="0"/>
          <w:iCs w:val="0"/>
          <w:color w:val="000000" w:themeColor="text1"/>
          <w:sz w:val="22"/>
          <w:szCs w:val="22"/>
          <w:highlight w:val="white"/>
          <w:u w:val="single"/>
          <w:shd w:val="clear" w:color="auto" w:fill="00ffff"/>
        </w:rPr>
        <w:t xml:space="preserve">O licitante NÃO poderá </w:t>
      </w:r>
      <w:r>
        <w:rPr>
          <w:rStyle w:val="1057"/>
          <w:rFonts w:ascii="Cambria" w:hAnsi="Cambria" w:cs="Cambria"/>
          <w:i w:val="0"/>
          <w:iCs w:val="0"/>
          <w:color w:val="000000" w:themeColor="text1"/>
          <w:sz w:val="22"/>
          <w:szCs w:val="22"/>
          <w:highlight w:val="white"/>
        </w:rPr>
        <w:t xml:space="preserve">oferecer</w:t>
      </w:r>
      <w:r>
        <w:rPr>
          <w:rStyle w:val="1057"/>
          <w:rFonts w:ascii="Cambria" w:hAnsi="Cambria" w:cs="Cambria"/>
          <w:i w:val="0"/>
          <w:iCs w:val="0"/>
          <w:color w:val="000000" w:themeColor="text1"/>
          <w:sz w:val="22"/>
          <w:szCs w:val="22"/>
          <w:highlight w:val="white"/>
          <w:u w:val="single"/>
          <w:shd w:val="clear" w:color="auto" w:fill="00ffff"/>
        </w:rPr>
        <w:t xml:space="preserve"> proposta em quantitativo inferior ao máximo previsto para contratação.</w:t>
      </w:r>
      <w:r>
        <w:rPr>
          <w:rFonts w:ascii="Cambria" w:hAnsi="Cambria" w:cs="Cambria"/>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Style w:val="1057"/>
          <w:rFonts w:ascii="Cambria" w:hAnsi="Cambria" w:cs="Cambria"/>
          <w:i w:val="0"/>
          <w:iCs w:val="0"/>
          <w:color w:val="000000" w:themeColor="text1"/>
          <w:sz w:val="22"/>
          <w:szCs w:val="22"/>
          <w:highlight w:val="white"/>
          <w:u w:val="single"/>
          <w:shd w:val="clear" w:color="auto" w:fill="00ffff"/>
        </w:rPr>
      </w:r>
      <w:r>
        <w:rPr>
          <w:rFonts w:ascii="Cambria" w:hAnsi="Cambria" w:cs="Cambria"/>
          <w:i w:val="0"/>
          <w:iCs w:val="0"/>
          <w:color w:val="000000" w:themeColor="text1"/>
          <w:sz w:val="22"/>
          <w:szCs w:val="22"/>
          <w:highlight w:val="white"/>
        </w:rPr>
        <w:t xml:space="preserve">Nos valores propostos estarão inclusos todos os custos operacionais, encargos previdenciários, trabalhistas, tributários, comerciais e quaisquer outros que incidam di</w:t>
      </w:r>
      <w:r>
        <w:rPr>
          <w:rFonts w:ascii="Cambria" w:hAnsi="Cambria" w:cs="Cambria"/>
          <w:i w:val="0"/>
          <w:iCs w:val="0"/>
          <w:color w:val="000000" w:themeColor="text1"/>
          <w:sz w:val="22"/>
          <w:szCs w:val="22"/>
        </w:rPr>
        <w:t xml:space="preserve">reta ou indiretamente na execução do objeto.</w:t>
      </w:r>
      <w:r>
        <w:rPr>
          <w:rFonts w:ascii="Cambria" w:hAnsi="Cambria" w:cs="Cambria"/>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highlight w:val="white"/>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highlight w:val="white"/>
        </w:rPr>
        <w:t xml:space="preserve">Independentemente do percentual de tributo inserido na planilha, no pagamento serão retidos na fonte os percentuais estabelecidos na legislação vigente</w:t>
      </w:r>
      <w:r>
        <w:rPr>
          <w:rFonts w:ascii="Cambria" w:hAnsi="Cambria" w:cs="Cambria"/>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highlight w:val="white"/>
        </w:rPr>
      </w:pPr>
      <w:r>
        <w:rPr>
          <w:rFonts w:ascii="Cambria" w:hAnsi="Cambria" w:cs="Cambria"/>
          <w:i w:val="0"/>
          <w:iCs w:val="0"/>
          <w:color w:val="000000" w:themeColor="text1"/>
          <w:sz w:val="22"/>
          <w:szCs w:val="22"/>
          <w:highlight w:val="white"/>
        </w:rPr>
      </w:r>
      <w:r>
        <w:rPr>
          <w:rFonts w:ascii="Cambria" w:hAnsi="Cambria" w:cs="Cambria"/>
          <w:i w:val="0"/>
          <w:iCs w:val="0"/>
          <w:color w:val="000000" w:themeColor="text1"/>
          <w:sz w:val="22"/>
          <w:szCs w:val="22"/>
          <w:highlight w:val="white"/>
        </w:rPr>
        <w:t xml:space="preserve">Na presente licitação, a Microempresa e a Empresa de Pequeno Porte não poderão se beneficiar do regime de tributação pelo </w:t>
      </w:r>
      <w:r>
        <w:rPr>
          <w:rFonts w:ascii="Cambria" w:hAnsi="Cambria" w:cs="Cambria"/>
          <w:i w:val="0"/>
          <w:iCs w:val="0"/>
          <w:color w:val="000000" w:themeColor="text1"/>
          <w:sz w:val="22"/>
          <w:szCs w:val="22"/>
          <w:highlight w:val="white"/>
        </w:rPr>
        <w:t xml:space="preserve">Simples Nacional, visto que os serviços serão prestados com disponibilização de trabalhadores em dedicação exclusiva de mão de obra, o que configura cessão de mão de obra para fins tributários, conforme art. 17, inciso XII, da Lei Complementar no 123/2006.</w:t>
      </w:r>
      <w:r>
        <w:rPr>
          <w:rFonts w:ascii="Cambria" w:hAnsi="Cambria" w:cs="Cambria"/>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highlight w:val="white"/>
        </w:rPr>
      </w:r>
      <w:r>
        <w:rPr>
          <w:rFonts w:ascii="Cambria" w:hAnsi="Cambria" w:cs="Cambria"/>
          <w:i w:val="0"/>
          <w:iCs w:val="0"/>
          <w:color w:val="000000" w:themeColor="text1"/>
          <w:sz w:val="22"/>
          <w:szCs w:val="22"/>
        </w:rPr>
        <w:t xml:space="preserve">A apresentação das propostas implica obrigatoriedade do cumprimento das disposições nelas contidas, em conformidade com o que dispõe o Termo de Referência, assumindo o proponente o comprom</w:t>
      </w:r>
      <w:r>
        <w:rPr>
          <w:rFonts w:ascii="Cambria" w:hAnsi="Cambria" w:cs="Cambria"/>
          <w:i w:val="0"/>
          <w:iCs w:val="0"/>
          <w:color w:val="000000" w:themeColor="text1"/>
          <w:sz w:val="22"/>
          <w:szCs w:val="22"/>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prazo de validade da proposta não será inferior a </w:t>
      </w:r>
      <w:r>
        <w:rPr>
          <w:rFonts w:ascii="Cambria" w:hAnsi="Cambria" w:cs="Cambria"/>
          <w:b/>
          <w:bCs/>
          <w:i w:val="0"/>
          <w:iCs w:val="0"/>
          <w:color w:val="000000" w:themeColor="text1"/>
          <w:sz w:val="22"/>
          <w:szCs w:val="22"/>
        </w:rPr>
        <w:t xml:space="preserve">60 (sessenta)</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dias</w:t>
      </w:r>
      <w:r>
        <w:rPr>
          <w:rFonts w:ascii="Cambria" w:hAnsi="Cambria" w:cs="Cambria"/>
          <w:b/>
          <w:bCs/>
          <w:i w:val="0"/>
          <w:iCs w:val="0"/>
          <w:color w:val="000000" w:themeColor="text1"/>
          <w:sz w:val="22"/>
          <w:szCs w:val="22"/>
        </w:rPr>
        <w:t xml:space="preserve">,</w:t>
      </w:r>
      <w:r>
        <w:rPr>
          <w:rFonts w:ascii="Cambria" w:hAnsi="Cambria" w:cs="Cambria"/>
          <w:i w:val="0"/>
          <w:iCs w:val="0"/>
          <w:color w:val="000000" w:themeColor="text1"/>
          <w:sz w:val="22"/>
          <w:szCs w:val="22"/>
        </w:rPr>
        <w:t xml:space="preserve"> a contar da data de sua apresentação.</w:t>
      </w:r>
      <w:r>
        <w:rPr>
          <w:rFonts w:ascii="Cambria" w:hAnsi="Cambria" w:cs="Cambria"/>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licitantes devem respeitar os preços máximos estabelecidos nas normas de regência de contratações públicas federais, quando participarem de licitações públicas;</w:t>
      </w:r>
      <w:r>
        <w:rPr>
          <w:rFonts w:ascii="Cambria" w:hAnsi="Cambria" w:cs="Cambria"/>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Caso o critério de julgamento seja o de maior desconto, o preço já decorrente da aplicação do desconto ofertado deverá respeitar os preços máximos previstos no item 4.9.</w:t>
      </w:r>
      <w:r>
        <w:rPr>
          <w:rFonts w:ascii="Cambria" w:hAnsi="Cambria" w:cs="Cambria"/>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descumprimento das regras supramencionadas pela Administração por parte dos contratados pode ensejar a </w:t>
      </w:r>
      <w:r>
        <w:rPr>
          <w:rFonts w:ascii="Cambria" w:hAnsi="Cambria" w:cs="Cambria"/>
          <w:i w:val="0"/>
          <w:iCs w:val="0"/>
          <w:color w:val="000000" w:themeColor="text1"/>
          <w:sz w:val="22"/>
          <w:szCs w:val="22"/>
        </w:rPr>
        <w:t xml:space="preserve">responsabilização pelo</w:t>
      </w:r>
      <w:r>
        <w:rPr>
          <w:rFonts w:ascii="Cambria" w:hAnsi="Cambria" w:cs="Cambria"/>
          <w:i w:val="0"/>
          <w:iCs w:val="0"/>
          <w:color w:val="000000" w:themeColor="text1"/>
          <w:sz w:val="22"/>
          <w:szCs w:val="22"/>
        </w:rPr>
        <w:t xml:space="preserve"> Tribunal de Contas da União e, após o devido processo legal, gerar as seguintes consequências: assinatura de prazo para a adoção das medidas necessárias ao exato cumprimento da lei, nos termos do </w:t>
      </w:r>
      <w:hyperlink r:id="rId29" w:tooltip="https://www.planalto.gov.br/ccivil_03/constituicao/constituicaocompilado.htm" w:history="1">
        <w:r>
          <w:rPr>
            <w:rStyle w:val="863"/>
            <w:rFonts w:ascii="Cambria" w:hAnsi="Cambria" w:cs="Cambria"/>
            <w:i w:val="0"/>
            <w:iCs w:val="0"/>
            <w:color w:val="000000" w:themeColor="text1"/>
            <w:sz w:val="22"/>
            <w:szCs w:val="22"/>
          </w:rPr>
          <w:t xml:space="preserve">art. 71, inciso IX, da Constituição</w:t>
        </w:r>
      </w:hyperlink>
      <w:r>
        <w:rPr>
          <w:rFonts w:ascii="Cambria" w:hAnsi="Cambria" w:cs="Cambria"/>
          <w:i w:val="0"/>
          <w:iCs w:val="0"/>
          <w:color w:val="000000" w:themeColor="text1"/>
          <w:sz w:val="22"/>
          <w:szCs w:val="22"/>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bCs w:val="0"/>
          <w:i w:val="0"/>
          <w:iCs w:val="0"/>
          <w:color w:val="000000" w:themeColor="text1"/>
          <w:sz w:val="22"/>
          <w:szCs w:val="22"/>
        </w:rPr>
      </w:r>
      <w:r/>
    </w:p>
    <w:p>
      <w:pPr>
        <w:pStyle w:val="1111"/>
        <w:numPr>
          <w:ilvl w:val="0"/>
          <w:numId w:val="0"/>
        </w:numPr>
        <w:ind w:left="360" w:firstLine="0"/>
        <w:spacing w:before="0" w:after="0" w:line="240" w:lineRule="auto"/>
        <w:rPr>
          <w:rFonts w:ascii="Cambria" w:hAnsi="Cambria" w:cs="Cambria"/>
          <w:bCs w:val="0"/>
          <w:i w:val="0"/>
          <w:color w:val="000000" w:themeColor="text1"/>
          <w:sz w:val="22"/>
          <w:szCs w:val="22"/>
        </w:rPr>
      </w:pPr>
      <w:r>
        <w:rPr>
          <w:rFonts w:ascii="Cambria" w:hAnsi="Cambria" w:cs="Cambria"/>
          <w:bCs w:val="0"/>
          <w:i w:val="0"/>
          <w:iCs w:val="0"/>
          <w:color w:val="000000" w:themeColor="text1"/>
          <w:sz w:val="22"/>
          <w:szCs w:val="22"/>
          <w:highlight w:val="none"/>
        </w:rPr>
      </w:r>
      <w:r>
        <w:rPr>
          <w:rFonts w:ascii="Cambria" w:hAnsi="Cambria" w:cs="Cambria"/>
          <w:bCs w:val="0"/>
          <w:i w:val="0"/>
          <w:iCs w:val="0"/>
          <w:color w:val="000000" w:themeColor="text1"/>
          <w:sz w:val="22"/>
          <w:szCs w:val="22"/>
          <w:highlight w:val="none"/>
        </w:rPr>
      </w:r>
      <w:r/>
    </w:p>
    <w:p>
      <w:pPr>
        <w:pStyle w:val="1111"/>
        <w:numPr>
          <w:ilvl w:val="0"/>
          <w:numId w:val="2"/>
        </w:numPr>
        <w:spacing w:before="0" w:after="0" w:line="240" w:lineRule="auto"/>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b/>
          <w:bCs/>
          <w:i w:val="0"/>
          <w:iCs w:val="0"/>
          <w:color w:val="000000" w:themeColor="text1"/>
          <w:sz w:val="22"/>
          <w:szCs w:val="22"/>
        </w:rPr>
      </w:r>
      <w:bookmarkStart w:id="36" w:name="_Toc135469228"/>
      <w:r>
        <w:rPr>
          <w:rFonts w:ascii="Cambria" w:hAnsi="Cambria" w:cs="Cambria"/>
          <w:b/>
          <w:bCs/>
          <w:i w:val="0"/>
          <w:iCs w:val="0"/>
          <w:color w:val="000000" w:themeColor="text1"/>
          <w:sz w:val="22"/>
          <w:szCs w:val="22"/>
        </w:rPr>
        <w:t xml:space="preserve">DA ABERTURA DA SESSÃO, CLASSIFICAÇÃO DAS PROPOSTAS E FORMULAÇÃO DE LANCES</w:t>
      </w:r>
      <w:bookmarkEnd w:id="36"/>
      <w:r>
        <w:rPr>
          <w:rFonts w:ascii="Cambria" w:hAnsi="Cambria" w:cs="Cambria"/>
          <w:b/>
          <w:bCs/>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color w:val="000000" w:themeColor="text1"/>
          <w:sz w:val="22"/>
          <w:szCs w:val="22"/>
        </w:rPr>
      </w:r>
      <w:bookmarkStart w:id="37" w:name="_Hlk114646655"/>
      <w:r>
        <w:rPr>
          <w:rFonts w:ascii="Cambria" w:hAnsi="Cambria" w:cs="Cambria"/>
          <w:i w:val="0"/>
          <w:iCs w:val="0"/>
          <w:color w:val="000000" w:themeColor="text1"/>
          <w:sz w:val="22"/>
          <w:szCs w:val="22"/>
        </w:rPr>
        <w:t xml:space="preserve">A </w:t>
      </w:r>
      <w:r>
        <w:rPr>
          <w:rFonts w:ascii="Cambria" w:hAnsi="Cambria" w:cs="Cambria"/>
          <w:i w:val="0"/>
          <w:iCs w:val="0"/>
          <w:color w:val="000000" w:themeColor="text1"/>
          <w:sz w:val="22"/>
          <w:szCs w:val="22"/>
        </w:rPr>
        <w:t xml:space="preserve">abertura da presente licitação dar-se-á automaticamente em sessão pública, por meio de sistema eletrônico, na data, horário e local indicados neste Edital.</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licitantes poderão retirar ou substituir a proposta ou os documentos de habilitação, quando for o caso, anteriormente inseridos no sistema, até a abertura da sessão pública.</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sistema disponibilizará campo próprio para troca de mensagens entre o Pregoeiro e os licitantes.</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lance deverá ser ofertado pelo valor unitário do </w:t>
      </w:r>
      <w:r>
        <w:rPr>
          <w:rFonts w:ascii="Cambria" w:hAnsi="Cambria" w:cs="Cambria"/>
          <w:i w:val="0"/>
          <w:iCs w:val="0"/>
          <w:color w:val="000000" w:themeColor="text1"/>
          <w:sz w:val="22"/>
          <w:szCs w:val="22"/>
        </w:rPr>
        <w:t xml:space="preserve">item</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licitantes poderão oferecer lances sucessivos, observando o horário fixado para abertura da sessão e as regras estabelecidas no Edital.</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licitante somente poderá oferecer lance </w:t>
      </w:r>
      <w:r>
        <w:rPr>
          <w:rFonts w:ascii="Cambria" w:hAnsi="Cambria" w:cs="Cambria"/>
          <w:i w:val="0"/>
          <w:iCs w:val="0"/>
          <w:color w:val="000000" w:themeColor="text1"/>
          <w:sz w:val="22"/>
          <w:szCs w:val="22"/>
        </w:rPr>
        <w:t xml:space="preserve">de valor</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inferior</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ao último por ele ofertado e registrado pelo sistema. </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intervalo mínimo de diferença de valores ou percentuais entre os lances, que incidirá tanto em relação aos lances intermediários quanto em relação à proposta que cobrir a melhor oferta deverá ser</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de 0,01 (um centavo)</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licitante poderá, uma única vez, excluir seu último lance ofertado, no intervalo de quinze segundos após o registro no sistema, na hipótese de lance inconsistente ou inexequível.</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procedimento seguirá de acordo com o modo de disputa adotado.</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41" w:name="_Hlk113697759"/>
      <w:r>
        <w:rPr>
          <w:rFonts w:ascii="Cambria" w:hAnsi="Cambria" w:cs="Cambria"/>
          <w:i w:val="0"/>
          <w:iCs w:val="0"/>
          <w:color w:val="000000" w:themeColor="text1"/>
          <w:sz w:val="22"/>
          <w:szCs w:val="22"/>
        </w:rPr>
        <w:t xml:space="preserve">Caso seja adotado para o envio de lances no pregão eletrônico o modo de disputa “aberto”, os licitantes apresentarão lances públicos e sucessivos, com prorrogações.</w:t>
      </w:r>
      <w:bookmarkEnd w:id="41"/>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r>
      <w:bookmarkStart w:id="42" w:name="_Hlk113697816"/>
      <w:r>
        <w:rPr>
          <w:rFonts w:ascii="Cambria" w:hAnsi="Cambria" w:cs="Cambria"/>
          <w:i w:val="0"/>
          <w:iCs w:val="0"/>
          <w:color w:val="000000" w:themeColor="text1"/>
          <w:sz w:val="22"/>
          <w:szCs w:val="22"/>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Definida</w:t>
      </w:r>
      <w:r>
        <w:rPr>
          <w:rFonts w:ascii="Cambria" w:hAnsi="Cambria" w:cs="Cambria"/>
          <w:i w:val="0"/>
          <w:iCs w:val="0"/>
          <w:color w:val="000000" w:themeColor="text1"/>
          <w:sz w:val="22"/>
          <w:szCs w:val="22"/>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Após o reinício previsto no item supra, os licitantes serão convocados para apresentar lances intermediários.</w:t>
      </w:r>
      <w:bookmarkStart w:id="43" w:name="_Hlk113631522"/>
      <w:r>
        <w:rPr>
          <w:rFonts w:ascii="Cambria" w:hAnsi="Cambria" w:cs="Cambria"/>
          <w:i w:val="0"/>
          <w:iCs w:val="0"/>
          <w:color w:val="000000" w:themeColor="text1"/>
          <w:sz w:val="22"/>
          <w:szCs w:val="22"/>
        </w:rPr>
      </w:r>
      <w:bookmarkEnd w:id="42"/>
      <w:r>
        <w:rPr>
          <w:rFonts w:ascii="Cambria" w:hAnsi="Cambria" w:cs="Cambria"/>
          <w:i w:val="0"/>
          <w:iCs w:val="0"/>
          <w:color w:val="000000" w:themeColor="text1"/>
          <w:sz w:val="22"/>
          <w:szCs w:val="22"/>
        </w:rPr>
      </w:r>
      <w:bookmarkEnd w:id="43"/>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A etapa de lances da sessão pública terá duraçã</w:t>
      </w:r>
      <w:r>
        <w:rPr>
          <w:rFonts w:ascii="Cambria" w:hAnsi="Cambria" w:cs="Cambria"/>
          <w:i w:val="0"/>
          <w:iCs w:val="0"/>
          <w:color w:val="000000" w:themeColor="text1"/>
          <w:sz w:val="22"/>
          <w:szCs w:val="22"/>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Encerrado o prazo previsto no subitem anterior, o sistema abrirá oportunidade para que o autor da oferta de valor mais baixo e os das ofertas com preços até 10% (dez por cento) </w:t>
      </w:r>
      <w:r>
        <w:rPr>
          <w:rFonts w:ascii="Cambria" w:hAnsi="Cambria" w:cs="Cambria"/>
          <w:i w:val="0"/>
          <w:iCs w:val="0"/>
          <w:color w:val="000000" w:themeColor="text1"/>
          <w:sz w:val="22"/>
          <w:szCs w:val="22"/>
        </w:rPr>
        <w:t xml:space="preserve">superiores</w:t>
      </w:r>
      <w:r>
        <w:rPr>
          <w:rFonts w:ascii="Cambria" w:hAnsi="Cambria" w:cs="Cambria"/>
          <w:i w:val="0"/>
          <w:iCs w:val="0"/>
          <w:color w:val="000000" w:themeColor="text1"/>
          <w:sz w:val="22"/>
          <w:szCs w:val="22"/>
        </w:rPr>
        <w:t xml:space="preserve"> àquela possam ofertar um lance final e fechado em até cinco minutos, o qual será sigiloso até o encerramento deste prazo.</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No procedimento de que trata o subitem supra, o licitante poderá optar por manter o seu último lance da etapa aberta, ou por ofertar melhor lance.</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havendo pelo menos trê</w:t>
      </w:r>
      <w:r>
        <w:rPr>
          <w:rFonts w:ascii="Cambria" w:hAnsi="Cambria" w:cs="Cambria"/>
          <w:i w:val="0"/>
          <w:iCs w:val="0"/>
          <w:color w:val="000000" w:themeColor="text1"/>
          <w:sz w:val="22"/>
          <w:szCs w:val="22"/>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45" w:name="_Hlk113698144"/>
      <w:r>
        <w:rPr>
          <w:rFonts w:ascii="Cambria" w:hAnsi="Cambria" w:cs="Cambria"/>
          <w:i w:val="0"/>
          <w:iCs w:val="0"/>
          <w:color w:val="000000" w:themeColor="text1"/>
          <w:sz w:val="22"/>
          <w:szCs w:val="22"/>
        </w:rPr>
        <w:t xml:space="preserve">Após o término dos prazos estabelecidos nos itens anteriores, o sistema ordenará e divulgará os lances segundo a ordem crescente de valores.</w:t>
      </w:r>
      <w:bookmarkEnd w:id="45"/>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Definida</w:t>
      </w:r>
      <w:r>
        <w:rPr>
          <w:rFonts w:ascii="Cambria" w:hAnsi="Cambria" w:cs="Cambria"/>
          <w:i w:val="0"/>
          <w:iCs w:val="0"/>
          <w:color w:val="000000" w:themeColor="text1"/>
          <w:sz w:val="22"/>
          <w:szCs w:val="22"/>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Após o reinício previsto no subitem supra, os licitantes serão convocados para apresentar lances intermediários.  </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Após o término dos prazos estabelecidos nos subitens anteriores, o sistema ordenará e divulgará os lances segundo a ordem crescente de valores.</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serão aceitos dois ou mais lances de mesmo valor, prevalecendo aquele que for recebido e registrado em primeiro lugar. </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Durante o transcurso da sessão pública, os licitantes serão informados, em tempo real, do valor do menor lance registrado, vedada a identificação do licitante. </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No caso de desconexão com o Pregoeiro, no decorrer da etapa competitiva do Pregão, o sistema eletrônico poderá permanecer acessível aos licitantes para a recepção dos lances. </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Quando a desconexão do sistema eletrôni</w:t>
      </w:r>
      <w:r>
        <w:rPr>
          <w:rFonts w:ascii="Cambria" w:hAnsi="Cambria" w:cs="Cambria"/>
          <w:i w:val="0"/>
          <w:iCs w:val="0"/>
          <w:color w:val="000000" w:themeColor="text1"/>
          <w:sz w:val="22"/>
          <w:szCs w:val="22"/>
        </w:rPr>
        <w:t xml:space="preserve">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Caso o licitante não apresente lances, concorrerá com o valor de sua proposta.</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No caso de equivalênci</w:t>
      </w:r>
      <w:r>
        <w:rPr>
          <w:rFonts w:ascii="Cambria" w:hAnsi="Cambria" w:cs="Cambria"/>
          <w:i w:val="0"/>
          <w:iCs w:val="0"/>
          <w:color w:val="000000" w:themeColor="text1"/>
          <w:sz w:val="22"/>
          <w:szCs w:val="22"/>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Só poderá haver empate entre propostas iguais (não seguidas de lances), ou entre lances finais da fase fechada do modo de disputa aberto e fechado. </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Havendo eventual empate entre propostas ou lances, o critério de desempate será aquele previsto no </w:t>
      </w:r>
      <w:hyperlink r:id="rId30" w:tooltip="http://www.planalto.gov.br/ccivil_03/_ato2019-2022/2021/lei/L14133.htm#art60" w:anchor="art60" w:history="1">
        <w:r>
          <w:rPr>
            <w:rStyle w:val="863"/>
            <w:rFonts w:ascii="Cambria" w:hAnsi="Cambria" w:eastAsia="Arial" w:cs="Cambria"/>
            <w:i w:val="0"/>
            <w:iCs w:val="0"/>
            <w:color w:val="000000" w:themeColor="text1"/>
            <w:sz w:val="22"/>
            <w:szCs w:val="22"/>
          </w:rPr>
          <w:t xml:space="preserve">art</w:t>
        </w:r>
        <w:r>
          <w:rPr>
            <w:rStyle w:val="863"/>
            <w:rFonts w:ascii="Cambria" w:hAnsi="Cambria" w:cs="Cambria"/>
            <w:i w:val="0"/>
            <w:iCs w:val="0"/>
            <w:color w:val="000000" w:themeColor="text1"/>
            <w:sz w:val="22"/>
            <w:szCs w:val="22"/>
          </w:rPr>
          <w:t xml:space="preserve">. 60 da Lei nº 14.133, de 2021</w:t>
        </w:r>
      </w:hyperlink>
      <w:r>
        <w:rPr>
          <w:rFonts w:ascii="Cambria" w:hAnsi="Cambria" w:cs="Cambria"/>
          <w:i w:val="0"/>
          <w:iCs w:val="0"/>
          <w:color w:val="000000" w:themeColor="text1"/>
          <w:sz w:val="22"/>
          <w:szCs w:val="22"/>
        </w:rPr>
        <w:t xml:space="preserve">, nesta ordem:</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disputa final, hipótese em que os licitantes empatados poderão apresentar nova proposta em ato contínuo à classificação;</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desenvolvimento pelo licitante de ações de equidade entre homens e mulheres no ambiente de trabalho, conforme regulamento;</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desenvolvimento pelo licitante de programa de integridade, conforme orientações dos órgãos de controle.</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Persistindo o empate, será assegurada preferência, sucessivamente, aos equipamentos e serviços produzidos ou prestados por:</w:t>
      </w:r>
      <w:r>
        <w:rPr>
          <w:rFonts w:ascii="Cambria" w:hAnsi="Cambria" w:cs="Cambria"/>
          <w:b/>
          <w:bCs w:val="0"/>
          <w:i w:val="0"/>
          <w:iCs w:val="0"/>
          <w:color w:val="000000" w:themeColor="text1"/>
          <w:sz w:val="22"/>
          <w:szCs w:val="22"/>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48" w:name="art60§1i"/>
      <w:r>
        <w:rPr>
          <w:rFonts w:ascii="Cambria" w:hAnsi="Cambria" w:cs="Cambria"/>
          <w:i w:val="0"/>
          <w:iCs w:val="0"/>
          <w:color w:val="000000" w:themeColor="text1"/>
          <w:sz w:val="22"/>
          <w:szCs w:val="22"/>
        </w:rPr>
      </w:r>
      <w:bookmarkEnd w:id="48"/>
      <w:r>
        <w:rPr>
          <w:rFonts w:ascii="Cambria" w:hAnsi="Cambria" w:cs="Cambria"/>
          <w:i w:val="0"/>
          <w:iCs w:val="0"/>
          <w:color w:val="000000" w:themeColor="text1"/>
          <w:sz w:val="22"/>
          <w:szCs w:val="22"/>
        </w:rPr>
        <w:t xml:space="preserve">empresas es</w:t>
      </w:r>
      <w:r>
        <w:rPr>
          <w:rFonts w:ascii="Cambria" w:hAnsi="Cambria" w:cs="Cambria"/>
          <w:i w:val="0"/>
          <w:iCs w:val="0"/>
          <w:color w:val="000000" w:themeColor="text1"/>
          <w:sz w:val="22"/>
          <w:szCs w:val="22"/>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mbria" w:hAnsi="Cambria" w:cs="Cambria"/>
          <w:b/>
          <w:bCs w:val="0"/>
          <w:i w:val="0"/>
          <w:iCs w:val="0"/>
          <w:color w:val="000000" w:themeColor="text1"/>
          <w:sz w:val="22"/>
          <w:szCs w:val="22"/>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49" w:name="art60§1ii"/>
      <w:r>
        <w:rPr>
          <w:rFonts w:ascii="Cambria" w:hAnsi="Cambria" w:cs="Cambria"/>
          <w:i w:val="0"/>
          <w:iCs w:val="0"/>
          <w:color w:val="000000" w:themeColor="text1"/>
          <w:sz w:val="22"/>
          <w:szCs w:val="22"/>
        </w:rPr>
      </w:r>
      <w:bookmarkEnd w:id="49"/>
      <w:r>
        <w:rPr>
          <w:rFonts w:ascii="Cambria" w:hAnsi="Cambria" w:cs="Cambria"/>
          <w:i w:val="0"/>
          <w:iCs w:val="0"/>
          <w:color w:val="000000" w:themeColor="text1"/>
          <w:sz w:val="22"/>
          <w:szCs w:val="22"/>
        </w:rPr>
        <w:t xml:space="preserve">empresas brasileiras;</w:t>
      </w:r>
      <w:r>
        <w:rPr>
          <w:rFonts w:ascii="Cambria" w:hAnsi="Cambria" w:cs="Cambria"/>
          <w:b/>
          <w:bCs w:val="0"/>
          <w:i w:val="0"/>
          <w:iCs w:val="0"/>
          <w:color w:val="000000" w:themeColor="text1"/>
          <w:sz w:val="22"/>
          <w:szCs w:val="22"/>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50" w:name="art60§1iii"/>
      <w:r>
        <w:rPr>
          <w:rFonts w:ascii="Cambria" w:hAnsi="Cambria" w:cs="Cambria"/>
          <w:i w:val="0"/>
          <w:iCs w:val="0"/>
          <w:color w:val="000000" w:themeColor="text1"/>
          <w:sz w:val="22"/>
          <w:szCs w:val="22"/>
        </w:rPr>
      </w:r>
      <w:bookmarkEnd w:id="50"/>
      <w:r>
        <w:rPr>
          <w:rFonts w:ascii="Cambria" w:hAnsi="Cambria" w:cs="Cambria"/>
          <w:i w:val="0"/>
          <w:iCs w:val="0"/>
          <w:color w:val="000000" w:themeColor="text1"/>
          <w:sz w:val="22"/>
          <w:szCs w:val="22"/>
        </w:rPr>
        <w:t xml:space="preserve">empresas que invistam em pesquisa e no desenvolvimento de tecnologia no País;</w:t>
      </w:r>
      <w:r>
        <w:rPr>
          <w:rFonts w:ascii="Cambria" w:hAnsi="Cambria" w:cs="Cambria"/>
          <w:b/>
          <w:bCs w:val="0"/>
          <w:i w:val="0"/>
          <w:iCs w:val="0"/>
          <w:color w:val="000000" w:themeColor="text1"/>
          <w:sz w:val="22"/>
          <w:szCs w:val="22"/>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51" w:name="art60§1iv"/>
      <w:r>
        <w:rPr>
          <w:rFonts w:ascii="Cambria" w:hAnsi="Cambria" w:cs="Cambria"/>
          <w:i w:val="0"/>
          <w:iCs w:val="0"/>
          <w:color w:val="000000" w:themeColor="text1"/>
          <w:sz w:val="22"/>
          <w:szCs w:val="22"/>
        </w:rPr>
      </w:r>
      <w:bookmarkEnd w:id="51"/>
      <w:r>
        <w:rPr>
          <w:rFonts w:ascii="Cambria" w:hAnsi="Cambria" w:cs="Cambria"/>
          <w:i w:val="0"/>
          <w:iCs w:val="0"/>
          <w:color w:val="000000" w:themeColor="text1"/>
          <w:sz w:val="22"/>
          <w:szCs w:val="22"/>
        </w:rPr>
        <w:t xml:space="preserve">empresas que comprovem a prática de mitigação, nos termos da </w:t>
      </w:r>
      <w:hyperlink r:id="rId31"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863"/>
            <w:rFonts w:ascii="Cambria" w:hAnsi="Cambria" w:cs="Cambria"/>
            <w:i w:val="0"/>
            <w:iCs w:val="0"/>
            <w:color w:val="000000" w:themeColor="text1"/>
            <w:sz w:val="22"/>
            <w:szCs w:val="22"/>
          </w:rPr>
          <w:t xml:space="preserve">Lei nº 12.187, de 29 de dezembro de 2009</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Encerrada a etapa de envio</w:t>
      </w:r>
      <w:r>
        <w:rPr>
          <w:rFonts w:ascii="Cambria" w:hAnsi="Cambria" w:cs="Cambria"/>
          <w:i w:val="0"/>
          <w:iCs w:val="0"/>
          <w:color w:val="000000" w:themeColor="text1"/>
          <w:sz w:val="22"/>
          <w:szCs w:val="22"/>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highlight w:val="white"/>
        </w:rPr>
      </w:pPr>
      <w:r>
        <w:rPr>
          <w:rFonts w:ascii="Cambria" w:hAnsi="Cambria" w:cs="Cambria"/>
          <w:i w:val="0"/>
          <w:iCs w:val="0"/>
          <w:color w:val="000000" w:themeColor="text1"/>
          <w:sz w:val="22"/>
          <w:szCs w:val="22"/>
          <w:highlight w:val="white"/>
        </w:rPr>
      </w:r>
      <w:r>
        <w:rPr>
          <w:rFonts w:ascii="Cambria" w:hAnsi="Cambria" w:cs="Cambria"/>
          <w:i w:val="0"/>
          <w:iCs w:val="0"/>
          <w:color w:val="000000" w:themeColor="text1"/>
          <w:sz w:val="22"/>
          <w:szCs w:val="22"/>
          <w:highlight w:val="white"/>
        </w:rPr>
        <w:t xml:space="preserve">Não será admitida a previsão de preços diferentes em razão de local de entrega ou de acondicionamento, tamanho de lote ou qualquer outro motivo </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highlight w:val="white"/>
        </w:rPr>
      </w:r>
      <w:r>
        <w:rPr>
          <w:rFonts w:ascii="Cambria" w:hAnsi="Cambria" w:cs="Cambria"/>
          <w:i w:val="0"/>
          <w:iCs w:val="0"/>
          <w:color w:val="000000" w:themeColor="text1"/>
          <w:sz w:val="22"/>
          <w:szCs w:val="22"/>
          <w:highlight w:val="white"/>
        </w:rPr>
        <w:t xml:space="preserve">A negociação poderá</w:t>
      </w:r>
      <w:r>
        <w:rPr>
          <w:rFonts w:ascii="Cambria" w:hAnsi="Cambria" w:cs="Cambria"/>
          <w:i w:val="0"/>
          <w:iCs w:val="0"/>
          <w:color w:val="000000" w:themeColor="text1"/>
          <w:sz w:val="22"/>
          <w:szCs w:val="22"/>
          <w:highlight w:val="white"/>
        </w:rPr>
        <w:t xml:space="preserve"> ser feita com os demais licitantes, se</w:t>
      </w:r>
      <w:r>
        <w:rPr>
          <w:rFonts w:ascii="Cambria" w:hAnsi="Cambria" w:cs="Cambria"/>
          <w:i w:val="0"/>
          <w:iCs w:val="0"/>
          <w:color w:val="000000" w:themeColor="text1"/>
          <w:sz w:val="22"/>
          <w:szCs w:val="22"/>
        </w:rPr>
        <w:t xml:space="preserv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eastAsia="Times New Roman" w:cs="Cambria"/>
          <w:i w:val="0"/>
          <w:iCs w:val="0"/>
          <w:color w:val="000000" w:themeColor="text1"/>
          <w:sz w:val="22"/>
          <w:szCs w:val="22"/>
        </w:rPr>
        <w:t xml:space="preserve">A </w:t>
      </w:r>
      <w:r>
        <w:rPr>
          <w:rFonts w:ascii="Cambria" w:hAnsi="Cambria" w:cs="Cambria"/>
          <w:i w:val="0"/>
          <w:iCs w:val="0"/>
          <w:color w:val="000000" w:themeColor="text1"/>
          <w:sz w:val="22"/>
          <w:szCs w:val="22"/>
        </w:rPr>
        <w:t xml:space="preserve">negociação será realizada por meio do sistema, podendo ser acompanhada pelos demais licitantes.</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resultado da negociação será divulgado a todos os licitantes e anexado aos autos do processo licitatório.</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pregoeiro solicitará ao licitante mais bem classificado que, no prazo de </w:t>
      </w:r>
      <w:r>
        <w:rPr>
          <w:rFonts w:ascii="Cambria" w:hAnsi="Cambria" w:cs="Cambria"/>
          <w:i w:val="0"/>
          <w:iCs w:val="0"/>
          <w:color w:val="000000" w:themeColor="text1"/>
          <w:sz w:val="22"/>
          <w:szCs w:val="22"/>
        </w:rPr>
        <w:t xml:space="preserve">2 (duas) horas</w:t>
      </w:r>
      <w:r>
        <w:rPr>
          <w:rFonts w:ascii="Cambria" w:hAnsi="Cambria" w:cs="Cambria"/>
          <w:i w:val="0"/>
          <w:iCs w:val="0"/>
          <w:color w:val="000000" w:themeColor="text1"/>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r>
        <w:rPr>
          <w:rFonts w:ascii="Cambria" w:hAnsi="Cambria" w:cs="Cambria"/>
          <w:i w:val="0"/>
          <w:iCs w:val="0"/>
          <w:color w:val="000000" w:themeColor="text1"/>
          <w:sz w:val="22"/>
          <w:szCs w:val="22"/>
        </w:rPr>
      </w:r>
      <w:bookmarkStart w:id="55" w:name="_Hlk117016948"/>
      <w:r>
        <w:rPr>
          <w:rFonts w:ascii="Cambria" w:hAnsi="Cambria" w:cs="Cambria"/>
          <w:i w:val="0"/>
          <w:iCs w:val="0"/>
          <w:color w:val="000000" w:themeColor="text1"/>
          <w:sz w:val="22"/>
          <w:szCs w:val="22"/>
        </w:rPr>
      </w:r>
      <w:bookmarkEnd w:id="55"/>
      <w:r>
        <w:rPr>
          <w:rFonts w:ascii="Cambria" w:hAnsi="Cambria" w:cs="Cambria"/>
          <w:b/>
          <w:bCs w:val="0"/>
          <w:i w:val="0"/>
          <w:iCs w:val="0"/>
          <w:color w:val="000000" w:themeColor="text1"/>
          <w:sz w:val="22"/>
          <w:szCs w:val="22"/>
          <w:highlight w:val="white"/>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highlight w:val="white"/>
        </w:rPr>
      </w:r>
      <w:r>
        <w:rPr>
          <w:rFonts w:ascii="Cambria" w:hAnsi="Cambria" w:cs="Cambria"/>
          <w:i w:val="0"/>
          <w:iCs w:val="0"/>
          <w:color w:val="000000" w:themeColor="text1"/>
          <w:sz w:val="22"/>
          <w:szCs w:val="22"/>
        </w:rPr>
        <w:t xml:space="preserve">É facultado ao pregoeiro prorrogar o prazo estabelecido, a partir de solicitação fundamentada feita no chat pelo licitante, antes de findo o prazo.</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Após a negociação do preço, o Pregoeiro iniciará a fase de aceitação e julgamento da proposta.</w:t>
      </w:r>
      <w:bookmarkEnd w:id="37"/>
      <w:r>
        <w:rPr>
          <w:rFonts w:ascii="Cambria" w:hAnsi="Cambria" w:cs="Cambria"/>
          <w:b/>
          <w:bCs w:val="0"/>
          <w:i w:val="0"/>
          <w:iCs w:val="0"/>
          <w:color w:val="000000" w:themeColor="text1"/>
          <w:sz w:val="22"/>
          <w:szCs w:val="22"/>
          <w:highlight w:val="white"/>
        </w:rPr>
      </w:r>
      <w:r/>
    </w:p>
    <w:p>
      <w:pPr>
        <w:pStyle w:val="1111"/>
        <w:numPr>
          <w:ilvl w:val="0"/>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b/>
          <w:bCs w:val="0"/>
          <w:i w:val="0"/>
          <w:iCs w:val="0"/>
          <w:color w:val="000000" w:themeColor="text1"/>
          <w:sz w:val="22"/>
          <w:szCs w:val="22"/>
          <w:highlight w:val="white"/>
        </w:rPr>
      </w:r>
      <w:r>
        <w:rPr>
          <w:rFonts w:ascii="Cambria" w:hAnsi="Cambria" w:cs="Cambria"/>
          <w:i w:val="0"/>
          <w:iCs w:val="0"/>
          <w:color w:val="000000" w:themeColor="text1"/>
          <w:sz w:val="22"/>
          <w:szCs w:val="22"/>
        </w:rPr>
      </w:r>
      <w:bookmarkStart w:id="56" w:name="_Toc135469229"/>
      <w:r>
        <w:rPr>
          <w:rFonts w:ascii="Cambria" w:hAnsi="Cambria" w:cs="Cambria"/>
          <w:b/>
          <w:bCs/>
          <w:i w:val="0"/>
          <w:iCs w:val="0"/>
          <w:color w:val="000000" w:themeColor="text1"/>
          <w:sz w:val="22"/>
          <w:szCs w:val="22"/>
        </w:rPr>
        <w:t xml:space="preserve">DA FASE DE JULGAMENTO</w:t>
      </w:r>
      <w:bookmarkEnd w:id="56"/>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highlight w:val="white"/>
        </w:rPr>
      </w:r>
      <w:r>
        <w:rPr>
          <w:rFonts w:ascii="Cambria" w:hAnsi="Cambria" w:cs="Cambria"/>
          <w:i w:val="0"/>
          <w:iCs w:val="0"/>
          <w:color w:val="000000" w:themeColor="text1"/>
          <w:sz w:val="22"/>
          <w:szCs w:val="22"/>
        </w:rPr>
      </w:r>
      <w:bookmarkStart w:id="57" w:name="_Ref117019424"/>
      <w:r>
        <w:rPr>
          <w:rFonts w:ascii="Cambria" w:hAnsi="Cambria" w:cs="Cambria"/>
          <w:i w:val="0"/>
          <w:iCs w:val="0"/>
          <w:color w:val="000000" w:themeColor="text1"/>
          <w:sz w:val="22"/>
          <w:szCs w:val="22"/>
        </w:rPr>
        <w:t xml:space="preserve">Encerrada a etapa de negociação, o pregoeiro verificará se o licitante provisoriamente classificado em primeiro lugar atende às condições de participação no certame, conforme previsto no </w:t>
      </w:r>
      <w:hyperlink r:id="rId32" w:tooltip="http://www.planalto.gov.br/ccivil_03/_ato2019-2022/2021/lei/L14133.htm#art14" w:anchor="art14" w:history="1">
        <w:r>
          <w:rPr>
            <w:rStyle w:val="863"/>
            <w:rFonts w:ascii="Cambria" w:hAnsi="Cambria" w:cs="Cambria"/>
            <w:i w:val="0"/>
            <w:iCs w:val="0"/>
            <w:color w:val="000000" w:themeColor="text1"/>
            <w:sz w:val="22"/>
            <w:szCs w:val="22"/>
          </w:rPr>
          <w:t xml:space="preserve">art. 14 da Lei nº 14.133/2021</w:t>
        </w:r>
      </w:hyperlink>
      <w:r>
        <w:rPr>
          <w:rFonts w:ascii="Cambria" w:hAnsi="Cambria" w:cs="Cambria"/>
          <w:i w:val="0"/>
          <w:iCs w:val="0"/>
          <w:color w:val="000000" w:themeColor="text1"/>
          <w:sz w:val="22"/>
          <w:szCs w:val="22"/>
        </w:rPr>
        <w:t xml:space="preserve">, legislação correlata e no item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_Ref117000692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3.7</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do edital, </w:t>
      </w:r>
      <w:bookmarkEnd w:id="57"/>
      <w:r>
        <w:rPr>
          <w:rFonts w:ascii="Cambria" w:hAnsi="Cambria" w:cs="Cambria"/>
          <w:i w:val="0"/>
          <w:iCs w:val="0"/>
          <w:color w:val="000000" w:themeColor="text1"/>
          <w:sz w:val="22"/>
          <w:szCs w:val="22"/>
          <w:lang w:eastAsia="ar-SA"/>
        </w:rPr>
        <w:t xml:space="preserve">especialmente quanto à existência de sanção que impeça a participação no certame ou a futura contratação,</w:t>
      </w:r>
      <w:r>
        <w:rPr>
          <w:rFonts w:ascii="Cambria" w:hAnsi="Cambria" w:cs="Cambria"/>
          <w:i w:val="0"/>
          <w:iCs w:val="0"/>
          <w:color w:val="000000" w:themeColor="text1"/>
          <w:sz w:val="22"/>
          <w:szCs w:val="22"/>
          <w:lang w:eastAsia="ar-SA"/>
        </w:rPr>
        <w:t xml:space="preserve"> mediante a consulta aos seguintes cadastros:</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lang w:eastAsia="ar-SA"/>
        </w:rPr>
      </w:r>
      <w:r>
        <w:rPr>
          <w:rFonts w:ascii="Cambria" w:hAnsi="Cambria" w:cs="Cambria"/>
          <w:i w:val="0"/>
          <w:iCs w:val="0"/>
          <w:color w:val="000000" w:themeColor="text1"/>
          <w:sz w:val="22"/>
          <w:szCs w:val="22"/>
          <w:lang w:eastAsia="ar-SA"/>
        </w:rPr>
        <w:t xml:space="preserve">Cadastro Nacional de Empresas Inidôneas e Suspensas - CEIS, mantido pela Controladoria-Geral da União (</w:t>
      </w:r>
      <w:hyperlink r:id="rId33" w:tooltip="https://www.portaltransparencia.gov.br/sancoes/ceis" w:history="1">
        <w:r>
          <w:rPr>
            <w:rStyle w:val="863"/>
            <w:rFonts w:ascii="Cambria" w:hAnsi="Cambria" w:cs="Cambria"/>
            <w:i w:val="0"/>
            <w:iCs w:val="0"/>
            <w:color w:val="000000" w:themeColor="text1"/>
            <w:sz w:val="22"/>
            <w:szCs w:val="22"/>
            <w:lang w:eastAsia="ar-SA"/>
          </w:rPr>
          <w:t xml:space="preserve">https://www.portaltransparencia.gov.br/sancoes/ceis</w:t>
        </w:r>
      </w:hyperlink>
      <w:r>
        <w:rPr>
          <w:rFonts w:ascii="Cambria" w:hAnsi="Cambria" w:cs="Cambria"/>
          <w:i w:val="0"/>
          <w:iCs w:val="0"/>
          <w:color w:val="000000" w:themeColor="text1"/>
          <w:sz w:val="22"/>
          <w:szCs w:val="22"/>
          <w:lang w:eastAsia="ar-SA"/>
        </w:rPr>
        <w:t xml:space="preserve">); e </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lang w:eastAsia="ar-SA"/>
        </w:rPr>
      </w:r>
      <w:r>
        <w:rPr>
          <w:rFonts w:ascii="Cambria" w:hAnsi="Cambria" w:cs="Cambria"/>
          <w:i w:val="0"/>
          <w:iCs w:val="0"/>
          <w:color w:val="000000" w:themeColor="text1"/>
          <w:sz w:val="22"/>
          <w:szCs w:val="22"/>
          <w:lang w:eastAsia="ar-SA"/>
        </w:rPr>
        <w:t xml:space="preserve">Cadastro Nacional de Empresas Punidas – CNEP, mantido pela Controladoria-Geral da União (</w:t>
      </w:r>
      <w:hyperlink r:id="rId34" w:tooltip="https://www.portaltransparencia.gov.br/sancoes/cnep" w:history="1">
        <w:r>
          <w:rPr>
            <w:rStyle w:val="863"/>
            <w:rFonts w:ascii="Cambria" w:hAnsi="Cambria" w:cs="Cambria"/>
            <w:i w:val="0"/>
            <w:iCs w:val="0"/>
            <w:color w:val="000000" w:themeColor="text1"/>
            <w:sz w:val="22"/>
            <w:szCs w:val="22"/>
            <w:lang w:eastAsia="ar-SA"/>
          </w:rPr>
          <w:t xml:space="preserve">https://www.portaltransparencia.gov.br/sancoes/cnep</w:t>
        </w:r>
      </w:hyperlink>
      <w:r>
        <w:rPr>
          <w:rFonts w:ascii="Cambria" w:hAnsi="Cambria" w:cs="Cambria"/>
          <w:i w:val="0"/>
          <w:iCs w:val="0"/>
          <w:color w:val="000000" w:themeColor="text1"/>
          <w:sz w:val="22"/>
          <w:szCs w:val="22"/>
          <w:lang w:eastAsia="ar-SA"/>
        </w:rPr>
        <w:t xml:space="preserve">).</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lang w:eastAsia="ar-SA"/>
        </w:rPr>
      </w:r>
      <w:r>
        <w:rPr>
          <w:rFonts w:ascii="Cambria" w:hAnsi="Cambria" w:cs="Cambria"/>
          <w:i w:val="0"/>
          <w:iCs w:val="0"/>
          <w:color w:val="000000" w:themeColor="text1"/>
          <w:sz w:val="22"/>
          <w:szCs w:val="22"/>
        </w:rPr>
        <w:t xml:space="preserve">A consulta aos cadastros será realizada em nome da empresa licitante e também de seu sócio majoritário, por força da vedação de que trata o </w:t>
      </w:r>
      <w:hyperlink r:id="rId35" w:tooltip="https://www.planalto.gov.br/ccivil_03/leis/l8429.htm#:~:text=%C3%A0s%20seguintes%20comina%C3%A7%C3%B5es%3A-,Art.,n%C2%BA%2012.120%2C%20de%202009)." w:anchor=":~:text=%C3%A0s%20seguintes%20comina%C3%A7%C3%B5es%3A-,Art.,n%C2%BA%2012.120%2C%20de%202009)." w:history="1">
        <w:r>
          <w:rPr>
            <w:rStyle w:val="863"/>
            <w:rFonts w:ascii="Cambria" w:hAnsi="Cambria" w:cs="Cambria"/>
            <w:i w:val="0"/>
            <w:iCs w:val="0"/>
            <w:color w:val="000000" w:themeColor="text1"/>
            <w:sz w:val="22"/>
            <w:szCs w:val="22"/>
          </w:rPr>
          <w:t xml:space="preserve">artigo 12 da Lei n° 8.429, de 1992</w:t>
        </w:r>
      </w:hyperlink>
      <w:r>
        <w:rPr>
          <w:rFonts w:ascii="Cambria" w:hAnsi="Cambria" w:cs="Cambria"/>
          <w:i w:val="0"/>
          <w:iCs w:val="0"/>
          <w:color w:val="000000" w:themeColor="text1"/>
          <w:sz w:val="22"/>
          <w:szCs w:val="22"/>
        </w:rPr>
        <w:t xml:space="preserve">Caso conste </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na Consulta de Situação do l</w:t>
      </w:r>
      <w:r>
        <w:rPr>
          <w:rFonts w:ascii="Cambria" w:hAnsi="Cambria" w:cs="Cambria"/>
          <w:i w:val="0"/>
          <w:iCs w:val="0"/>
          <w:color w:val="000000" w:themeColor="text1"/>
          <w:sz w:val="22"/>
          <w:szCs w:val="22"/>
        </w:rPr>
        <w:t xml:space="preserve">icitante </w:t>
      </w:r>
      <w:r>
        <w:rPr>
          <w:rFonts w:ascii="Cambria" w:hAnsi="Cambria" w:cs="Cambria"/>
          <w:i w:val="0"/>
          <w:iCs w:val="0"/>
          <w:color w:val="000000" w:themeColor="text1"/>
          <w:sz w:val="22"/>
          <w:szCs w:val="22"/>
        </w:rPr>
        <w:t xml:space="preserve">a existência de Ocorrências Impeditivas Indiretas, o </w:t>
      </w:r>
      <w:r>
        <w:rPr>
          <w:rFonts w:ascii="Cambria" w:hAnsi="Cambria" w:cs="Cambria"/>
          <w:i w:val="0"/>
          <w:iCs w:val="0"/>
          <w:color w:val="000000" w:themeColor="text1"/>
          <w:sz w:val="22"/>
          <w:szCs w:val="22"/>
        </w:rPr>
        <w:t xml:space="preserve">Pregoeiro diligenciará para v</w:t>
      </w:r>
      <w:r>
        <w:rPr>
          <w:rFonts w:ascii="Cambria" w:hAnsi="Cambria" w:cs="Cambria"/>
          <w:i w:val="0"/>
          <w:iCs w:val="0"/>
          <w:color w:val="000000" w:themeColor="text1"/>
          <w:sz w:val="22"/>
          <w:szCs w:val="22"/>
        </w:rPr>
        <w:t xml:space="preserve">erificar se houve fraude por parte das empresas apontadas no Relatório de Ocorrências Impeditivas Indiretas. (</w:t>
      </w:r>
      <w:hyperlink r:id="rId36" w:tooltip="https://www.gov.br/compras/pt-br/acesso-a-informacao/legislacao/instrucoes-normativas/instrucao-normativa-no-3-de-26-de-abril-de-2018#art29" w:anchor="art29" w:history="1">
        <w:r>
          <w:rPr>
            <w:rStyle w:val="863"/>
            <w:rFonts w:ascii="Cambria" w:hAnsi="Cambria" w:cs="Cambria"/>
            <w:i w:val="0"/>
            <w:iCs w:val="0"/>
            <w:color w:val="000000" w:themeColor="text1"/>
            <w:sz w:val="22"/>
            <w:szCs w:val="22"/>
          </w:rPr>
          <w:t xml:space="preserve">IN nº 3/2018, art. 29, </w:t>
        </w:r>
        <w:r>
          <w:rPr>
            <w:rStyle w:val="863"/>
            <w:rFonts w:ascii="Cambria" w:hAnsi="Cambria" w:cs="Cambria"/>
            <w:i w:val="0"/>
            <w:iCs w:val="0"/>
            <w:color w:val="000000" w:themeColor="text1"/>
            <w:sz w:val="22"/>
            <w:szCs w:val="22"/>
          </w:rPr>
          <w:t xml:space="preserve">caput</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tentativa de burla será verificada por meio dos vínculos societários, linhas de fornecimento similares, dentre outros. (</w:t>
      </w:r>
      <w:hyperlink r:id="rId37" w:tooltip="https://www.gov.br/compras/pt-br/acesso-a-informacao/legislacao/instrucoes-normativas/instrucao-normativa-no-3-de-26-de-abril-de-2018" w:history="1">
        <w:r>
          <w:rPr>
            <w:rStyle w:val="863"/>
            <w:rFonts w:ascii="Cambria" w:hAnsi="Cambria" w:cs="Cambria"/>
            <w:i w:val="0"/>
            <w:iCs w:val="0"/>
            <w:color w:val="000000" w:themeColor="text1"/>
            <w:sz w:val="22"/>
            <w:szCs w:val="22"/>
          </w:rPr>
          <w:t xml:space="preserve">IN nº 3/2018, art. 29, §1º</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licitante será convocado para manifestação previamente a uma eventual desclassificação. (</w:t>
      </w:r>
      <w:hyperlink r:id="rId38" w:tooltip="https://www.gov.br/compras/pt-br/acesso-a-informacao/legislacao/instrucoes-normativas/instrucao-normativa-no-3-de-26-de-abril-de-2018" w:history="1">
        <w:r>
          <w:rPr>
            <w:rStyle w:val="863"/>
            <w:rFonts w:ascii="Cambria" w:hAnsi="Cambria" w:cs="Cambria"/>
            <w:i w:val="0"/>
            <w:iCs w:val="0"/>
            <w:color w:val="000000" w:themeColor="text1"/>
            <w:sz w:val="22"/>
            <w:szCs w:val="22"/>
          </w:rPr>
          <w:t xml:space="preserve">IN nº 3/2018, art. 29, §2º</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Constatada a existência de sanção, o licitante será reputado inabilitado, por falta de condição de participação.</w:t>
      </w:r>
      <w:r>
        <w:rPr>
          <w:rFonts w:ascii="Cambria" w:hAnsi="Cambria" w:cs="Cambria"/>
          <w:i w:val="0"/>
          <w:iCs w:val="0"/>
          <w:color w:val="000000" w:themeColor="text1"/>
          <w:sz w:val="22"/>
          <w:szCs w:val="22"/>
        </w:rPr>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sz w:val="22"/>
          <w:szCs w:val="22"/>
        </w:rPr>
      </w:r>
      <w:r>
        <w:rPr>
          <w:rFonts w:ascii="Cambria" w:hAnsi="Cambria" w:cs="Cambria"/>
          <w:i w:val="0"/>
          <w:iCs w:val="0"/>
          <w:color w:val="000000" w:themeColor="text1"/>
          <w:sz w:val="22"/>
          <w:szCs w:val="22"/>
        </w:rPr>
        <w:t xml:space="preserve">Caso o licitante provisoriamente classificado em primeiro lugar tenha se utilizado de algum tratamento favorecido às ME/</w:t>
      </w:r>
      <w:r>
        <w:rPr>
          <w:rFonts w:ascii="Cambria" w:hAnsi="Cambria" w:cs="Cambria"/>
          <w:i w:val="0"/>
          <w:iCs w:val="0"/>
          <w:color w:val="000000" w:themeColor="text1"/>
          <w:sz w:val="22"/>
          <w:szCs w:val="22"/>
        </w:rPr>
        <w:t xml:space="preserve">EPPs</w:t>
      </w:r>
      <w:r>
        <w:rPr>
          <w:rFonts w:ascii="Cambria" w:hAnsi="Cambria" w:cs="Cambria"/>
          <w:i w:val="0"/>
          <w:iCs w:val="0"/>
          <w:color w:val="000000" w:themeColor="text1"/>
          <w:sz w:val="22"/>
          <w:szCs w:val="22"/>
        </w:rPr>
        <w:t xml:space="preserve">, o pregoeiro verificará se faz jus ao benefício, em conformidade com 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_Ref117015508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3.5.1</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_Ref117000019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4.6</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deste edital.,</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Verificadas as condições de participação e de utiliza</w:t>
      </w:r>
      <w:r>
        <w:rPr>
          <w:rFonts w:ascii="Cambria" w:hAnsi="Cambria" w:cs="Cambria"/>
          <w:i w:val="0"/>
          <w:iCs w:val="0"/>
          <w:color w:val="000000" w:themeColor="text1"/>
          <w:sz w:val="22"/>
          <w:szCs w:val="22"/>
        </w:rPr>
        <w:t xml:space="preserve">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9" w:tooltip="https://www.gov.br/compras/pt-br/acesso-a-informacao/legislacao/instrucoes-normativas/instrucao-normativa-seges-me-no-73-de-30-de-setembro-de-2022#art29" w:anchor="art29" w:history="1">
        <w:r>
          <w:rPr>
            <w:rStyle w:val="863"/>
            <w:rFonts w:ascii="Cambria" w:hAnsi="Cambria" w:cs="Cambria"/>
            <w:i w:val="0"/>
            <w:iCs w:val="0"/>
            <w:color w:val="000000" w:themeColor="text1"/>
            <w:sz w:val="22"/>
            <w:szCs w:val="22"/>
          </w:rPr>
          <w:t xml:space="preserve">artigo 29 a 35 da IN SEGES nº 73, de 30 de setembro de 2022</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Será desclassificada a proposta vencedora que: </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Contiver vícios insanáveis;</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obedecer às especificações técnicas contidas no Termo de Referência;</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Apresentar preços inexequíveis ou permanecerem acima do preço máximo definido para a contratação;</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tiverem sua exequibilidade demonstrada, quando exigido pela Administração;</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Apresentar desconformidade com quaisquer outras exigências deste Edital ou seus anexos, desde que insanável.</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No caso de equipamentos e serviços em geral, é indício de inexequibilidade das propostas valores inferiores a 50% (cinquenta por cento) do valor orçado pela Administração.</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inexequibilidade, na hipótese de que trata o caput, só será considerada após diligência do pregoeiro, que comprove:</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Que o custo do licitante ultrapassa o valor da proposta; e</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Inexistirem custos de oportunidade capazes de justificar o vulto da oferta.</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highlight w:val="white"/>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highlight w:val="white"/>
          <w:lang w:eastAsia="en-US"/>
        </w:rPr>
        <w:t xml:space="preserve">Para </w:t>
      </w:r>
      <w:r>
        <w:rPr>
          <w:rFonts w:ascii="Cambria" w:hAnsi="Cambria" w:cs="Cambria"/>
          <w:i w:val="0"/>
          <w:iCs w:val="0"/>
          <w:color w:val="000000" w:themeColor="text1"/>
          <w:sz w:val="22"/>
          <w:szCs w:val="22"/>
          <w:highlight w:val="white"/>
        </w:rPr>
        <w:t xml:space="preserve">fins</w:t>
      </w:r>
      <w:r>
        <w:rPr>
          <w:rFonts w:ascii="Cambria" w:hAnsi="Cambria" w:cs="Cambria"/>
          <w:i w:val="0"/>
          <w:iCs w:val="0"/>
          <w:color w:val="000000" w:themeColor="text1"/>
          <w:sz w:val="22"/>
          <w:szCs w:val="22"/>
          <w:highlight w:val="white"/>
          <w:lang w:eastAsia="en-US"/>
        </w:rPr>
        <w:t xml:space="preserve"> de análise da proposta quanto ao cumprimento </w:t>
      </w:r>
      <w:r>
        <w:rPr>
          <w:rFonts w:ascii="Cambria" w:hAnsi="Cambria" w:cs="Cambria"/>
          <w:i w:val="0"/>
          <w:iCs w:val="0"/>
          <w:color w:val="000000" w:themeColor="text1"/>
          <w:sz w:val="22"/>
          <w:szCs w:val="22"/>
          <w:highlight w:val="white"/>
        </w:rPr>
        <w:t xml:space="preserve">das</w:t>
      </w:r>
      <w:r>
        <w:rPr>
          <w:rFonts w:ascii="Cambria" w:hAnsi="Cambria" w:cs="Cambria"/>
          <w:i w:val="0"/>
          <w:iCs w:val="0"/>
          <w:color w:val="000000" w:themeColor="text1"/>
          <w:sz w:val="22"/>
          <w:szCs w:val="22"/>
          <w:highlight w:val="white"/>
          <w:lang w:eastAsia="en-US"/>
        </w:rPr>
        <w:t xml:space="preserve"> especificações do objeto, poderá ser colhida a </w:t>
      </w:r>
      <w:r>
        <w:rPr>
          <w:rFonts w:ascii="Cambria" w:hAnsi="Cambria" w:cs="Cambria"/>
          <w:i w:val="0"/>
          <w:iCs w:val="0"/>
          <w:color w:val="000000" w:themeColor="text1"/>
          <w:sz w:val="22"/>
          <w:szCs w:val="22"/>
          <w:highlight w:val="white"/>
        </w:rPr>
        <w:t xml:space="preserve">manifestação</w:t>
      </w:r>
      <w:r>
        <w:rPr>
          <w:rFonts w:ascii="Cambria" w:hAnsi="Cambria" w:cs="Cambria"/>
          <w:i w:val="0"/>
          <w:iCs w:val="0"/>
          <w:color w:val="000000" w:themeColor="text1"/>
          <w:sz w:val="22"/>
          <w:szCs w:val="22"/>
          <w:highlight w:val="white"/>
          <w:lang w:eastAsia="en-US"/>
        </w:rPr>
        <w:t xml:space="preserve"> escrita do setor requisitante do serviço ou da área especializada no </w:t>
      </w:r>
      <w:r>
        <w:rPr>
          <w:rFonts w:ascii="Cambria" w:hAnsi="Cambria" w:cs="Cambria"/>
          <w:i w:val="0"/>
          <w:iCs w:val="0"/>
          <w:color w:val="000000" w:themeColor="text1"/>
          <w:sz w:val="22"/>
          <w:szCs w:val="22"/>
          <w:highlight w:val="white"/>
          <w:lang w:eastAsia="en-US"/>
        </w:rPr>
        <w:t xml:space="preserve">objeto</w:t>
      </w:r>
      <w:r>
        <w:rPr>
          <w:rFonts w:ascii="Cambria" w:hAnsi="Cambria" w:cs="Cambria"/>
          <w:i w:val="0"/>
          <w:iCs w:val="0"/>
          <w:color w:val="000000" w:themeColor="text1"/>
          <w:sz w:val="22"/>
          <w:szCs w:val="22"/>
          <w:highlight w:val="white"/>
          <w:lang w:eastAsia="en-US"/>
        </w:rPr>
        <w:t xml:space="preserve">.</w:t>
      </w:r>
      <w:r>
        <w:rPr>
          <w:rFonts w:ascii="Cambria" w:hAnsi="Cambria" w:cs="Cambria"/>
          <w:b/>
          <w:bCs w:val="0"/>
          <w:i w:val="0"/>
          <w:iCs w:val="0"/>
          <w:color w:val="000000" w:themeColor="text1"/>
          <w:sz w:val="22"/>
          <w:szCs w:val="22"/>
          <w:highlight w:val="white"/>
        </w:rPr>
      </w:r>
      <w:r/>
    </w:p>
    <w:p>
      <w:pPr>
        <w:pStyle w:val="1111"/>
        <w:numPr>
          <w:ilvl w:val="0"/>
          <w:numId w:val="0"/>
        </w:numPr>
        <w:ind w:left="360" w:firstLine="0"/>
        <w:spacing w:before="0" w:after="0" w:line="240" w:lineRule="auto"/>
        <w:rPr>
          <w:rFonts w:ascii="Cambria" w:hAnsi="Cambria" w:cs="Cambria"/>
          <w:bCs w:val="0"/>
          <w:i w:val="0"/>
          <w:color w:val="000000" w:themeColor="text1"/>
          <w:sz w:val="22"/>
          <w:szCs w:val="22"/>
          <w:highlight w:val="white"/>
        </w:rPr>
      </w:pPr>
      <w:r>
        <w:rPr>
          <w:rFonts w:ascii="Cambria" w:hAnsi="Cambria" w:cs="Cambria"/>
          <w:i w:val="0"/>
          <w:iCs w:val="0"/>
          <w:color w:val="000000" w:themeColor="text1"/>
          <w:sz w:val="22"/>
          <w:szCs w:val="22"/>
          <w:highlight w:val="none"/>
          <w:lang w:eastAsia="en-US"/>
        </w:rPr>
      </w:r>
      <w:r>
        <w:rPr>
          <w:rFonts w:ascii="Cambria" w:hAnsi="Cambria" w:cs="Cambria"/>
          <w:i w:val="0"/>
          <w:iCs w:val="0"/>
          <w:color w:val="000000" w:themeColor="text1"/>
          <w:sz w:val="22"/>
          <w:szCs w:val="22"/>
          <w:highlight w:val="none"/>
          <w:lang w:eastAsia="en-US"/>
        </w:rPr>
      </w:r>
      <w:r/>
    </w:p>
    <w:p>
      <w:pPr>
        <w:pStyle w:val="1111"/>
        <w:numPr>
          <w:ilvl w:val="0"/>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i w:val="0"/>
          <w:iCs w:val="0"/>
          <w:color w:val="000000" w:themeColor="text1"/>
          <w:sz w:val="22"/>
          <w:szCs w:val="22"/>
          <w:highlight w:val="white"/>
          <w:lang w:eastAsia="en-US"/>
        </w:rPr>
      </w:r>
      <w:r>
        <w:rPr>
          <w:rFonts w:ascii="Cambria" w:hAnsi="Cambria" w:cs="Cambria"/>
          <w:i w:val="0"/>
          <w:iCs w:val="0"/>
          <w:color w:val="000000" w:themeColor="text1"/>
          <w:sz w:val="22"/>
          <w:szCs w:val="22"/>
        </w:rPr>
      </w:r>
      <w:bookmarkStart w:id="65" w:name="_Toc135469230"/>
      <w:r>
        <w:rPr>
          <w:rFonts w:ascii="Cambria" w:hAnsi="Cambria" w:cs="Cambria"/>
          <w:b/>
          <w:bCs/>
          <w:i w:val="0"/>
          <w:iCs w:val="0"/>
          <w:color w:val="000000" w:themeColor="text1"/>
          <w:sz w:val="22"/>
          <w:szCs w:val="22"/>
        </w:rPr>
        <w:t xml:space="preserve">DA FASE DE HABILITAÇÃO</w:t>
      </w:r>
      <w:bookmarkEnd w:id="65"/>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highlight w:val="white"/>
        </w:rPr>
      </w:r>
      <w:r>
        <w:rPr>
          <w:rFonts w:ascii="Cambria" w:hAnsi="Cambria" w:cs="Cambria"/>
          <w:i w:val="0"/>
          <w:iCs w:val="0"/>
          <w:color w:val="000000" w:themeColor="text1"/>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40" w:tooltip="http://www.planalto.gov.br/ccivil_03/_ato2019-2022/2021/lei/L14133.htm#art62" w:anchor="art62" w:history="1">
        <w:r>
          <w:rPr>
            <w:rStyle w:val="863"/>
            <w:rFonts w:ascii="Cambria" w:hAnsi="Cambria" w:cs="Cambria"/>
            <w:i w:val="0"/>
            <w:iCs w:val="0"/>
            <w:color w:val="000000" w:themeColor="text1"/>
            <w:sz w:val="22"/>
            <w:szCs w:val="22"/>
          </w:rPr>
          <w:t xml:space="preserve">arts</w:t>
        </w:r>
        <w:r>
          <w:rPr>
            <w:rStyle w:val="863"/>
            <w:rFonts w:ascii="Cambria" w:hAnsi="Cambria" w:cs="Cambria"/>
            <w:i w:val="0"/>
            <w:iCs w:val="0"/>
            <w:color w:val="000000" w:themeColor="text1"/>
            <w:sz w:val="22"/>
            <w:szCs w:val="22"/>
          </w:rPr>
          <w:t xml:space="preserve">. 62 a 70 da Lei nº 14.133, de 2021</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Quando </w:t>
      </w:r>
      <w:r>
        <w:rPr>
          <w:rFonts w:ascii="Cambria" w:hAnsi="Cambria" w:cs="Cambria"/>
          <w:i w:val="0"/>
          <w:iCs w:val="0"/>
          <w:color w:val="000000" w:themeColor="text1"/>
          <w:sz w:val="22"/>
          <w:szCs w:val="22"/>
        </w:rPr>
        <w:t xml:space="preserve">permitida</w:t>
      </w:r>
      <w:r>
        <w:rPr>
          <w:rFonts w:ascii="Cambria" w:hAnsi="Cambria" w:cs="Cambria"/>
          <w:i w:val="0"/>
          <w:iCs w:val="0"/>
          <w:color w:val="000000" w:themeColor="text1"/>
          <w:sz w:val="22"/>
          <w:szCs w:val="22"/>
        </w:rPr>
        <w:t xml:space="preserve"> a </w:t>
      </w:r>
      <w:r>
        <w:rPr>
          <w:rFonts w:ascii="Cambria" w:hAnsi="Cambria" w:cs="Cambria"/>
          <w:i w:val="0"/>
          <w:iCs w:val="0"/>
          <w:color w:val="000000" w:themeColor="text1"/>
          <w:sz w:val="22"/>
          <w:szCs w:val="22"/>
        </w:rPr>
        <w:t xml:space="preserve">participação de empresas estrangeiras que não funcionem no País, as exigências de habilitação serão atendidas mediante documentos equivalentes, inicialmente apresentados em tradução livre.</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hipótese de o licitante vencedor ser empresa estrangeira que não funcione no País, para </w:t>
      </w:r>
      <w:r>
        <w:rPr>
          <w:rFonts w:ascii="Cambria" w:hAnsi="Cambria" w:cs="Cambria"/>
          <w:i w:val="0"/>
          <w:iCs w:val="0"/>
          <w:color w:val="000000" w:themeColor="text1"/>
          <w:sz w:val="22"/>
          <w:szCs w:val="22"/>
        </w:rPr>
        <w:t xml:space="preserve">ﬁns</w:t>
      </w:r>
      <w:r>
        <w:rPr>
          <w:rFonts w:ascii="Cambria" w:hAnsi="Cambria" w:cs="Cambria"/>
          <w:i w:val="0"/>
          <w:iCs w:val="0"/>
          <w:color w:val="000000" w:themeColor="text1"/>
          <w:sz w:val="22"/>
          <w:szCs w:val="22"/>
        </w:rPr>
        <w:t xml:space="preserve"> de assinatura do contrato ou da ata de registro de preços, os documentos exigidos para a habilitação serão traduzidos por tradutor</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juramentado no País e apostilados nos termos do disposto no </w:t>
      </w:r>
      <w:r>
        <w:rPr>
          <w:rFonts w:ascii="Cambria" w:hAnsi="Cambria" w:cs="Cambria"/>
          <w:i w:val="0"/>
          <w:iCs w:val="0"/>
          <w:color w:val="000000" w:themeColor="text1"/>
          <w:sz w:val="22"/>
          <w:szCs w:val="22"/>
        </w:rPr>
        <w:t xml:space="preserve">Decreto nº 8.660, de 29 de janeiro de 2016</w:t>
      </w:r>
      <w:r>
        <w:rPr>
          <w:rFonts w:ascii="Cambria" w:hAnsi="Cambria" w:cs="Cambria"/>
          <w:i w:val="0"/>
          <w:iCs w:val="0"/>
          <w:color w:val="000000" w:themeColor="text1"/>
          <w:sz w:val="22"/>
          <w:szCs w:val="22"/>
        </w:rPr>
        <w:t xml:space="preserve">, ou de outro que venha a substituí-lo, ou </w:t>
      </w:r>
      <w:r>
        <w:rPr>
          <w:rFonts w:ascii="Cambria" w:hAnsi="Cambria" w:cs="Cambria"/>
          <w:i w:val="0"/>
          <w:iCs w:val="0"/>
          <w:color w:val="000000" w:themeColor="text1"/>
          <w:sz w:val="22"/>
          <w:szCs w:val="22"/>
        </w:rPr>
        <w:t xml:space="preserve">consularizados</w:t>
      </w:r>
      <w:r>
        <w:rPr>
          <w:rFonts w:ascii="Cambria" w:hAnsi="Cambria" w:cs="Cambria"/>
          <w:i w:val="0"/>
          <w:iCs w:val="0"/>
          <w:color w:val="000000" w:themeColor="text1"/>
          <w:sz w:val="22"/>
          <w:szCs w:val="22"/>
        </w:rPr>
        <w:t xml:space="preserve"> pelos respectivos consulados ou embaixadas.</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Quando permitida a participação de cons</w:t>
      </w:r>
      <w:r>
        <w:rPr>
          <w:rFonts w:ascii="Cambria" w:hAnsi="Cambria" w:cs="Cambria"/>
          <w:i w:val="0"/>
          <w:iCs w:val="0"/>
          <w:color w:val="000000" w:themeColor="text1"/>
          <w:sz w:val="22"/>
          <w:szCs w:val="22"/>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 o consórcio não for formado integralmente por microempresas ou empresas de pequeno porte e o termo de referência exigir requisitos de habilitação econômico-financeira, haverá um acréscimo de </w:t>
      </w:r>
      <w:r>
        <w:rPr>
          <w:rFonts w:ascii="Cambria" w:hAnsi="Cambria" w:cs="Cambria"/>
          <w:i w:val="0"/>
          <w:iCs w:val="0"/>
          <w:color w:val="000000" w:themeColor="text1"/>
          <w:sz w:val="22"/>
          <w:szCs w:val="22"/>
        </w:rPr>
        <w:t xml:space="preserve"> 30 %, </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para o consórcio em relação ao valor exigido para os licitantes individuais.</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documentos exigidos para fins de habilitação poderão ser apresentados em original, por cópia através do sistema de compras do https://pregaobanrisul.com.br/.</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Será</w:t>
      </w:r>
      <w:r>
        <w:rPr>
          <w:rFonts w:ascii="Cambria" w:hAnsi="Cambria" w:cs="Cambria"/>
          <w:i w:val="0"/>
          <w:iCs w:val="0"/>
          <w:color w:val="000000" w:themeColor="text1"/>
          <w:sz w:val="22"/>
          <w:szCs w:val="22"/>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Somente haverá a necessidade de comprovação do preenchimento de requisitos mediante apresentação dos documentos de habilitação originais </w:t>
      </w:r>
      <w:r>
        <w:rPr>
          <w:rFonts w:ascii="Cambria" w:hAnsi="Cambria" w:cs="Cambria"/>
          <w:i w:val="0"/>
          <w:iCs w:val="0"/>
          <w:color w:val="000000" w:themeColor="text1"/>
          <w:sz w:val="22"/>
          <w:szCs w:val="22"/>
        </w:rPr>
        <w:t xml:space="preserve">não-digitais</w:t>
      </w:r>
      <w:r>
        <w:rPr>
          <w:rFonts w:ascii="Cambria" w:hAnsi="Cambria" w:cs="Cambria"/>
          <w:i w:val="0"/>
          <w:iCs w:val="0"/>
          <w:color w:val="000000" w:themeColor="text1"/>
          <w:sz w:val="22"/>
          <w:szCs w:val="22"/>
        </w:rPr>
        <w:t xml:space="preserve"> quando houver dúvida em relação à integridade do documento digital ou quando a lei expressamente o exigir. </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É de responsabilidade do licitante co</w:t>
      </w:r>
      <w:r>
        <w:rPr>
          <w:rFonts w:ascii="Cambria" w:hAnsi="Cambria" w:cs="Cambria"/>
          <w:i w:val="0"/>
          <w:iCs w:val="0"/>
          <w:color w:val="000000" w:themeColor="text1"/>
          <w:sz w:val="22"/>
          <w:szCs w:val="22"/>
        </w:rPr>
        <w:t xml:space="preserve">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não observância do disposto no item anterior poderá ensejar desclassificação no momento da habilitação. </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verificação pelo pregoeiro, em sítios eletrônicos oficiais de órgãos e entidades emissores de certidões constitui meio legal de prova, para fins de habilitação.</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68" w:name="_Ref114663151"/>
      <w:r>
        <w:rPr>
          <w:rFonts w:ascii="Cambria" w:hAnsi="Cambria" w:cs="Cambria"/>
          <w:i w:val="0"/>
          <w:iCs w:val="0"/>
          <w:color w:val="000000" w:themeColor="text1"/>
          <w:sz w:val="22"/>
          <w:szCs w:val="22"/>
        </w:rPr>
        <w:t xml:space="preserve">Os documentos exigidos para habilitação serão enviados por meio do sistema, em formato digital, no prazo de 02 (duas) horas</w:t>
      </w:r>
      <w:r>
        <w:rPr>
          <w:rFonts w:ascii="Cambria" w:hAnsi="Cambria" w:cs="Cambria"/>
          <w:i w:val="0"/>
          <w:iCs w:val="0"/>
          <w:color w:val="000000" w:themeColor="text1"/>
          <w:sz w:val="22"/>
          <w:szCs w:val="22"/>
        </w:rPr>
        <w:t xml:space="preserve">, prorrogável por igual período, contado da solicitação do pregoeiro</w:t>
      </w:r>
      <w:bookmarkEnd w:id="68"/>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verificação da habilitação somente será feita em relação ao licitante vencedor.</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documentos relativos à regularidade fiscal que constem do Termo de Referência somente serão exigidos, em qualquer caso, em momento posterior ao julgamento das propostas, e apenas do licitante mais bem classificado</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Style w:val="863"/>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Após a entrega dos documentos para habilitação, não será permitida a substituição ou a apresentação de novos documentos, salvo em sede de diligência, para (</w:t>
      </w:r>
      <w:hyperlink r:id="rId41" w:tooltip="http://www.planalto.gov.br/ccivil_03/_ato2019-2022/2021/lei/L14133.htm#art64" w:anchor="art64" w:history="1">
        <w:r>
          <w:rPr>
            <w:rStyle w:val="863"/>
            <w:rFonts w:ascii="Cambria" w:hAnsi="Cambria" w:cs="Cambria"/>
            <w:i w:val="0"/>
            <w:iCs w:val="0"/>
            <w:color w:val="000000" w:themeColor="text1"/>
            <w:sz w:val="22"/>
            <w:szCs w:val="22"/>
          </w:rPr>
          <w:t xml:space="preserve">Lei 14.133/21, art. 64</w:t>
        </w:r>
      </w:hyperlink>
      <w:r>
        <w:rPr>
          <w:rStyle w:val="863"/>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Style w:val="863"/>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complementação de informações acerca dos documentos já apresentados pelos licitantes e desde que necessária para apurar fatos existentes à época da abertura do certame; e</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atualização de documentos cuja validade tenha expirado após a data de recebimento das propostas;</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70" w:name="_Ref114670319"/>
      <w:r>
        <w:rPr>
          <w:rFonts w:ascii="Cambria" w:hAnsi="Cambria" w:cs="Cambria"/>
          <w:i w:val="0"/>
          <w:iCs w:val="0"/>
          <w:color w:val="000000" w:themeColor="text1"/>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r>
        <w:rPr>
          <w:rFonts w:ascii="Cambria" w:hAnsi="Cambria" w:cs="Cambria"/>
          <w:i w:val="0"/>
          <w:iCs w:val="0"/>
          <w:color w:val="000000" w:themeColor="text1"/>
          <w:sz w:val="22"/>
          <w:szCs w:val="22"/>
        </w:rPr>
        <w:t xml:space="preserve">eﬁcácia</w:t>
      </w:r>
      <w:r>
        <w:rPr>
          <w:rFonts w:ascii="Cambria" w:hAnsi="Cambria" w:cs="Cambria"/>
          <w:i w:val="0"/>
          <w:iCs w:val="0"/>
          <w:color w:val="000000" w:themeColor="text1"/>
          <w:sz w:val="22"/>
          <w:szCs w:val="22"/>
        </w:rPr>
        <w:t xml:space="preserve"> para fins de habilitação e classificação.</w:t>
      </w:r>
      <w:bookmarkEnd w:id="70"/>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b/>
          <w:bCs w:val="0"/>
          <w:i w:val="0"/>
          <w:iCs w:val="0"/>
          <w:color w:val="000000" w:themeColor="text1"/>
          <w:sz w:val="22"/>
          <w:szCs w:val="22"/>
          <w:highlight w:val="white"/>
        </w:rPr>
      </w:r>
      <w:r>
        <w:rPr>
          <w:rFonts w:ascii="Cambria" w:hAnsi="Cambria" w:cs="Cambria"/>
          <w:i w:val="0"/>
          <w:iCs w:val="0"/>
          <w:color w:val="000000" w:themeColor="text1"/>
          <w:sz w:val="22"/>
          <w:szCs w:val="22"/>
        </w:rPr>
      </w:r>
      <w:bookmarkStart w:id="71" w:name="_Ref114665528"/>
      <w:r>
        <w:rPr>
          <w:rFonts w:ascii="Cambria" w:hAnsi="Cambria" w:cs="Cambria"/>
          <w:i w:val="0"/>
          <w:iCs w:val="0"/>
          <w:color w:val="000000" w:themeColor="text1"/>
          <w:sz w:val="22"/>
          <w:szCs w:val="22"/>
        </w:rPr>
        <w:t xml:space="preserve">Na hipótese</w:t>
      </w:r>
      <w:r>
        <w:rPr>
          <w:rFonts w:ascii="Cambria" w:hAnsi="Cambria" w:cs="Cambria"/>
          <w:i w:val="0"/>
          <w:iCs w:val="0"/>
          <w:color w:val="000000" w:themeColor="text1"/>
          <w:sz w:val="22"/>
          <w:szCs w:val="22"/>
        </w:rPr>
        <w:t xml:space="preserv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_Ref114663151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8.13.1</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w:t>
      </w:r>
      <w:bookmarkEnd w:id="71"/>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highlight w:val="white"/>
        </w:rPr>
      </w:r>
      <w:r>
        <w:rPr>
          <w:rFonts w:ascii="Cambria" w:hAnsi="Cambria" w:cs="Cambria"/>
          <w:i w:val="0"/>
          <w:iCs w:val="0"/>
          <w:color w:val="000000" w:themeColor="text1"/>
          <w:sz w:val="22"/>
          <w:szCs w:val="22"/>
        </w:rPr>
      </w:r>
      <w:bookmarkStart w:id="72" w:name="_Ref114665515"/>
      <w:r>
        <w:rPr>
          <w:rFonts w:ascii="Cambria" w:hAnsi="Cambria" w:cs="Cambria"/>
          <w:i w:val="0"/>
          <w:iCs w:val="0"/>
          <w:color w:val="000000" w:themeColor="text1"/>
          <w:sz w:val="22"/>
          <w:szCs w:val="22"/>
        </w:rPr>
        <w:t xml:space="preserve">Somente serão disponibilizados para acesso público os documentos de habilitação do licitante cuja proposta atenda ao edital de licitação, após concluídos os procedimentos de que trata o subitem anterior</w:t>
      </w:r>
      <w:bookmarkEnd w:id="72"/>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comprovação de regularidade fiscal e trabalhista das microempresas e das empresas de pequeno porte somente será exigida para efeito de contratação, e não como condição para participação na licitação.</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b/>
          <w:bCs w:val="0"/>
          <w:i w:val="0"/>
          <w:iCs w:val="0"/>
          <w:color w:val="000000" w:themeColor="text1"/>
          <w:sz w:val="22"/>
          <w:szCs w:val="22"/>
          <w:highlight w:val="white"/>
        </w:rPr>
      </w:r>
      <w:r/>
    </w:p>
    <w:p>
      <w:pPr>
        <w:pStyle w:val="1111"/>
        <w:numPr>
          <w:ilvl w:val="0"/>
          <w:numId w:val="0"/>
        </w:numPr>
        <w:ind w:left="360" w:firstLine="0"/>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highlight w:val="none"/>
        </w:rPr>
      </w:r>
      <w:r>
        <w:rPr>
          <w:rFonts w:ascii="Cambria" w:hAnsi="Cambria" w:cs="Cambria"/>
          <w:i w:val="0"/>
          <w:iCs w:val="0"/>
          <w:color w:val="000000" w:themeColor="text1"/>
          <w:sz w:val="22"/>
          <w:szCs w:val="22"/>
          <w:highlight w:val="none"/>
        </w:rPr>
      </w:r>
      <w:r/>
    </w:p>
    <w:p>
      <w:pPr>
        <w:pStyle w:val="1111"/>
        <w:numPr>
          <w:ilvl w:val="0"/>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b/>
          <w:bCs/>
          <w:i w:val="0"/>
          <w:iCs w:val="0"/>
          <w:color w:val="000000" w:themeColor="text1"/>
          <w:sz w:val="22"/>
          <w:szCs w:val="22"/>
        </w:rPr>
      </w:r>
      <w:r>
        <w:rPr>
          <w:rFonts w:ascii="Cambria" w:hAnsi="Cambria" w:cs="Cambria"/>
          <w:b/>
          <w:bCs/>
          <w:i w:val="0"/>
          <w:iCs w:val="0"/>
          <w:color w:val="000000" w:themeColor="text1"/>
          <w:sz w:val="22"/>
          <w:szCs w:val="22"/>
        </w:rPr>
      </w:r>
      <w:bookmarkStart w:id="78" w:name="_Toc135469233"/>
      <w:r>
        <w:rPr>
          <w:rFonts w:ascii="Cambria" w:hAnsi="Cambria" w:cs="Cambria"/>
          <w:b/>
          <w:bCs/>
          <w:i w:val="0"/>
          <w:iCs w:val="0"/>
          <w:color w:val="000000" w:themeColor="text1"/>
          <w:sz w:val="22"/>
          <w:szCs w:val="22"/>
        </w:rPr>
        <w:t xml:space="preserve">DOS RECURSOS</w:t>
      </w:r>
      <w:bookmarkEnd w:id="78"/>
      <w:r>
        <w:rPr>
          <w:rFonts w:ascii="Cambria" w:hAnsi="Cambria" w:cs="Cambria"/>
          <w:b/>
          <w:bCs/>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highlight w:val="white"/>
        </w:rPr>
      </w:r>
      <w:r>
        <w:rPr>
          <w:rFonts w:ascii="Cambria" w:hAnsi="Cambria" w:cs="Cambria"/>
          <w:i w:val="0"/>
          <w:iCs w:val="0"/>
          <w:color w:val="000000" w:themeColor="text1"/>
          <w:sz w:val="22"/>
          <w:szCs w:val="22"/>
        </w:rPr>
        <w:t xml:space="preserve">A interposição de recurso referente ao julgamento das propostas, à habilitação ou inabilitação de licitantes, à anulação ou revogação da licitação, observará o disposto no </w:t>
      </w:r>
      <w:hyperlink r:id="rId42" w:tooltip="http://www.planalto.gov.br/ccivil_03/_ato2019-2022/2021/lei/L14133.htm#art165" w:anchor="art165" w:history="1">
        <w:r>
          <w:rPr>
            <w:rStyle w:val="863"/>
            <w:rFonts w:ascii="Cambria" w:hAnsi="Cambria" w:cs="Cambria"/>
            <w:i w:val="0"/>
            <w:iCs w:val="0"/>
            <w:color w:val="000000" w:themeColor="text1"/>
            <w:sz w:val="22"/>
            <w:szCs w:val="22"/>
            <w:u w:val="none"/>
          </w:rPr>
          <w:t xml:space="preserve">art. 165 da Lei nº 14.133, de 2021</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prazo recursal é de 3 (três) dias úteis, contados da data de intimação e deverá ser apresentado somente através do sistema eletrônico do https://pregaobanrisul.com.br/.</w:t>
      </w:r>
      <w:r>
        <w:rPr>
          <w:rFonts w:ascii="Cambria" w:hAnsi="Cambria" w:cs="Cambria"/>
          <w:b/>
          <w:bCs w:val="0"/>
          <w:i w:val="0"/>
          <w:iCs w:val="0"/>
          <w:color w:val="000000" w:themeColor="text1"/>
          <w:sz w:val="22"/>
          <w:szCs w:val="22"/>
          <w:highlight w:val="white"/>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Quando o recurso apresentado impugnar o julgamento das propostas ou o ato de habilitação ou inabilitação do licitante:</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intenção de recorrer deverá ser manifestada imediatamente, sob pena de preclusão;</w:t>
      </w:r>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
          <w:bCs w:val="0"/>
          <w:i w:val="0"/>
          <w:color w:val="000000" w:themeColor="text1"/>
          <w:sz w:val="22"/>
          <w:szCs w:val="22"/>
          <w:highlight w:val="white"/>
        </w:rPr>
      </w:pPr>
      <w:r>
        <w:rPr>
          <w:rFonts w:ascii="Cambria" w:hAnsi="Cambria" w:cs="Cambria"/>
          <w:i w:val="0"/>
          <w:iCs w:val="0"/>
          <w:color w:val="000000" w:themeColor="text1"/>
          <w:sz w:val="22"/>
          <w:szCs w:val="22"/>
          <w:highlight w:val="white"/>
        </w:rPr>
      </w:r>
      <w:r>
        <w:rPr>
          <w:rFonts w:ascii="Cambria" w:hAnsi="Cambria" w:cs="Cambria"/>
          <w:i w:val="0"/>
          <w:iCs w:val="0"/>
          <w:color w:val="000000" w:themeColor="text1"/>
          <w:sz w:val="22"/>
          <w:szCs w:val="22"/>
          <w:highlight w:val="white"/>
        </w:rPr>
      </w:r>
      <w:bookmarkStart w:id="79" w:name="_Hlk135315794"/>
      <w:r>
        <w:rPr>
          <w:rFonts w:ascii="Cambria" w:hAnsi="Cambria" w:cs="Cambria"/>
          <w:i w:val="0"/>
          <w:iCs w:val="0"/>
          <w:color w:val="000000" w:themeColor="text1"/>
          <w:sz w:val="22"/>
          <w:szCs w:val="22"/>
          <w:highlight w:val="white"/>
        </w:rPr>
      </w:r>
      <w:bookmarkStart w:id="80" w:name="_Hlk135318381"/>
      <w:r>
        <w:rPr>
          <w:rFonts w:ascii="Cambria" w:hAnsi="Cambria" w:cs="Cambria"/>
          <w:i w:val="0"/>
          <w:iCs w:val="0"/>
          <w:color w:val="000000" w:themeColor="text1"/>
          <w:sz w:val="22"/>
          <w:szCs w:val="22"/>
          <w:highlight w:val="white"/>
        </w:rPr>
        <w:t xml:space="preserve">o prazo para a manifestação da intenção de recorrer não será inferior a 10 (dez) minutos.</w:t>
      </w:r>
      <w:bookmarkEnd w:id="79"/>
      <w:r>
        <w:rPr>
          <w:rFonts w:ascii="Cambria" w:hAnsi="Cambria" w:cs="Cambria"/>
          <w:i w:val="0"/>
          <w:iCs w:val="0"/>
          <w:color w:val="000000" w:themeColor="text1"/>
          <w:sz w:val="22"/>
          <w:szCs w:val="22"/>
          <w:highlight w:val="white"/>
        </w:rPr>
      </w:r>
      <w:bookmarkEnd w:id="80"/>
      <w:r>
        <w:rPr>
          <w:rFonts w:ascii="Cambria" w:hAnsi="Cambria" w:cs="Cambria"/>
          <w:b/>
          <w:bCs w:val="0"/>
          <w:i w:val="0"/>
          <w:iCs w:val="0"/>
          <w:color w:val="000000" w:themeColor="text1"/>
          <w:sz w:val="22"/>
          <w:szCs w:val="22"/>
          <w:highlight w:val="white"/>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highlight w:val="white"/>
        </w:rPr>
      </w:r>
      <w:r>
        <w:rPr>
          <w:rFonts w:ascii="Cambria" w:hAnsi="Cambria" w:cs="Cambria"/>
          <w:i w:val="0"/>
          <w:iCs w:val="0"/>
          <w:color w:val="000000" w:themeColor="text1"/>
          <w:sz w:val="22"/>
          <w:szCs w:val="22"/>
        </w:rPr>
        <w:t xml:space="preserve">O prazo para apresentação das razões recursais será iniciado na data de intimação.</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recursos deverão ser encaminhados em campo próprio do sistema.</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recurso será dirigido à autoridade que tiver editado o ato ou proferido a decisã</w:t>
      </w:r>
      <w:r>
        <w:rPr>
          <w:rFonts w:ascii="Cambria" w:hAnsi="Cambria" w:cs="Cambria"/>
          <w:i w:val="0"/>
          <w:iCs w:val="0"/>
          <w:color w:val="000000" w:themeColor="text1"/>
          <w:sz w:val="22"/>
          <w:szCs w:val="22"/>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recursos interpostos fora do prazo não serão conhecidos. </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prazo para aprese</w:t>
      </w:r>
      <w:r>
        <w:rPr>
          <w:rFonts w:ascii="Cambria" w:hAnsi="Cambria" w:cs="Cambria"/>
          <w:i w:val="0"/>
          <w:iCs w:val="0"/>
          <w:color w:val="000000" w:themeColor="text1"/>
          <w:sz w:val="22"/>
          <w:szCs w:val="22"/>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recurso e o pedido de reconsideração terão efeito suspensivo do ato ou da decisão recorrida até que sobrevenha decisão final da autoridade competente. </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acolhimento do recurso invalida tão somente os atos insuscetíveis de aproveitamento. </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autos do processo permanecerão com vista franqueada aos interessados no sítio eletrônico </w:t>
      </w:r>
      <w:r>
        <w:rPr>
          <w:rFonts w:ascii="Cambria" w:hAnsi="Cambria" w:cs="Cambria"/>
          <w:i w:val="0"/>
          <w:iCs w:val="0"/>
          <w:color w:val="000000" w:themeColor="text1"/>
          <w:sz w:val="22"/>
          <w:szCs w:val="22"/>
        </w:rPr>
      </w:r>
      <w:hyperlink r:id="rId43" w:tooltip="https://pregaobanrisul.com.br/" w:history="1">
        <w:r>
          <w:rPr>
            <w:rStyle w:val="863"/>
            <w:rFonts w:ascii="Cambria" w:hAnsi="Cambria" w:cs="Cambria"/>
            <w:i w:val="0"/>
            <w:iCs w:val="0"/>
            <w:color w:val="000000" w:themeColor="text1"/>
            <w:sz w:val="22"/>
            <w:szCs w:val="22"/>
          </w:rPr>
          <w:t xml:space="preserve">https://pregaohttps://pregaobanrisul.com.br/.com.br/</w:t>
        </w:r>
        <w:r>
          <w:rPr>
            <w:rStyle w:val="863"/>
            <w:rFonts w:ascii="Cambria" w:hAnsi="Cambria" w:cs="Cambria"/>
            <w:i/>
            <w:iCs/>
            <w:color w:val="000000" w:themeColor="text1"/>
            <w:sz w:val="22"/>
            <w:szCs w:val="22"/>
          </w:rPr>
        </w:r>
      </w:hyperlink>
      <w:r>
        <w:rPr>
          <w:rFonts w:ascii="Cambria" w:hAnsi="Cambria" w:cs="Cambria"/>
          <w:i w:val="0"/>
          <w:iCs w:val="0"/>
          <w:color w:val="000000" w:themeColor="text1"/>
          <w:sz w:val="22"/>
          <w:szCs w:val="22"/>
        </w:rPr>
        <w:t xml:space="preserve"> e </w:t>
      </w:r>
      <w:hyperlink r:id="rId44" w:tooltip="http://www.santabarnara" w:history="1">
        <w:r>
          <w:rPr>
            <w:rStyle w:val="863"/>
            <w:rFonts w:ascii="Cambria" w:hAnsi="Cambria" w:cs="Cambria"/>
            <w:i w:val="0"/>
            <w:iCs w:val="0"/>
            <w:color w:val="000000" w:themeColor="text1"/>
            <w:sz w:val="22"/>
            <w:szCs w:val="22"/>
          </w:rPr>
          <w:t xml:space="preserve">www.santabarnara</w:t>
        </w:r>
      </w:hyperlink>
      <w:r>
        <w:rPr>
          <w:rFonts w:ascii="Cambria" w:hAnsi="Cambria" w:cs="Cambria"/>
          <w:i w:val="0"/>
          <w:iCs w:val="0"/>
          <w:color w:val="000000" w:themeColor="text1"/>
          <w:sz w:val="22"/>
          <w:szCs w:val="22"/>
        </w:rPr>
        <w:t xml:space="preserve">dosul.rs.gov.br.,</w:t>
      </w:r>
      <w:r>
        <w:rPr>
          <w:rFonts w:ascii="Cambria" w:hAnsi="Cambria" w:cs="Cambria"/>
          <w:i w:val="0"/>
          <w:iCs w:val="0"/>
          <w:color w:val="000000" w:themeColor="text1"/>
          <w:sz w:val="22"/>
          <w:szCs w:val="22"/>
        </w:rPr>
      </w:r>
      <w:r/>
    </w:p>
    <w:p>
      <w:pPr>
        <w:pStyle w:val="1111"/>
        <w:numPr>
          <w:ilvl w:val="0"/>
          <w:numId w:val="0"/>
        </w:numPr>
        <w:ind w:left="360" w:firstLine="0"/>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highlight w:val="none"/>
        </w:rPr>
      </w:r>
      <w:r>
        <w:rPr>
          <w:rFonts w:ascii="Cambria" w:hAnsi="Cambria" w:cs="Cambria"/>
          <w:i w:val="0"/>
          <w:iCs w:val="0"/>
          <w:color w:val="000000" w:themeColor="text1"/>
          <w:sz w:val="22"/>
          <w:szCs w:val="22"/>
          <w:highlight w:val="none"/>
        </w:rPr>
      </w:r>
      <w:r/>
    </w:p>
    <w:p>
      <w:pPr>
        <w:pStyle w:val="1111"/>
        <w:numPr>
          <w:ilvl w:val="0"/>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81" w:name="_Toc135469234"/>
      <w:r>
        <w:rPr>
          <w:rFonts w:ascii="Cambria" w:hAnsi="Cambria" w:cs="Cambria"/>
          <w:b/>
          <w:bCs/>
          <w:i w:val="0"/>
          <w:iCs w:val="0"/>
          <w:color w:val="000000" w:themeColor="text1"/>
          <w:sz w:val="22"/>
          <w:szCs w:val="22"/>
        </w:rPr>
        <w:t xml:space="preserve">DAS INFRAÇÕES ADMINISTRATIVAS E SANÇÕES</w:t>
      </w:r>
      <w:r>
        <w:rPr>
          <w:rFonts w:ascii="Cambria" w:hAnsi="Cambria" w:cs="Cambria"/>
          <w:i w:val="0"/>
          <w:iCs w:val="0"/>
          <w:color w:val="000000" w:themeColor="text1"/>
          <w:sz w:val="22"/>
          <w:szCs w:val="22"/>
        </w:rPr>
      </w:r>
      <w:bookmarkEnd w:id="81"/>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Comete infração administrativa, nos termos da lei, o licitante que, com dolo ou culpa: </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83" w:name="_Ref114668085"/>
      <w:r>
        <w:rPr>
          <w:rFonts w:ascii="Cambria" w:hAnsi="Cambria" w:cs="Cambria"/>
          <w:i w:val="0"/>
          <w:iCs w:val="0"/>
          <w:color w:val="000000" w:themeColor="text1"/>
          <w:sz w:val="22"/>
          <w:szCs w:val="22"/>
        </w:rPr>
      </w:r>
      <w:bookmarkStart w:id="84" w:name="_Hlk114652595"/>
      <w:r>
        <w:rPr>
          <w:rFonts w:ascii="Cambria" w:hAnsi="Cambria" w:cs="Cambria"/>
          <w:i w:val="0"/>
          <w:iCs w:val="0"/>
          <w:color w:val="000000" w:themeColor="text1"/>
          <w:sz w:val="22"/>
          <w:szCs w:val="22"/>
        </w:rPr>
        <w:t xml:space="preserve">deixar de entregar a documentação exigida para o certame ou não entregar qualquer documento que tenha sido solicitado pelo/a pregoeiro/a durante o certame;</w:t>
      </w:r>
      <w:bookmarkEnd w:id="83"/>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85" w:name="_Ref114668108"/>
      <w:r>
        <w:rPr>
          <w:rFonts w:ascii="Cambria" w:hAnsi="Cambria" w:cs="Cambria"/>
          <w:i w:val="0"/>
          <w:iCs w:val="0"/>
          <w:color w:val="000000" w:themeColor="text1"/>
          <w:sz w:val="22"/>
          <w:szCs w:val="22"/>
        </w:rPr>
        <w:t xml:space="preserve">Salvo em decorrência de fato superveniente devidamente justificado, não mantiver a proposta em especial quando:</w:t>
      </w:r>
      <w:bookmarkEnd w:id="85"/>
      <w:r>
        <w:rPr>
          <w:rFonts w:ascii="Cambria" w:hAnsi="Cambria" w:cs="Cambria"/>
          <w:i w:val="0"/>
          <w:iCs w:val="0"/>
          <w:color w:val="000000" w:themeColor="text1"/>
          <w:sz w:val="22"/>
          <w:szCs w:val="22"/>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enviar a proposta adequada ao último lance ofertado ou após a negociação; </w:t>
      </w:r>
      <w:r>
        <w:rPr>
          <w:rFonts w:ascii="Cambria" w:hAnsi="Cambria" w:cs="Cambria"/>
          <w:i w:val="0"/>
          <w:iCs w:val="0"/>
          <w:color w:val="000000" w:themeColor="text1"/>
          <w:sz w:val="22"/>
          <w:szCs w:val="22"/>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Recusar-se a enviar o detalhamento da proposta quando exigível; </w:t>
      </w:r>
      <w:r>
        <w:rPr>
          <w:rFonts w:ascii="Cambria" w:hAnsi="Cambria" w:cs="Cambria"/>
          <w:i w:val="0"/>
          <w:iCs w:val="0"/>
          <w:color w:val="000000" w:themeColor="text1"/>
          <w:sz w:val="22"/>
          <w:szCs w:val="22"/>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Pedir para ser desclassificado quando encerrada a etapa competitiva; ou </w:t>
      </w:r>
      <w:r>
        <w:rPr>
          <w:rFonts w:ascii="Cambria" w:hAnsi="Cambria" w:cs="Cambria"/>
          <w:i w:val="0"/>
          <w:iCs w:val="0"/>
          <w:color w:val="000000" w:themeColor="text1"/>
          <w:sz w:val="22"/>
          <w:szCs w:val="22"/>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Apresentar proposta o em desacordo com as especificações do edital; </w:t>
      </w:r>
      <w:r>
        <w:rPr>
          <w:rFonts w:ascii="Cambria" w:hAnsi="Cambria" w:cs="Cambria"/>
          <w:i w:val="0"/>
          <w:iCs w:val="0"/>
          <w:color w:val="000000" w:themeColor="text1"/>
          <w:sz w:val="22"/>
          <w:szCs w:val="22"/>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86" w:name="_Ref114668139"/>
      <w:r>
        <w:rPr>
          <w:rFonts w:ascii="Cambria" w:hAnsi="Cambria" w:cs="Cambria"/>
          <w:i w:val="0"/>
          <w:iCs w:val="0"/>
          <w:color w:val="000000" w:themeColor="text1"/>
          <w:sz w:val="22"/>
          <w:szCs w:val="22"/>
        </w:rPr>
        <w:t xml:space="preserve">Não celebrar o contrato ou não entregar a documentação exigida para a contratação, quando convocado dentro do prazo de validade de sua proposta;</w:t>
      </w:r>
      <w:bookmarkEnd w:id="86"/>
      <w:r>
        <w:rPr>
          <w:rFonts w:ascii="Cambria" w:hAnsi="Cambria" w:cs="Cambria"/>
          <w:i w:val="0"/>
          <w:iCs w:val="0"/>
          <w:color w:val="000000" w:themeColor="text1"/>
          <w:sz w:val="22"/>
          <w:szCs w:val="22"/>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Recusar-se, sem justificativa, a assinar o contrato ou a ata de registro de preço, ou a aceitar ou retirar o instrumento equivalente no prazo estabelecido pela Administração;</w:t>
      </w:r>
      <w:r>
        <w:rPr>
          <w:rFonts w:ascii="Cambria" w:hAnsi="Cambria" w:cs="Cambria"/>
          <w:i w:val="0"/>
          <w:iCs w:val="0"/>
          <w:color w:val="000000" w:themeColor="text1"/>
          <w:sz w:val="22"/>
          <w:szCs w:val="22"/>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87" w:name="_Ref114668249"/>
      <w:r>
        <w:rPr>
          <w:rFonts w:ascii="Cambria" w:hAnsi="Cambria" w:cs="Cambria"/>
          <w:i w:val="0"/>
          <w:iCs w:val="0"/>
          <w:color w:val="000000" w:themeColor="text1"/>
          <w:sz w:val="22"/>
          <w:szCs w:val="22"/>
        </w:rPr>
        <w:t xml:space="preserve">Apresentar declaração ou documentação falsa exigida para o certame ou prestar declaração falsa durante a licitação</w:t>
      </w:r>
      <w:bookmarkEnd w:id="87"/>
      <w:r>
        <w:rPr>
          <w:rFonts w:ascii="Cambria" w:hAnsi="Cambria" w:cs="Cambria"/>
          <w:i w:val="0"/>
          <w:iCs w:val="0"/>
          <w:color w:val="000000" w:themeColor="text1"/>
          <w:sz w:val="22"/>
          <w:szCs w:val="22"/>
        </w:rPr>
        <w:t xml:space="preserve">;</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88" w:name="_Ref114668245"/>
      <w:r>
        <w:rPr>
          <w:rFonts w:ascii="Cambria" w:hAnsi="Cambria" w:cs="Cambria"/>
          <w:i w:val="0"/>
          <w:iCs w:val="0"/>
          <w:color w:val="000000" w:themeColor="text1"/>
          <w:sz w:val="22"/>
          <w:szCs w:val="22"/>
        </w:rPr>
        <w:t xml:space="preserve">Fraudar a licitação</w:t>
      </w:r>
      <w:bookmarkEnd w:id="88"/>
      <w:r>
        <w:rPr>
          <w:rFonts w:ascii="Cambria" w:hAnsi="Cambria" w:cs="Cambria"/>
          <w:i w:val="0"/>
          <w:iCs w:val="0"/>
          <w:color w:val="000000" w:themeColor="text1"/>
          <w:sz w:val="22"/>
          <w:szCs w:val="22"/>
        </w:rPr>
        <w:t xml:space="preserve">,</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89" w:name="_Ref114668247"/>
      <w:r>
        <w:rPr>
          <w:rFonts w:ascii="Cambria" w:hAnsi="Cambria" w:cs="Cambria"/>
          <w:i w:val="0"/>
          <w:iCs w:val="0"/>
          <w:color w:val="000000" w:themeColor="text1"/>
          <w:sz w:val="22"/>
          <w:szCs w:val="22"/>
        </w:rPr>
        <w:t xml:space="preserve">Comportar-se de modo inidôneo ou cometer fraude de qualquer natureza, em especial quando:</w:t>
      </w:r>
      <w:bookmarkEnd w:id="89"/>
      <w:r>
        <w:rPr>
          <w:rFonts w:ascii="Cambria" w:hAnsi="Cambria" w:cs="Cambria"/>
          <w:i w:val="0"/>
          <w:iCs w:val="0"/>
          <w:color w:val="000000" w:themeColor="text1"/>
          <w:sz w:val="22"/>
          <w:szCs w:val="22"/>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Agir em conluio ou em desconformidade com a lei; </w:t>
      </w:r>
      <w:r>
        <w:rPr>
          <w:rFonts w:ascii="Cambria" w:hAnsi="Cambria" w:cs="Cambria"/>
          <w:i w:val="0"/>
          <w:iCs w:val="0"/>
          <w:color w:val="000000" w:themeColor="text1"/>
          <w:sz w:val="22"/>
          <w:szCs w:val="22"/>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Induzir deliberadamente a erro no julgamento; </w:t>
      </w:r>
      <w:r>
        <w:rPr>
          <w:rFonts w:ascii="Cambria" w:hAnsi="Cambria" w:cs="Cambria"/>
          <w:i w:val="0"/>
          <w:iCs w:val="0"/>
          <w:color w:val="000000" w:themeColor="text1"/>
          <w:sz w:val="22"/>
          <w:szCs w:val="22"/>
        </w:rPr>
      </w:r>
      <w:r/>
    </w:p>
    <w:p>
      <w:pPr>
        <w:pStyle w:val="1111"/>
        <w:numPr>
          <w:ilvl w:val="3"/>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 Apresentar amostra falsificada ou deteriorada; </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90" w:name="_Ref114668251"/>
      <w:r>
        <w:rPr>
          <w:rFonts w:ascii="Cambria" w:hAnsi="Cambria" w:cs="Cambria"/>
          <w:i w:val="0"/>
          <w:iCs w:val="0"/>
          <w:color w:val="000000" w:themeColor="text1"/>
          <w:sz w:val="22"/>
          <w:szCs w:val="22"/>
        </w:rPr>
        <w:t xml:space="preserve">Praticar atos ilícitos com vistas a frustrar os objetivos da licitação</w:t>
      </w:r>
      <w:bookmarkEnd w:id="90"/>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91" w:name="_Ref114668252"/>
      <w:r>
        <w:rPr>
          <w:rFonts w:ascii="Cambria" w:hAnsi="Cambria" w:cs="Cambria"/>
          <w:i w:val="0"/>
          <w:iCs w:val="0"/>
          <w:color w:val="000000" w:themeColor="text1"/>
          <w:sz w:val="22"/>
          <w:szCs w:val="22"/>
        </w:rPr>
        <w:t xml:space="preserve">Praticar ato lesivo previsto no </w:t>
      </w:r>
      <w:hyperlink r:id="rId45" w:tooltip="https://www.planalto.gov.br/ccivil_03/_ato2011-2014/2013/lei/l12846.htm#art5" w:anchor="art5" w:history="1">
        <w:r>
          <w:rPr>
            <w:rStyle w:val="863"/>
            <w:rFonts w:ascii="Cambria" w:hAnsi="Cambria" w:cs="Cambria"/>
            <w:i w:val="0"/>
            <w:iCs w:val="0"/>
            <w:color w:val="000000" w:themeColor="text1"/>
            <w:sz w:val="22"/>
            <w:szCs w:val="22"/>
            <w:u w:val="none"/>
          </w:rPr>
          <w:t xml:space="preserve">art. 5º da Lei n.º 12.846, de 2013</w:t>
        </w:r>
      </w:hyperlink>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sz w:val="22"/>
          <w:szCs w:val="22"/>
        </w:rPr>
      </w:r>
      <w:bookmarkEnd w:id="84"/>
      <w:r>
        <w:rPr>
          <w:rFonts w:ascii="Cambria" w:hAnsi="Cambria" w:cs="Cambria"/>
          <w:i w:val="0"/>
          <w:iCs w:val="0"/>
          <w:color w:val="000000" w:themeColor="text1"/>
          <w:sz w:val="22"/>
          <w:szCs w:val="22"/>
        </w:rPr>
      </w:r>
      <w:bookmarkEnd w:id="91"/>
      <w:r>
        <w:rPr>
          <w:rFonts w:ascii="Cambria" w:hAnsi="Cambria" w:cs="Cambria"/>
          <w:i w:val="0"/>
          <w:iCs w:val="0"/>
          <w:color w:val="000000" w:themeColor="text1"/>
          <w:sz w:val="22"/>
          <w:szCs w:val="22"/>
        </w:rPr>
        <w:t xml:space="preserve">Com fulcro na </w:t>
      </w:r>
      <w:hyperlink r:id="rId46" w:tooltip="http://www.planalto.gov.br/ccivil_03/_ato2019-2022/2021/lei/L14133.htm" w:history="1">
        <w:r>
          <w:rPr>
            <w:rStyle w:val="863"/>
            <w:rFonts w:ascii="Cambria" w:hAnsi="Cambria" w:cs="Cambria"/>
            <w:i w:val="0"/>
            <w:iCs w:val="0"/>
            <w:color w:val="000000" w:themeColor="text1"/>
            <w:sz w:val="22"/>
            <w:szCs w:val="22"/>
          </w:rPr>
          <w:t xml:space="preserve">Lei nº 14.133, de 2021</w:t>
        </w:r>
      </w:hyperlink>
      <w:r>
        <w:rPr>
          <w:rFonts w:ascii="Cambria" w:hAnsi="Cambria" w:cs="Cambria"/>
          <w:i w:val="0"/>
          <w:iCs w:val="0"/>
          <w:color w:val="000000" w:themeColor="text1"/>
          <w:sz w:val="22"/>
          <w:szCs w:val="22"/>
        </w:rPr>
        <w:t xml:space="preserve">, a Administração poderá, garantida a prévia defesa, aplicar aos licitantes e/ou adjudicatários as seguintes sanções, sem prejuízo das responsabilidades civil e criminal: </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Advertência; </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Multa;</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Impedimento de licitar e contratar e</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aplicação das sanções serão considerados:</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natureza e a gravidade da infração cometida.</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peculiaridades do caso concreto</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circunstâncias agravantes ou atenuantes</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danos que dela provierem para a Administração Pública</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implantação ou o aperfeiçoamento de programa de integridade, conforme normas e orientações dos órgãos de controle.</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multa será recolhida em percentual  30% incidente sobre o valor do contrato licitado, recolhida no prazo máximo de </w:t>
      </w:r>
      <w:r>
        <w:rPr>
          <w:rFonts w:ascii="Cambria" w:hAnsi="Cambria" w:cs="Cambria"/>
          <w:b/>
          <w:bCs/>
          <w:i w:val="0"/>
          <w:iCs w:val="0"/>
          <w:color w:val="000000" w:themeColor="text1"/>
          <w:sz w:val="22"/>
          <w:szCs w:val="22"/>
        </w:rPr>
        <w:t xml:space="preserve">10 (dez)</w:t>
      </w:r>
      <w:r>
        <w:rPr>
          <w:rFonts w:ascii="Cambria" w:hAnsi="Cambria" w:cs="Cambria"/>
          <w:b/>
          <w:bCs/>
          <w:i w:val="0"/>
          <w:iCs w:val="0"/>
          <w:color w:val="000000" w:themeColor="text1"/>
          <w:sz w:val="22"/>
          <w:szCs w:val="22"/>
        </w:rPr>
        <w:t xml:space="preserve"> dias</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úteis, a contar da comunicação oficial. </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bookmarkStart w:id="93" w:name="_Hlk113876035"/>
      <w:r>
        <w:rPr>
          <w:rFonts w:ascii="Cambria" w:hAnsi="Cambria" w:cs="Cambria"/>
          <w:i w:val="0"/>
          <w:iCs w:val="0"/>
          <w:color w:val="000000" w:themeColor="text1"/>
          <w:sz w:val="22"/>
          <w:szCs w:val="22"/>
        </w:rPr>
        <w:t xml:space="preserve">Para as infrações previstas nos itens </w:t>
      </w:r>
      <w:r>
        <w:rPr>
          <w:rFonts w:ascii="Cambria" w:hAnsi="Cambria" w:cs="Cambria"/>
          <w:i w:val="0"/>
          <w:iCs w:val="0"/>
          <w:color w:val="000000" w:themeColor="text1"/>
          <w:sz w:val="22"/>
          <w:szCs w:val="22"/>
        </w:rPr>
        <w:t xml:space="preserve">a cima</w:t>
      </w:r>
      <w:r>
        <w:rPr>
          <w:rFonts w:ascii="Cambria" w:hAnsi="Cambria" w:cs="Cambria"/>
          <w:i w:val="0"/>
          <w:iCs w:val="0"/>
          <w:color w:val="000000" w:themeColor="text1"/>
          <w:sz w:val="22"/>
          <w:szCs w:val="22"/>
        </w:rPr>
        <w:t xml:space="preserve">, a multa será de </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15%</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do valor do contrato licitado.</w:t>
      </w:r>
      <w:bookmarkEnd w:id="93"/>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sanções de advertência, impedimento de licitar e contratar e declaração de inidoneidade para licitar ou contratar poderão ser aplicadas, cumulativamente ou não, à penalidade de multa.</w:t>
      </w:r>
      <w:r>
        <w:rPr>
          <w:rFonts w:ascii="Cambria" w:hAnsi="Cambria" w:cs="Cambria"/>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aplicação da sanção de multa será facultada a defesa do interessado no prazo de 15 (quinze) dias úteis, contado da data de sua intimação.</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sanção de impedimento de licitar e contratar será aplicada ao responsável em decorrência das infrações administrativas relacionadas nos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_Ref114668085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9.1.1</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_Ref114668108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9.1.2</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_Ref114668139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9.1.3</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Poderá ser aplicada ao responsável a sanção de declaração de inidoneidade para licitar ou contratar, em decorrência da prática das infrações dispostas nos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_Ref114668249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9.1.4</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_Ref114668245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9.1.5</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_Ref114668247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9.1.6</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_Ref114668251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9.1.7</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_Ref114668252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9.1.8</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bem como pelas infrações administrativas previstas nos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_Ref114668085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12.1.1</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_Ref114668108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12.1.2</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_Ref114668139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12.1.3</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que justifiquem a imposição de penalidade mais grave que a sanção de impedimento de licitar e contratar, cuja duração observará o prazo previsto no </w:t>
      </w:r>
      <w:hyperlink r:id="rId47" w:tooltip="http://www.planalto.gov.br/ccivil_03/_ato2019-2022/2021/lei/L14133.htm#art156§5" w:anchor="art156§5" w:history="1">
        <w:r>
          <w:rPr>
            <w:rStyle w:val="863"/>
            <w:rFonts w:ascii="Cambria" w:hAnsi="Cambria" w:cs="Cambria"/>
            <w:i w:val="0"/>
            <w:iCs w:val="0"/>
            <w:color w:val="000000" w:themeColor="text1"/>
            <w:sz w:val="22"/>
            <w:szCs w:val="22"/>
            <w:u w:val="none"/>
          </w:rPr>
          <w:t xml:space="preserve">art. 156, §5º, da Lei n.º 14.133/2021</w:t>
        </w:r>
      </w:hyperlink>
      <w:r>
        <w:rPr>
          <w:rFonts w:ascii="Cambria" w:hAnsi="Cambria" w:cs="Cambria"/>
          <w:i w:val="0"/>
          <w:iCs w:val="0"/>
          <w:color w:val="000000" w:themeColor="text1"/>
          <w:sz w:val="22"/>
          <w:szCs w:val="22"/>
        </w:rPr>
        <w:t xml:space="preserve">.</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recusa injustificada do adjudicatário em assinar o contrato ou a ata de registro de preço, ou em aceitar ou retirar o instrumento equivalente no prazo estabelecido pela Administração, descrita no item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_Ref114668139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9.1.3</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48" w:tooltip="https://www.gov.br/compras/pt-br/acesso-a-informacao/legislacao/instrucoes-normativas/instrucao-normativa-seges-me-no-73-de-30-de-setembro-de-2022" w:history="1">
        <w:r>
          <w:rPr>
            <w:rStyle w:val="863"/>
            <w:rFonts w:ascii="Cambria" w:hAnsi="Cambria" w:cs="Cambria"/>
            <w:i w:val="0"/>
            <w:iCs w:val="0"/>
            <w:color w:val="000000" w:themeColor="text1"/>
            <w:sz w:val="22"/>
            <w:szCs w:val="22"/>
            <w:u w:val="none"/>
          </w:rPr>
          <w:t xml:space="preserve">art. 45, §4º da IN SEGES/ME n.º 73, de 2022</w:t>
        </w:r>
      </w:hyperlink>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apuração de </w:t>
      </w:r>
      <w:r>
        <w:rPr>
          <w:rFonts w:ascii="Cambria" w:hAnsi="Cambria" w:cs="Cambria"/>
          <w:i w:val="0"/>
          <w:iCs w:val="0"/>
          <w:color w:val="000000" w:themeColor="text1"/>
          <w:sz w:val="22"/>
          <w:szCs w:val="22"/>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cs="Cambria"/>
          <w:i w:val="0"/>
          <w:iCs w:val="0"/>
          <w:color w:val="000000" w:themeColor="text1"/>
          <w:sz w:val="22"/>
          <w:szCs w:val="22"/>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cs="Cambria"/>
          <w:i w:val="0"/>
          <w:iCs w:val="0"/>
          <w:color w:val="000000" w:themeColor="text1"/>
          <w:sz w:val="22"/>
          <w:szCs w:val="22"/>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Caberá a apresentaç</w:t>
      </w:r>
      <w:r>
        <w:rPr>
          <w:rFonts w:ascii="Cambria" w:hAnsi="Cambria" w:cs="Cambria"/>
          <w:i w:val="0"/>
          <w:iCs w:val="0"/>
          <w:color w:val="000000" w:themeColor="text1"/>
          <w:sz w:val="22"/>
          <w:szCs w:val="22"/>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recurso e o pedido de reconsideração terão efeito suspensivo do ato ou da decisão recorrida até que sobrevenha decisão final da autoridade competente.</w:t>
      </w:r>
      <w:r>
        <w:rPr>
          <w:rFonts w:ascii="Cambria" w:hAnsi="Cambria" w:cs="Cambria"/>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aplicação das sanções previstas neste edital não exclui, em hipótese alguma, a obrigação de reparação integral dos danos causados.</w:t>
      </w:r>
      <w:r>
        <w:rPr>
          <w:rFonts w:ascii="Cambria" w:hAnsi="Cambria" w:cs="Cambria"/>
          <w:i w:val="0"/>
          <w:iCs w:val="0"/>
          <w:color w:val="000000" w:themeColor="text1"/>
          <w:sz w:val="22"/>
          <w:szCs w:val="22"/>
        </w:rPr>
      </w:r>
      <w:r/>
    </w:p>
    <w:p>
      <w:pPr>
        <w:pStyle w:val="1111"/>
        <w:numPr>
          <w:ilvl w:val="0"/>
          <w:numId w:val="0"/>
        </w:numPr>
        <w:ind w:left="360" w:firstLine="0"/>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highlight w:val="none"/>
        </w:rPr>
      </w:r>
      <w:r>
        <w:rPr>
          <w:rFonts w:ascii="Cambria" w:hAnsi="Cambria" w:cs="Cambria"/>
          <w:i w:val="0"/>
          <w:iCs w:val="0"/>
          <w:color w:val="000000" w:themeColor="text1"/>
          <w:sz w:val="22"/>
          <w:szCs w:val="22"/>
          <w:highlight w:val="none"/>
        </w:rPr>
      </w:r>
      <w:r/>
    </w:p>
    <w:p>
      <w:pPr>
        <w:pStyle w:val="1111"/>
        <w:numPr>
          <w:ilvl w:val="0"/>
          <w:numId w:val="2"/>
        </w:numPr>
        <w:spacing w:before="0" w:after="0" w:line="240" w:lineRule="auto"/>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b/>
          <w:bCs/>
          <w:i w:val="0"/>
          <w:iCs w:val="0"/>
          <w:color w:val="000000" w:themeColor="text1"/>
          <w:sz w:val="22"/>
          <w:szCs w:val="22"/>
        </w:rPr>
      </w:r>
      <w:bookmarkStart w:id="97" w:name="_Toc135469235"/>
      <w:r>
        <w:rPr>
          <w:rFonts w:ascii="Cambria" w:hAnsi="Cambria" w:cs="Cambria"/>
          <w:b/>
          <w:bCs/>
          <w:i w:val="0"/>
          <w:iCs w:val="0"/>
          <w:color w:val="000000" w:themeColor="text1"/>
          <w:sz w:val="22"/>
          <w:szCs w:val="22"/>
        </w:rPr>
        <w:t xml:space="preserve">DA IMPUGNAÇÃO AO EDITAL E DO PEDIDO DE ESCLARECIMENTO</w:t>
      </w:r>
      <w:bookmarkEnd w:id="97"/>
      <w:r>
        <w:rPr>
          <w:rFonts w:ascii="Cambria" w:hAnsi="Cambria" w:cs="Cambria"/>
          <w:b/>
          <w:bCs/>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color w:val="000000" w:themeColor="text1"/>
          <w:sz w:val="22"/>
          <w:szCs w:val="22"/>
        </w:rPr>
        <w:t xml:space="preserve">Qualquer pessoa é parte legítima para impugnar este Edital por irregularidade na aplicação da </w:t>
      </w:r>
      <w:hyperlink r:id="rId49" w:tooltip="http://www.planalto.gov.br/ccivil_03/_ato2019-2022/2021/lei/L14133.htm" w:history="1">
        <w:r>
          <w:rPr>
            <w:rStyle w:val="863"/>
            <w:rFonts w:ascii="Cambria" w:hAnsi="Cambria" w:cs="Cambria"/>
            <w:i w:val="0"/>
            <w:iCs w:val="0"/>
            <w:color w:val="000000" w:themeColor="text1"/>
            <w:sz w:val="22"/>
            <w:szCs w:val="22"/>
            <w:u w:val="none"/>
          </w:rPr>
          <w:t xml:space="preserve">Lei nº 14.133, de 2021</w:t>
        </w:r>
      </w:hyperlink>
      <w:r>
        <w:rPr>
          <w:rFonts w:ascii="Cambria" w:hAnsi="Cambria" w:cs="Cambria"/>
          <w:i w:val="0"/>
          <w:iCs w:val="0"/>
          <w:color w:val="000000" w:themeColor="text1"/>
          <w:sz w:val="22"/>
          <w:szCs w:val="22"/>
        </w:rPr>
        <w:t xml:space="preserve">, devendo protocolar o pedido até 3 (três) dias úteis antes da data da abertura do certame.</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impugnação e o pedido de esclarecimento poderão ser realizados por forma eletrônica, </w:t>
      </w:r>
      <w:r>
        <w:rPr>
          <w:rFonts w:ascii="Cambria" w:hAnsi="Cambria" w:cs="Cambria"/>
          <w:i w:val="0"/>
          <w:iCs w:val="0"/>
          <w:color w:val="000000" w:themeColor="text1"/>
          <w:sz w:val="22"/>
          <w:szCs w:val="22"/>
        </w:rPr>
        <w:t xml:space="preserve">pelos seguintes meios</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r>
      <w:hyperlink r:id="rId50" w:tooltip="https://pregaobanrisul.com.br" w:history="1">
        <w:r>
          <w:rPr>
            <w:rStyle w:val="863"/>
            <w:rFonts w:ascii="Cambria" w:hAnsi="Cambria" w:cs="Cambria"/>
            <w:i w:val="0"/>
            <w:iCs w:val="0"/>
            <w:color w:val="000000" w:themeColor="text1"/>
            <w:sz w:val="22"/>
            <w:szCs w:val="22"/>
          </w:rPr>
          <w:t xml:space="preserve">https://pregaobanrisul.com.br</w:t>
        </w:r>
      </w:hyperlink>
      <w:r>
        <w:rPr>
          <w:rFonts w:ascii="Cambria" w:hAnsi="Cambria" w:cs="Cambria"/>
          <w:i w:val="0"/>
          <w:iCs w:val="0"/>
          <w:color w:val="000000" w:themeColor="text1"/>
          <w:sz w:val="22"/>
          <w:szCs w:val="22"/>
        </w:rPr>
        <w:t xml:space="preserve"> e/ou licita@santabarbaradosul.rs.gov.br</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impugnações e pedidos de esclarecimentos não suspendem os prazos previstos no certame.</w:t>
      </w:r>
      <w:r>
        <w:rPr>
          <w:rFonts w:ascii="Cambria" w:hAnsi="Cambria" w:cs="Cambria"/>
          <w:b/>
          <w:bCs w:val="0"/>
          <w:i w:val="0"/>
          <w:iCs w:val="0"/>
          <w:color w:val="000000" w:themeColor="text1"/>
          <w:sz w:val="22"/>
          <w:szCs w:val="22"/>
        </w:rPr>
      </w:r>
      <w:r/>
    </w:p>
    <w:p>
      <w:pPr>
        <w:pStyle w:val="1111"/>
        <w:numPr>
          <w:ilvl w:val="2"/>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concessão de efeito suspensivo à impugnação é medida excepcional e deverá ser motivada pelo agente de contratação /pregoeiro, nos autos do processo de licitação.</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colhida a impugnação, será definida e publicada nova data para a realização do certame.</w:t>
      </w:r>
      <w:r>
        <w:rPr>
          <w:rFonts w:ascii="Cambria" w:hAnsi="Cambria" w:cs="Cambria"/>
          <w:b/>
          <w:bCs w:val="0"/>
          <w:i w:val="0"/>
          <w:iCs w:val="0"/>
          <w:color w:val="000000" w:themeColor="text1"/>
          <w:sz w:val="22"/>
          <w:szCs w:val="22"/>
        </w:rPr>
      </w:r>
      <w:r/>
    </w:p>
    <w:p>
      <w:pPr>
        <w:pStyle w:val="1111"/>
        <w:numPr>
          <w:ilvl w:val="0"/>
          <w:numId w:val="0"/>
        </w:numPr>
        <w:ind w:left="360" w:firstLine="0"/>
        <w:spacing w:before="0" w:after="0" w:line="240" w:lineRule="auto"/>
        <w:rPr>
          <w:rFonts w:ascii="Cambria" w:hAnsi="Cambria" w:cs="Cambria"/>
          <w:b/>
          <w:bCs w:val="0"/>
          <w:i w:val="0"/>
          <w:color w:val="000000" w:themeColor="text1"/>
          <w:sz w:val="22"/>
          <w:szCs w:val="22"/>
        </w:rPr>
      </w:pPr>
      <w:r>
        <w:rPr>
          <w:rFonts w:ascii="Cambria" w:hAnsi="Cambria" w:cs="Cambria"/>
          <w:b/>
          <w:bCs w:val="0"/>
          <w:i w:val="0"/>
          <w:iCs w:val="0"/>
          <w:color w:val="000000" w:themeColor="text1"/>
          <w:sz w:val="22"/>
          <w:szCs w:val="22"/>
          <w:highlight w:val="none"/>
        </w:rPr>
      </w:r>
      <w:r>
        <w:rPr>
          <w:rFonts w:ascii="Cambria" w:hAnsi="Cambria" w:cs="Cambria"/>
          <w:b/>
          <w:bCs w:val="0"/>
          <w:i w:val="0"/>
          <w:iCs w:val="0"/>
          <w:color w:val="000000" w:themeColor="text1"/>
          <w:sz w:val="22"/>
          <w:szCs w:val="22"/>
          <w:highlight w:val="none"/>
        </w:rPr>
      </w:r>
      <w:r/>
    </w:p>
    <w:p>
      <w:pPr>
        <w:pStyle w:val="1111"/>
        <w:numPr>
          <w:ilvl w:val="0"/>
          <w:numId w:val="2"/>
        </w:numPr>
        <w:spacing w:before="0" w:after="0" w:line="240" w:lineRule="auto"/>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b/>
          <w:bCs/>
          <w:i w:val="0"/>
          <w:iCs w:val="0"/>
          <w:color w:val="000000" w:themeColor="text1"/>
          <w:sz w:val="22"/>
          <w:szCs w:val="22"/>
        </w:rPr>
      </w:r>
      <w:bookmarkStart w:id="100" w:name="_Toc135469236"/>
      <w:r>
        <w:rPr>
          <w:rFonts w:ascii="Cambria" w:hAnsi="Cambria" w:cs="Cambria"/>
          <w:b/>
          <w:bCs/>
          <w:i w:val="0"/>
          <w:iCs w:val="0"/>
          <w:color w:val="000000" w:themeColor="text1"/>
          <w:sz w:val="22"/>
          <w:szCs w:val="22"/>
        </w:rPr>
        <w:t xml:space="preserve">DAS DISPOSIÇÕES GERAIS</w:t>
      </w:r>
      <w:bookmarkEnd w:id="100"/>
      <w:r>
        <w:rPr>
          <w:rFonts w:ascii="Cambria" w:hAnsi="Cambria" w:cs="Cambria"/>
          <w:b/>
          <w:bCs/>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Será divulgada ata da sessão pública no sistema eletrônico.</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havendo expediente ou ocorrendo qualquer </w:t>
      </w:r>
      <w:r>
        <w:rPr>
          <w:rFonts w:ascii="Cambria" w:hAnsi="Cambria" w:cs="Cambria"/>
          <w:i w:val="0"/>
          <w:iCs w:val="0"/>
          <w:color w:val="000000" w:themeColor="text1"/>
          <w:sz w:val="22"/>
          <w:szCs w:val="22"/>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Todas as referências de tempo no Edital, no aviso e durante a sessão pública observarão o horário de Brasília/ DF.</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homologação do resultado desta licitação não implicará direito à contratação.</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Em caso de divergência entre disposições deste Edital e de seus anexos ou demais peças que compõem o processo, prevalecerá as deste Edital.</w:t>
      </w:r>
      <w:r>
        <w:rPr>
          <w:rFonts w:ascii="Cambria" w:hAnsi="Cambria" w:cs="Cambria"/>
          <w:b/>
          <w:bCs w:val="0"/>
          <w:i w:val="0"/>
          <w:iCs w:val="0"/>
          <w:color w:val="000000" w:themeColor="text1"/>
          <w:sz w:val="22"/>
          <w:szCs w:val="22"/>
        </w:rPr>
      </w:r>
      <w:r/>
    </w:p>
    <w:p>
      <w:pPr>
        <w:pStyle w:val="1111"/>
        <w:numPr>
          <w:ilvl w:val="1"/>
          <w:numId w:val="2"/>
        </w:numPr>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Edital e seus anexos estão disponíveis, na íntegra, no Portal Nacional de Contratações Públicas (PNCP) e endereço eletrônico</w:t>
      </w:r>
      <w:r>
        <w:rPr>
          <w:rFonts w:ascii="Cambria" w:hAnsi="Cambria" w:cs="Cambria"/>
          <w:i w:val="0"/>
          <w:iCs w:val="0"/>
          <w:color w:val="000000" w:themeColor="text1"/>
          <w:sz w:val="22"/>
          <w:szCs w:val="22"/>
        </w:rPr>
        <w:t xml:space="preserve">https://pregaobanrisul.com.br/</w:t>
      </w:r>
      <w:r>
        <w:rPr>
          <w:rFonts w:ascii="Cambria" w:hAnsi="Cambria" w:cs="Cambria"/>
          <w:i w:val="0"/>
          <w:iCs w:val="0"/>
          <w:color w:val="000000" w:themeColor="text1"/>
          <w:sz w:val="22"/>
          <w:szCs w:val="22"/>
        </w:rPr>
        <w:t xml:space="preserve"> e www.santabarbaradosul.rs.gov.br</w:t>
      </w:r>
      <w:r>
        <w:rPr>
          <w:rFonts w:ascii="Cambria" w:hAnsi="Cambria" w:cs="Cambria"/>
          <w:i w:val="0"/>
          <w:iCs w:val="0"/>
          <w:color w:val="000000" w:themeColor="text1"/>
          <w:sz w:val="22"/>
          <w:szCs w:val="22"/>
        </w:rPr>
        <w:t xml:space="preserve">.</w:t>
      </w:r>
      <w:r>
        <w:rPr>
          <w:rFonts w:ascii="Cambria" w:hAnsi="Cambria" w:cs="Cambria"/>
          <w:i w:val="0"/>
          <w:iCs w:val="0"/>
          <w:sz w:val="22"/>
          <w:szCs w:val="22"/>
        </w:rPr>
      </w:r>
      <w:r/>
    </w:p>
    <w:p>
      <w:pPr>
        <w:pStyle w:val="1064"/>
        <w:numPr>
          <w:ilvl w:val="1"/>
          <w:numId w:val="6"/>
        </w:numPr>
        <w:ind w:left="0" w:firstLine="0"/>
        <w:spacing w:before="0" w:after="0" w:line="240" w:lineRule="auto"/>
        <w:tabs>
          <w:tab w:val="left" w:pos="992" w:leader="none"/>
        </w:tabs>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Integram este Edital, para todos os fins e efeitos, os seguintes anexos:</w:t>
      </w:r>
      <w:r>
        <w:rPr>
          <w:rFonts w:ascii="Cambria" w:hAnsi="Cambria" w:cs="Cambria"/>
          <w:i w:val="0"/>
          <w:iCs w:val="0"/>
          <w:sz w:val="22"/>
          <w:szCs w:val="22"/>
        </w:rPr>
      </w:r>
      <w:r/>
    </w:p>
    <w:p>
      <w:pPr>
        <w:pStyle w:val="1066"/>
        <w:numPr>
          <w:ilvl w:val="2"/>
          <w:numId w:val="6"/>
        </w:numPr>
        <w:ind w:left="0" w:firstLine="0"/>
        <w:spacing w:before="0" w:after="0" w:line="240" w:lineRule="auto"/>
        <w:tabs>
          <w:tab w:val="left" w:pos="992" w:leader="none"/>
        </w:tabs>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ANEXO I - Termo de Referência.</w:t>
      </w:r>
      <w:r>
        <w:rPr>
          <w:rFonts w:ascii="Cambria" w:hAnsi="Cambria" w:cs="Cambria"/>
          <w:i w:val="0"/>
          <w:iCs w:val="0"/>
          <w:sz w:val="22"/>
          <w:szCs w:val="22"/>
        </w:rPr>
      </w:r>
      <w:r/>
    </w:p>
    <w:p>
      <w:pPr>
        <w:pStyle w:val="1067"/>
        <w:numPr>
          <w:ilvl w:val="2"/>
          <w:numId w:val="6"/>
        </w:numPr>
        <w:ind w:left="0" w:firstLine="0"/>
        <w:spacing w:before="0" w:after="0" w:line="240" w:lineRule="auto"/>
        <w:tabs>
          <w:tab w:val="left" w:pos="992" w:leader="none"/>
        </w:tabs>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Apêndice do Anexo I – Estudo Técnico Preliminar.</w:t>
      </w:r>
      <w:r>
        <w:rPr>
          <w:rFonts w:ascii="Cambria" w:hAnsi="Cambria" w:cs="Cambria"/>
          <w:i w:val="0"/>
          <w:iCs w:val="0"/>
          <w:sz w:val="22"/>
          <w:szCs w:val="22"/>
        </w:rPr>
      </w:r>
      <w:r/>
    </w:p>
    <w:p>
      <w:pPr>
        <w:pStyle w:val="1066"/>
        <w:numPr>
          <w:ilvl w:val="2"/>
          <w:numId w:val="6"/>
        </w:numPr>
        <w:ind w:left="0" w:firstLine="0"/>
        <w:spacing w:before="0" w:after="0" w:line="240" w:lineRule="auto"/>
        <w:tabs>
          <w:tab w:val="left" w:pos="992" w:leader="none"/>
        </w:tabs>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ANEXO II – Minuta de Termo de Contrato.</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eastAsia="MS Mincho" w:cs="Cambria"/>
          <w:i w:val="0"/>
          <w:iCs w:val="0"/>
          <w:color w:val="000000" w:themeColor="text1"/>
          <w:sz w:val="22"/>
          <w:szCs w:val="22"/>
        </w:rPr>
        <w:t xml:space="preserve">.</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eastAsia="MS Mincho"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eastAsia="MS Mincho"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eastAsia="MS Mincho" w:cs="Cambria"/>
          <w:i w:val="0"/>
          <w:iCs w:val="0"/>
          <w:color w:val="000000" w:themeColor="text1"/>
          <w:sz w:val="22"/>
          <w:szCs w:val="22"/>
        </w:rPr>
      </w:r>
      <w:r>
        <w:rPr>
          <w:rFonts w:ascii="Cambria" w:hAnsi="Cambria" w:cs="Cambria"/>
          <w:i w:val="0"/>
          <w:iCs w:val="0"/>
          <w:sz w:val="22"/>
          <w:szCs w:val="22"/>
        </w:rPr>
      </w:r>
      <w:r/>
    </w:p>
    <w:p>
      <w:pPr>
        <w:jc w:val="right"/>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Santa Bárbara do Sul/RS, 07 de fevereiro de 2024</w:t>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ind w:firstLine="567"/>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sz w:val="22"/>
          <w:szCs w:val="22"/>
        </w:rPr>
      </w:r>
      <w:r/>
    </w:p>
    <w:p>
      <w:pPr>
        <w:jc w:val="center"/>
        <w:rPr>
          <w:rFonts w:ascii="Cambria" w:hAnsi="Cambria" w:cs="Cambria"/>
          <w:b/>
          <w:bCs w:val="0"/>
          <w:i w:val="0"/>
          <w:color w:val="000000" w:themeColor="text1"/>
          <w:sz w:val="22"/>
          <w:szCs w:val="22"/>
          <w:highlight w:val="none"/>
        </w:rPr>
      </w:pPr>
      <w:r>
        <w:rPr>
          <w:rFonts w:ascii="Cambria" w:hAnsi="Cambria" w:eastAsia="MS Mincho" w:cs="Cambria"/>
          <w:b/>
          <w:i w:val="0"/>
          <w:iCs w:val="0"/>
          <w:color w:val="000000" w:themeColor="text1"/>
          <w:sz w:val="22"/>
          <w:szCs w:val="22"/>
        </w:rPr>
        <w:t xml:space="preserve">Mário Roberto Utzig Filho</w:t>
      </w:r>
      <w:r>
        <w:rPr>
          <w:rFonts w:ascii="Cambria" w:hAnsi="Cambria" w:cs="Cambria"/>
          <w:i w:val="0"/>
          <w:iCs w:val="0"/>
          <w:sz w:val="22"/>
          <w:szCs w:val="22"/>
        </w:rPr>
      </w:r>
      <w:r/>
    </w:p>
    <w:p>
      <w:pPr>
        <w:jc w:val="center"/>
        <w:rPr>
          <w:rFonts w:ascii="Cambria" w:hAnsi="Cambria" w:cs="Cambria"/>
          <w:b/>
          <w:bCs w:val="0"/>
          <w:i w:val="0"/>
          <w:color w:val="000000" w:themeColor="text1"/>
          <w:sz w:val="22"/>
          <w:szCs w:val="22"/>
          <w:highlight w:val="none"/>
        </w:rPr>
      </w:pPr>
      <w:r>
        <w:rPr>
          <w:rFonts w:ascii="Cambria" w:hAnsi="Cambria" w:eastAsia="MS Mincho" w:cs="Cambria"/>
          <w:b/>
          <w:i w:val="0"/>
          <w:iCs w:val="0"/>
          <w:color w:val="000000" w:themeColor="text1"/>
          <w:sz w:val="22"/>
          <w:szCs w:val="22"/>
          <w:highlight w:val="none"/>
        </w:rPr>
        <w:t xml:space="preserve">Prefeito</w:t>
      </w:r>
      <w:r>
        <w:rPr>
          <w:rFonts w:ascii="Cambria" w:hAnsi="Cambria" w:eastAsia="MS Mincho" w:cs="Cambria"/>
          <w:b/>
          <w:i w:val="0"/>
          <w:iCs w:val="0"/>
          <w:color w:val="000000" w:themeColor="text1"/>
          <w:sz w:val="22"/>
          <w:szCs w:val="22"/>
          <w:highlight w:val="none"/>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r/>
    </w:p>
    <w:p>
      <w:pPr>
        <w:jc w:val="center"/>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r>
      <w:r/>
    </w:p>
    <w:p>
      <w:pPr>
        <w:jc w:val="center"/>
        <w:rPr>
          <w:rFonts w:ascii="Cambria" w:hAnsi="Cambria" w:cs="Cambria"/>
          <w:b/>
          <w:bCs w:val="0"/>
          <w:i w:val="0"/>
          <w:color w:val="000000" w:themeColor="text1"/>
          <w:sz w:val="22"/>
          <w:szCs w:val="22"/>
          <w:highlight w:val="none"/>
        </w:rPr>
      </w:pPr>
      <w:r>
        <w:rPr>
          <w:rFonts w:ascii="Cambria" w:hAnsi="Cambria" w:eastAsia="MS Mincho" w:cs="Cambria"/>
          <w:b/>
          <w:i w:val="0"/>
          <w:iCs w:val="0"/>
          <w:color w:val="000000" w:themeColor="text1"/>
          <w:sz w:val="22"/>
          <w:szCs w:val="22"/>
          <w:highlight w:val="none"/>
        </w:rPr>
        <w:t xml:space="preserve">Eroni Teresinha Barbosa</w:t>
      </w:r>
      <w:r>
        <w:rPr>
          <w:rFonts w:ascii="Cambria" w:hAnsi="Cambria" w:eastAsia="MS Mincho" w:cs="Cambria"/>
          <w:b/>
          <w:i w:val="0"/>
          <w:iCs w:val="0"/>
          <w:color w:val="000000" w:themeColor="text1"/>
          <w:sz w:val="22"/>
          <w:szCs w:val="22"/>
          <w:highlight w:val="none"/>
        </w:rPr>
      </w:r>
      <w:r/>
    </w:p>
    <w:p>
      <w:pPr>
        <w:jc w:val="center"/>
        <w:rPr>
          <w:rFonts w:ascii="Cambria" w:hAnsi="Cambria" w:cs="Cambria"/>
          <w:b/>
          <w:bCs w:val="0"/>
          <w:i w:val="0"/>
          <w:color w:val="000000" w:themeColor="text1"/>
          <w:sz w:val="22"/>
          <w:szCs w:val="22"/>
          <w:highlight w:val="none"/>
        </w:rPr>
      </w:pPr>
      <w:r>
        <w:rPr>
          <w:rFonts w:ascii="Cambria" w:hAnsi="Cambria" w:eastAsia="MS Mincho" w:cs="Cambria"/>
          <w:b/>
          <w:i w:val="0"/>
          <w:iCs w:val="0"/>
          <w:color w:val="000000" w:themeColor="text1"/>
          <w:sz w:val="22"/>
          <w:szCs w:val="22"/>
          <w:highlight w:val="none"/>
        </w:rPr>
        <w:t xml:space="preserve">Assessora de Compras, Licitações Contratos</w:t>
      </w:r>
      <w:r>
        <w:rPr>
          <w:rFonts w:ascii="Cambria" w:hAnsi="Cambria" w:eastAsia="MS Mincho" w:cs="Cambria"/>
          <w:b/>
          <w:i w:val="0"/>
          <w:iCs w:val="0"/>
          <w:color w:val="000000" w:themeColor="text1"/>
          <w:sz w:val="22"/>
          <w:szCs w:val="22"/>
          <w:highlight w:val="none"/>
        </w:rPr>
      </w:r>
      <w:r/>
    </w:p>
    <w:p>
      <w:pPr>
        <w:jc w:val="center"/>
        <w:rPr>
          <w:rFonts w:ascii="Cambria" w:hAnsi="Cambria" w:cs="Cambria"/>
          <w:b/>
          <w:bCs w:val="0"/>
          <w:i w:val="0"/>
          <w:color w:val="000000" w:themeColor="text1"/>
          <w:sz w:val="22"/>
          <w:szCs w:val="22"/>
          <w:highlight w:val="none"/>
        </w:rPr>
      </w:pPr>
      <w:r>
        <w:rPr>
          <w:rFonts w:ascii="Cambria" w:hAnsi="Cambria" w:eastAsia="MS Mincho" w:cs="Cambria"/>
          <w:b/>
          <w:i w:val="0"/>
          <w:iCs w:val="0"/>
          <w:color w:val="000000" w:themeColor="text1"/>
          <w:sz w:val="22"/>
          <w:szCs w:val="22"/>
          <w:highlight w:val="none"/>
        </w:rPr>
        <w:t xml:space="preserve">Portaria 211/2023</w:t>
      </w:r>
      <w:r>
        <w:rPr>
          <w:rFonts w:ascii="Cambria" w:hAnsi="Cambria" w:eastAsia="MS Mincho" w:cs="Cambria"/>
          <w:b/>
          <w:i w:val="0"/>
          <w:iCs w:val="0"/>
          <w:color w:val="000000" w:themeColor="text1"/>
          <w:sz w:val="22"/>
          <w:szCs w:val="22"/>
          <w:highlight w:val="none"/>
        </w:rPr>
      </w:r>
      <w:r/>
    </w:p>
    <w:p>
      <w:pPr>
        <w:jc w:val="center"/>
        <w:rPr>
          <w:rFonts w:ascii="Cambria" w:hAnsi="Cambria" w:cs="Cambria"/>
          <w:bCs w:val="0"/>
          <w:i w:val="0"/>
          <w:color w:val="000000" w:themeColor="text1"/>
          <w:sz w:val="22"/>
          <w:szCs w:val="22"/>
        </w:rPr>
      </w:pPr>
      <w:r>
        <w:rPr>
          <w:rFonts w:ascii="Cambria" w:hAnsi="Cambria" w:cs="Cambria"/>
          <w:bCs w:val="0"/>
          <w:i w:val="0"/>
          <w:color w:val="000000" w:themeColor="text1"/>
          <w:sz w:val="22"/>
          <w:szCs w:val="22"/>
        </w:rPr>
      </w:r>
      <w:r>
        <w:rPr>
          <w:rFonts w:ascii="Cambria" w:hAnsi="Cambria" w:cs="Cambria"/>
          <w:bCs w:val="0"/>
          <w:i w:val="0"/>
          <w:color w:val="000000" w:themeColor="text1"/>
          <w:sz w:val="22"/>
          <w:szCs w:val="22"/>
        </w:rPr>
      </w:r>
    </w:p>
    <w:p>
      <w:pPr>
        <w:jc w:val="center"/>
        <w:rPr>
          <w:rFonts w:ascii="Cambria" w:hAnsi="Cambria" w:cs="Cambria"/>
          <w:bCs w:val="0"/>
          <w:i w:val="0"/>
          <w:color w:val="000000" w:themeColor="text1"/>
          <w:sz w:val="22"/>
          <w:szCs w:val="22"/>
        </w:rPr>
      </w:pPr>
      <w:r>
        <w:rPr>
          <w:rFonts w:ascii="Cambria" w:hAnsi="Cambria" w:cs="Cambria"/>
          <w:bCs w:val="0"/>
          <w:i w:val="0"/>
          <w:color w:val="000000" w:themeColor="text1"/>
          <w:sz w:val="22"/>
          <w:szCs w:val="22"/>
        </w:rPr>
      </w:r>
      <w:r>
        <w:rPr>
          <w:rFonts w:ascii="Cambria" w:hAnsi="Cambria" w:cs="Cambria"/>
          <w:bCs w:val="0"/>
          <w:i w:val="0"/>
          <w:color w:val="000000" w:themeColor="text1"/>
          <w:sz w:val="22"/>
          <w:szCs w:val="22"/>
        </w:rPr>
      </w:r>
    </w:p>
    <w:p>
      <w:pPr>
        <w:pStyle w:val="877"/>
        <w:jc w:val="center"/>
        <w:spacing w:line="312" w:lineRule="auto"/>
        <w:rPr>
          <w:rFonts w:ascii="Cambria" w:hAnsi="Cambria" w:cs="Cambria"/>
          <w:sz w:val="22"/>
          <w:szCs w:val="22"/>
        </w:rPr>
      </w:pPr>
      <w:r>
        <w:rPr>
          <w:rFonts w:ascii="Cambria" w:hAnsi="Cambria" w:cs="Cambria"/>
          <w:b/>
          <w:bCs/>
          <w:sz w:val="22"/>
          <w:szCs w:val="22"/>
        </w:rPr>
        <w:t xml:space="preserve">MODELO DE TERMO DE REFERÊNCIA</w:t>
      </w:r>
      <w:r>
        <w:rPr>
          <w:rFonts w:ascii="Cambria" w:hAnsi="Cambria" w:cs="Cambria"/>
          <w:b/>
          <w:bCs/>
          <w:sz w:val="22"/>
          <w:szCs w:val="22"/>
        </w:rPr>
      </w:r>
      <w:r>
        <w:rPr>
          <w:rFonts w:ascii="Cambria" w:hAnsi="Cambria" w:cs="Cambria"/>
          <w:sz w:val="22"/>
          <w:szCs w:val="22"/>
        </w:rPr>
      </w:r>
    </w:p>
    <w:p>
      <w:pPr>
        <w:jc w:val="center"/>
        <w:spacing w:line="312" w:lineRule="auto"/>
        <w:rPr>
          <w:rFonts w:ascii="Cambria" w:hAnsi="Cambria" w:cs="Cambria"/>
          <w:sz w:val="22"/>
          <w:szCs w:val="22"/>
        </w:rPr>
      </w:pPr>
      <w:r>
        <w:rPr>
          <w:rFonts w:ascii="Cambria" w:hAnsi="Cambria" w:cs="Cambria"/>
          <w:b/>
          <w:bCs/>
          <w:color w:val="000000"/>
          <w:sz w:val="22"/>
          <w:szCs w:val="22"/>
        </w:rPr>
        <w:t xml:space="preserve">(Processo Administrativo n°13/2024)</w:t>
      </w:r>
      <w:r>
        <w:rPr>
          <w:rFonts w:ascii="Cambria" w:hAnsi="Cambria" w:cs="Cambria"/>
          <w:b/>
          <w:bCs/>
          <w:color w:val="000000"/>
          <w:sz w:val="22"/>
          <w:szCs w:val="22"/>
        </w:rPr>
      </w:r>
      <w:r>
        <w:rPr>
          <w:rFonts w:ascii="Cambria" w:hAnsi="Cambria" w:cs="Cambria"/>
          <w:sz w:val="22"/>
          <w:szCs w:val="22"/>
        </w:rPr>
      </w:r>
    </w:p>
    <w:p>
      <w:pPr>
        <w:jc w:val="center"/>
        <w:spacing w:line="312" w:lineRule="auto"/>
        <w:rPr>
          <w:rFonts w:ascii="Cambria" w:hAnsi="Cambria" w:cs="Cambria"/>
          <w:sz w:val="22"/>
          <w:szCs w:val="22"/>
        </w:rPr>
      </w:pPr>
      <w:r>
        <w:rPr>
          <w:rFonts w:ascii="Cambria" w:hAnsi="Cambria" w:cs="Cambria"/>
          <w:b/>
          <w:bCs/>
          <w:color w:val="000000"/>
          <w:sz w:val="22"/>
          <w:szCs w:val="22"/>
        </w:rPr>
      </w:r>
      <w:r>
        <w:rPr>
          <w:rFonts w:ascii="Cambria" w:hAnsi="Cambria" w:cs="Cambria"/>
          <w:b/>
          <w:bCs/>
          <w:color w:val="000000"/>
          <w:sz w:val="22"/>
          <w:szCs w:val="22"/>
        </w:rPr>
      </w:r>
      <w:r>
        <w:rPr>
          <w:rFonts w:ascii="Cambria" w:hAnsi="Cambria" w:cs="Cambria"/>
          <w:sz w:val="22"/>
          <w:szCs w:val="22"/>
        </w:rPr>
      </w:r>
    </w:p>
    <w:p>
      <w:pPr>
        <w:pStyle w:val="1047"/>
        <w:numPr>
          <w:ilvl w:val="0"/>
          <w:numId w:val="0"/>
        </w:numPr>
        <w:spacing w:before="0" w:line="312" w:lineRule="auto"/>
        <w:rPr>
          <w:rFonts w:ascii="Cambria" w:hAnsi="Cambria" w:cs="Cambria"/>
          <w:sz w:val="22"/>
          <w:szCs w:val="22"/>
        </w:rPr>
      </w:pPr>
      <w:r>
        <w:rPr>
          <w:rFonts w:ascii="Cambria" w:hAnsi="Cambria" w:cs="Cambria"/>
          <w:sz w:val="22"/>
          <w:szCs w:val="22"/>
        </w:rPr>
        <w:t xml:space="preserve">1 - CONDIÇÕES GERAIS DA CONTRATAÇÃO</w:t>
      </w:r>
      <w:r>
        <w:rPr>
          <w:rFonts w:ascii="Cambria" w:hAnsi="Cambria" w:eastAsia="Arial"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1.1 – O objeto do presente termo é o </w:t>
      </w:r>
      <w:r>
        <w:rPr>
          <w:rFonts w:ascii="Cambria" w:hAnsi="Cambria" w:cs="Cambria"/>
          <w:b/>
          <w:sz w:val="22"/>
          <w:szCs w:val="22"/>
        </w:rPr>
        <w:t xml:space="preserve">REGISTRO DE PREÇOS PARA</w:t>
      </w:r>
      <w:r>
        <w:rPr>
          <w:rFonts w:ascii="Cambria" w:hAnsi="Cambria" w:cs="Cambria"/>
          <w:sz w:val="22"/>
          <w:szCs w:val="22"/>
        </w:rPr>
        <w:t xml:space="preserve"> </w:t>
      </w:r>
      <w:r>
        <w:rPr>
          <w:rFonts w:ascii="Cambria" w:hAnsi="Cambria" w:cs="Cambria"/>
          <w:b/>
          <w:sz w:val="22"/>
          <w:szCs w:val="22"/>
        </w:rPr>
        <w:t xml:space="preserve">LOCAÇÃO DE CENTRAL TELEFÔNICA - PABX</w:t>
      </w:r>
      <w:r>
        <w:rPr>
          <w:rFonts w:ascii="Cambria" w:hAnsi="Cambria" w:cs="Cambria"/>
          <w:sz w:val="22"/>
          <w:szCs w:val="22"/>
        </w:rPr>
        <w:t xml:space="preserve">, nos termos da tabela abaixo, conforme condições e exigências estabelecidas neste instrumento.</w:t>
      </w:r>
      <w:r>
        <w:rPr>
          <w:rFonts w:ascii="Cambria" w:hAnsi="Cambria" w:cs="Cambria"/>
          <w:sz w:val="22"/>
          <w:szCs w:val="22"/>
        </w:rPr>
      </w:r>
      <w:r>
        <w:rPr>
          <w:rFonts w:ascii="Cambria" w:hAnsi="Cambria" w:cs="Cambria"/>
          <w:sz w:val="22"/>
          <w:szCs w:val="22"/>
        </w:rPr>
      </w:r>
    </w:p>
    <w:p>
      <w:pPr>
        <w:pStyle w:val="1064"/>
        <w:numPr>
          <w:ilvl w:val="0"/>
          <w:numId w:val="0"/>
        </w:numPr>
        <w:ind w:left="709"/>
        <w:spacing w:before="0" w:after="0" w:line="312" w:lineRule="auto"/>
        <w:rPr>
          <w:rFonts w:ascii="Cambria" w:hAnsi="Cambria" w:cs="Cambria"/>
          <w:sz w:val="22"/>
          <w:szCs w:val="22"/>
        </w:rPr>
      </w:pPr>
      <w:r>
        <w:rPr>
          <w:rFonts w:ascii="Cambria" w:hAnsi="Cambria" w:cs="Cambria"/>
          <w:b/>
          <w:bCs/>
          <w:sz w:val="22"/>
          <w:szCs w:val="22"/>
        </w:rPr>
      </w:r>
      <w:r>
        <w:rPr>
          <w:rFonts w:ascii="Cambria" w:hAnsi="Cambria" w:cs="Cambria"/>
          <w:b/>
          <w:bCs/>
          <w:sz w:val="22"/>
          <w:szCs w:val="22"/>
        </w:rPr>
      </w:r>
      <w:r>
        <w:rPr>
          <w:rFonts w:ascii="Cambria" w:hAnsi="Cambria" w:cs="Cambria"/>
          <w:sz w:val="22"/>
          <w:szCs w:val="22"/>
        </w:rPr>
      </w:r>
    </w:p>
    <w:tbl>
      <w:tblPr>
        <w:tblW w:w="487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050"/>
        <w:gridCol w:w="3440"/>
        <w:gridCol w:w="1150"/>
        <w:gridCol w:w="939"/>
        <w:gridCol w:w="1007"/>
        <w:gridCol w:w="1000"/>
      </w:tblGrid>
      <w:tr>
        <w:trPr>
          <w:trHeight w:val="101"/>
        </w:trPr>
        <w:tc>
          <w:tcPr>
            <w:shd w:val="clear" w:color="ffffff" w:fill="d9d9d9"/>
            <w:tcW w:w="327" w:type="pct"/>
            <w:vAlign w:val="center"/>
            <w:textDirection w:val="lrTb"/>
            <w:noWrap w:val="false"/>
          </w:tcPr>
          <w:p>
            <w:pPr>
              <w:pStyle w:val="1104"/>
              <w:jc w:val="center"/>
              <w:spacing w:line="312" w:lineRule="auto"/>
              <w:rPr>
                <w:rFonts w:ascii="Cambria" w:hAnsi="Cambria" w:cs="Cambria"/>
                <w:sz w:val="22"/>
                <w:szCs w:val="22"/>
              </w:rPr>
            </w:pPr>
            <w:r>
              <w:rPr>
                <w:rFonts w:ascii="Cambria" w:hAnsi="Cambria" w:eastAsia="Helv, Arial" w:cs="Cambria"/>
                <w:b/>
                <w:bCs/>
                <w:sz w:val="22"/>
                <w:szCs w:val="22"/>
              </w:rPr>
              <w:t xml:space="preserve">ITEM</w:t>
            </w:r>
            <w:r>
              <w:rPr>
                <w:rFonts w:ascii="Cambria" w:hAnsi="Cambria" w:eastAsia="Helv, Arial" w:cs="Cambria"/>
                <w:b/>
                <w:bCs/>
                <w:sz w:val="22"/>
                <w:szCs w:val="22"/>
              </w:rPr>
            </w:r>
            <w:r>
              <w:rPr>
                <w:rFonts w:ascii="Cambria" w:hAnsi="Cambria" w:cs="Cambria"/>
                <w:sz w:val="22"/>
                <w:szCs w:val="22"/>
              </w:rPr>
            </w:r>
          </w:p>
        </w:tc>
        <w:tc>
          <w:tcPr>
            <w:shd w:val="clear" w:color="ffffff" w:fill="d9d9d9"/>
            <w:tcW w:w="450" w:type="pct"/>
            <w:vAlign w:val="center"/>
            <w:textDirection w:val="lrTb"/>
            <w:noWrap w:val="false"/>
          </w:tcPr>
          <w:p>
            <w:pPr>
              <w:pStyle w:val="1104"/>
              <w:jc w:val="center"/>
              <w:spacing w:line="312" w:lineRule="auto"/>
              <w:rPr>
                <w:rFonts w:ascii="Cambria" w:hAnsi="Cambria" w:cs="Cambria"/>
                <w:sz w:val="22"/>
                <w:szCs w:val="22"/>
              </w:rPr>
            </w:pPr>
            <w:r>
              <w:rPr>
                <w:rFonts w:ascii="Cambria" w:hAnsi="Cambria" w:eastAsia="Helv, Arial" w:cs="Cambria"/>
                <w:b/>
                <w:bCs/>
                <w:sz w:val="22"/>
                <w:szCs w:val="22"/>
              </w:rPr>
              <w:t xml:space="preserve">CÓDIGO</w:t>
            </w:r>
            <w:r>
              <w:rPr>
                <w:rFonts w:ascii="Cambria" w:hAnsi="Cambria" w:eastAsia="Helv, Arial" w:cs="Cambria"/>
                <w:b/>
                <w:bCs/>
                <w:sz w:val="22"/>
                <w:szCs w:val="22"/>
              </w:rPr>
            </w:r>
            <w:r>
              <w:rPr>
                <w:rFonts w:ascii="Cambria" w:hAnsi="Cambria" w:cs="Cambria"/>
                <w:sz w:val="22"/>
                <w:szCs w:val="22"/>
              </w:rPr>
            </w:r>
          </w:p>
        </w:tc>
        <w:tc>
          <w:tcPr>
            <w:shd w:val="clear" w:color="ffffff" w:fill="d9d9d9"/>
            <w:tcW w:w="1972" w:type="pct"/>
            <w:vAlign w:val="center"/>
            <w:textDirection w:val="lrTb"/>
            <w:noWrap w:val="false"/>
          </w:tcPr>
          <w:p>
            <w:pPr>
              <w:pStyle w:val="1104"/>
              <w:jc w:val="center"/>
              <w:spacing w:line="312" w:lineRule="auto"/>
              <w:rPr>
                <w:rFonts w:ascii="Cambria" w:hAnsi="Cambria" w:cs="Cambria"/>
                <w:sz w:val="22"/>
                <w:szCs w:val="22"/>
              </w:rPr>
            </w:pPr>
            <w:r>
              <w:rPr>
                <w:rFonts w:ascii="Cambria" w:hAnsi="Cambria" w:eastAsia="Helv, Arial" w:cs="Cambria"/>
                <w:b/>
                <w:bCs/>
                <w:sz w:val="22"/>
                <w:szCs w:val="22"/>
              </w:rPr>
              <w:t xml:space="preserve">DESCRIÇÃO</w:t>
            </w:r>
            <w:r>
              <w:rPr>
                <w:rFonts w:ascii="Cambria" w:hAnsi="Cambria" w:eastAsia="Helv, Arial" w:cs="Cambria"/>
                <w:b/>
                <w:bCs/>
                <w:sz w:val="22"/>
                <w:szCs w:val="22"/>
              </w:rPr>
            </w:r>
            <w:r>
              <w:rPr>
                <w:rFonts w:ascii="Cambria" w:hAnsi="Cambria" w:cs="Cambria"/>
                <w:sz w:val="22"/>
                <w:szCs w:val="22"/>
              </w:rPr>
            </w:r>
          </w:p>
        </w:tc>
        <w:tc>
          <w:tcPr>
            <w:shd w:val="clear" w:color="ffffff" w:fill="d9d9d9"/>
            <w:tcW w:w="500" w:type="pct"/>
            <w:vAlign w:val="center"/>
            <w:textDirection w:val="lrTb"/>
            <w:noWrap w:val="false"/>
          </w:tcPr>
          <w:p>
            <w:pPr>
              <w:pStyle w:val="1104"/>
              <w:jc w:val="center"/>
              <w:spacing w:line="312" w:lineRule="auto"/>
              <w:rPr>
                <w:rFonts w:ascii="Cambria" w:hAnsi="Cambria" w:cs="Cambria"/>
                <w:sz w:val="22"/>
                <w:szCs w:val="22"/>
              </w:rPr>
            </w:pPr>
            <w:r>
              <w:rPr>
                <w:rFonts w:ascii="Cambria" w:hAnsi="Cambria" w:eastAsia="Helv, Arial" w:cs="Cambria"/>
                <w:b/>
                <w:bCs/>
                <w:sz w:val="22"/>
                <w:szCs w:val="22"/>
              </w:rPr>
              <w:t xml:space="preserve">UNIDADE</w:t>
            </w:r>
            <w:r>
              <w:rPr>
                <w:rFonts w:ascii="Cambria" w:hAnsi="Cambria" w:eastAsia="Helv, Arial" w:cs="Cambria"/>
                <w:b/>
                <w:bCs/>
                <w:sz w:val="22"/>
                <w:szCs w:val="22"/>
              </w:rPr>
            </w:r>
            <w:r>
              <w:rPr>
                <w:rFonts w:ascii="Cambria" w:hAnsi="Cambria" w:cs="Cambria"/>
                <w:sz w:val="22"/>
                <w:szCs w:val="22"/>
              </w:rPr>
            </w:r>
          </w:p>
        </w:tc>
        <w:tc>
          <w:tcPr>
            <w:shd w:val="clear" w:color="ffffff" w:fill="d9d9d9"/>
            <w:tcW w:w="417" w:type="pct"/>
            <w:vAlign w:val="center"/>
            <w:textDirection w:val="lrTb"/>
            <w:noWrap w:val="false"/>
          </w:tcPr>
          <w:p>
            <w:pPr>
              <w:pStyle w:val="1104"/>
              <w:jc w:val="center"/>
              <w:spacing w:line="312" w:lineRule="auto"/>
              <w:rPr>
                <w:rFonts w:ascii="Cambria" w:hAnsi="Cambria" w:cs="Cambria"/>
                <w:sz w:val="22"/>
                <w:szCs w:val="22"/>
              </w:rPr>
            </w:pPr>
            <w:r>
              <w:rPr>
                <w:rFonts w:ascii="Cambria" w:hAnsi="Cambria" w:eastAsia="Helv, Arial" w:cs="Cambria"/>
                <w:b/>
                <w:bCs/>
                <w:sz w:val="22"/>
                <w:szCs w:val="22"/>
              </w:rPr>
              <w:t xml:space="preserve">QUANT</w:t>
            </w:r>
            <w:r>
              <w:rPr>
                <w:rFonts w:ascii="Cambria" w:hAnsi="Cambria" w:eastAsia="Helv, Arial" w:cs="Cambria"/>
                <w:b/>
                <w:bCs/>
                <w:sz w:val="22"/>
                <w:szCs w:val="22"/>
              </w:rPr>
            </w:r>
            <w:r>
              <w:rPr>
                <w:rFonts w:ascii="Cambria" w:hAnsi="Cambria" w:cs="Cambria"/>
                <w:sz w:val="22"/>
                <w:szCs w:val="22"/>
              </w:rPr>
            </w:r>
          </w:p>
        </w:tc>
        <w:tc>
          <w:tcPr>
            <w:shd w:val="clear" w:color="ffffff" w:fill="d9d9d9"/>
            <w:tcW w:w="668" w:type="pct"/>
            <w:vAlign w:val="center"/>
            <w:textDirection w:val="lrTb"/>
            <w:noWrap w:val="false"/>
          </w:tcPr>
          <w:p>
            <w:pPr>
              <w:pStyle w:val="1104"/>
              <w:jc w:val="center"/>
              <w:spacing w:line="312" w:lineRule="auto"/>
              <w:rPr>
                <w:rFonts w:ascii="Cambria" w:hAnsi="Cambria" w:cs="Cambria"/>
                <w:sz w:val="22"/>
                <w:szCs w:val="22"/>
              </w:rPr>
            </w:pPr>
            <w:r>
              <w:rPr>
                <w:rFonts w:ascii="Cambria" w:hAnsi="Cambria" w:eastAsia="Helv, Arial" w:cs="Cambria"/>
                <w:b/>
                <w:bCs/>
                <w:sz w:val="22"/>
                <w:szCs w:val="22"/>
              </w:rPr>
              <w:t xml:space="preserve">VALOR UNIT</w:t>
            </w:r>
            <w:r>
              <w:rPr>
                <w:rFonts w:ascii="Cambria" w:hAnsi="Cambria" w:eastAsia="Helv, Arial" w:cs="Cambria"/>
                <w:b/>
                <w:bCs/>
                <w:sz w:val="22"/>
                <w:szCs w:val="22"/>
              </w:rPr>
            </w:r>
            <w:r>
              <w:rPr>
                <w:rFonts w:ascii="Cambria" w:hAnsi="Cambria" w:cs="Cambria"/>
                <w:sz w:val="22"/>
                <w:szCs w:val="22"/>
              </w:rPr>
            </w:r>
          </w:p>
        </w:tc>
        <w:tc>
          <w:tcPr>
            <w:shd w:val="clear" w:color="ffffff" w:fill="d9d9d9"/>
            <w:tcW w:w="665" w:type="pct"/>
            <w:vAlign w:val="center"/>
            <w:textDirection w:val="lrTb"/>
            <w:noWrap w:val="false"/>
          </w:tcPr>
          <w:p>
            <w:pPr>
              <w:pStyle w:val="1104"/>
              <w:jc w:val="center"/>
              <w:spacing w:line="312" w:lineRule="auto"/>
              <w:rPr>
                <w:rFonts w:ascii="Cambria" w:hAnsi="Cambria" w:cs="Cambria"/>
                <w:sz w:val="22"/>
                <w:szCs w:val="22"/>
              </w:rPr>
            </w:pPr>
            <w:r>
              <w:rPr>
                <w:rFonts w:ascii="Cambria" w:hAnsi="Cambria" w:eastAsia="Helv, Arial" w:cs="Cambria"/>
                <w:b/>
                <w:bCs/>
                <w:sz w:val="22"/>
                <w:szCs w:val="22"/>
              </w:rPr>
              <w:t xml:space="preserve">VALOR TOTAL</w:t>
            </w:r>
            <w:r>
              <w:rPr>
                <w:rFonts w:ascii="Cambria" w:hAnsi="Cambria" w:eastAsia="Helv, Arial" w:cs="Cambria"/>
                <w:b/>
                <w:bCs/>
                <w:sz w:val="22"/>
                <w:szCs w:val="22"/>
              </w:rPr>
            </w:r>
            <w:r>
              <w:rPr>
                <w:rFonts w:ascii="Cambria" w:hAnsi="Cambria" w:cs="Cambria"/>
                <w:sz w:val="22"/>
                <w:szCs w:val="22"/>
              </w:rPr>
            </w:r>
          </w:p>
        </w:tc>
      </w:tr>
      <w:tr>
        <w:trPr>
          <w:trHeight w:val="181"/>
        </w:trPr>
        <w:tc>
          <w:tcPr>
            <w:tcW w:w="327" w:type="pct"/>
            <w:vAlign w:val="center"/>
            <w:textDirection w:val="lrTb"/>
            <w:noWrap w:val="false"/>
          </w:tcPr>
          <w:p>
            <w:pPr>
              <w:jc w:val="center"/>
              <w:spacing w:line="312" w:lineRule="auto"/>
              <w:rPr>
                <w:rFonts w:ascii="Cambria" w:hAnsi="Cambria" w:cs="Cambria"/>
                <w:sz w:val="22"/>
                <w:szCs w:val="22"/>
              </w:rPr>
            </w:pPr>
            <w:r>
              <w:rPr>
                <w:rFonts w:ascii="Cambria" w:hAnsi="Cambria" w:cs="Cambria"/>
                <w:sz w:val="22"/>
                <w:szCs w:val="22"/>
              </w:rPr>
              <w:t xml:space="preserve">001</w:t>
            </w:r>
            <w:r>
              <w:rPr>
                <w:rFonts w:ascii="Cambria" w:hAnsi="Cambria" w:cs="Cambria"/>
                <w:sz w:val="22"/>
                <w:szCs w:val="22"/>
              </w:rPr>
            </w:r>
            <w:r>
              <w:rPr>
                <w:rFonts w:ascii="Cambria" w:hAnsi="Cambria" w:cs="Cambria"/>
                <w:sz w:val="22"/>
                <w:szCs w:val="22"/>
              </w:rPr>
            </w:r>
          </w:p>
        </w:tc>
        <w:tc>
          <w:tcPr>
            <w:tcW w:w="450" w:type="pct"/>
            <w:vAlign w:val="center"/>
            <w:textDirection w:val="lrTb"/>
            <w:noWrap w:val="false"/>
          </w:tcPr>
          <w:p>
            <w:pPr>
              <w:jc w:val="center"/>
              <w:spacing w:line="312" w:lineRule="auto"/>
              <w:rPr>
                <w:rFonts w:ascii="Cambria" w:hAnsi="Cambria" w:cs="Cambria"/>
                <w:sz w:val="22"/>
                <w:szCs w:val="22"/>
              </w:rPr>
            </w:pPr>
            <w:r>
              <w:rPr>
                <w:rFonts w:ascii="Cambria" w:hAnsi="Cambria" w:cs="Cambria"/>
                <w:sz w:val="22"/>
                <w:szCs w:val="22"/>
              </w:rPr>
              <w:t xml:space="preserve">001</w:t>
            </w:r>
            <w:r>
              <w:rPr>
                <w:rFonts w:ascii="Cambria" w:hAnsi="Cambria" w:cs="Cambria"/>
                <w:sz w:val="22"/>
                <w:szCs w:val="22"/>
              </w:rPr>
            </w:r>
            <w:r>
              <w:rPr>
                <w:rFonts w:ascii="Cambria" w:hAnsi="Cambria" w:cs="Cambria"/>
                <w:sz w:val="22"/>
                <w:szCs w:val="22"/>
              </w:rPr>
            </w:r>
          </w:p>
        </w:tc>
        <w:tc>
          <w:tcPr>
            <w:tcW w:w="1972" w:type="pct"/>
            <w:vAlign w:val="center"/>
            <w:textDirection w:val="lrTb"/>
            <w:noWrap w:val="false"/>
          </w:tcPr>
          <w:p>
            <w:pPr>
              <w:jc w:val="center"/>
              <w:spacing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t xml:space="preserve">CENTRAL PABX COM DDR CONFIGURADA PARA 01 INTERFACE 1E1 PARA LINHAS DIGITAIS OI DE 30 CANAIS, 48 CANAIS ANALÓGICOS, 01 PLACA ICIP IP CONFIGURADA PARA INICIAL 4 TRONCOS IP E 10 RAMAIS, 3 ADAPTADORES ANALÓGICOS DE 2 CANAIS E 1 PAR DE RÁDIOS.</w:t>
            </w:r>
            <w:r>
              <w:rPr>
                <w:rFonts w:ascii="Cambria" w:hAnsi="Cambria" w:cs="Cambria"/>
                <w:sz w:val="22"/>
                <w:szCs w:val="22"/>
              </w:rPr>
            </w:r>
            <w:r>
              <w:rPr>
                <w:rFonts w:ascii="Cambria" w:hAnsi="Cambria" w:cs="Cambria"/>
                <w:sz w:val="22"/>
                <w:szCs w:val="22"/>
              </w:rPr>
            </w:r>
            <w:r>
              <w:rPr>
                <w:rFonts w:ascii="Cambria" w:hAnsi="Cambria" w:cs="Cambria"/>
                <w:sz w:val="22"/>
                <w:szCs w:val="22"/>
              </w:rPr>
            </w:r>
          </w:p>
        </w:tc>
        <w:tc>
          <w:tcPr>
            <w:tcW w:w="500" w:type="pct"/>
            <w:vAlign w:val="center"/>
            <w:textDirection w:val="lrTb"/>
            <w:noWrap w:val="false"/>
          </w:tcPr>
          <w:p>
            <w:pPr>
              <w:jc w:val="center"/>
              <w:spacing w:line="312" w:lineRule="auto"/>
              <w:rPr>
                <w:rFonts w:ascii="Cambria" w:hAnsi="Cambria" w:cs="Cambria"/>
                <w:sz w:val="22"/>
                <w:szCs w:val="22"/>
              </w:rPr>
            </w:pPr>
            <w:r>
              <w:rPr>
                <w:rFonts w:ascii="Cambria" w:hAnsi="Cambria" w:cs="Cambria"/>
                <w:sz w:val="22"/>
                <w:szCs w:val="22"/>
              </w:rPr>
              <w:t xml:space="preserve">MESES</w:t>
            </w:r>
            <w:r>
              <w:rPr>
                <w:rFonts w:ascii="Cambria" w:hAnsi="Cambria" w:cs="Cambria"/>
                <w:sz w:val="22"/>
                <w:szCs w:val="22"/>
              </w:rPr>
            </w:r>
          </w:p>
        </w:tc>
        <w:tc>
          <w:tcPr>
            <w:tcW w:w="417" w:type="pct"/>
            <w:vAlign w:val="center"/>
            <w:textDirection w:val="lrTb"/>
            <w:noWrap w:val="false"/>
          </w:tcPr>
          <w:p>
            <w:pPr>
              <w:pStyle w:val="1104"/>
              <w:jc w:val="center"/>
              <w:spacing w:line="312" w:lineRule="auto"/>
              <w:rPr>
                <w:rFonts w:ascii="Cambria" w:hAnsi="Cambria" w:cs="Cambria"/>
                <w:sz w:val="22"/>
                <w:szCs w:val="22"/>
              </w:rPr>
            </w:pPr>
            <w:r>
              <w:rPr>
                <w:rFonts w:ascii="Cambria" w:hAnsi="Cambria" w:eastAsia="Helv, Arial" w:cs="Cambria"/>
                <w:bCs/>
                <w:sz w:val="22"/>
                <w:szCs w:val="22"/>
              </w:rPr>
              <w:t xml:space="preserve">12</w:t>
            </w:r>
            <w:r>
              <w:rPr>
                <w:rFonts w:ascii="Cambria" w:hAnsi="Cambria" w:eastAsia="Helv, Arial" w:cs="Cambria"/>
                <w:bCs/>
                <w:sz w:val="22"/>
                <w:szCs w:val="22"/>
              </w:rPr>
            </w:r>
            <w:r>
              <w:rPr>
                <w:rFonts w:ascii="Cambria" w:hAnsi="Cambria" w:cs="Cambria"/>
                <w:sz w:val="22"/>
                <w:szCs w:val="22"/>
              </w:rPr>
            </w:r>
          </w:p>
        </w:tc>
        <w:tc>
          <w:tcPr>
            <w:tcW w:w="668" w:type="pct"/>
            <w:vAlign w:val="center"/>
            <w:textDirection w:val="lrTb"/>
            <w:noWrap w:val="false"/>
          </w:tcPr>
          <w:p>
            <w:pPr>
              <w:pStyle w:val="1104"/>
              <w:jc w:val="center"/>
              <w:spacing w:line="312" w:lineRule="auto"/>
              <w:rPr>
                <w:rFonts w:ascii="Cambria" w:hAnsi="Cambria" w:cs="Cambria"/>
                <w:sz w:val="22"/>
                <w:szCs w:val="22"/>
              </w:rPr>
            </w:pPr>
            <w:r>
              <w:rPr>
                <w:rFonts w:ascii="Cambria" w:hAnsi="Cambria" w:eastAsia="Helv, Arial" w:cs="Cambria"/>
                <w:bCs/>
                <w:sz w:val="22"/>
                <w:szCs w:val="22"/>
              </w:rPr>
              <w:t xml:space="preserve">2.142,74</w:t>
            </w:r>
            <w:r>
              <w:rPr>
                <w:rFonts w:ascii="Cambria" w:hAnsi="Cambria" w:eastAsia="Helv, Arial" w:cs="Cambria"/>
                <w:bCs/>
                <w:sz w:val="22"/>
                <w:szCs w:val="22"/>
              </w:rPr>
            </w:r>
            <w:r>
              <w:rPr>
                <w:rFonts w:ascii="Cambria" w:hAnsi="Cambria" w:cs="Cambria"/>
                <w:sz w:val="22"/>
                <w:szCs w:val="22"/>
              </w:rPr>
            </w:r>
          </w:p>
        </w:tc>
        <w:tc>
          <w:tcPr>
            <w:tcW w:w="665" w:type="pct"/>
            <w:vAlign w:val="center"/>
            <w:textDirection w:val="lrTb"/>
            <w:noWrap w:val="false"/>
          </w:tcPr>
          <w:p>
            <w:pPr>
              <w:pStyle w:val="1104"/>
              <w:jc w:val="center"/>
              <w:spacing w:line="312" w:lineRule="auto"/>
              <w:rPr>
                <w:rFonts w:ascii="Cambria" w:hAnsi="Cambria" w:cs="Cambria"/>
                <w:sz w:val="22"/>
                <w:szCs w:val="22"/>
              </w:rPr>
            </w:pPr>
            <w:r>
              <w:rPr>
                <w:rFonts w:ascii="Cambria" w:hAnsi="Cambria" w:cs="Cambria"/>
                <w:sz w:val="22"/>
                <w:szCs w:val="22"/>
              </w:rPr>
              <w:t xml:space="preserve">25.712,88</w:t>
            </w:r>
            <w:r>
              <w:rPr>
                <w:rFonts w:ascii="Cambria" w:hAnsi="Cambria" w:cs="Cambria"/>
                <w:sz w:val="22"/>
                <w:szCs w:val="22"/>
              </w:rPr>
            </w:r>
            <w:r>
              <w:rPr>
                <w:rFonts w:ascii="Cambria" w:hAnsi="Cambria" w:cs="Cambria"/>
                <w:sz w:val="22"/>
                <w:szCs w:val="22"/>
              </w:rPr>
            </w:r>
          </w:p>
        </w:tc>
      </w:tr>
    </w:tbl>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1.2 - O objeto desta contratação não se enquadra como sendo de bem de luxo, conforme Decreto Municipal nº </w:t>
      </w:r>
      <w:r>
        <w:rPr>
          <w:rFonts w:ascii="Cambria" w:hAnsi="Cambria" w:cs="Cambria"/>
          <w:sz w:val="22"/>
          <w:szCs w:val="22"/>
        </w:rPr>
        <w:t xml:space="preserve">5.452</w:t>
      </w:r>
      <w:r>
        <w:rPr>
          <w:rFonts w:ascii="Cambria" w:hAnsi="Cambria" w:cs="Cambria"/>
          <w:sz w:val="22"/>
          <w:szCs w:val="22"/>
        </w:rPr>
        <w:t xml:space="preserve">, de 0</w:t>
      </w:r>
      <w:r>
        <w:rPr>
          <w:rFonts w:ascii="Cambria" w:hAnsi="Cambria" w:cs="Cambria"/>
          <w:sz w:val="22"/>
          <w:szCs w:val="22"/>
        </w:rPr>
        <w:t xml:space="preserve">5</w:t>
      </w:r>
      <w:r>
        <w:rPr>
          <w:rFonts w:ascii="Cambria" w:hAnsi="Cambria" w:cs="Cambria"/>
          <w:sz w:val="22"/>
          <w:szCs w:val="22"/>
        </w:rPr>
        <w:t xml:space="preserve"> de </w:t>
      </w:r>
      <w:r>
        <w:rPr>
          <w:rFonts w:ascii="Cambria" w:hAnsi="Cambria" w:cs="Cambria"/>
          <w:sz w:val="22"/>
          <w:szCs w:val="22"/>
        </w:rPr>
        <w:t xml:space="preserve">setembro</w:t>
      </w:r>
      <w:r>
        <w:rPr>
          <w:rFonts w:ascii="Cambria" w:hAnsi="Cambria" w:cs="Cambria"/>
          <w:sz w:val="22"/>
          <w:szCs w:val="22"/>
        </w:rPr>
        <w:t xml:space="preserve"> de 2023.</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1.3 - Os equipamentos objeto desta contratação são caracterizados como comuns, nos termos do art. 6º, inciso XIII, da Lei nº 14.133/2021.</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b/>
          <w:sz w:val="22"/>
          <w:szCs w:val="22"/>
        </w:rPr>
        <w:t xml:space="preserve">2 - PRAZO DE VIGÊNCIA</w:t>
      </w:r>
      <w:r>
        <w:rPr>
          <w:rFonts w:ascii="Cambria" w:hAnsi="Cambria" w:cs="Cambria"/>
          <w:b/>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2.1 - </w:t>
      </w:r>
      <w:r>
        <w:rPr>
          <w:rFonts w:ascii="Cambria" w:hAnsi="Cambria" w:cs="Cambria"/>
          <w:i w:val="0"/>
          <w:iCs w:val="0"/>
          <w:color w:val="auto"/>
          <w:sz w:val="22"/>
          <w:szCs w:val="22"/>
        </w:rPr>
        <w:t xml:space="preserve">O prazo de vigência dos contratos originados através deste Processo Licitatório é de 12 (doze) meses (máximo de 5 anos) contados a partir da data de sua assinatura, prorrogável por até 10 (dez) anos, na forma dos artigos 106 e 107 da Lei n° 14.133, de 2021.</w:t>
      </w:r>
      <w:r>
        <w:rPr>
          <w:rFonts w:ascii="Cambria" w:hAnsi="Cambria" w:cs="Cambria"/>
          <w:i w:val="0"/>
          <w:iCs w:val="0"/>
          <w:color w:val="auto"/>
          <w:sz w:val="22"/>
          <w:szCs w:val="22"/>
        </w:rPr>
      </w:r>
      <w:r>
        <w:rPr>
          <w:rFonts w:ascii="Cambria" w:hAnsi="Cambria" w:cs="Cambria"/>
          <w:sz w:val="22"/>
          <w:szCs w:val="22"/>
        </w:rPr>
      </w:r>
    </w:p>
    <w:p>
      <w:pPr>
        <w:pStyle w:val="1112"/>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2.2.1 – A prestação dos serviços é enquadrado como continuado,  sendo a vigência plurianual mais vantajosa considerando.</w:t>
      </w:r>
      <w:r>
        <w:rPr>
          <w:rFonts w:ascii="Cambria" w:hAnsi="Cambria" w:cs="Cambria"/>
          <w:sz w:val="22"/>
          <w:szCs w:val="22"/>
        </w:rPr>
      </w:r>
    </w:p>
    <w:p>
      <w:pPr>
        <w:pStyle w:val="1112"/>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r>
      <w:r>
        <w:rPr>
          <w:rFonts w:ascii="Cambria" w:hAnsi="Cambria" w:cs="Cambria"/>
          <w:i w:val="0"/>
          <w:iCs w:val="0"/>
          <w:color w:val="auto"/>
          <w:sz w:val="22"/>
          <w:szCs w:val="22"/>
        </w:rPr>
      </w:r>
      <w:r>
        <w:rPr>
          <w:rFonts w:ascii="Cambria" w:hAnsi="Cambria" w:cs="Cambria"/>
          <w:sz w:val="22"/>
          <w:szCs w:val="22"/>
        </w:rPr>
      </w:r>
    </w:p>
    <w:p>
      <w:pPr>
        <w:pStyle w:val="1112"/>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r>
      <w:r>
        <w:rPr>
          <w:rFonts w:ascii="Cambria" w:hAnsi="Cambria" w:cs="Cambria"/>
          <w:i w:val="0"/>
          <w:iCs w:val="0"/>
          <w:color w:val="auto"/>
          <w:sz w:val="22"/>
          <w:szCs w:val="22"/>
        </w:rPr>
      </w:r>
      <w:r>
        <w:rPr>
          <w:rFonts w:ascii="Cambria" w:hAnsi="Cambria" w:cs="Cambria"/>
          <w:sz w:val="22"/>
          <w:szCs w:val="22"/>
        </w:rPr>
      </w:r>
    </w:p>
    <w:p>
      <w:pPr>
        <w:pStyle w:val="1112"/>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1047"/>
        <w:numPr>
          <w:ilvl w:val="0"/>
          <w:numId w:val="0"/>
        </w:numPr>
        <w:spacing w:before="0" w:line="312" w:lineRule="auto"/>
        <w:tabs>
          <w:tab w:val="left" w:pos="426" w:leader="none"/>
          <w:tab w:val="clear" w:pos="567" w:leader="none"/>
        </w:tabs>
        <w:rPr>
          <w:rFonts w:ascii="Cambria" w:hAnsi="Cambria" w:cs="Cambria"/>
          <w:sz w:val="22"/>
          <w:szCs w:val="22"/>
        </w:rPr>
      </w:pPr>
      <w:r>
        <w:rPr>
          <w:rFonts w:ascii="Cambria" w:hAnsi="Cambria" w:cs="Cambria"/>
          <w:sz w:val="22"/>
          <w:szCs w:val="22"/>
        </w:rPr>
        <w:t xml:space="preserve">3 - FUNDAMENTAÇÃO E DESCRIÇÃO DA NECESSIDADE DA CONTRATAÇÃO</w:t>
      </w:r>
      <w:r>
        <w:rPr>
          <w:rFonts w:ascii="Cambria" w:hAnsi="Cambria" w:cs="Cambria"/>
          <w:sz w:val="22"/>
          <w:szCs w:val="22"/>
        </w:rPr>
      </w:r>
    </w:p>
    <w:p>
      <w:pPr>
        <w:pStyle w:val="1047"/>
        <w:numPr>
          <w:ilvl w:val="0"/>
          <w:numId w:val="0"/>
        </w:numPr>
        <w:spacing w:before="0" w:line="312" w:lineRule="auto"/>
        <w:tabs>
          <w:tab w:val="left" w:pos="426" w:leader="none"/>
          <w:tab w:val="clear" w:pos="567" w:leader="none"/>
        </w:tabs>
        <w:rPr>
          <w:rFonts w:ascii="Cambria" w:hAnsi="Cambria" w:cs="Cambria"/>
          <w:b w:val="0"/>
          <w:bCs w:val="0"/>
          <w:sz w:val="22"/>
          <w:szCs w:val="22"/>
        </w:rPr>
      </w:pPr>
      <w:r>
        <w:rPr>
          <w:rFonts w:ascii="Cambria" w:hAnsi="Cambria" w:cs="Cambria"/>
          <w:b w:val="0"/>
          <w:bCs w:val="0"/>
          <w:sz w:val="22"/>
          <w:szCs w:val="22"/>
        </w:rPr>
        <w:t xml:space="preserve">3.1. </w:t>
      </w:r>
      <w:r>
        <w:rPr>
          <w:rFonts w:ascii="Cambria" w:hAnsi="Cambria" w:cs="Cambria"/>
          <w:b w:val="0"/>
          <w:bCs w:val="0"/>
          <w:sz w:val="22"/>
          <w:szCs w:val="22"/>
        </w:rPr>
        <w:t xml:space="preserve">Compra de uma central PABX com capacidade para 48 ramais, incluindo passamento de cabos do centro administrativo à secretaria de Educação, que fica ao lado do prédio da prefeitura.</w:t>
      </w:r>
      <w:r>
        <w:rPr>
          <w:rFonts w:ascii="Cambria" w:hAnsi="Cambria" w:cs="Cambria"/>
          <w:b w:val="0"/>
          <w:bCs w:val="0"/>
          <w:sz w:val="22"/>
          <w:szCs w:val="22"/>
        </w:rPr>
      </w:r>
      <w:r>
        <w:rPr>
          <w:rFonts w:ascii="Cambria" w:hAnsi="Cambria" w:cs="Cambria"/>
          <w:b w:val="0"/>
          <w:bCs w:val="0"/>
          <w:sz w:val="22"/>
          <w:szCs w:val="22"/>
        </w:rPr>
      </w:r>
      <w:r>
        <w:rPr>
          <w:rFonts w:ascii="Cambria" w:hAnsi="Cambria" w:cs="Cambria"/>
          <w:sz w:val="22"/>
          <w:szCs w:val="22"/>
        </w:rPr>
      </w:r>
      <w:r>
        <w:rPr>
          <w:rFonts w:ascii="Cambria" w:hAnsi="Cambria" w:cs="Cambria"/>
          <w:sz w:val="22"/>
          <w:szCs w:val="22"/>
        </w:rPr>
      </w:r>
      <w:r>
        <w:rPr>
          <w:rFonts w:ascii="Cambria" w:hAnsi="Cambria" w:cs="Cambria"/>
          <w:sz w:val="22"/>
          <w:szCs w:val="22"/>
        </w:rPr>
      </w:r>
      <w:r>
        <w:rPr>
          <w:rFonts w:ascii="Cambria" w:hAnsi="Cambria" w:cs="Cambria"/>
          <w:b w:val="0"/>
          <w:bCs w:val="0"/>
          <w:sz w:val="22"/>
          <w:szCs w:val="22"/>
        </w:rPr>
      </w:r>
    </w:p>
    <w:p>
      <w:pPr>
        <w:pStyle w:val="1047"/>
        <w:numPr>
          <w:ilvl w:val="0"/>
          <w:numId w:val="0"/>
        </w:numPr>
        <w:spacing w:before="0" w:line="312" w:lineRule="auto"/>
        <w:rPr>
          <w:rFonts w:ascii="Cambria" w:hAnsi="Cambria" w:cs="Cambria"/>
          <w:sz w:val="22"/>
          <w:szCs w:val="22"/>
        </w:rPr>
      </w:pPr>
      <w:r>
        <w:rPr>
          <w:rFonts w:ascii="Cambria" w:hAnsi="Cambria" w:cs="Cambria"/>
          <w:sz w:val="22"/>
          <w:szCs w:val="22"/>
        </w:rPr>
        <w:t xml:space="preserve">4 - DESCRIÇÃO DA SOLUÇÃO COMO UM TODO CONSIDERADO O CICLO DE VIDA DO OBJETO E ESPECIFICAÇÃO DO PRODUTO</w:t>
      </w:r>
      <w:r>
        <w:rPr>
          <w:rFonts w:ascii="Cambria" w:hAnsi="Cambria" w:cs="Cambria"/>
          <w:sz w:val="22"/>
          <w:szCs w:val="22"/>
        </w:rPr>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4.1. A solução como um todo engloba uma central moderna, modular, com capacidade de aumento de placas, aumento de ramais, adição de troncos IP e analógicos, pensando nas necessidades presentes e futuras do Município.</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4.2. O passamento de cabo CI para telefonia, entre o centro administrativo e a Secretaria de Educação, representa um avanço, considerando que é um cabo blindado com duração maior do que o cabo correntemente instalado, o qual, inclusive, apresentou defeitos.</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4.3. Pretende-se com esta solução também a redução com custos, considerando a compra do equipamento e a redução com custos de locação.</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4.4. Centrais telefônicas bem configuradas precisam de manutenção periódica, mas pretende-se, com este ETP, avaliar o funcionamento de uma central telefônica para ajustar quantas manutenções periódicas ela deve receber, considerando, que uma central telefônica </w:t>
      </w:r>
      <w:r>
        <w:rPr>
          <w:rFonts w:ascii="Cambria" w:hAnsi="Cambria" w:cs="Cambria"/>
          <w:sz w:val="22"/>
          <w:szCs w:val="22"/>
        </w:rPr>
        <w:t xml:space="preserve">bem configurada pode passar longos períodos sem a necessidade de manutenção.</w:t>
      </w:r>
      <w:r>
        <w:rPr>
          <w:rFonts w:ascii="Cambria" w:hAnsi="Cambria" w:cs="Cambria"/>
          <w:sz w:val="22"/>
          <w:szCs w:val="22"/>
        </w:rPr>
      </w:r>
    </w:p>
    <w:p>
      <w:pPr>
        <w:ind w:left="0" w:right="0" w:firstLine="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5.5. A central deve permitir a gravação de mensagem de espera, agendamento de mensagem conforme o horário, e a reprodução de menu de voz para a pessoa que chama escolher o ramal desejado.</w:t>
      </w:r>
      <w:r>
        <w:rPr>
          <w:rFonts w:ascii="Cambria" w:hAnsi="Cambria" w:cs="Cambria"/>
          <w:sz w:val="22"/>
          <w:szCs w:val="22"/>
        </w:rPr>
      </w: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1047"/>
        <w:numPr>
          <w:ilvl w:val="0"/>
          <w:numId w:val="0"/>
        </w:numPr>
        <w:spacing w:before="0" w:line="312" w:lineRule="auto"/>
        <w:rPr>
          <w:rFonts w:ascii="Cambria" w:hAnsi="Cambria" w:cs="Cambria"/>
          <w:sz w:val="22"/>
          <w:szCs w:val="22"/>
        </w:rPr>
      </w:pPr>
      <w:r>
        <w:rPr>
          <w:rFonts w:ascii="Cambria" w:hAnsi="Cambria" w:cs="Cambria"/>
          <w:sz w:val="22"/>
          <w:szCs w:val="22"/>
        </w:rPr>
        <w:t xml:space="preserve">5 - </w:t>
      </w:r>
      <w:r>
        <w:rPr>
          <w:rFonts w:ascii="Cambria" w:hAnsi="Cambria" w:cs="Cambria"/>
          <w:sz w:val="22"/>
          <w:szCs w:val="22"/>
        </w:rPr>
        <w:t xml:space="preserve">REQUISITOS DA CONTRATAÇÃO</w:t>
      </w:r>
      <w:r>
        <w:rPr>
          <w:rFonts w:ascii="Cambria" w:hAnsi="Cambria" w:cs="Cambria"/>
          <w:sz w:val="22"/>
          <w:szCs w:val="22"/>
        </w:rPr>
      </w:r>
      <w:r>
        <w:rPr>
          <w:rFonts w:ascii="Cambria" w:hAnsi="Cambria" w:cs="Cambria"/>
          <w:sz w:val="22"/>
          <w:szCs w:val="22"/>
        </w:rPr>
      </w:r>
    </w:p>
    <w:p>
      <w:pPr>
        <w:jc w:val="both"/>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sz w:val="22"/>
          <w:szCs w:val="22"/>
        </w:rPr>
        <w:t xml:space="preserve">5.1 - A contratação deverá observar os seguintes requisitos:</w:t>
      </w:r>
      <w:r>
        <w:rPr>
          <w:rFonts w:ascii="Cambria" w:hAnsi="Cambria" w:cs="Cambria"/>
          <w:iCs/>
          <w:sz w:val="22"/>
          <w:szCs w:val="22"/>
        </w:rPr>
      </w:r>
      <w:r>
        <w:rPr>
          <w:rFonts w:ascii="Cambria" w:hAnsi="Cambria" w:cs="Cambria"/>
          <w:sz w:val="22"/>
          <w:szCs w:val="22"/>
        </w:rPr>
      </w:r>
    </w:p>
    <w:p>
      <w:pPr>
        <w:pStyle w:val="1032"/>
        <w:numPr>
          <w:ilvl w:val="0"/>
          <w:numId w:val="12"/>
        </w:numPr>
        <w:ind w:right="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Prazo de entrega do serviço após a assinatura do contrato: 30 dias úteis.</w:t>
      </w:r>
      <w:r>
        <w:rPr>
          <w:rFonts w:ascii="Cambria" w:hAnsi="Cambria" w:cs="Cambria"/>
          <w:sz w:val="22"/>
          <w:szCs w:val="22"/>
        </w:rPr>
      </w:r>
    </w:p>
    <w:p>
      <w:pPr>
        <w:pStyle w:val="1032"/>
        <w:numPr>
          <w:ilvl w:val="0"/>
          <w:numId w:val="12"/>
        </w:numPr>
        <w:ind w:right="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Garantia de 1 ano contra defeitos de fabricação, provida pelo fabricante ou fornecedor.</w:t>
      </w:r>
      <w:r>
        <w:rPr>
          <w:rFonts w:ascii="Cambria" w:hAnsi="Cambria" w:cs="Cambria"/>
          <w:sz w:val="22"/>
          <w:szCs w:val="22"/>
        </w:rPr>
      </w:r>
    </w:p>
    <w:p>
      <w:pPr>
        <w:pStyle w:val="1032"/>
        <w:numPr>
          <w:ilvl w:val="0"/>
          <w:numId w:val="12"/>
        </w:numPr>
        <w:ind w:right="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Garantia de 1 ano contra defeitos de instalação, provida pelo fornecedor.</w:t>
      </w:r>
      <w:r>
        <w:rPr>
          <w:rFonts w:ascii="Cambria" w:hAnsi="Cambria" w:cs="Cambria"/>
          <w:sz w:val="22"/>
          <w:szCs w:val="22"/>
        </w:rPr>
      </w:r>
    </w:p>
    <w:p>
      <w:pPr>
        <w:pStyle w:val="1032"/>
        <w:numPr>
          <w:ilvl w:val="0"/>
          <w:numId w:val="12"/>
        </w:numPr>
        <w:ind w:right="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Não se incluem na garantia danos causados por descargas elétricas, manutenção por pessoas não autorizadas.</w:t>
      </w:r>
      <w:r>
        <w:rPr>
          <w:rFonts w:ascii="Cambria" w:hAnsi="Cambria" w:cs="Cambria"/>
          <w:sz w:val="22"/>
          <w:szCs w:val="22"/>
        </w:rPr>
      </w:r>
    </w:p>
    <w:p>
      <w:pPr>
        <w:pStyle w:val="1032"/>
        <w:numPr>
          <w:ilvl w:val="0"/>
          <w:numId w:val="12"/>
        </w:numPr>
        <w:ind w:right="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Incluir nas propostas taxas de acordo com as leis vigentes.</w:t>
      </w:r>
      <w:r>
        <w:rPr>
          <w:rFonts w:ascii="Cambria" w:hAnsi="Cambria" w:cs="Cambria"/>
          <w:sz w:val="22"/>
          <w:szCs w:val="22"/>
        </w:rPr>
      </w:r>
    </w:p>
    <w:p>
      <w:pPr>
        <w:pStyle w:val="1032"/>
        <w:numPr>
          <w:ilvl w:val="0"/>
          <w:numId w:val="12"/>
        </w:numPr>
        <w:ind w:right="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Manutenção preventiva dos equipamentos não faz parte do presente objeto e deverá ser contratada à parte.</w:t>
      </w:r>
      <w:r>
        <w:rPr>
          <w:rFonts w:ascii="Cambria" w:hAnsi="Cambria" w:cs="Cambria"/>
          <w:sz w:val="22"/>
          <w:szCs w:val="22"/>
        </w:rPr>
      </w:r>
    </w:p>
    <w:p>
      <w:pPr>
        <w:pStyle w:val="1032"/>
        <w:numPr>
          <w:ilvl w:val="0"/>
          <w:numId w:val="12"/>
        </w:numPr>
        <w:ind w:right="0"/>
        <w:spacing w:before="240" w:after="24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t xml:space="preserve">Fornecer credenciais de acesso às configurações da central, de forma que se a administração optar por outro fornecedor para manutenção, não precise solicitar senhas e credenciais de acesso ao fornecedor da venda da central PABX.</w:t>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r>
      <w:r>
        <w:rPr>
          <w:rFonts w:ascii="Cambria" w:hAnsi="Cambria" w:cs="Cambria"/>
          <w:color w:val="auto"/>
          <w:sz w:val="22"/>
          <w:szCs w:val="22"/>
        </w:rPr>
      </w:r>
      <w:r>
        <w:rPr>
          <w:rFonts w:ascii="Cambria" w:hAnsi="Cambria" w:cs="Cambria"/>
          <w:sz w:val="22"/>
          <w:szCs w:val="22"/>
        </w:rPr>
      </w:r>
    </w:p>
    <w:p>
      <w:pPr>
        <w:pStyle w:val="1117"/>
        <w:ind w:left="0"/>
        <w:spacing w:before="0" w:line="312" w:lineRule="auto"/>
        <w:rPr>
          <w:rFonts w:ascii="Cambria" w:hAnsi="Cambria" w:cs="Cambria"/>
          <w:sz w:val="22"/>
          <w:szCs w:val="22"/>
        </w:rPr>
      </w:pPr>
      <w:r>
        <w:rPr>
          <w:rFonts w:ascii="Cambria" w:hAnsi="Cambria" w:cs="Cambria"/>
          <w:b w:val="0"/>
          <w:color w:val="auto"/>
          <w:sz w:val="22"/>
          <w:szCs w:val="22"/>
        </w:rPr>
        <w:t xml:space="preserve">5.1.5 - SUBCONTRATAÇÃO</w:t>
      </w:r>
      <w:r>
        <w:rPr>
          <w:rFonts w:ascii="Cambria" w:hAnsi="Cambria" w:cs="Cambria"/>
          <w:b w:val="0"/>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5.1.5.1 - </w:t>
      </w:r>
      <w:r>
        <w:rPr>
          <w:rFonts w:ascii="Cambria" w:hAnsi="Cambria" w:cs="Cambria"/>
          <w:color w:val="auto"/>
          <w:sz w:val="22"/>
          <w:szCs w:val="22"/>
        </w:rPr>
        <w:t xml:space="preserve">Não é admitida a subcontratação do objeto contratual.</w:t>
      </w:r>
      <w:r>
        <w:rPr>
          <w:rFonts w:ascii="Cambria" w:hAnsi="Cambria" w:cs="Cambria"/>
          <w:color w:val="auto"/>
          <w:sz w:val="22"/>
          <w:szCs w:val="22"/>
        </w:rPr>
      </w:r>
      <w:r>
        <w:rPr>
          <w:rFonts w:ascii="Cambria" w:hAnsi="Cambria" w:cs="Cambria"/>
          <w:sz w:val="22"/>
          <w:szCs w:val="22"/>
        </w:rPr>
      </w:r>
    </w:p>
    <w:p>
      <w:pPr>
        <w:pStyle w:val="1112"/>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r>
      <w:r>
        <w:rPr>
          <w:rFonts w:ascii="Cambria" w:hAnsi="Cambria" w:cs="Cambria"/>
          <w:i w:val="0"/>
          <w:iCs w:val="0"/>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5.1.5.4 - O contrato oferece maior detalhamento das regras que serão aplicadas em relação à subcontratação.</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ff0000"/>
          <w:sz w:val="22"/>
          <w:szCs w:val="22"/>
        </w:rPr>
      </w:r>
      <w:r>
        <w:rPr>
          <w:rFonts w:ascii="Cambria" w:hAnsi="Cambria" w:cs="Cambria"/>
          <w:color w:val="ff0000"/>
          <w:sz w:val="22"/>
          <w:szCs w:val="22"/>
        </w:rPr>
      </w:r>
      <w:r>
        <w:rPr>
          <w:rFonts w:ascii="Cambria" w:hAnsi="Cambria" w:cs="Cambria"/>
          <w:sz w:val="22"/>
          <w:szCs w:val="22"/>
        </w:rPr>
      </w:r>
    </w:p>
    <w:p>
      <w:pPr>
        <w:pStyle w:val="1117"/>
        <w:ind w:left="0"/>
        <w:spacing w:before="0" w:line="312" w:lineRule="auto"/>
        <w:rPr>
          <w:rFonts w:ascii="Cambria" w:hAnsi="Cambria" w:cs="Cambria"/>
          <w:sz w:val="22"/>
          <w:szCs w:val="22"/>
        </w:rPr>
      </w:pPr>
      <w:r>
        <w:rPr>
          <w:rFonts w:ascii="Cambria" w:hAnsi="Cambria" w:cs="Cambria"/>
          <w:b w:val="0"/>
          <w:color w:val="auto"/>
          <w:sz w:val="22"/>
          <w:szCs w:val="22"/>
        </w:rPr>
        <w:t xml:space="preserve">5.1.6 - GARANTIA DA CONTRATAÇÃO</w:t>
      </w:r>
      <w:r>
        <w:rPr>
          <w:rFonts w:ascii="Cambria" w:hAnsi="Cambria" w:cs="Cambria"/>
          <w:sz w:val="22"/>
          <w:szCs w:val="22"/>
        </w:rPr>
      </w:r>
      <w:r/>
      <w:r>
        <w:rPr>
          <w:rFonts w:ascii="Cambria" w:hAnsi="Cambria" w:cs="Cambria"/>
          <w:b w:val="0"/>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5.1.6.1 - Não haverá exigência da garantia da contratação dos artigos 96 e seguintes da Lei nº 14.133, de 2021.</w:t>
      </w:r>
      <w:r>
        <w:rPr>
          <w:rFonts w:ascii="Cambria" w:hAnsi="Cambria" w:cs="Cambria"/>
          <w:sz w:val="22"/>
          <w:szCs w:val="22"/>
        </w:rPr>
      </w:r>
    </w:p>
    <w:p>
      <w:pPr>
        <w:pStyle w:val="1064"/>
        <w:numPr>
          <w:ilvl w:val="0"/>
          <w:numId w:val="0"/>
        </w:numPr>
        <w:ind w:left="709"/>
        <w:spacing w:before="0" w:after="0" w:line="312" w:lineRule="auto"/>
        <w:rPr>
          <w:rFonts w:ascii="Cambria" w:hAnsi="Cambria" w:cs="Cambria"/>
          <w:sz w:val="22"/>
          <w:szCs w:val="22"/>
        </w:rPr>
      </w:pPr>
      <w:r>
        <w:rPr>
          <w:rFonts w:ascii="Cambria" w:hAnsi="Cambria" w:cs="Cambria"/>
          <w:i/>
          <w:iCs/>
          <w:color w:val="ff0000"/>
          <w:sz w:val="22"/>
          <w:szCs w:val="22"/>
        </w:rPr>
      </w:r>
      <w:r>
        <w:rPr>
          <w:rFonts w:ascii="Cambria" w:hAnsi="Cambria" w:cs="Cambria"/>
          <w:i/>
          <w:iCs/>
          <w:color w:val="ff0000"/>
          <w:sz w:val="22"/>
          <w:szCs w:val="22"/>
        </w:rPr>
      </w:r>
      <w:r>
        <w:rPr>
          <w:rFonts w:ascii="Cambria" w:hAnsi="Cambria" w:cs="Cambria"/>
          <w:sz w:val="22"/>
          <w:szCs w:val="22"/>
        </w:rPr>
      </w:r>
    </w:p>
    <w:p>
      <w:pPr>
        <w:pStyle w:val="1047"/>
        <w:numPr>
          <w:ilvl w:val="0"/>
          <w:numId w:val="0"/>
        </w:numPr>
        <w:spacing w:before="0" w:line="312" w:lineRule="auto"/>
        <w:rPr>
          <w:rFonts w:ascii="Cambria" w:hAnsi="Cambria" w:cs="Cambria"/>
          <w:sz w:val="22"/>
          <w:szCs w:val="22"/>
        </w:rPr>
      </w:pPr>
      <w:r>
        <w:rPr>
          <w:rFonts w:ascii="Cambria" w:hAnsi="Cambria" w:cs="Cambria"/>
          <w:sz w:val="22"/>
          <w:szCs w:val="22"/>
        </w:rPr>
        <w:t xml:space="preserve">6 – </w:t>
      </w:r>
      <w:r>
        <w:rPr>
          <w:rFonts w:ascii="Cambria" w:hAnsi="Cambria" w:eastAsia="Calibri" w:cs="Cambria"/>
          <w:sz w:val="22"/>
          <w:szCs w:val="22"/>
        </w:rPr>
        <w:t xml:space="preserve">MODELO DE EXECUÇÃO DO OBJETO</w:t>
      </w:r>
      <w:r>
        <w:rPr>
          <w:rFonts w:ascii="Cambria" w:hAnsi="Cambria" w:eastAsia="Calibri" w:cs="Cambria"/>
          <w:sz w:val="22"/>
          <w:szCs w:val="22"/>
        </w:rPr>
      </w:r>
      <w:r>
        <w:rPr>
          <w:rFonts w:ascii="Cambria" w:hAnsi="Cambria" w:cs="Cambria"/>
          <w:sz w:val="22"/>
          <w:szCs w:val="22"/>
        </w:rPr>
      </w:r>
    </w:p>
    <w:p>
      <w:pPr>
        <w:jc w:val="both"/>
        <w:spacing w:line="312" w:lineRule="auto"/>
        <w:widowControl w:val="off"/>
        <w:rPr>
          <w:rFonts w:ascii="Cambria" w:hAnsi="Cambria" w:cs="Cambria"/>
          <w:sz w:val="22"/>
          <w:szCs w:val="22"/>
        </w:rPr>
      </w:pPr>
      <w:r>
        <w:rPr>
          <w:rFonts w:ascii="Cambria" w:hAnsi="Cambria" w:eastAsia="Calibri" w:cs="Cambria"/>
          <w:bCs/>
          <w:sz w:val="22"/>
          <w:szCs w:val="22"/>
        </w:rPr>
        <w:t xml:space="preserve">6.1 - PRAZO DE ENTREGA</w:t>
      </w:r>
      <w:r>
        <w:rPr>
          <w:rFonts w:ascii="Cambria" w:hAnsi="Cambria" w:eastAsia="Calibri" w:cs="Cambria"/>
          <w:bCs/>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6.1.1 - O prazo de entrega e instalação do objeto é de 30 (trinta) dias após a assinatura do contrato.</w:t>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6.1.2 - Caso não se</w:t>
      </w:r>
      <w:r>
        <w:rPr>
          <w:rFonts w:ascii="Cambria" w:hAnsi="Cambria" w:cs="Cambria"/>
          <w:i w:val="0"/>
          <w:iCs w:val="0"/>
          <w:color w:val="auto"/>
          <w:sz w:val="22"/>
          <w:szCs w:val="22"/>
        </w:rPr>
        <w:t xml:space="preserve">ja possível a entrega na data assinalada, a empresa deverá comunicar as razões respectivas com pelo menos 05 (cinco) dias de antecedência para que qualquer pleito de prorrogação de prazo seja analisado, ressalvadas situações de caso fortuito e força maior.</w:t>
      </w:r>
      <w:r>
        <w:rPr>
          <w:rFonts w:ascii="Cambria" w:hAnsi="Cambria" w:cs="Cambria"/>
          <w:i w:val="0"/>
          <w:iCs w:val="0"/>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r>
      <w:r>
        <w:rPr>
          <w:rFonts w:ascii="Cambria" w:hAnsi="Cambria" w:cs="Cambria"/>
          <w:color w:val="auto"/>
          <w:sz w:val="22"/>
          <w:szCs w:val="22"/>
        </w:rPr>
      </w:r>
      <w:r>
        <w:rPr>
          <w:rFonts w:ascii="Cambria" w:hAnsi="Cambria" w:cs="Cambria"/>
          <w:sz w:val="22"/>
          <w:szCs w:val="22"/>
        </w:rPr>
      </w:r>
    </w:p>
    <w:p>
      <w:pPr>
        <w:jc w:val="both"/>
        <w:spacing w:line="312" w:lineRule="auto"/>
        <w:widowControl w:val="off"/>
        <w:tabs>
          <w:tab w:val="left" w:pos="851" w:leader="none"/>
        </w:tabs>
        <w:rPr>
          <w:rFonts w:ascii="Cambria" w:hAnsi="Cambria" w:cs="Cambria"/>
          <w:sz w:val="22"/>
          <w:szCs w:val="22"/>
        </w:rPr>
      </w:pPr>
      <w:r>
        <w:rPr>
          <w:rFonts w:ascii="Cambria" w:hAnsi="Cambria" w:eastAsia="Calibri" w:cs="Cambria"/>
          <w:sz w:val="22"/>
          <w:szCs w:val="22"/>
        </w:rPr>
        <w:t xml:space="preserve">6.2 - LOCAL DE ENTREGA</w:t>
      </w:r>
      <w:r>
        <w:rPr>
          <w:rFonts w:ascii="Cambria" w:hAnsi="Cambria" w:eastAsia="Calibri" w:cs="Cambria"/>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color w:val="auto"/>
          <w:sz w:val="22"/>
          <w:szCs w:val="22"/>
        </w:rPr>
        <w:t xml:space="preserve">6.2.1 – A instalação dos equipamentos deverá ser feita</w:t>
      </w:r>
      <w:r>
        <w:rPr>
          <w:rFonts w:ascii="Cambria" w:hAnsi="Cambria" w:eastAsia="Calibri" w:cs="Cambria"/>
          <w:i w:val="0"/>
          <w:color w:val="auto"/>
          <w:sz w:val="22"/>
          <w:szCs w:val="22"/>
        </w:rPr>
        <w:t xml:space="preserve"> diretamente no Centro Administrativo da Prefeitura em dias úteis, das 07 às 13 horas, localizado (a) na Avenida Eduardo de Brito, 101, no Município de </w:t>
      </w:r>
      <w:r>
        <w:rPr>
          <w:rFonts w:ascii="Cambria" w:hAnsi="Cambria" w:eastAsia="Calibri" w:cs="Cambria"/>
          <w:i w:val="0"/>
          <w:color w:val="auto"/>
          <w:sz w:val="22"/>
          <w:szCs w:val="22"/>
        </w:rPr>
        <w:t xml:space="preserve">Santa Bárbara do Sul</w:t>
      </w:r>
      <w:r>
        <w:rPr>
          <w:rFonts w:ascii="Cambria" w:hAnsi="Cambria" w:eastAsia="Calibri" w:cs="Cambria"/>
          <w:i w:val="0"/>
          <w:color w:val="auto"/>
          <w:sz w:val="22"/>
          <w:szCs w:val="22"/>
        </w:rPr>
        <w:t xml:space="preserve">/RS, com telefone para contato nº (55) 3372-3226.</w:t>
      </w:r>
      <w:r>
        <w:rPr>
          <w:rFonts w:ascii="Cambria" w:hAnsi="Cambria" w:cs="Cambria"/>
          <w:sz w:val="22"/>
          <w:szCs w:val="22"/>
        </w:rPr>
      </w:r>
    </w:p>
    <w:p>
      <w:pPr>
        <w:jc w:val="both"/>
        <w:spacing w:line="312" w:lineRule="auto"/>
        <w:widowControl w:val="off"/>
        <w:tabs>
          <w:tab w:val="left" w:pos="426" w:leader="none"/>
          <w:tab w:val="left" w:pos="851" w:leader="none"/>
        </w:tabs>
        <w:rPr>
          <w:rFonts w:ascii="Cambria" w:hAnsi="Cambria" w:cs="Cambria"/>
          <w:sz w:val="22"/>
          <w:szCs w:val="22"/>
        </w:rPr>
      </w:pPr>
      <w:r>
        <w:rPr>
          <w:rFonts w:ascii="Cambria" w:hAnsi="Cambria" w:eastAsia="Calibri" w:cs="Cambria"/>
          <w:sz w:val="22"/>
          <w:szCs w:val="22"/>
        </w:rPr>
      </w:r>
      <w:r>
        <w:rPr>
          <w:rFonts w:ascii="Cambria" w:hAnsi="Cambria" w:eastAsia="Calibri" w:cs="Cambria"/>
          <w:sz w:val="22"/>
          <w:szCs w:val="22"/>
        </w:rPr>
      </w:r>
      <w:r>
        <w:rPr>
          <w:rFonts w:ascii="Cambria" w:hAnsi="Cambria" w:cs="Cambria"/>
          <w:sz w:val="22"/>
          <w:szCs w:val="22"/>
        </w:rPr>
      </w:r>
    </w:p>
    <w:p>
      <w:pPr>
        <w:jc w:val="both"/>
        <w:spacing w:line="312" w:lineRule="auto"/>
        <w:widowControl w:val="off"/>
        <w:tabs>
          <w:tab w:val="left" w:pos="426" w:leader="none"/>
          <w:tab w:val="left" w:pos="851" w:leader="none"/>
        </w:tabs>
        <w:rPr>
          <w:rFonts w:ascii="Cambria" w:hAnsi="Cambria" w:cs="Cambria"/>
          <w:sz w:val="22"/>
          <w:szCs w:val="22"/>
        </w:rPr>
      </w:pPr>
      <w:r>
        <w:rPr>
          <w:rFonts w:ascii="Cambria" w:hAnsi="Cambria" w:eastAsia="Calibri" w:cs="Cambria"/>
          <w:sz w:val="22"/>
          <w:szCs w:val="22"/>
        </w:rPr>
        <w:t xml:space="preserve">6.3 – DO RECEBIMENTO</w:t>
      </w:r>
      <w:r>
        <w:rPr>
          <w:rFonts w:ascii="Cambria" w:hAnsi="Cambria" w:eastAsia="Calibri" w:cs="Cambria"/>
          <w:sz w:val="22"/>
          <w:szCs w:val="22"/>
        </w:rPr>
      </w:r>
      <w:r>
        <w:rPr>
          <w:rFonts w:ascii="Cambria" w:hAnsi="Cambria" w:cs="Cambria"/>
          <w:sz w:val="22"/>
          <w:szCs w:val="22"/>
        </w:rPr>
      </w:r>
    </w:p>
    <w:p>
      <w:pPr>
        <w:pStyle w:val="1064"/>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bCs/>
          <w:color w:val="auto"/>
          <w:sz w:val="22"/>
          <w:szCs w:val="22"/>
        </w:rPr>
        <w:t xml:space="preserve">6.3.1 - Os equipamentos deverão ser instalados provis</w:t>
      </w:r>
      <w:r>
        <w:rPr>
          <w:rFonts w:ascii="Cambria" w:hAnsi="Cambria" w:cs="Cambria"/>
          <w:bCs/>
          <w:color w:val="auto"/>
          <w:sz w:val="22"/>
          <w:szCs w:val="22"/>
        </w:rPr>
        <w:t xml:space="preserve">oriamente, de forma sumária, no prazo de 10 (dez) dias, pelo responsável pelo acompanhamento e fiscalização do contrato, para efeito de posterior verificação de sua conformidade com as especificações constantes neste TR - Termo de Referência e na proposta.</w:t>
      </w:r>
      <w:r>
        <w:rPr>
          <w:rFonts w:ascii="Cambria" w:hAnsi="Cambria" w:cs="Cambria"/>
          <w:bCs/>
          <w:color w:val="auto"/>
          <w:sz w:val="22"/>
          <w:szCs w:val="22"/>
        </w:rPr>
      </w:r>
      <w:r>
        <w:rPr>
          <w:rFonts w:ascii="Cambria" w:hAnsi="Cambria" w:cs="Cambria"/>
          <w:sz w:val="22"/>
          <w:szCs w:val="22"/>
        </w:rPr>
      </w:r>
    </w:p>
    <w:p>
      <w:pPr>
        <w:pStyle w:val="1064"/>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bCs/>
          <w:color w:val="auto"/>
          <w:sz w:val="22"/>
          <w:szCs w:val="22"/>
        </w:rPr>
        <w:t xml:space="preserve">6.3.2 - Os equipamentos poderão ser rejeitados, no todo ou em</w:t>
      </w:r>
      <w:r>
        <w:rPr>
          <w:rFonts w:ascii="Cambria" w:hAnsi="Cambria" w:cs="Cambria"/>
          <w:bCs/>
          <w:color w:val="auto"/>
          <w:sz w:val="22"/>
          <w:szCs w:val="22"/>
        </w:rPr>
        <w:t xml:space="preserve"> parte, quando em desacordo com as especificações constantes neste TR - Termo de Referência e na proposta, devendo ser substituídos no prazo de 10 (dez) dias, a contar da notificação da contratada, às suas custas, sem prejuízo da aplicação das penalidades.</w:t>
      </w:r>
      <w:r>
        <w:rPr>
          <w:rFonts w:ascii="Cambria" w:hAnsi="Cambria" w:cs="Cambria"/>
          <w:bCs/>
          <w:color w:val="auto"/>
          <w:sz w:val="22"/>
          <w:szCs w:val="22"/>
        </w:rPr>
      </w:r>
      <w:r>
        <w:rPr>
          <w:rFonts w:ascii="Cambria" w:hAnsi="Cambria" w:cs="Cambria"/>
          <w:sz w:val="22"/>
          <w:szCs w:val="22"/>
        </w:rPr>
      </w:r>
    </w:p>
    <w:p>
      <w:pPr>
        <w:pStyle w:val="1064"/>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bCs/>
          <w:color w:val="auto"/>
          <w:sz w:val="22"/>
          <w:szCs w:val="22"/>
        </w:rPr>
        <w:t xml:space="preserve">6.3.3 - Os equipamentos serão recebidos definitivamente no prazo de 10 (dez) dias, contados do recebimento provisório, após a verificação da qualidade dos equipamentos e consequente aceitação mediante termo detalhado.</w:t>
      </w:r>
      <w:r>
        <w:rPr>
          <w:rFonts w:ascii="Cambria" w:hAnsi="Cambria" w:cs="Cambria"/>
          <w:bCs/>
          <w:color w:val="auto"/>
          <w:sz w:val="22"/>
          <w:szCs w:val="22"/>
        </w:rPr>
      </w:r>
      <w:r>
        <w:rPr>
          <w:rFonts w:ascii="Cambria" w:hAnsi="Cambria" w:cs="Cambria"/>
          <w:sz w:val="22"/>
          <w:szCs w:val="22"/>
        </w:rPr>
      </w:r>
    </w:p>
    <w:p>
      <w:pPr>
        <w:pStyle w:val="1064"/>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bCs/>
          <w:color w:val="auto"/>
          <w:sz w:val="22"/>
          <w:szCs w:val="22"/>
        </w:rPr>
        <w:t xml:space="preserve">6.3.4 - Na hipótese de a verificação a que se refere o subitem anterior não ser procedida dentro do prazo fixado, reputar-se-á como realizada, consumando-se o recebimento definitivo no dia do esgotamento do prazo.</w:t>
      </w:r>
      <w:r>
        <w:rPr>
          <w:rFonts w:ascii="Cambria" w:hAnsi="Cambria" w:cs="Cambria"/>
          <w:bCs/>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bCs/>
          <w:i w:val="0"/>
          <w:color w:val="auto"/>
          <w:sz w:val="22"/>
          <w:szCs w:val="22"/>
        </w:rPr>
        <w:t xml:space="preserve">6.3.5 - O recebimento provisório ou definitivo não excluirá a responsabilidade civil pela solidez e pela segurança do serviço nem a responsabilidade ético-profissional pela perfeita execução do contrato.</w:t>
      </w:r>
      <w:r>
        <w:rPr>
          <w:rFonts w:ascii="Cambria" w:hAnsi="Cambria" w:eastAsia="Calibri" w:cs="Cambria"/>
          <w:i w:val="0"/>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1117"/>
        <w:ind w:left="0"/>
        <w:spacing w:before="0" w:line="312" w:lineRule="auto"/>
        <w:rPr>
          <w:rFonts w:ascii="Cambria" w:hAnsi="Cambria" w:cs="Cambria"/>
          <w:sz w:val="22"/>
          <w:szCs w:val="22"/>
        </w:rPr>
      </w:pPr>
      <w:r>
        <w:rPr>
          <w:rFonts w:ascii="Cambria" w:hAnsi="Cambria" w:cs="Cambria"/>
          <w:bCs w:val="0"/>
          <w:color w:val="auto"/>
          <w:sz w:val="22"/>
          <w:szCs w:val="22"/>
        </w:rPr>
        <w:t xml:space="preserve">7 - GARANTIA, MANUTENÇÃO E ASSISTÊNCIA TÉCNICA DO OBJETO </w:t>
      </w:r>
      <w:r>
        <w:rPr>
          <w:rFonts w:ascii="Cambria" w:hAnsi="Cambria" w:cs="Cambria"/>
          <w:sz w:val="22"/>
          <w:szCs w:val="22"/>
        </w:rPr>
      </w:r>
      <w:r/>
      <w:r>
        <w:rPr>
          <w:rFonts w:ascii="Cambria" w:hAnsi="Cambria" w:cs="Cambria"/>
          <w:bCs w:val="0"/>
          <w:color w:val="auto"/>
          <w:sz w:val="22"/>
          <w:szCs w:val="22"/>
        </w:rPr>
      </w:r>
      <w:r>
        <w:rPr>
          <w:rFonts w:ascii="Cambria" w:hAnsi="Cambria" w:cs="Cambria"/>
          <w:sz w:val="22"/>
          <w:szCs w:val="22"/>
        </w:rPr>
      </w:r>
      <w:r>
        <w:rPr>
          <w:rFonts w:ascii="Cambria" w:hAnsi="Cambria" w:cs="Cambria"/>
          <w:sz w:val="22"/>
          <w:szCs w:val="22"/>
        </w:rPr>
      </w:r>
      <w:r>
        <w:rPr>
          <w:rFonts w:ascii="Cambria" w:hAnsi="Cambria" w:cs="Cambria"/>
          <w:sz w:val="22"/>
          <w:szCs w:val="22"/>
        </w:rPr>
      </w:r>
      <w:r>
        <w:rPr>
          <w:rFonts w:ascii="Cambria" w:hAnsi="Cambria" w:cs="Cambria"/>
          <w:sz w:val="22"/>
          <w:szCs w:val="22"/>
        </w:rPr>
      </w:r>
      <w:r>
        <w:rPr>
          <w:rFonts w:ascii="Cambria" w:hAnsi="Cambria" w:cs="Cambria"/>
          <w:bCs w:val="0"/>
          <w:color w:val="auto"/>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7.1 - </w:t>
      </w:r>
      <w:r>
        <w:rPr>
          <w:rFonts w:ascii="Cambria" w:hAnsi="Cambria" w:cs="Cambria"/>
          <w:i w:val="0"/>
          <w:iCs w:val="0"/>
          <w:color w:val="auto"/>
          <w:sz w:val="22"/>
          <w:szCs w:val="22"/>
        </w:rPr>
        <w:t xml:space="preserve">O prazo de garantia contratual dos equipamentos, complementar à garantia legal, é de, no mínimo, __ meses, ou pelo prazo fornecido pelo fabricante, se superior, contado a partir do primeiro dia útil subsequente à data do recebimento definitivo do objeto. </w:t>
      </w:r>
      <w:r>
        <w:rPr>
          <w:rFonts w:ascii="Cambria" w:hAnsi="Cambria" w:cs="Cambria"/>
          <w:i w:val="0"/>
          <w:iCs w:val="0"/>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7.2 - </w:t>
      </w:r>
      <w:r>
        <w:rPr>
          <w:rFonts w:ascii="Cambria" w:hAnsi="Cambria" w:cs="Cambria"/>
          <w:i w:val="0"/>
          <w:iCs w:val="0"/>
          <w:color w:val="auto"/>
          <w:sz w:val="22"/>
          <w:szCs w:val="22"/>
        </w:rPr>
        <w:t xml:space="preserve">A garantia será prestada com vistas a manter os equipamentos fornecidos em perfeitas condições de uso, sem qualquer ônus ou custo adicional para o Contratante. </w:t>
      </w:r>
      <w:r>
        <w:rPr>
          <w:rFonts w:ascii="Cambria" w:hAnsi="Cambria" w:cs="Cambria"/>
          <w:i w:val="0"/>
          <w:iCs w:val="0"/>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7.3 - A garantia abrange a realização da manutenção corretiva dos equipamentos pelo próprio Contratado, ou, se for o caso, por meio de assistência técnica autorizada, de acordo com as normas técnicas específicas. </w:t>
      </w:r>
      <w:r>
        <w:rPr>
          <w:rFonts w:ascii="Cambria" w:hAnsi="Cambria" w:cs="Cambria"/>
          <w:i w:val="0"/>
          <w:iCs w:val="0"/>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7.4 - Entende-se por manutenção corretiva aquela destinada a corrigir os defeitos apresentados pelos equipamentos, compreendendo a substituição de peças, a realização de ajustes, reparos e correções necessárias. </w:t>
      </w:r>
      <w:r>
        <w:rPr>
          <w:rFonts w:ascii="Cambria" w:hAnsi="Cambria" w:cs="Cambria"/>
          <w:i w:val="0"/>
          <w:iCs w:val="0"/>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7.5 - As peças que apresen</w:t>
      </w:r>
      <w:r>
        <w:rPr>
          <w:rFonts w:ascii="Cambria" w:hAnsi="Cambria" w:cs="Cambria"/>
          <w:i w:val="0"/>
          <w:iCs w:val="0"/>
          <w:color w:val="auto"/>
          <w:sz w:val="22"/>
          <w:szCs w:val="22"/>
        </w:rPr>
        <w:t xml:space="preserve">tarem vício ou defeito no período de vigência da garantia deverão ser substituídas por outras novas, de primeiro uso, e originais, que apresentem padrões de qualidade e desempenho iguais ou superiores aos das peças utilizadas na fabricação do equipamento. </w:t>
      </w:r>
      <w:r>
        <w:rPr>
          <w:rFonts w:ascii="Cambria" w:hAnsi="Cambria" w:cs="Cambria"/>
          <w:i w:val="0"/>
          <w:iCs w:val="0"/>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7.7 - </w:t>
      </w:r>
      <w:r>
        <w:rPr>
          <w:rFonts w:ascii="Cambria" w:hAnsi="Cambria" w:cs="Cambria"/>
          <w:i w:val="0"/>
          <w:iCs w:val="0"/>
          <w:color w:val="auto"/>
          <w:sz w:val="22"/>
          <w:szCs w:val="22"/>
        </w:rPr>
        <w:t xml:space="preserve">Uma vez notificado, o Contratado </w:t>
      </w:r>
      <w:r>
        <w:rPr>
          <w:rFonts w:ascii="Cambria" w:hAnsi="Cambria" w:cs="Cambria"/>
          <w:i w:val="0"/>
          <w:iCs w:val="0"/>
          <w:color w:val="auto"/>
          <w:sz w:val="22"/>
          <w:szCs w:val="22"/>
        </w:rPr>
        <w:t xml:space="preserve">realizará a reparação ou substituição dos equipamentos que apresentarem vício ou defeito no prazo de até ___ dias úteis, contados a partir da data de retirada do equipamento das dependências da Administração pelo Contratado ou pela assistência técnica autorizada. </w:t>
      </w:r>
      <w:r>
        <w:rPr>
          <w:rFonts w:ascii="Cambria" w:hAnsi="Cambria" w:cs="Cambria"/>
          <w:i w:val="0"/>
          <w:iCs w:val="0"/>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7.8 - O prazo indicado no subitem anterior, durante seu transcurso, poderá ser prorrogado uma única vez, por igual período, mediante solicitação escrita e justificada do Contratado, aceita pelo Contratante. </w:t>
      </w:r>
      <w:r>
        <w:rPr>
          <w:rFonts w:ascii="Cambria" w:hAnsi="Cambria" w:cs="Cambria"/>
          <w:i w:val="0"/>
          <w:iCs w:val="0"/>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7.9 - Na hipótese do subitem acima, o Contratado deverá</w:t>
      </w:r>
      <w:r>
        <w:rPr>
          <w:rFonts w:ascii="Cambria" w:hAnsi="Cambria" w:cs="Cambria"/>
          <w:i w:val="0"/>
          <w:iCs w:val="0"/>
          <w:color w:val="auto"/>
          <w:sz w:val="22"/>
          <w:szCs w:val="22"/>
        </w:rPr>
        <w:t xml:space="preserve"> disponibilizar equipamento equivalente, de especificação igual ou superior ao anteriormente fornecido, para utilização em caráter provisório pelo Contratante, de modo a garantir a continuidade dos trabalhos administrativos durante a execução dos reparos. </w:t>
      </w:r>
      <w:r>
        <w:rPr>
          <w:rFonts w:ascii="Cambria" w:hAnsi="Cambria" w:cs="Cambria"/>
          <w:i w:val="0"/>
          <w:iCs w:val="0"/>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7.10 - Decorrido o prazo para reparos e substituições sem o atendimento da solicitação do Contratante ou a apresentação de justificativas pelo Contratado, fica o Contratante </w:t>
      </w:r>
      <w:r>
        <w:rPr>
          <w:rFonts w:ascii="Cambria" w:hAnsi="Cambria" w:cs="Cambria"/>
          <w:i w:val="0"/>
          <w:iCs w:val="0"/>
          <w:color w:val="auto"/>
          <w:sz w:val="22"/>
          <w:szCs w:val="22"/>
        </w:rPr>
        <w:t xml:space="preserve">autorizado a contratar empresa diversa para executar os reparos, ajustes ou a substituição do bem ou de seus componentes, bem como a exigir do Contratado o reembolso pelos custos respectivos, sem que tal fato acarrete a perda da garantia dos equipamentos. </w:t>
      </w:r>
      <w:r>
        <w:rPr>
          <w:rFonts w:ascii="Cambria" w:hAnsi="Cambria" w:cs="Cambria"/>
          <w:i w:val="0"/>
          <w:iCs w:val="0"/>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7.11 - O custo referente ao transporte dos equipamentos cobertos pela garantia será de responsabilidade do Contratado. </w:t>
      </w:r>
      <w:r>
        <w:rPr>
          <w:rFonts w:ascii="Cambria" w:hAnsi="Cambria" w:cs="Cambria"/>
          <w:i w:val="0"/>
          <w:iCs w:val="0"/>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7.12 - A gar</w:t>
      </w:r>
      <w:r>
        <w:rPr>
          <w:rFonts w:ascii="Cambria" w:hAnsi="Cambria" w:cs="Cambria"/>
          <w:i w:val="0"/>
          <w:iCs w:val="0"/>
          <w:color w:val="auto"/>
          <w:sz w:val="22"/>
          <w:szCs w:val="22"/>
        </w:rPr>
        <w:t xml:space="preserve">antia legal ou contratual do objeto tem prazo de vigência próprio e desvinculado daquele fixado no contrato, permitindo eventual aplicação de penalidades em caso de descumprimento de alguma de suas condições, mesmo depois de expirada a vigência contratual.</w:t>
      </w:r>
      <w:r>
        <w:rPr>
          <w:rFonts w:ascii="Cambria" w:hAnsi="Cambria" w:cs="Cambria"/>
          <w:i w:val="0"/>
          <w:iCs w:val="0"/>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1047"/>
        <w:numPr>
          <w:ilvl w:val="0"/>
          <w:numId w:val="0"/>
        </w:numPr>
        <w:spacing w:before="0" w:line="312" w:lineRule="auto"/>
        <w:rPr>
          <w:rFonts w:ascii="Cambria" w:hAnsi="Cambria" w:cs="Cambria"/>
          <w:sz w:val="22"/>
          <w:szCs w:val="22"/>
        </w:rPr>
      </w:pPr>
      <w:r>
        <w:rPr>
          <w:rFonts w:ascii="Cambria" w:hAnsi="Cambria" w:cs="Cambria"/>
          <w:sz w:val="22"/>
          <w:szCs w:val="22"/>
        </w:rPr>
        <w:t xml:space="preserve">8 - OBRIGAÇÕES DO CONTRATANTE (art. 92, incisos X, XI e XIV, da Lei nº 14.133/2021).</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8.1 - São obrigações do Contratante:</w:t>
      </w:r>
      <w:r>
        <w:rPr>
          <w:rFonts w:ascii="Cambria" w:hAnsi="Cambria" w:cs="Cambria"/>
          <w:b/>
          <w:bCs/>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8.1.1 - Exigir o cumprimento de todas as obrigações assumidas pelo Contratado, de acordo com o contrato e seus anexos;</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8.1.2 - Receber o objeto no prazo e condições estabelecidas no TR - Termo de Referência;</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8.1.3 - Notificar o Contratado, por escrito, sobre vícios, defeitos ou incorreções verificadas no objeto fornecido, para que seja por ele substituído, reparado ou corrigido, no total ou em parte, às suas expensas;</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8.1.4 - Acompanhar e fiscalizar a execução do contrato e o cumprimento das obrigações pelo Contratado;</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8.1.5 - Comunicar a empresa para </w:t>
      </w:r>
      <w:r>
        <w:rPr>
          <w:rFonts w:ascii="Cambria" w:hAnsi="Cambria" w:cs="Cambria"/>
          <w:bCs/>
          <w:color w:val="auto"/>
          <w:sz w:val="22"/>
          <w:szCs w:val="22"/>
        </w:rPr>
        <w:t xml:space="preserve">emissão de NF - Nota Fiscal no que </w:t>
      </w:r>
      <w:r>
        <w:rPr>
          <w:rFonts w:ascii="Cambria" w:hAnsi="Cambria" w:cs="Cambria"/>
          <w:bCs/>
          <w:color w:val="auto"/>
          <w:sz w:val="22"/>
          <w:szCs w:val="22"/>
        </w:rPr>
        <w:t xml:space="preserve">pertine</w:t>
      </w:r>
      <w:r>
        <w:rPr>
          <w:rFonts w:ascii="Cambria" w:hAnsi="Cambria" w:cs="Cambria"/>
          <w:bCs/>
          <w:color w:val="auto"/>
          <w:sz w:val="22"/>
          <w:szCs w:val="22"/>
        </w:rPr>
        <w:t xml:space="preserve"> à parcela incontroversa da execução do objeto, para efeito de liquidação e pagamento, quando houver controvérsia sobre a execução do objeto, quanto à dimensão, qualidade e quantidade, conforme o art. 143 da Lei nº 14.133, de 2021;</w:t>
      </w:r>
      <w:r>
        <w:rPr>
          <w:rFonts w:ascii="Cambria" w:hAnsi="Cambria" w:cs="Cambria"/>
          <w:bCs/>
          <w:color w:val="auto"/>
          <w:sz w:val="22"/>
          <w:szCs w:val="22"/>
        </w:rPr>
      </w:r>
      <w:r>
        <w:rPr>
          <w:rFonts w:ascii="Cambria" w:hAnsi="Cambria" w:cs="Cambria"/>
          <w:sz w:val="22"/>
          <w:szCs w:val="22"/>
        </w:rPr>
      </w:r>
      <w:r>
        <w:rPr>
          <w:rFonts w:ascii="Cambria" w:hAnsi="Cambria" w:cs="Cambria"/>
          <w:bCs/>
          <w:color w:val="auto"/>
          <w:sz w:val="22"/>
          <w:szCs w:val="22"/>
        </w:rPr>
      </w:r>
      <w:r>
        <w:rPr>
          <w:rFonts w:ascii="Cambria" w:hAnsi="Cambria" w:cs="Cambria"/>
          <w:bCs/>
          <w:color w:val="auto"/>
          <w:sz w:val="22"/>
          <w:szCs w:val="22"/>
        </w:rPr>
      </w:r>
      <w:r>
        <w:rPr>
          <w:rFonts w:ascii="Cambria" w:hAnsi="Cambria" w:cs="Cambria"/>
          <w:sz w:val="22"/>
          <w:szCs w:val="22"/>
        </w:rPr>
      </w:r>
      <w:r>
        <w:rPr>
          <w:rFonts w:ascii="Cambria" w:hAnsi="Cambria" w:cs="Cambria"/>
          <w:bCs/>
          <w:color w:val="auto"/>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8.1.6 - Efetuar o pagamento ao Contratado do valor correspondente ao fornecimento do objeto, no prazo, forma e condições estabelecidos no Contrato;</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8.1.7 - Aplicar ao Contratado as sanções previstas na lei e no Contrato; </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8.1.8 - Cientificar o órgão de representação judicial da Prefeitura Municipal de </w:t>
      </w:r>
      <w:r>
        <w:rPr>
          <w:rFonts w:ascii="Cambria" w:hAnsi="Cambria" w:cs="Cambria"/>
          <w:color w:val="auto"/>
          <w:sz w:val="22"/>
          <w:szCs w:val="22"/>
        </w:rPr>
        <w:t xml:space="preserve">Santa Bárbara do Sul</w:t>
      </w:r>
      <w:r>
        <w:rPr>
          <w:rFonts w:ascii="Cambria" w:hAnsi="Cambria" w:cs="Cambria"/>
          <w:color w:val="auto"/>
          <w:sz w:val="22"/>
          <w:szCs w:val="22"/>
        </w:rPr>
        <w:t xml:space="preserve">/RS, para adoção das medidas cabíveis quando do descumprimento de obrigações pelo Contratado, quando esgotadas as vias administrativas.</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8.1.9 </w:t>
      </w:r>
      <w:r>
        <w:rPr>
          <w:rFonts w:ascii="Cambria" w:hAnsi="Cambria" w:cs="Cambria"/>
          <w:color w:val="auto"/>
          <w:sz w:val="22"/>
          <w:szCs w:val="22"/>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8.1.10 - Responder eventuais pedidos de restabelecimento do equilíbrio econômico-financeiro feitos pelo contratado.</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8.1.11 - A Administração nã</w:t>
      </w:r>
      <w:r>
        <w:rPr>
          <w:rFonts w:ascii="Cambria" w:hAnsi="Cambria" w:cs="Cambria"/>
          <w:color w:val="auto"/>
          <w:sz w:val="22"/>
          <w:szCs w:val="22"/>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color w:val="auto"/>
          <w:sz w:val="22"/>
          <w:szCs w:val="22"/>
        </w:rPr>
      </w:r>
      <w:r>
        <w:rPr>
          <w:rFonts w:ascii="Cambria" w:hAnsi="Cambria" w:cs="Cambria"/>
          <w:sz w:val="22"/>
          <w:szCs w:val="22"/>
        </w:rPr>
      </w:r>
    </w:p>
    <w:p>
      <w:pPr>
        <w:pStyle w:val="1064"/>
        <w:numPr>
          <w:ilvl w:val="0"/>
          <w:numId w:val="0"/>
        </w:numPr>
        <w:ind w:left="567"/>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1047"/>
        <w:numPr>
          <w:ilvl w:val="0"/>
          <w:numId w:val="0"/>
        </w:numPr>
        <w:spacing w:before="0" w:line="312" w:lineRule="auto"/>
        <w:rPr>
          <w:rFonts w:ascii="Cambria" w:hAnsi="Cambria" w:cs="Cambria"/>
          <w:sz w:val="22"/>
          <w:szCs w:val="22"/>
        </w:rPr>
      </w:pPr>
      <w:r>
        <w:rPr>
          <w:rFonts w:ascii="Cambria" w:hAnsi="Cambria" w:cs="Cambria"/>
          <w:sz w:val="22"/>
          <w:szCs w:val="22"/>
        </w:rPr>
        <w:t xml:space="preserve">9 - </w:t>
      </w:r>
      <w:r>
        <w:rPr>
          <w:rFonts w:ascii="Cambria" w:hAnsi="Cambria" w:cs="Cambria"/>
          <w:sz w:val="22"/>
          <w:szCs w:val="22"/>
        </w:rPr>
        <w:t xml:space="preserve">OBRIGAÇÕES DO CONTRATADO (art. 92, incisos XIV, XVI e XVII, da Lei nº 14.133/2021)</w:t>
      </w:r>
      <w:r>
        <w:rPr>
          <w:rFonts w:ascii="Cambria" w:hAnsi="Cambria" w:cs="Cambria"/>
          <w:sz w:val="22"/>
          <w:szCs w:val="22"/>
        </w:rPr>
        <w:t xml:space="preserve">.</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9.1 - O Contratado deve cumprir todas as obrigações constantes do Contrato e em seus anexos, assumindo como exclusivamente seus os riscos e as despesas decorrentes da boa e perfeita execução do objeto, observando, ainda, as obrigações a seguir dispostas:</w:t>
      </w:r>
      <w:r>
        <w:rPr>
          <w:rFonts w:ascii="Cambria" w:hAnsi="Cambria" w:cs="Cambria"/>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color w:val="auto"/>
          <w:sz w:val="22"/>
          <w:szCs w:val="22"/>
        </w:rPr>
        <w:t xml:space="preserve">9.1.1 - Entregar o objeto acompanhado do manual do usuário, com uma versão em português, e da relação da rede de assistência técnica autorizada;</w:t>
      </w:r>
      <w:r>
        <w:rPr>
          <w:rFonts w:ascii="Cambria" w:hAnsi="Cambria" w:cs="Cambria"/>
          <w:i w:val="0"/>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9.1.2 - Responsabilizar-se pelos vícios e danos decorrentes do objeto, de acordo com o Código de Defesa do Consumidor (Lei nº 8.078, de 1990);</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9.1.3 - Comunicar ao contratante, no prazo máximo de 24 (vinte e quatro) horas que antecede a data da entrega, os motivos que impossibilitem o cumprimento do prazo previsto, com a devida comprovação;</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9.1.4 - Atender às determinações regulares emitidas pelo fiscal ou gestor do contrato ou autoridade superior (art. 137, II, da Lei n.º 14.133, de 2021) e prestar todo esclarecimento ou informação por eles solicitados;</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9.1.5 - </w:t>
      </w:r>
      <w:r>
        <w:rPr>
          <w:rFonts w:ascii="Cambria" w:hAnsi="Cambria" w:cs="Cambria"/>
          <w:color w:val="auto"/>
          <w:sz w:val="22"/>
          <w:szCs w:val="22"/>
        </w:rPr>
        <w:t xml:space="preserve">Reparar, corrigir, remover, reconstruir ou substituir, às suas expensas, no total ou em parte, no prazo fixado pelo fiscal do contrato, os equipamentos nos quais se verificarem vícios, defeitos ou incorreções resultantes da execução ou dos materiais empregados;</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9.1.6 - Responsabilizar-se pelos vícios e danos decorrentes da execução do objeto, bem como por todo e qualquer dano causado à Administração</w:t>
      </w:r>
      <w:r>
        <w:rPr>
          <w:rFonts w:ascii="Cambria" w:hAnsi="Cambria" w:cs="Cambria"/>
          <w:color w:val="auto"/>
          <w:sz w:val="22"/>
          <w:szCs w:val="22"/>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color w:val="auto"/>
          <w:sz w:val="22"/>
          <w:szCs w:val="22"/>
        </w:rPr>
      </w:pPr>
      <w:r>
        <w:rPr>
          <w:rFonts w:ascii="Cambria" w:hAnsi="Cambria" w:cs="Cambria"/>
          <w:color w:val="auto"/>
          <w:sz w:val="22"/>
          <w:szCs w:val="22"/>
        </w:rPr>
        <w:t xml:space="preserve">9.1.7 - O contratado deverá entregar ao setor </w:t>
      </w:r>
      <w:r>
        <w:rPr>
          <w:rFonts w:ascii="Cambria" w:hAnsi="Cambria" w:cs="Cambria"/>
          <w:color w:val="auto"/>
          <w:sz w:val="22"/>
          <w:szCs w:val="22"/>
        </w:rPr>
        <w:t xml:space="preserve">responsável pela fiscalização do contrato, junto com a NF - Nota Fiscal para fins de pagamento, os seguintes documentos: </w:t>
      </w:r>
      <w:r>
        <w:rPr>
          <w:rFonts w:ascii="Cambria" w:hAnsi="Cambria" w:cs="Cambria"/>
          <w:color w:val="auto"/>
          <w:sz w:val="22"/>
          <w:szCs w:val="22"/>
        </w:rPr>
      </w:r>
    </w:p>
    <w:p>
      <w:pPr>
        <w:pStyle w:val="1064"/>
        <w:numPr>
          <w:ilvl w:val="0"/>
          <w:numId w:val="0"/>
        </w:numPr>
        <w:ind w:left="709"/>
        <w:spacing w:before="0" w:after="0" w:line="312" w:lineRule="auto"/>
        <w:rPr>
          <w:rFonts w:ascii="Cambria" w:hAnsi="Cambria" w:cs="Cambria"/>
          <w:color w:val="auto"/>
          <w:sz w:val="22"/>
          <w:szCs w:val="22"/>
        </w:rPr>
      </w:pPr>
      <w:r>
        <w:rPr>
          <w:rFonts w:ascii="Cambria" w:hAnsi="Cambria" w:cs="Cambria"/>
          <w:color w:val="auto"/>
          <w:sz w:val="22"/>
          <w:szCs w:val="22"/>
        </w:rPr>
        <w:t xml:space="preserve">1) prova de regularidade relativa à Seguridade Social; </w:t>
      </w:r>
      <w:r>
        <w:rPr>
          <w:rFonts w:ascii="Cambria" w:hAnsi="Cambria" w:cs="Cambria"/>
          <w:color w:val="auto"/>
          <w:sz w:val="22"/>
          <w:szCs w:val="22"/>
        </w:rPr>
      </w:r>
    </w:p>
    <w:p>
      <w:pPr>
        <w:pStyle w:val="1064"/>
        <w:numPr>
          <w:ilvl w:val="0"/>
          <w:numId w:val="0"/>
        </w:numPr>
        <w:ind w:left="709"/>
        <w:spacing w:before="0" w:after="0" w:line="312" w:lineRule="auto"/>
        <w:rPr>
          <w:rFonts w:ascii="Cambria" w:hAnsi="Cambria" w:cs="Cambria"/>
          <w:color w:val="auto"/>
          <w:sz w:val="22"/>
          <w:szCs w:val="22"/>
        </w:rPr>
      </w:pPr>
      <w:r>
        <w:rPr>
          <w:rFonts w:ascii="Cambria" w:hAnsi="Cambria" w:cs="Cambria"/>
          <w:color w:val="auto"/>
          <w:sz w:val="22"/>
          <w:szCs w:val="22"/>
        </w:rPr>
        <w:t xml:space="preserve">2) certidão conjunta relativa aos tributos federais e à Dívida Ativa da União;</w:t>
      </w:r>
      <w:r>
        <w:rPr>
          <w:rFonts w:ascii="Cambria" w:hAnsi="Cambria" w:cs="Cambria"/>
          <w:color w:val="auto"/>
          <w:sz w:val="22"/>
          <w:szCs w:val="22"/>
        </w:rPr>
      </w:r>
    </w:p>
    <w:p>
      <w:pPr>
        <w:pStyle w:val="1064"/>
        <w:numPr>
          <w:ilvl w:val="0"/>
          <w:numId w:val="0"/>
        </w:numPr>
        <w:ind w:left="709"/>
        <w:spacing w:before="0" w:after="0" w:line="312" w:lineRule="auto"/>
        <w:rPr>
          <w:rFonts w:ascii="Cambria" w:hAnsi="Cambria" w:cs="Cambria"/>
          <w:color w:val="auto"/>
          <w:sz w:val="22"/>
          <w:szCs w:val="22"/>
        </w:rPr>
      </w:pPr>
      <w:r>
        <w:rPr>
          <w:rFonts w:ascii="Cambria" w:hAnsi="Cambria" w:cs="Cambria"/>
          <w:color w:val="auto"/>
          <w:sz w:val="22"/>
          <w:szCs w:val="22"/>
        </w:rPr>
        <w:t xml:space="preserve">3</w:t>
      </w:r>
      <w:r>
        <w:rPr>
          <w:rFonts w:ascii="Cambria" w:hAnsi="Cambria" w:cs="Cambria"/>
          <w:color w:val="auto"/>
          <w:sz w:val="22"/>
          <w:szCs w:val="22"/>
        </w:rPr>
        <w:t xml:space="preserve">) certidões que comprovem a regularidade perante a Fazenda Estadual ou Distrital do domicílio ou sede do contratado; </w:t>
      </w:r>
      <w:r>
        <w:rPr>
          <w:rFonts w:ascii="Cambria" w:hAnsi="Cambria" w:cs="Cambria"/>
          <w:color w:val="auto"/>
          <w:sz w:val="22"/>
          <w:szCs w:val="22"/>
        </w:rPr>
      </w:r>
    </w:p>
    <w:p>
      <w:pPr>
        <w:pStyle w:val="1064"/>
        <w:numPr>
          <w:ilvl w:val="0"/>
          <w:numId w:val="0"/>
        </w:numPr>
        <w:ind w:left="709"/>
        <w:spacing w:before="0" w:after="0" w:line="312" w:lineRule="auto"/>
        <w:rPr>
          <w:rFonts w:ascii="Cambria" w:hAnsi="Cambria" w:cs="Cambria"/>
          <w:color w:val="auto"/>
          <w:sz w:val="22"/>
          <w:szCs w:val="22"/>
        </w:rPr>
      </w:pPr>
      <w:r>
        <w:rPr>
          <w:rFonts w:ascii="Cambria" w:hAnsi="Cambria" w:cs="Cambria"/>
          <w:color w:val="auto"/>
          <w:sz w:val="22"/>
          <w:szCs w:val="22"/>
        </w:rPr>
        <w:t xml:space="preserve">4) Certidão de Regularidade do FGTS – CRF; </w:t>
      </w:r>
      <w:r>
        <w:rPr>
          <w:rFonts w:ascii="Cambria" w:hAnsi="Cambria" w:cs="Cambria"/>
          <w:color w:val="auto"/>
          <w:sz w:val="22"/>
          <w:szCs w:val="22"/>
        </w:rPr>
      </w:r>
    </w:p>
    <w:p>
      <w:pPr>
        <w:pStyle w:val="1064"/>
        <w:numPr>
          <w:ilvl w:val="0"/>
          <w:numId w:val="0"/>
        </w:numPr>
        <w:ind w:left="709"/>
        <w:spacing w:before="0" w:after="0" w:line="312" w:lineRule="auto"/>
        <w:rPr>
          <w:rFonts w:ascii="Cambria" w:hAnsi="Cambria" w:cs="Cambria"/>
          <w:color w:val="auto"/>
          <w:sz w:val="22"/>
          <w:szCs w:val="22"/>
        </w:rPr>
      </w:pPr>
      <w:r>
        <w:rPr>
          <w:rFonts w:ascii="Cambria" w:hAnsi="Cambria" w:cs="Cambria"/>
          <w:color w:val="auto"/>
          <w:sz w:val="22"/>
          <w:szCs w:val="22"/>
        </w:rPr>
        <w:t xml:space="preserve">5) Certidão Negativa de Débitos Trabalhistas – CNDT; </w:t>
      </w:r>
      <w:r>
        <w:rPr>
          <w:rFonts w:ascii="Cambria" w:hAnsi="Cambria" w:cs="Cambria"/>
          <w:color w:val="auto"/>
          <w:sz w:val="22"/>
          <w:szCs w:val="22"/>
        </w:rPr>
      </w:r>
    </w:p>
    <w:p>
      <w:pPr>
        <w:pStyle w:val="1064"/>
        <w:numPr>
          <w:ilvl w:val="0"/>
          <w:numId w:val="0"/>
        </w:numPr>
        <w:ind w:left="709"/>
        <w:spacing w:before="0" w:after="0" w:line="312" w:lineRule="auto"/>
        <w:rPr>
          <w:rFonts w:ascii="Cambria" w:hAnsi="Cambria" w:cs="Cambria"/>
          <w:color w:val="auto"/>
          <w:sz w:val="22"/>
          <w:szCs w:val="22"/>
        </w:rPr>
      </w:pPr>
      <w:r>
        <w:rPr>
          <w:rFonts w:ascii="Cambria" w:hAnsi="Cambria" w:cs="Cambria"/>
          <w:color w:val="auto"/>
          <w:sz w:val="22"/>
          <w:szCs w:val="22"/>
        </w:rPr>
        <w:t xml:space="preserve">6) Certidão Negativa de Débitos Municipais.</w:t>
      </w:r>
      <w: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9.1.8 - Responsabi</w:t>
      </w:r>
      <w:r>
        <w:rPr>
          <w:rFonts w:ascii="Cambria" w:hAnsi="Cambria" w:cs="Cambria"/>
          <w:color w:val="auto"/>
          <w:sz w:val="22"/>
          <w:szCs w:val="22"/>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9.1.9 - Comunicar ao Fiscal do contrato, no prazo de 24 (vinte e quatro) horas, qualquer ocorrência anormal ou acidente que se verifique no local da execução do objeto contratual.</w:t>
      </w:r>
      <w:r>
        <w:rPr>
          <w:rFonts w:ascii="Cambria" w:hAnsi="Cambria" w:cs="Cambria"/>
          <w:color w:val="auto"/>
          <w:sz w:val="22"/>
          <w:szCs w:val="22"/>
        </w:rPr>
      </w:r>
      <w:r>
        <w:rPr>
          <w:rFonts w:ascii="Cambria" w:hAnsi="Cambria" w:cs="Cambria"/>
          <w:sz w:val="22"/>
          <w:szCs w:val="22"/>
        </w:rPr>
      </w:r>
      <w:r>
        <w:rPr>
          <w:rFonts w:ascii="Cambria" w:hAnsi="Cambria" w:cs="Cambria"/>
          <w:color w:val="auto"/>
          <w:sz w:val="22"/>
          <w:szCs w:val="22"/>
        </w:rPr>
      </w:r>
      <w:r>
        <w:rPr>
          <w:rFonts w:ascii="Cambria" w:hAnsi="Cambria" w:cs="Cambria"/>
          <w:color w:val="auto"/>
          <w:sz w:val="22"/>
          <w:szCs w:val="22"/>
        </w:rPr>
      </w:r>
      <w:r>
        <w:rPr>
          <w:rFonts w:ascii="Cambria" w:hAnsi="Cambria" w:cs="Cambria"/>
          <w:sz w:val="22"/>
          <w:szCs w:val="22"/>
        </w:rPr>
      </w:r>
      <w:r>
        <w:rPr>
          <w:rFonts w:ascii="Cambria" w:hAnsi="Cambria" w:cs="Cambria"/>
          <w:color w:val="auto"/>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9.1.10 - Paralisar, por determinação do contratante, qualquer atividade que não esteja sendo executada de acordo com a boa técnica ou que ponha em risco a segurança de pessoas ou equipamentos de terceiros.</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9.1.11 - Manter durante toda a vigência do contrato, em compatibilidade com as obrigações assumidas, todas as condições exigidas para habilitação na licitação; </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9.1.12 - Guardar sigilo sobre todas as informações obtidas em decorrência do cumprimento do contrato; </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9.1.13 - Arcar com o ônus decorrente de eventual equívoco no dimensionamento dos quantitativos de sua proposta, inclusive quanto aos custos variáveis decorrentes de fatores futuros e inc</w:t>
      </w:r>
      <w:r>
        <w:rPr>
          <w:rFonts w:ascii="Cambria" w:hAnsi="Cambria" w:cs="Cambria"/>
          <w:color w:val="auto"/>
          <w:sz w:val="22"/>
          <w:szCs w:val="22"/>
        </w:rPr>
        <w:t xml:space="preserve">ertos, devendo complementá-los, caso o previsto inicialmente em sua proposta não seja satisfatório para o atendimento do objeto da contratação, exceto quando ocorrer algum dos eventos arrolados no art. 124, inciso II, alínea ‘d’, da Lei nº 14.133, de 2021.</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9.1.14 - Cumprir, além dos postulados legais vigentes de âmbito federal, estadual ou municipal, as normas de segurança do contratante;</w:t>
      </w:r>
      <w:r>
        <w:rPr>
          <w:rFonts w:ascii="Cambria" w:hAnsi="Cambria" w:cs="Cambria"/>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9.1.18 - Submeter previamente, por escrito, ao contratante, para análise e aprovação, quaisquer mudanças nos métodos executivos que fujam às especificações do memorial descritivo ou instrumento congênere.</w:t>
      </w:r>
      <w:r>
        <w:rPr>
          <w:rFonts w:ascii="Cambria" w:hAnsi="Cambria" w:cs="Cambria"/>
          <w:i w:val="0"/>
          <w:iCs w:val="0"/>
          <w:color w:val="auto"/>
          <w:sz w:val="22"/>
          <w:szCs w:val="22"/>
        </w:rPr>
      </w:r>
      <w:r>
        <w:rPr>
          <w:rFonts w:ascii="Cambria" w:hAnsi="Cambria" w:cs="Cambria"/>
          <w:sz w:val="22"/>
          <w:szCs w:val="22"/>
        </w:rPr>
      </w:r>
    </w:p>
    <w:p>
      <w:pPr>
        <w:pStyle w:val="1047"/>
        <w:numPr>
          <w:ilvl w:val="0"/>
          <w:numId w:val="0"/>
        </w:numPr>
        <w:spacing w:before="0" w:line="312" w:lineRule="auto"/>
        <w:rPr>
          <w:rFonts w:ascii="Cambria" w:hAnsi="Cambria" w:cs="Cambria"/>
          <w:sz w:val="22"/>
          <w:szCs w:val="22"/>
        </w:rPr>
      </w:pPr>
      <w:r>
        <w:rPr>
          <w:rFonts w:ascii="Cambria" w:hAnsi="Cambria" w:cs="Cambria"/>
          <w:sz w:val="22"/>
          <w:szCs w:val="22"/>
        </w:rPr>
        <w:t xml:space="preserve">10 - MODELO DE GESTÃO E FISCALIZAÇÃO DO CONTRATO</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10.1 - </w:t>
      </w:r>
      <w:r>
        <w:rPr>
          <w:rFonts w:ascii="Cambria" w:hAnsi="Cambria" w:eastAsia="Calibri" w:cs="Cambria"/>
          <w:sz w:val="22"/>
          <w:szCs w:val="22"/>
          <w:lang w:eastAsia="en-US"/>
        </w:rPr>
        <w:t xml:space="preserve">A gestão dos contratos oriundos da Ata de Registro de Preços será de responsabilidade dos Secretários Municipais, os quais terão seus fiscais designados no ato da assinatura do contrato.</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10.3 - O contrato deverá ser executado fielmente pelas partes, de acordo com as cláusulas avençadas e as normas da Lei nº 14.133, de 2021, e cada parte responderá pelas consequências de sua inexecução total ou parcial.</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10.4 - Em caso de impedimento, ordem de paralisação ou suspensão do contrato, o cronograma de execução será prorrogado automaticamente pelo tempo correspondente, anotadas tais circunstâncias mediante simples apostila.</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w:t>
      </w:r>
      <w:r>
        <w:rPr>
          <w:rFonts w:ascii="Cambria" w:hAnsi="Cambria" w:cs="Cambria"/>
          <w:sz w:val="22"/>
          <w:szCs w:val="22"/>
          <w:highlight w:val="none"/>
        </w:rPr>
        <w:t xml:space="preserve">0.5 - </w:t>
      </w:r>
      <w:r>
        <w:rPr>
          <w:rFonts w:ascii="Cambria" w:hAnsi="Cambria" w:cs="Cambria"/>
          <w:sz w:val="22"/>
          <w:szCs w:val="22"/>
          <w:highlight w:val="none"/>
        </w:rPr>
        <w:t xml:space="preserve">As comunicações entre o órgão ou entidade e a contratada devem ser realizadas por escrito sempre que o ato exigir tal formalidade, admitindo-se o uso de mensagem eletrônica para esse fim.</w:t>
      </w:r>
      <w:r>
        <w:rPr>
          <w:rFonts w:ascii="Cambria" w:hAnsi="Cambria" w:cs="Cambria"/>
          <w:sz w:val="22"/>
          <w:szCs w:val="22"/>
          <w:highlight w:val="none"/>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10.6 - O órgão ou entidade poderá convocar representante da empresa para adoção de providências que devam ser cumpridas de imediato.</w:t>
      </w:r>
      <w:r>
        <w:rPr>
          <w:rFonts w:ascii="Cambria" w:hAnsi="Cambria" w:cs="Cambria"/>
          <w:sz w:val="22"/>
          <w:szCs w:val="22"/>
        </w:rPr>
      </w:r>
      <w:r>
        <w:rPr>
          <w:rFonts w:ascii="Cambria" w:hAnsi="Cambria" w:cs="Cambria"/>
          <w:sz w:val="22"/>
          <w:szCs w:val="22"/>
        </w:rPr>
      </w:r>
      <w:r>
        <w:rPr>
          <w:rFonts w:ascii="Cambria" w:hAnsi="Cambria" w:cs="Cambria"/>
          <w:sz w:val="22"/>
          <w:szCs w:val="22"/>
        </w:rPr>
      </w: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10.7 - Após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auto"/>
          <w:sz w:val="22"/>
          <w:szCs w:val="22"/>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Cambria" w:hAnsi="Cambria" w:cs="Cambria"/>
          <w:i w:val="0"/>
          <w:iCs w:val="0"/>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10.8 – As competências dos Fiscais Administrativos, Fiscais Técnicos e Gestor dos contratos estão estabelecidas no Decreto Municipal nº 4.781/23, de 10 de outubro de 2023.</w:t>
      </w:r>
      <w:r>
        <w:rPr>
          <w:rFonts w:ascii="Cambria" w:hAnsi="Cambria" w:cs="Cambria"/>
          <w:sz w:val="22"/>
          <w:szCs w:val="22"/>
        </w:rPr>
      </w:r>
      <w:r>
        <w:rPr>
          <w:rFonts w:ascii="Cambria" w:hAnsi="Cambria" w:cs="Cambria"/>
          <w:sz w:val="22"/>
          <w:szCs w:val="22"/>
        </w:rPr>
      </w:r>
    </w:p>
    <w:p>
      <w:pPr>
        <w:pStyle w:val="1112"/>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1048"/>
        <w:numPr>
          <w:ilvl w:val="0"/>
          <w:numId w:val="0"/>
        </w:numPr>
        <w:spacing w:before="0" w:line="312" w:lineRule="auto"/>
        <w:tabs>
          <w:tab w:val="left" w:pos="284" w:leader="none"/>
          <w:tab w:val="clear" w:pos="567" w:leader="none"/>
        </w:tabs>
        <w:rPr>
          <w:rFonts w:ascii="Cambria" w:hAnsi="Cambria" w:cs="Cambria"/>
          <w:sz w:val="22"/>
          <w:szCs w:val="22"/>
        </w:rPr>
      </w:pPr>
      <w:r>
        <w:rPr>
          <w:rFonts w:ascii="Cambria" w:hAnsi="Cambria" w:cs="Cambria"/>
          <w:color w:val="auto"/>
          <w:sz w:val="22"/>
          <w:szCs w:val="22"/>
        </w:rPr>
        <w:t xml:space="preserve">11 – CRITÉRIOS DE MEDIÇÃO E PAGAMENTO (art. 92, incisos V e VI, da Lei nº 14.133/2021).</w:t>
      </w:r>
      <w:r>
        <w:rPr>
          <w:rFonts w:ascii="Cambria" w:hAnsi="Cambria" w:cs="Cambria"/>
          <w:color w:val="auto"/>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11.1 - FORMA DE PAGAMENTO</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11.1.1 - O pagamento será realizado através de ordem bancária, para crédito em banco, agência e conta corrente, a serem devidamente indicados pelo contratado.</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11.1.2 - Será considerada data do pagamento o dia em que constar como emitida a ordem bancária para pagamento.</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11.2 - PRAZO DE PAGAMENTO</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11.2.1 - O pagamento será efetuado até o 10º dia útil do mês subsequente ao da prestação do serviço</w:t>
      </w:r>
      <w:r>
        <w:rPr>
          <w:rFonts w:ascii="Cambria" w:hAnsi="Cambria" w:cs="Cambria"/>
          <w:sz w:val="22"/>
          <w:szCs w:val="22"/>
        </w:rPr>
        <w:t xml:space="preserve">, contados do recebimento definitivo da NF - Nota Fiscal/Fatura.</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11.2.2 - Considera-se ocorrido o recebimento da nota fiscal ou fatura quando o órgão contratante atestar a execução do objeto do contrato.</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highlight w:val="none"/>
        </w:rPr>
      </w:pPr>
      <w:r>
        <w:rPr>
          <w:rFonts w:ascii="Cambria" w:hAnsi="Cambria" w:cs="Cambria"/>
          <w:sz w:val="22"/>
          <w:szCs w:val="22"/>
        </w:rPr>
        <w:t xml:space="preserve">11.2.3 - No caso de atraso pelo Contratante, os valores devidos ao contratado serão atualizados monetariamente entre o termo final do prazo de pagamento até a data de sua efetiva realização, </w:t>
      </w:r>
      <w:r>
        <w:rPr>
          <w:rFonts w:ascii="Cambria" w:hAnsi="Cambria" w:cs="Cambria"/>
          <w:sz w:val="22"/>
          <w:szCs w:val="22"/>
          <w:highlight w:val="none"/>
        </w:rPr>
        <w:t xml:space="preserve">mediante aplicação do Índice Nacional de Preços ao Consumidor Amplo - IPCA/IBGE de correção monetária.</w:t>
      </w:r>
      <w:r>
        <w:rPr>
          <w:rFonts w:ascii="Cambria" w:hAnsi="Cambria" w:cs="Cambria"/>
          <w:sz w:val="22"/>
          <w:szCs w:val="22"/>
          <w:highlight w:val="none"/>
        </w:rPr>
      </w:r>
      <w:r>
        <w:rPr>
          <w:rFonts w:ascii="Cambria" w:hAnsi="Cambria" w:cs="Cambria"/>
          <w:sz w:val="22"/>
          <w:szCs w:val="22"/>
          <w:highlight w:val="none"/>
        </w:rPr>
      </w:r>
    </w:p>
    <w:p>
      <w:pPr>
        <w:jc w:val="both"/>
        <w:spacing w:line="312" w:lineRule="auto"/>
        <w:rPr>
          <w:rFonts w:ascii="Cambria" w:hAnsi="Cambria" w:cs="Cambria"/>
          <w:sz w:val="22"/>
          <w:szCs w:val="22"/>
        </w:rPr>
      </w:pPr>
      <w:r>
        <w:rPr>
          <w:rFonts w:ascii="Cambria" w:hAnsi="Cambria" w:cs="Cambria"/>
          <w:sz w:val="22"/>
          <w:szCs w:val="22"/>
        </w:rPr>
        <w:t xml:space="preserve">11.2.3.1 - </w:t>
      </w:r>
      <w:r>
        <w:rPr>
          <w:rFonts w:ascii="Cambria" w:hAnsi="Cambria" w:cs="Cambria"/>
          <w:iCs/>
          <w:sz w:val="22"/>
          <w:szCs w:val="22"/>
        </w:rPr>
        <w:t xml:space="preserve">A compensação financeira prevista nesta condição será incluída, a requerimento do interessado, na fatura do mês seguinte ao da ocorrência.</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11.3 - A NF - Nota Fiscal/Fatura deve conter todos os elementos exigidos em lei, tais como:</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w:t>
      </w:r>
      <w:r>
        <w:rPr>
          <w:rFonts w:ascii="Cambria" w:hAnsi="Cambria" w:cs="Cambria"/>
          <w:sz w:val="22"/>
          <w:szCs w:val="22"/>
        </w:rPr>
        <w:t xml:space="preserve">.3.1 - Identificação completa da Contratada: </w:t>
      </w:r>
      <w:r>
        <w:rPr>
          <w:rFonts w:ascii="Cambria" w:hAnsi="Cambria" w:cs="Cambria"/>
          <w:sz w:val="22"/>
          <w:szCs w:val="22"/>
        </w:rPr>
      </w:r>
    </w:p>
    <w:p>
      <w:pPr>
        <w:pStyle w:val="1032"/>
        <w:numPr>
          <w:ilvl w:val="0"/>
          <w:numId w:val="13"/>
        </w:numPr>
        <w:jc w:val="both"/>
        <w:spacing w:line="312" w:lineRule="auto"/>
        <w:rPr>
          <w:rFonts w:ascii="Cambria" w:hAnsi="Cambria" w:cs="Cambria"/>
          <w:sz w:val="22"/>
          <w:szCs w:val="22"/>
        </w:rPr>
      </w:pPr>
      <w:r>
        <w:rPr>
          <w:rFonts w:ascii="Cambria" w:hAnsi="Cambria" w:cs="Cambria"/>
          <w:sz w:val="22"/>
          <w:szCs w:val="22"/>
        </w:rPr>
        <w:t xml:space="preserve">CNPJ (o mesmo constante da documentação fiscal, exceto se for emitida por filial/matriz que contenha o mesmo CNPJ base, com sequencial específico da filial/matriz) da contratada, endereço, inscrição estadual ou </w:t>
      </w:r>
      <w:r>
        <w:rPr>
          <w:rFonts w:ascii="Cambria" w:hAnsi="Cambria" w:cs="Cambria"/>
          <w:sz w:val="22"/>
          <w:szCs w:val="22"/>
        </w:rPr>
        <w:t xml:space="preserve">municipal, etc.</w:t>
      </w:r>
      <w:r>
        <w:rPr>
          <w:rFonts w:ascii="Cambria" w:hAnsi="Cambria" w:cs="Cambria"/>
          <w:sz w:val="22"/>
          <w:szCs w:val="22"/>
        </w:rPr>
        <w:t xml:space="preserve">;</w:t>
      </w:r>
      <w:r>
        <w:rPr>
          <w:rFonts w:ascii="Cambria" w:hAnsi="Cambria" w:cs="Cambria"/>
          <w:sz w:val="22"/>
          <w:szCs w:val="22"/>
        </w:rPr>
      </w:r>
      <w:r/>
    </w:p>
    <w:p>
      <w:pPr>
        <w:jc w:val="both"/>
        <w:spacing w:line="312" w:lineRule="auto"/>
        <w:rPr>
          <w:rFonts w:ascii="Cambria" w:hAnsi="Cambria" w:cs="Cambria"/>
          <w:sz w:val="22"/>
          <w:szCs w:val="22"/>
        </w:rPr>
      </w:pPr>
      <w:r>
        <w:rPr>
          <w:rFonts w:ascii="Cambria" w:hAnsi="Cambria" w:cs="Cambria"/>
          <w:sz w:val="22"/>
          <w:szCs w:val="22"/>
        </w:rPr>
        <w:t xml:space="preserve">11.3.2 – Prazo de validade;</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11.3.3 – Data da emissão;</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11.3.4 – Dados do contrato e do órgão contratante;</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11.3.5 - Descrição de forma clara do objeto executado;</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11.3.6 - Valores unitários e totais e período com as informações referentes aos itens do objeto efetivamente entregues;</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11.3.7 - Número do processo que originou a contratação, bem como o número do empenho.</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11.3.8 - Informações bancárias para pagamento.</w:t>
      </w:r>
      <w:r>
        <w:rPr>
          <w:rFonts w:ascii="Cambria" w:hAnsi="Cambria" w:cs="Cambria"/>
          <w:sz w:val="22"/>
          <w:szCs w:val="22"/>
        </w:rPr>
      </w:r>
      <w:r>
        <w:rPr>
          <w:rFonts w:ascii="Cambria" w:hAnsi="Cambria" w:cs="Cambria"/>
          <w:sz w:val="22"/>
          <w:szCs w:val="22"/>
        </w:rPr>
      </w:r>
    </w:p>
    <w:p>
      <w:pPr>
        <w:jc w:val="both"/>
        <w:spacing w:line="312" w:lineRule="auto"/>
        <w:rPr>
          <w:rFonts w:ascii="Cambria" w:hAnsi="Cambria" w:cs="Cambria"/>
          <w:sz w:val="22"/>
          <w:szCs w:val="22"/>
        </w:rPr>
      </w:pPr>
      <w:r>
        <w:rPr>
          <w:rFonts w:ascii="Cambria" w:hAnsi="Cambria" w:cs="Cambria"/>
          <w:sz w:val="22"/>
          <w:szCs w:val="22"/>
        </w:rPr>
        <w:t xml:space="preserve">11.3.9 - Eventual destaque do valor de retenções tributárias cabíveis.</w:t>
      </w:r>
      <w:r>
        <w:rPr>
          <w:rFonts w:ascii="Cambria" w:hAnsi="Cambria" w:cs="Cambria"/>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11.4 - Havendo erro </w:t>
      </w:r>
      <w:r>
        <w:rPr>
          <w:rFonts w:ascii="Cambria" w:hAnsi="Cambria" w:cs="Cambria"/>
          <w:sz w:val="22"/>
          <w:szCs w:val="22"/>
        </w:rPr>
        <w:t xml:space="preserve">na</w:t>
      </w:r>
      <w:r>
        <w:rPr>
          <w:rFonts w:ascii="Cambria" w:hAnsi="Cambria" w:cs="Cambria"/>
          <w:iCs/>
          <w:sz w:val="22"/>
          <w:szCs w:val="22"/>
        </w:rPr>
        <w:t xml:space="preserve"> apresentação da NF - Nota Fiscal/Fatura, ou circunstância que impeça a liquidação da </w:t>
      </w:r>
      <w:r>
        <w:rPr>
          <w:rFonts w:ascii="Cambria" w:hAnsi="Cambria" w:cs="Cambria"/>
          <w:sz w:val="22"/>
          <w:szCs w:val="22"/>
        </w:rPr>
        <w:t xml:space="preserve">despesa</w:t>
      </w:r>
      <w:r>
        <w:rPr>
          <w:rFonts w:ascii="Cambria" w:hAnsi="Cambria" w:cs="Cambria"/>
          <w:iCs/>
          <w:sz w:val="22"/>
          <w:szCs w:val="22"/>
        </w:rPr>
        <w:t xml:space="preserve">, o pagamento ficará sobrestado até que o contratado providencie as medidas saneadoras. Nessa hipótese, o prazo para pagamento iniciar-se-á após a comprovação da regularização da situação, não acarretando qualquer ônus para o contratante;</w:t>
      </w:r>
      <w:r>
        <w:rPr>
          <w:rFonts w:ascii="Cambria" w:hAnsi="Cambria" w:cs="Cambria"/>
          <w:iCs/>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11.5 - Os pagamentos serão condicionados à apresentação da NF - Nota Fiscal dos produtos/serviços contratados e entregues/executados devidamente atestados pelo setor competente.</w:t>
      </w:r>
      <w:r>
        <w:rPr>
          <w:rFonts w:ascii="Cambria" w:hAnsi="Cambria" w:cs="Cambria"/>
          <w:iCs/>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11.6 - Deverá a contratada apresentar ainda as provas de regularidade fiscal e trabalhista com prazo de validade vigente, descritas abaixo:</w:t>
      </w:r>
      <w:r>
        <w:rPr>
          <w:rFonts w:ascii="Cambria" w:hAnsi="Cambria" w:cs="Cambria"/>
          <w:iCs/>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11.6.1 - Prova de Regularidade referente aos Tributos Federais e Dívida Ativa da União (Certidão Conjunta PGFN e RFB);</w:t>
      </w:r>
      <w:r>
        <w:rPr>
          <w:rFonts w:ascii="Cambria" w:hAnsi="Cambria" w:cs="Cambria"/>
          <w:iCs/>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11.6.2 - Prova de Regularidade com a Fazenda Pública do Estado onde for sediada a empresa;</w:t>
      </w:r>
      <w:r>
        <w:rPr>
          <w:rFonts w:ascii="Cambria" w:hAnsi="Cambria" w:cs="Cambria"/>
          <w:iCs/>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11.6.3 - Prova de Regularidade com a Fazenda Pública do Município onde for sediada a empresa;</w:t>
      </w:r>
      <w:r>
        <w:rPr>
          <w:rFonts w:ascii="Cambria" w:hAnsi="Cambria" w:cs="Cambria"/>
          <w:iCs/>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11.6.4 - Prova de Regularidade com a Fazenda Pública do Município de Viana;</w:t>
      </w:r>
      <w:r>
        <w:rPr>
          <w:rFonts w:ascii="Cambria" w:hAnsi="Cambria" w:cs="Cambria"/>
          <w:iCs/>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11.6.5 - Prova de Regularidade com a Fazenda do Estado do Espírito Santo;</w:t>
      </w:r>
      <w:r>
        <w:rPr>
          <w:rFonts w:ascii="Cambria" w:hAnsi="Cambria" w:cs="Cambria"/>
          <w:iCs/>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11.6.6 - Prova de Regularidade junto ao Fundo de Garantia por Tempo de Serviço - FGTS;</w:t>
      </w:r>
      <w:r>
        <w:rPr>
          <w:rFonts w:ascii="Cambria" w:hAnsi="Cambria" w:cs="Cambria"/>
          <w:iCs/>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11.6.7 - Prova de Regularidade junto à Justiça do Trabalho, através da Certidão Negativa de Débitos Trabalhistas;</w:t>
      </w:r>
      <w:r>
        <w:rPr>
          <w:rFonts w:ascii="Cambria" w:hAnsi="Cambria" w:cs="Cambria"/>
          <w:iCs/>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11.6.8 - Prova de Regularidade de Falência e Concordata.</w:t>
      </w:r>
      <w:r>
        <w:rPr>
          <w:rFonts w:ascii="Cambria" w:hAnsi="Cambria" w:cs="Cambria"/>
          <w:iCs/>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11.7 - O atraso superior a 60 (sessenta) dias dos pagamentos devidos pela Administração decorrentes dos serviços já prestad</w:t>
      </w:r>
      <w:r>
        <w:rPr>
          <w:rFonts w:ascii="Cambria" w:hAnsi="Cambria" w:cs="Cambria"/>
          <w:iCs/>
          <w:sz w:val="22"/>
          <w:szCs w:val="22"/>
        </w:rPr>
        <w:t xml:space="preserve">os, salvo em caso de calamidade pública, grave perturbação da ordem interna ou guerra, assegura à Contratada o direito de optar pela suspensão do cumprimento de suas obrigações até que seja normalizada a situação e a pronta quitação das parcelas em aberto.</w:t>
      </w:r>
      <w:r>
        <w:rPr>
          <w:rFonts w:ascii="Cambria" w:hAnsi="Cambria" w:cs="Cambria"/>
          <w:iCs/>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11.8 - </w:t>
      </w:r>
      <w:r>
        <w:rPr>
          <w:rFonts w:ascii="Cambria" w:hAnsi="Cambria" w:cs="Cambria"/>
          <w:sz w:val="22"/>
          <w:szCs w:val="22"/>
        </w:rPr>
        <w:t xml:space="preserve">O contratado regularmente optante pelo</w:t>
      </w:r>
      <w:r>
        <w:rPr>
          <w:rFonts w:ascii="Cambria" w:hAnsi="Cambria" w:cs="Cambria"/>
          <w:sz w:val="22"/>
          <w:szCs w:val="22"/>
          <w:highlight w:val="none"/>
        </w:rPr>
        <w:t xml:space="preserve"> </w:t>
      </w:r>
      <w:r>
        <w:rPr>
          <w:rFonts w:ascii="Cambria" w:hAnsi="Cambria" w:cs="Cambria"/>
          <w:sz w:val="22"/>
          <w:szCs w:val="22"/>
          <w:highlight w:val="none"/>
        </w:rPr>
        <w:t xml:space="preserve">Simples Nacional,</w:t>
      </w:r>
      <w:r>
        <w:rPr>
          <w:rFonts w:ascii="Cambria" w:hAnsi="Cambria" w:cs="Cambria"/>
          <w:sz w:val="22"/>
          <w:szCs w:val="22"/>
          <w:highlight w:val="none"/>
        </w:rPr>
        <w:t xml:space="preserve"> nos termos d</w:t>
      </w:r>
      <w:r>
        <w:rPr>
          <w:rFonts w:ascii="Cambria" w:hAnsi="Cambria" w:cs="Cambria"/>
          <w:sz w:val="22"/>
          <w:szCs w:val="22"/>
        </w:rPr>
        <w:t xml:space="preserve">a Lei Complementar nº 123, de 2006, não sofrerá a retenção tributária quan</w:t>
      </w:r>
      <w:r>
        <w:rPr>
          <w:rFonts w:ascii="Cambria" w:hAnsi="Cambria" w:cs="Cambria"/>
          <w:sz w:val="22"/>
          <w:szCs w:val="22"/>
        </w:rPr>
        <w:t xml:space="preserve">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iCs/>
          <w:sz w:val="22"/>
          <w:szCs w:val="22"/>
        </w:rPr>
        <w:t xml:space="preserve">.</w:t>
      </w:r>
      <w:r>
        <w:rPr>
          <w:rFonts w:ascii="Cambria" w:hAnsi="Cambria" w:cs="Cambria"/>
          <w:iCs/>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iCs/>
          <w:sz w:val="22"/>
          <w:szCs w:val="22"/>
        </w:rPr>
        <w:t xml:space="preserve">11.10 - Dados para emissão da Nota Fiscal:</w:t>
      </w:r>
      <w:r>
        <w:rPr>
          <w:rFonts w:ascii="Cambria" w:hAnsi="Cambria" w:cs="Cambria"/>
          <w:iCs/>
          <w:sz w:val="22"/>
          <w:szCs w:val="22"/>
        </w:rPr>
      </w:r>
      <w:r>
        <w:rPr>
          <w:rFonts w:ascii="Cambria" w:hAnsi="Cambria" w:cs="Cambria"/>
          <w:sz w:val="22"/>
          <w:szCs w:val="22"/>
        </w:rPr>
      </w:r>
    </w:p>
    <w:p>
      <w:pPr>
        <w:jc w:val="right"/>
        <w:widowControl w:val="off"/>
        <w:rPr>
          <w:rFonts w:ascii="Cambria" w:hAnsi="Cambria" w:cs="Cambria"/>
          <w:b w:val="0"/>
          <w:bCs w:val="0"/>
          <w:i/>
          <w:sz w:val="22"/>
          <w:szCs w:val="22"/>
        </w:rPr>
      </w:pPr>
      <w:r>
        <w:rPr>
          <w:rFonts w:ascii="Cambria" w:hAnsi="Cambria" w:cs="Cambria"/>
          <w:b w:val="0"/>
          <w:bCs w:val="0"/>
          <w:i/>
          <w:iCs/>
          <w:color w:val="000000" w:themeColor="text1"/>
          <w:sz w:val="22"/>
          <w:szCs w:val="22"/>
        </w:rPr>
        <w:t xml:space="preserve">PREFEITURA MUNICIPAL DE </w:t>
      </w:r>
      <w:r>
        <w:rPr>
          <w:rFonts w:ascii="Cambria" w:hAnsi="Cambria" w:cs="Cambria"/>
          <w:b w:val="0"/>
          <w:bCs w:val="0"/>
          <w:i/>
          <w:iCs/>
          <w:color w:val="000000" w:themeColor="text1"/>
          <w:sz w:val="22"/>
          <w:szCs w:val="22"/>
        </w:rPr>
        <w:t xml:space="preserve">SANTA BÁRBARA DO SUL</w:t>
      </w:r>
      <w:r>
        <w:rPr>
          <w:rFonts w:ascii="Cambria" w:hAnsi="Cambria" w:cs="Cambria"/>
          <w:b w:val="0"/>
          <w:bCs w:val="0"/>
          <w:i/>
          <w:iCs/>
          <w:color w:val="000000" w:themeColor="text1"/>
          <w:sz w:val="22"/>
          <w:szCs w:val="22"/>
        </w:rPr>
        <w:t xml:space="preserve">/RS</w:t>
      </w:r>
      <w:r>
        <w:rPr>
          <w:rFonts w:ascii="Cambria" w:hAnsi="Cambria" w:cs="Cambria"/>
          <w:b w:val="0"/>
          <w:bCs w:val="0"/>
          <w:i/>
          <w:iCs/>
          <w:sz w:val="22"/>
          <w:szCs w:val="22"/>
        </w:rPr>
      </w:r>
      <w:r>
        <w:rPr>
          <w:rFonts w:ascii="Cambria" w:hAnsi="Cambria" w:cs="Cambria"/>
          <w:b w:val="0"/>
          <w:bCs w:val="0"/>
          <w:i/>
          <w:iCs/>
          <w:sz w:val="22"/>
          <w:szCs w:val="22"/>
        </w:rPr>
      </w:r>
    </w:p>
    <w:p>
      <w:pPr>
        <w:jc w:val="right"/>
        <w:widowControl w:val="off"/>
        <w:rPr>
          <w:rFonts w:ascii="Cambria" w:hAnsi="Cambria" w:cs="Cambria"/>
          <w:b w:val="0"/>
          <w:bCs w:val="0"/>
          <w:i/>
          <w:sz w:val="22"/>
          <w:szCs w:val="22"/>
        </w:rPr>
      </w:pPr>
      <w:r>
        <w:rPr>
          <w:rFonts w:ascii="Cambria" w:hAnsi="Cambria" w:cs="Cambria"/>
          <w:b w:val="0"/>
          <w:bCs w:val="0"/>
          <w:i/>
          <w:iCs/>
          <w:color w:val="000000" w:themeColor="text1"/>
          <w:sz w:val="22"/>
          <w:szCs w:val="22"/>
        </w:rPr>
        <w:t xml:space="preserve">CNPJ nº: </w:t>
      </w:r>
      <w:r>
        <w:rPr>
          <w:rFonts w:ascii="Cambria" w:hAnsi="Cambria" w:cs="Cambria"/>
          <w:b w:val="0"/>
          <w:bCs w:val="0"/>
          <w:i/>
          <w:iCs/>
          <w:color w:val="000000" w:themeColor="text1"/>
          <w:sz w:val="22"/>
          <w:szCs w:val="22"/>
        </w:rPr>
        <w:t xml:space="preserve">88.496.468/0001-60</w:t>
      </w:r>
      <w:r>
        <w:rPr>
          <w:rFonts w:ascii="Cambria" w:hAnsi="Cambria" w:cs="Cambria"/>
          <w:b w:val="0"/>
          <w:bCs w:val="0"/>
          <w:i/>
          <w:iCs/>
          <w:sz w:val="22"/>
          <w:szCs w:val="22"/>
        </w:rPr>
      </w:r>
      <w:r>
        <w:rPr>
          <w:rFonts w:ascii="Cambria" w:hAnsi="Cambria" w:cs="Cambria"/>
          <w:b w:val="0"/>
          <w:bCs w:val="0"/>
          <w:i/>
          <w:iCs/>
          <w:sz w:val="22"/>
          <w:szCs w:val="22"/>
        </w:rPr>
      </w:r>
    </w:p>
    <w:p>
      <w:pPr>
        <w:jc w:val="right"/>
        <w:widowControl w:val="off"/>
        <w:rPr>
          <w:rFonts w:ascii="Cambria" w:hAnsi="Cambria" w:cs="Cambria"/>
          <w:b w:val="0"/>
          <w:bCs w:val="0"/>
          <w:i/>
          <w:sz w:val="22"/>
          <w:szCs w:val="22"/>
        </w:rPr>
      </w:pPr>
      <w:r>
        <w:rPr>
          <w:rFonts w:ascii="Cambria" w:hAnsi="Cambria" w:cs="Cambria"/>
          <w:b w:val="0"/>
          <w:bCs w:val="0"/>
          <w:i/>
          <w:iCs/>
          <w:color w:val="000000" w:themeColor="text1"/>
          <w:sz w:val="22"/>
          <w:szCs w:val="22"/>
        </w:rPr>
        <w:t xml:space="preserve">ENDEREÇO: </w:t>
      </w:r>
      <w:r>
        <w:rPr>
          <w:rFonts w:ascii="Cambria" w:hAnsi="Cambria" w:cs="Cambria"/>
          <w:b w:val="0"/>
          <w:bCs w:val="0"/>
          <w:i/>
          <w:iCs/>
          <w:color w:val="000000" w:themeColor="text1"/>
          <w:sz w:val="22"/>
          <w:szCs w:val="22"/>
        </w:rPr>
        <w:t xml:space="preserve">Avenida Eduardo de Britto</w:t>
      </w:r>
      <w:r>
        <w:rPr>
          <w:rFonts w:ascii="Cambria" w:hAnsi="Cambria" w:cs="Cambria"/>
          <w:b w:val="0"/>
          <w:bCs w:val="0"/>
          <w:i/>
          <w:iCs/>
          <w:color w:val="000000" w:themeColor="text1"/>
          <w:sz w:val="22"/>
          <w:szCs w:val="22"/>
        </w:rPr>
        <w:t xml:space="preserve">, nº </w:t>
      </w:r>
      <w:r>
        <w:rPr>
          <w:rFonts w:ascii="Cambria" w:hAnsi="Cambria" w:cs="Cambria"/>
          <w:b w:val="0"/>
          <w:bCs w:val="0"/>
          <w:i/>
          <w:iCs/>
          <w:color w:val="000000" w:themeColor="text1"/>
          <w:sz w:val="22"/>
          <w:szCs w:val="22"/>
        </w:rPr>
        <w:t xml:space="preserve">101</w:t>
      </w:r>
      <w:r>
        <w:rPr>
          <w:rFonts w:ascii="Cambria" w:hAnsi="Cambria" w:cs="Cambria"/>
          <w:b w:val="0"/>
          <w:bCs w:val="0"/>
          <w:i/>
          <w:iCs/>
          <w:color w:val="000000" w:themeColor="text1"/>
          <w:sz w:val="22"/>
          <w:szCs w:val="22"/>
        </w:rPr>
        <w:t xml:space="preserve">, </w:t>
      </w:r>
      <w:r>
        <w:rPr>
          <w:rFonts w:ascii="Cambria" w:hAnsi="Cambria" w:cs="Cambria"/>
          <w:b w:val="0"/>
          <w:bCs w:val="0"/>
          <w:i/>
          <w:iCs/>
          <w:color w:val="000000" w:themeColor="text1"/>
          <w:sz w:val="22"/>
          <w:szCs w:val="22"/>
        </w:rPr>
        <w:t xml:space="preserve">Bairro Cerutti</w:t>
      </w:r>
      <w:r>
        <w:rPr>
          <w:rFonts w:ascii="Cambria" w:hAnsi="Cambria" w:cs="Cambria"/>
          <w:b w:val="0"/>
          <w:bCs w:val="0"/>
          <w:i/>
          <w:iCs/>
          <w:color w:val="000000" w:themeColor="text1"/>
          <w:sz w:val="22"/>
          <w:szCs w:val="22"/>
        </w:rPr>
        <w:t xml:space="preserve">.</w:t>
      </w:r>
      <w:r>
        <w:rPr>
          <w:rFonts w:ascii="Cambria" w:hAnsi="Cambria" w:cs="Cambria"/>
          <w:b w:val="0"/>
          <w:bCs w:val="0"/>
          <w:i/>
          <w:iCs/>
          <w:sz w:val="22"/>
          <w:szCs w:val="22"/>
        </w:rPr>
      </w:r>
      <w:r>
        <w:rPr>
          <w:rFonts w:ascii="Cambria" w:hAnsi="Cambria" w:cs="Cambria"/>
          <w:b w:val="0"/>
          <w:bCs w:val="0"/>
          <w:i/>
          <w:iCs/>
          <w:sz w:val="22"/>
          <w:szCs w:val="22"/>
        </w:rPr>
      </w:r>
    </w:p>
    <w:p>
      <w:pPr>
        <w:jc w:val="right"/>
        <w:widowControl w:val="off"/>
        <w:rPr>
          <w:rFonts w:ascii="Cambria" w:hAnsi="Cambria" w:cs="Cambria"/>
          <w:b w:val="0"/>
          <w:bCs w:val="0"/>
          <w:i/>
          <w:sz w:val="22"/>
          <w:szCs w:val="22"/>
        </w:rPr>
      </w:pPr>
      <w:r>
        <w:rPr>
          <w:rFonts w:ascii="Cambria" w:hAnsi="Cambria" w:cs="Cambria"/>
          <w:b w:val="0"/>
          <w:bCs w:val="0"/>
          <w:i/>
          <w:iCs/>
          <w:color w:val="000000" w:themeColor="text1"/>
          <w:sz w:val="22"/>
          <w:szCs w:val="22"/>
        </w:rPr>
        <w:t xml:space="preserve">CEP: 98.2</w:t>
      </w:r>
      <w:r>
        <w:rPr>
          <w:rFonts w:ascii="Cambria" w:hAnsi="Cambria" w:cs="Cambria"/>
          <w:b w:val="0"/>
          <w:bCs w:val="0"/>
          <w:i/>
          <w:iCs/>
          <w:color w:val="000000" w:themeColor="text1"/>
          <w:sz w:val="22"/>
          <w:szCs w:val="22"/>
        </w:rPr>
        <w:t xml:space="preserve">4</w:t>
      </w:r>
      <w:r>
        <w:rPr>
          <w:rFonts w:ascii="Cambria" w:hAnsi="Cambria" w:cs="Cambria"/>
          <w:b w:val="0"/>
          <w:bCs w:val="0"/>
          <w:i/>
          <w:iCs/>
          <w:color w:val="000000" w:themeColor="text1"/>
          <w:sz w:val="22"/>
          <w:szCs w:val="22"/>
        </w:rPr>
        <w:t xml:space="preserve">0-000</w:t>
      </w:r>
      <w:r>
        <w:rPr>
          <w:rFonts w:ascii="Cambria" w:hAnsi="Cambria" w:cs="Cambria"/>
          <w:b w:val="0"/>
          <w:bCs w:val="0"/>
          <w:i/>
          <w:iCs/>
          <w:color w:val="000000" w:themeColor="text1"/>
          <w:sz w:val="22"/>
          <w:szCs w:val="22"/>
        </w:rPr>
      </w:r>
      <w:r>
        <w:rPr>
          <w:rFonts w:ascii="Cambria" w:hAnsi="Cambria" w:cs="Cambria"/>
          <w:b w:val="0"/>
          <w:bCs w:val="0"/>
          <w:i/>
          <w:iCs/>
          <w:sz w:val="22"/>
          <w:szCs w:val="22"/>
        </w:rPr>
      </w:r>
      <w:r>
        <w:rPr>
          <w:rFonts w:ascii="Cambria" w:hAnsi="Cambria" w:cs="Cambria"/>
          <w:sz w:val="22"/>
          <w:szCs w:val="22"/>
          <w:lang w:eastAsia="en-US"/>
        </w:rPr>
      </w:r>
      <w:r>
        <w:rPr>
          <w:rFonts w:ascii="Cambria" w:hAnsi="Cambria" w:cs="Cambria"/>
          <w:sz w:val="22"/>
          <w:szCs w:val="22"/>
          <w:lang w:eastAsia="en-US"/>
        </w:rPr>
      </w:r>
      <w:r>
        <w:rPr>
          <w:rFonts w:ascii="Cambria" w:hAnsi="Cambria" w:cs="Cambria"/>
          <w:sz w:val="22"/>
          <w:szCs w:val="22"/>
        </w:rPr>
      </w:r>
      <w:r>
        <w:rPr>
          <w:rFonts w:ascii="Cambria" w:hAnsi="Cambria" w:cs="Cambria"/>
          <w:b w:val="0"/>
          <w:bCs w:val="0"/>
          <w:i/>
          <w:iCs/>
          <w:color w:val="000000" w:themeColor="text1"/>
          <w:sz w:val="22"/>
          <w:szCs w:val="22"/>
        </w:rPr>
      </w:r>
    </w:p>
    <w:p>
      <w:pPr>
        <w:pStyle w:val="1047"/>
        <w:numPr>
          <w:ilvl w:val="0"/>
          <w:numId w:val="0"/>
        </w:numPr>
        <w:spacing w:before="0" w:line="312" w:lineRule="auto"/>
        <w:rPr>
          <w:rFonts w:ascii="Cambria" w:hAnsi="Cambria" w:cs="Cambria"/>
          <w:sz w:val="22"/>
          <w:szCs w:val="22"/>
        </w:rPr>
      </w:pPr>
      <w:r>
        <w:rPr>
          <w:rFonts w:ascii="Cambria" w:hAnsi="Cambria" w:cs="Cambria"/>
          <w:sz w:val="22"/>
          <w:szCs w:val="22"/>
        </w:rPr>
        <w:t xml:space="preserve">12 - REAJUSTE (art. 92, inciso V, da Lei nº 14.133/2021).</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12.1 - Os preços inicialmente contratados são fixos e irreajustáveis no prazo de um ano contado da data do orçamento estimado.</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highlight w:val="none"/>
        </w:rPr>
      </w:pPr>
      <w:r>
        <w:rPr>
          <w:rFonts w:ascii="Cambria" w:hAnsi="Cambria" w:cs="Cambria"/>
          <w:color w:val="auto"/>
          <w:sz w:val="22"/>
          <w:szCs w:val="22"/>
        </w:rPr>
        <w:t xml:space="preserve">12.2 - Após o interregno de 01 (um) ano, e</w:t>
      </w:r>
      <w:r>
        <w:rPr>
          <w:rFonts w:ascii="Cambria" w:hAnsi="Cambria" w:cs="Cambria"/>
          <w:color w:val="auto"/>
          <w:sz w:val="22"/>
          <w:szCs w:val="22"/>
          <w:highlight w:val="none"/>
        </w:rPr>
        <w:t xml:space="preserve"> independentemente de pedido do contratado</w:t>
      </w:r>
      <w:r>
        <w:rPr>
          <w:rFonts w:ascii="Cambria" w:hAnsi="Cambria" w:cs="Cambria"/>
          <w:color w:val="auto"/>
          <w:sz w:val="22"/>
          <w:szCs w:val="22"/>
          <w:highlight w:val="none"/>
        </w:rPr>
        <w:t xml:space="preserve">, os preços iniciais serão reajustados, mediante a aplicação, pelo contratante, do </w:t>
      </w:r>
      <w:r>
        <w:rPr>
          <w:rFonts w:ascii="Cambria" w:hAnsi="Cambria" w:cs="Cambria"/>
          <w:color w:val="auto"/>
          <w:sz w:val="22"/>
          <w:szCs w:val="22"/>
          <w:highlight w:val="none"/>
        </w:rPr>
        <w:t xml:space="preserve">Índice Nacional de Preços ao Consumidor Amplo - IPCA/IBGE</w:t>
      </w:r>
      <w:r>
        <w:rPr>
          <w:rFonts w:ascii="Cambria" w:hAnsi="Cambria" w:cs="Cambria"/>
          <w:i/>
          <w:iCs/>
          <w:color w:val="auto"/>
          <w:sz w:val="22"/>
          <w:szCs w:val="22"/>
          <w:highlight w:val="none"/>
        </w:rPr>
        <w:t xml:space="preserve">,</w:t>
      </w:r>
      <w:r>
        <w:rPr>
          <w:rFonts w:ascii="Cambria" w:hAnsi="Cambria" w:cs="Cambria"/>
          <w:color w:val="auto"/>
          <w:sz w:val="22"/>
          <w:szCs w:val="22"/>
          <w:highlight w:val="none"/>
        </w:rPr>
        <w:t xml:space="preserve"> exclusivamente para as obrigações iniciadas e concluídas após a ocorrência da anualidade.</w:t>
      </w:r>
      <w:r>
        <w:rPr>
          <w:rFonts w:ascii="Cambria" w:hAnsi="Cambria" w:cs="Cambria"/>
          <w:color w:val="auto"/>
          <w:sz w:val="22"/>
          <w:szCs w:val="22"/>
          <w:highlight w:val="none"/>
        </w:rPr>
      </w:r>
      <w:r>
        <w:rPr>
          <w:rFonts w:ascii="Cambria" w:hAnsi="Cambria" w:cs="Cambria"/>
          <w:sz w:val="22"/>
          <w:szCs w:val="22"/>
          <w:highlight w:val="none"/>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12.3 - Nos reajustes subsequentes ao primeiro, o interregno mínimo de 01 (um) ano será contado a partir dos efeitos financeiros do último reajuste.</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12.4 - No c</w:t>
      </w:r>
      <w:r>
        <w:rPr>
          <w:rFonts w:ascii="Cambria" w:hAnsi="Cambria" w:cs="Cambria"/>
          <w:color w:val="auto"/>
          <w:sz w:val="22"/>
          <w:szCs w:val="22"/>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12.5 - Nas aferições finais, o(s) índice(s) utilizado(s) para reajuste será(</w:t>
      </w:r>
      <w:r>
        <w:rPr>
          <w:rFonts w:ascii="Cambria" w:hAnsi="Cambria" w:cs="Cambria"/>
          <w:color w:val="auto"/>
          <w:sz w:val="22"/>
          <w:szCs w:val="22"/>
        </w:rPr>
        <w:t xml:space="preserve">ão</w:t>
      </w:r>
      <w:r>
        <w:rPr>
          <w:rFonts w:ascii="Cambria" w:hAnsi="Cambria" w:cs="Cambria"/>
          <w:color w:val="auto"/>
          <w:sz w:val="22"/>
          <w:szCs w:val="22"/>
        </w:rPr>
        <w:t xml:space="preserve">), obrigatoriamente, o(s) definitivo(s).</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12.6 - Caso o(s) índice(s) estabelecido(s) para reajustamento venha(m) a ser extinto(s) ou de qualquer forma não possa(m) mais ser utilizado(s), será(</w:t>
      </w:r>
      <w:r>
        <w:rPr>
          <w:rFonts w:ascii="Cambria" w:hAnsi="Cambria" w:cs="Cambria"/>
          <w:color w:val="auto"/>
          <w:sz w:val="22"/>
          <w:szCs w:val="22"/>
        </w:rPr>
        <w:t xml:space="preserve">ão</w:t>
      </w:r>
      <w:r>
        <w:rPr>
          <w:rFonts w:ascii="Cambria" w:hAnsi="Cambria" w:cs="Cambria"/>
          <w:color w:val="auto"/>
          <w:sz w:val="22"/>
          <w:szCs w:val="22"/>
        </w:rPr>
        <w:t xml:space="preserve">) adotado(s), em substituição, o(s) que vier(em) a ser determinado(s) pela legislação então em vigor.</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12.7 - Na ausência de previsão legal quanto ao índice substituto, as partes elegerão novo índice oficial, para reajustamento do preço do valor remanescente, por meio de termo aditivo. </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12.8 - O reajuste será realizado por apostilamento.</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lang w:eastAsia="en-US"/>
        </w:rPr>
      </w:r>
      <w:r>
        <w:rPr>
          <w:rFonts w:ascii="Cambria" w:hAnsi="Cambria" w:cs="Cambria"/>
          <w:sz w:val="22"/>
          <w:szCs w:val="22"/>
          <w:lang w:eastAsia="en-US"/>
        </w:rPr>
      </w:r>
      <w:r>
        <w:rPr>
          <w:rFonts w:ascii="Cambria" w:hAnsi="Cambria" w:cs="Cambria"/>
          <w:sz w:val="22"/>
          <w:szCs w:val="22"/>
        </w:rPr>
      </w:r>
    </w:p>
    <w:p>
      <w:pPr>
        <w:pStyle w:val="1047"/>
        <w:numPr>
          <w:ilvl w:val="0"/>
          <w:numId w:val="0"/>
        </w:numPr>
        <w:spacing w:before="0" w:line="312" w:lineRule="auto"/>
        <w:tabs>
          <w:tab w:val="left" w:pos="284" w:leader="none"/>
        </w:tabs>
        <w:rPr>
          <w:rFonts w:ascii="Cambria" w:hAnsi="Cambria" w:cs="Cambria"/>
          <w:sz w:val="22"/>
          <w:szCs w:val="22"/>
        </w:rPr>
      </w:pPr>
      <w:r>
        <w:rPr>
          <w:rFonts w:ascii="Cambria" w:hAnsi="Cambria" w:cs="Cambria"/>
          <w:sz w:val="22"/>
          <w:szCs w:val="22"/>
        </w:rPr>
        <w:t xml:space="preserve">13 - INFRAÇÕES E SANÇÕES ADMINISTRATIVAS (art. 92, inciso XIV, da Lei nº 14.133/2021).</w:t>
      </w:r>
      <w:r>
        <w:rPr>
          <w:rFonts w:ascii="Cambria" w:hAnsi="Cambria" w:cs="Cambria"/>
          <w:color w:val="ffffff" w:themeColor="background1"/>
          <w:sz w:val="22"/>
          <w:szCs w:val="22"/>
        </w:rPr>
      </w:r>
      <w:r>
        <w:rPr>
          <w:rFonts w:ascii="Cambria" w:hAnsi="Cambria" w:cs="Cambria"/>
          <w:sz w:val="22"/>
          <w:szCs w:val="22"/>
        </w:rPr>
      </w:r>
    </w:p>
    <w:p>
      <w:pPr>
        <w:pStyle w:val="1064"/>
        <w:numPr>
          <w:ilvl w:val="0"/>
          <w:numId w:val="0"/>
        </w:numPr>
        <w:spacing w:before="0" w:after="0" w:line="312" w:lineRule="auto"/>
        <w:tabs>
          <w:tab w:val="left" w:pos="284" w:leader="none"/>
        </w:tabs>
        <w:rPr>
          <w:rFonts w:ascii="Cambria" w:hAnsi="Cambria" w:cs="Cambria"/>
          <w:sz w:val="22"/>
          <w:szCs w:val="22"/>
        </w:rPr>
      </w:pPr>
      <w:r>
        <w:rPr>
          <w:rFonts w:ascii="Cambria" w:hAnsi="Cambria" w:cs="Cambria"/>
          <w:sz w:val="22"/>
          <w:szCs w:val="22"/>
        </w:rPr>
        <w:t xml:space="preserve">13.1 - Comete infração administrativa, nos termos da Lei nº 14.133, de 2021, o contratado que:</w:t>
      </w:r>
      <w:r>
        <w:rPr>
          <w:rFonts w:ascii="Cambria" w:hAnsi="Cambria" w:cs="Cambria"/>
          <w:sz w:val="22"/>
          <w:szCs w:val="22"/>
        </w:rPr>
      </w:r>
      <w:r>
        <w:rPr>
          <w:rFonts w:ascii="Cambria" w:hAnsi="Cambria" w:cs="Cambria"/>
          <w:sz w:val="22"/>
          <w:szCs w:val="22"/>
        </w:rP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a) der causa à inexecução parcial do contrato;</w:t>
      </w:r>
      <w:r>
        <w:rPr>
          <w:rFonts w:ascii="Cambria" w:hAnsi="Cambria" w:eastAsia="Arial" w:cs="Cambria"/>
          <w:sz w:val="22"/>
          <w:szCs w:val="22"/>
        </w:rPr>
      </w:r>
      <w:r>
        <w:rPr>
          <w:rFonts w:ascii="Cambria" w:hAnsi="Cambria" w:cs="Cambria"/>
          <w:sz w:val="22"/>
          <w:szCs w:val="22"/>
        </w:rP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b) der causa à inexecução parcial do contrato que cause grave dano à Administração ou ao funcionamento dos serviços públicos ou ao interesse coletivo;</w:t>
      </w:r>
      <w:r>
        <w:rPr>
          <w:rFonts w:ascii="Cambria" w:hAnsi="Cambria" w:eastAsia="Arial" w:cs="Cambria"/>
          <w:sz w:val="22"/>
          <w:szCs w:val="22"/>
        </w:rPr>
      </w:r>
      <w:r>
        <w:rPr>
          <w:rFonts w:ascii="Cambria" w:hAnsi="Cambria" w:cs="Cambria"/>
          <w:sz w:val="22"/>
          <w:szCs w:val="22"/>
        </w:rP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c) der causa à inexecução total do contrato;</w:t>
      </w:r>
      <w:r>
        <w:rPr>
          <w:rFonts w:ascii="Cambria" w:hAnsi="Cambria" w:eastAsia="Arial" w:cs="Cambria"/>
          <w:sz w:val="22"/>
          <w:szCs w:val="22"/>
        </w:rPr>
      </w:r>
      <w:r>
        <w:rPr>
          <w:rFonts w:ascii="Cambria" w:hAnsi="Cambria" w:cs="Cambria"/>
          <w:sz w:val="22"/>
          <w:szCs w:val="22"/>
        </w:rP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d) ensejar o retardamento da execução ou da entrega do objeto da contratação sem motivo justificado;</w:t>
      </w:r>
      <w:r>
        <w:rPr>
          <w:rFonts w:ascii="Cambria" w:hAnsi="Cambria" w:eastAsia="Arial" w:cs="Cambria"/>
          <w:sz w:val="22"/>
          <w:szCs w:val="22"/>
        </w:rPr>
      </w:r>
      <w:r>
        <w:rPr>
          <w:rFonts w:ascii="Cambria" w:hAnsi="Cambria" w:cs="Cambria"/>
          <w:sz w:val="22"/>
          <w:szCs w:val="22"/>
        </w:rP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e) apresentar documentação falsa ou prestar declaração falsa durante a execução do contrato;</w:t>
      </w:r>
      <w:r>
        <w:rPr>
          <w:rFonts w:ascii="Cambria" w:hAnsi="Cambria" w:eastAsia="Arial" w:cs="Cambria"/>
          <w:sz w:val="22"/>
          <w:szCs w:val="22"/>
        </w:rPr>
      </w:r>
      <w:r>
        <w:rPr>
          <w:rFonts w:ascii="Cambria" w:hAnsi="Cambria" w:cs="Cambria"/>
          <w:sz w:val="22"/>
          <w:szCs w:val="22"/>
        </w:rP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f) praticar ato fraudulento na execução do contrato;</w:t>
      </w:r>
      <w:r>
        <w:rPr>
          <w:rFonts w:ascii="Cambria" w:hAnsi="Cambria" w:eastAsia="Arial" w:cs="Cambria"/>
          <w:sz w:val="22"/>
          <w:szCs w:val="22"/>
        </w:rPr>
      </w:r>
      <w:r>
        <w:rPr>
          <w:rFonts w:ascii="Cambria" w:hAnsi="Cambria" w:cs="Cambria"/>
          <w:sz w:val="22"/>
          <w:szCs w:val="22"/>
        </w:rP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g) comportar-se de modo inidôneo ou cometer fraude de qualquer natureza;</w:t>
      </w:r>
      <w:r>
        <w:rPr>
          <w:rFonts w:ascii="Cambria" w:hAnsi="Cambria" w:eastAsia="Arial" w:cs="Cambria"/>
          <w:sz w:val="22"/>
          <w:szCs w:val="22"/>
        </w:rPr>
      </w:r>
      <w:r>
        <w:rPr>
          <w:rFonts w:ascii="Cambria" w:hAnsi="Cambria" w:cs="Cambria"/>
          <w:sz w:val="22"/>
          <w:szCs w:val="22"/>
        </w:rP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h) praticar ato lesivo previsto no art. 5º da Lei nº 12.846, de 1º de agosto de 2013.</w:t>
      </w:r>
      <w:r>
        <w:rPr>
          <w:rFonts w:ascii="Cambria" w:hAnsi="Cambria" w:eastAsia="Arial"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13.2 - Serão aplicadas ao contratado que incorrer nas infrações acima descritas as seguintes sanções:</w:t>
      </w:r>
      <w:r>
        <w:rPr>
          <w:rFonts w:ascii="Cambria" w:hAnsi="Cambria" w:cs="Cambria"/>
          <w:sz w:val="22"/>
          <w:szCs w:val="22"/>
        </w:rPr>
      </w:r>
      <w:r>
        <w:rPr>
          <w:rFonts w:ascii="Cambria" w:hAnsi="Cambria" w:cs="Cambria"/>
          <w:sz w:val="22"/>
          <w:szCs w:val="22"/>
        </w:rPr>
      </w:r>
    </w:p>
    <w:p>
      <w:pPr>
        <w:jc w:val="both"/>
        <w:spacing w:line="312" w:lineRule="auto"/>
        <w:tabs>
          <w:tab w:val="left" w:pos="284" w:leader="none"/>
        </w:tabs>
        <w:rPr>
          <w:rFonts w:ascii="Cambria" w:hAnsi="Cambria" w:cs="Cambria"/>
          <w:sz w:val="22"/>
          <w:szCs w:val="22"/>
        </w:rPr>
      </w:pPr>
      <w:r>
        <w:rPr>
          <w:rFonts w:ascii="Cambria" w:hAnsi="Cambria" w:eastAsia="Arial" w:cs="Cambria"/>
          <w:bCs/>
          <w:sz w:val="22"/>
          <w:szCs w:val="22"/>
        </w:rPr>
        <w:t xml:space="preserve">I) Advertência</w:t>
      </w:r>
      <w:r>
        <w:rPr>
          <w:rFonts w:ascii="Cambria" w:hAnsi="Cambria" w:eastAsia="Arial" w:cs="Cambria"/>
          <w:sz w:val="22"/>
          <w:szCs w:val="22"/>
        </w:rPr>
        <w:t xml:space="preserve">, quando o contratado der causa à inexecução parcial do contrato, sempre que não se justificar a imposição de penalidade mais grave (art. 156, §2º, da </w:t>
      </w:r>
      <w:bookmarkStart w:id="0" w:name="undefined"/>
      <w:r>
        <w:rPr>
          <w:rFonts w:ascii="Cambria" w:hAnsi="Cambria" w:eastAsia="Arial" w:cs="Cambria"/>
          <w:sz w:val="22"/>
          <w:szCs w:val="22"/>
        </w:rPr>
        <w:t xml:space="preserve">Lei nº 14.133, de 2021</w:t>
      </w:r>
      <w:bookmarkEnd w:id="0"/>
      <w:r>
        <w:rPr>
          <w:rFonts w:ascii="Cambria" w:hAnsi="Cambria" w:eastAsia="Arial" w:cs="Cambria"/>
          <w:sz w:val="22"/>
          <w:szCs w:val="22"/>
        </w:rPr>
        <w:t xml:space="preserve">);</w:t>
      </w:r>
      <w:r>
        <w:rPr>
          <w:rFonts w:ascii="Cambria" w:hAnsi="Cambria" w:eastAsia="Arial" w:cs="Cambria"/>
          <w:sz w:val="22"/>
          <w:szCs w:val="22"/>
        </w:rPr>
      </w:r>
      <w:r>
        <w:rPr>
          <w:rFonts w:ascii="Cambria" w:hAnsi="Cambria" w:cs="Cambria"/>
          <w:sz w:val="22"/>
          <w:szCs w:val="22"/>
        </w:rPr>
      </w:r>
    </w:p>
    <w:p>
      <w:pPr>
        <w:jc w:val="both"/>
        <w:spacing w:line="312" w:lineRule="auto"/>
        <w:tabs>
          <w:tab w:val="left" w:pos="284" w:leader="none"/>
        </w:tabs>
        <w:rPr>
          <w:rFonts w:ascii="Cambria" w:hAnsi="Cambria" w:cs="Cambria"/>
          <w:sz w:val="22"/>
          <w:szCs w:val="22"/>
        </w:rPr>
      </w:pPr>
      <w:r>
        <w:rPr>
          <w:rFonts w:ascii="Cambria" w:hAnsi="Cambria" w:eastAsia="Arial" w:cs="Cambria"/>
          <w:bCs/>
          <w:sz w:val="22"/>
          <w:szCs w:val="22"/>
        </w:rPr>
        <w:t xml:space="preserve">II) Impedimento de licitar e contratar</w:t>
      </w:r>
      <w:r>
        <w:rPr>
          <w:rFonts w:ascii="Cambria" w:hAnsi="Cambria" w:eastAsia="Arial" w:cs="Cambria"/>
          <w:sz w:val="22"/>
          <w:szCs w:val="22"/>
        </w:rPr>
        <w:t xml:space="preserve">, quando praticadas as condutas descritas nas alíneas “b”, “c” e “d” do subitem acima deste Contrato, sempre que não se justificar a imposição de penalidade mais grave (art. 156, § 4º, da Lei nº 14.133, de 2021);</w:t>
      </w:r>
      <w:r>
        <w:rPr>
          <w:rFonts w:ascii="Cambria" w:hAnsi="Cambria" w:eastAsia="Arial" w:cs="Cambria"/>
          <w:sz w:val="22"/>
          <w:szCs w:val="22"/>
        </w:rPr>
      </w:r>
      <w:r>
        <w:rPr>
          <w:rFonts w:ascii="Cambria" w:hAnsi="Cambria" w:cs="Cambria"/>
          <w:sz w:val="22"/>
          <w:szCs w:val="22"/>
        </w:rPr>
      </w:r>
    </w:p>
    <w:p>
      <w:pPr>
        <w:jc w:val="both"/>
        <w:spacing w:line="312" w:lineRule="auto"/>
        <w:tabs>
          <w:tab w:val="left" w:pos="284" w:leader="none"/>
        </w:tabs>
        <w:rPr>
          <w:rFonts w:ascii="Cambria" w:hAnsi="Cambria" w:cs="Cambria"/>
          <w:sz w:val="22"/>
          <w:szCs w:val="22"/>
        </w:rPr>
      </w:pPr>
      <w:r>
        <w:rPr>
          <w:rFonts w:ascii="Cambria" w:hAnsi="Cambria" w:eastAsia="Arial" w:cs="Cambria"/>
          <w:bCs/>
          <w:sz w:val="22"/>
          <w:szCs w:val="22"/>
        </w:rPr>
        <w:t xml:space="preserve">III) Declaração de inidoneidade para licitar e contratar</w:t>
      </w:r>
      <w:r>
        <w:rPr>
          <w:rFonts w:ascii="Cambria" w:hAnsi="Cambria" w:eastAsia="Arial" w:cs="Cambria"/>
          <w:sz w:val="22"/>
          <w:szCs w:val="22"/>
        </w:rPr>
        <w:t xml:space="preserve">, quando praticadas as condutas descritas nas alíneas “e”, “f”, “g” e “h” do subitem acima deste Contrato, bem como nas alíneas “b”, “c” e “d”, que justifiquem a imposição de penalidade mais grave (art. 156, §5º, da Lei nº 14.133, de 2021).</w:t>
      </w:r>
      <w:r>
        <w:rPr>
          <w:rFonts w:ascii="Cambria" w:hAnsi="Cambria" w:eastAsia="Arial" w:cs="Cambria"/>
          <w:sz w:val="22"/>
          <w:szCs w:val="22"/>
        </w:rPr>
      </w:r>
      <w:r>
        <w:rPr>
          <w:rFonts w:ascii="Cambria" w:hAnsi="Cambria" w:cs="Cambria"/>
          <w:sz w:val="22"/>
          <w:szCs w:val="22"/>
        </w:rPr>
      </w:r>
    </w:p>
    <w:p>
      <w:pPr>
        <w:jc w:val="both"/>
        <w:spacing w:line="312" w:lineRule="auto"/>
        <w:tabs>
          <w:tab w:val="left" w:pos="284" w:leader="none"/>
        </w:tabs>
        <w:rPr>
          <w:rFonts w:ascii="Cambria" w:hAnsi="Cambria" w:cs="Cambria"/>
          <w:sz w:val="22"/>
          <w:szCs w:val="22"/>
        </w:rPr>
      </w:pPr>
      <w:r>
        <w:rPr>
          <w:rFonts w:ascii="Cambria" w:hAnsi="Cambria" w:eastAsia="Arial" w:cs="Cambria"/>
          <w:bCs/>
          <w:sz w:val="22"/>
          <w:szCs w:val="22"/>
        </w:rPr>
        <w:t xml:space="preserve">I - Multa:</w:t>
      </w:r>
      <w:r>
        <w:rPr>
          <w:rFonts w:ascii="Cambria" w:hAnsi="Cambria" w:eastAsia="Arial" w:cs="Cambria"/>
          <w:sz w:val="22"/>
          <w:szCs w:val="22"/>
        </w:rPr>
      </w:r>
      <w:r>
        <w:rPr>
          <w:rFonts w:ascii="Cambria" w:hAnsi="Cambria" w:cs="Cambria"/>
          <w:sz w:val="22"/>
          <w:szCs w:val="22"/>
        </w:rPr>
      </w:r>
    </w:p>
    <w:p>
      <w:pPr>
        <w:ind w:left="709"/>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1 - </w:t>
      </w:r>
      <w:r>
        <w:rPr>
          <w:rFonts w:ascii="Cambria" w:hAnsi="Cambria" w:eastAsia="Arial" w:cs="Cambria"/>
          <w:sz w:val="22"/>
          <w:szCs w:val="22"/>
        </w:rPr>
        <w:t xml:space="preserve">moratória</w:t>
      </w:r>
      <w:r>
        <w:rPr>
          <w:rFonts w:ascii="Cambria" w:hAnsi="Cambria" w:eastAsia="Arial" w:cs="Cambria"/>
          <w:sz w:val="22"/>
          <w:szCs w:val="22"/>
        </w:rPr>
        <w:t xml:space="preserve"> de 1% (um por cento) por dia de atraso injustificado sobre o valor </w:t>
      </w:r>
      <w:r>
        <w:rPr>
          <w:rFonts w:ascii="Cambria" w:hAnsi="Cambria" w:eastAsia="Arial" w:cs="Cambria"/>
          <w:sz w:val="22"/>
          <w:szCs w:val="22"/>
        </w:rPr>
        <w:t xml:space="preserve">da parcela</w:t>
      </w:r>
      <w:r>
        <w:rPr>
          <w:rFonts w:ascii="Cambria" w:hAnsi="Cambria" w:eastAsia="Arial" w:cs="Cambria"/>
          <w:sz w:val="22"/>
          <w:szCs w:val="22"/>
        </w:rPr>
        <w:t xml:space="preserve"> inadimplida, até o limite de 30 (trinta) dias;</w:t>
      </w:r>
      <w:r>
        <w:rPr>
          <w:rFonts w:ascii="Cambria" w:hAnsi="Cambria" w:eastAsia="Arial" w:cs="Cambria"/>
          <w:sz w:val="22"/>
          <w:szCs w:val="22"/>
        </w:rPr>
      </w:r>
      <w:r>
        <w:rPr>
          <w:rFonts w:ascii="Cambria" w:hAnsi="Cambria" w:cs="Cambria"/>
          <w:sz w:val="22"/>
          <w:szCs w:val="22"/>
        </w:rPr>
      </w:r>
    </w:p>
    <w:p>
      <w:pPr>
        <w:ind w:left="709"/>
        <w:jc w:val="both"/>
        <w:spacing w:line="312" w:lineRule="auto"/>
        <w:tabs>
          <w:tab w:val="left" w:pos="284" w:leader="none"/>
        </w:tabs>
        <w:rPr>
          <w:rFonts w:ascii="Cambria" w:hAnsi="Cambria" w:cs="Cambria"/>
          <w:sz w:val="22"/>
          <w:szCs w:val="22"/>
        </w:rPr>
      </w:pPr>
      <w:r>
        <w:rPr>
          <w:rFonts w:ascii="Cambria" w:hAnsi="Cambria" w:eastAsia="Arial" w:cs="Cambria"/>
          <w:iCs/>
          <w:sz w:val="22"/>
          <w:szCs w:val="22"/>
        </w:rPr>
        <w:t xml:space="preserve">2 - </w:t>
      </w:r>
      <w:r>
        <w:rPr>
          <w:rFonts w:ascii="Cambria" w:hAnsi="Cambria" w:eastAsia="Arial" w:cs="Cambria"/>
          <w:iCs/>
          <w:sz w:val="22"/>
          <w:szCs w:val="22"/>
        </w:rPr>
        <w:t xml:space="preserve">moratória</w:t>
      </w:r>
      <w:r>
        <w:rPr>
          <w:rFonts w:ascii="Cambria" w:hAnsi="Cambria" w:eastAsia="Arial" w:cs="Cambria"/>
          <w:iCs/>
          <w:sz w:val="22"/>
          <w:szCs w:val="22"/>
        </w:rPr>
        <w:t xml:space="preserve"> de 1% (um por cento) por dia de atraso injustificado sobre o valor total do contrato, até o máximo de 50% (cinquenta por cento), pela inobservância do prazo fixado para apresentação, suplementação ou reposição da garantia.</w:t>
      </w:r>
      <w:r>
        <w:rPr>
          <w:rFonts w:ascii="Cambria" w:hAnsi="Cambria" w:eastAsia="Arial" w:cs="Cambria"/>
          <w:sz w:val="22"/>
          <w:szCs w:val="22"/>
        </w:rPr>
      </w:r>
      <w:r>
        <w:rPr>
          <w:rFonts w:ascii="Cambria" w:hAnsi="Cambria" w:cs="Cambria"/>
          <w:sz w:val="22"/>
          <w:szCs w:val="22"/>
        </w:rPr>
      </w:r>
    </w:p>
    <w:p>
      <w:pPr>
        <w:jc w:val="both"/>
        <w:spacing w:line="312" w:lineRule="auto"/>
        <w:tabs>
          <w:tab w:val="left" w:pos="284" w:leader="none"/>
        </w:tabs>
        <w:rPr>
          <w:rFonts w:ascii="Cambria" w:hAnsi="Cambria" w:cs="Cambria"/>
          <w:sz w:val="22"/>
          <w:szCs w:val="22"/>
        </w:rPr>
      </w:pPr>
      <w:r>
        <w:rPr>
          <w:rFonts w:ascii="Cambria" w:hAnsi="Cambria" w:eastAsia="Arial" w:cs="Cambria"/>
          <w:iCs/>
          <w:sz w:val="22"/>
          <w:szCs w:val="22"/>
        </w:rPr>
        <w:t xml:space="preserve">I) O atraso superior a 10 (dez) dias autoriza a Administração a promover a extinção do contrato por descumprimento ou cumprimento irregular de suas cláusulas, conforme dispõe o inciso I do art. 137 da Lei n. 14.133, de 2021. </w:t>
      </w:r>
      <w:r>
        <w:rPr>
          <w:rFonts w:ascii="Cambria" w:hAnsi="Cambria" w:eastAsia="Arial" w:cs="Cambria"/>
          <w:sz w:val="22"/>
          <w:szCs w:val="22"/>
        </w:rPr>
      </w:r>
      <w:r>
        <w:rPr>
          <w:rFonts w:ascii="Cambria" w:hAnsi="Cambria" w:cs="Cambria"/>
          <w:sz w:val="22"/>
          <w:szCs w:val="22"/>
        </w:rPr>
      </w:r>
    </w:p>
    <w:p>
      <w:pPr>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1 - </w:t>
      </w:r>
      <w:r>
        <w:rPr>
          <w:rFonts w:ascii="Cambria" w:hAnsi="Cambria" w:eastAsia="Arial" w:cs="Cambria"/>
          <w:sz w:val="22"/>
          <w:szCs w:val="22"/>
        </w:rPr>
        <w:t xml:space="preserve">compensatória</w:t>
      </w:r>
      <w:r>
        <w:rPr>
          <w:rFonts w:ascii="Cambria" w:hAnsi="Cambria" w:eastAsia="Arial" w:cs="Cambria"/>
          <w:sz w:val="22"/>
          <w:szCs w:val="22"/>
        </w:rPr>
        <w:t xml:space="preserve"> de 30% (trinta por cento) sobre o valor total do contrato, no caso de inexecução total do objeto.</w:t>
      </w:r>
      <w:r>
        <w:rPr>
          <w:rFonts w:ascii="Cambria" w:hAnsi="Cambria" w:eastAsia="Arial"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13.3 - A aplicação das sanções previstas neste Contrato não exclui, em hipótese alguma, a obrigação de reparação integral do dano causado ao Contratante (art. 156, §9º, da Lei nº 14.133, de 2021)</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13.4 - Todas as sanções previstas neste Contrato poderão ser aplicadas cumulativamente com a multa (art. 156, §7º, da Lei nº 14.133, de 2021).</w:t>
      </w:r>
      <w:r>
        <w:rPr>
          <w:rFonts w:ascii="Cambria" w:hAnsi="Cambria" w:cs="Cambria"/>
          <w:color w:val="auto"/>
          <w:sz w:val="22"/>
          <w:szCs w:val="22"/>
        </w:rPr>
      </w:r>
      <w:r>
        <w:rPr>
          <w:rFonts w:ascii="Cambria" w:hAnsi="Cambria" w:cs="Cambria"/>
          <w:sz w:val="22"/>
          <w:szCs w:val="22"/>
        </w:rPr>
      </w:r>
    </w:p>
    <w:p>
      <w:pPr>
        <w:pStyle w:val="1066"/>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13.4.1 - Antes da aplicação da multa será facultada a defesa do interessado no prazo de 15 (quinze) dias úteis, contado da data de sua intimação (art. 157, da Lei nº 14.133, de 2021)</w:t>
      </w:r>
      <w:r>
        <w:rPr>
          <w:rFonts w:ascii="Cambria" w:hAnsi="Cambria" w:cs="Cambria"/>
          <w:color w:val="auto"/>
          <w:sz w:val="22"/>
          <w:szCs w:val="22"/>
        </w:rPr>
      </w:r>
      <w:r>
        <w:rPr>
          <w:rFonts w:ascii="Cambria" w:hAnsi="Cambria" w:cs="Cambria"/>
          <w:sz w:val="22"/>
          <w:szCs w:val="22"/>
        </w:rPr>
      </w:r>
    </w:p>
    <w:p>
      <w:pPr>
        <w:pStyle w:val="1066"/>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13.4.2 - Se a multa aplicada e as indeniz</w:t>
      </w:r>
      <w:r>
        <w:rPr>
          <w:rFonts w:ascii="Cambria" w:hAnsi="Cambria" w:cs="Cambria"/>
          <w:color w:val="auto"/>
          <w:sz w:val="22"/>
          <w:szCs w:val="22"/>
        </w:rPr>
        <w:t xml:space="preserve">ações cabíveis forem superiores ao valor do pagamento eventualmente devido pelo Contratante ao Contratado, além da perda desse valor, a diferença será descontada da garantia prestada ou será cobrada judicialmente (art. 156, §8º, da Lei nº 14.133, de 2021).</w:t>
      </w:r>
      <w:r>
        <w:rPr>
          <w:rFonts w:ascii="Cambria" w:hAnsi="Cambria" w:cs="Cambria"/>
          <w:color w:val="auto"/>
          <w:sz w:val="22"/>
          <w:szCs w:val="22"/>
        </w:rPr>
      </w:r>
      <w:r>
        <w:rPr>
          <w:rFonts w:ascii="Cambria" w:hAnsi="Cambria" w:cs="Cambria"/>
          <w:sz w:val="22"/>
          <w:szCs w:val="22"/>
        </w:rPr>
      </w:r>
    </w:p>
    <w:p>
      <w:pPr>
        <w:pStyle w:val="1066"/>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13.4.3 - Previamente ao encaminhamento à cobrança judicial, a multa poderá ser recolhida administrativamente no prazo máximo de </w:t>
      </w:r>
      <w:r>
        <w:rPr>
          <w:rFonts w:ascii="Cambria" w:hAnsi="Cambria" w:cs="Cambria"/>
          <w:iCs/>
          <w:color w:val="auto"/>
          <w:sz w:val="22"/>
          <w:szCs w:val="22"/>
        </w:rPr>
        <w:t xml:space="preserve">15 (quinze) </w:t>
      </w:r>
      <w:r>
        <w:rPr>
          <w:rFonts w:ascii="Cambria" w:hAnsi="Cambria" w:cs="Cambria"/>
          <w:color w:val="auto"/>
          <w:sz w:val="22"/>
          <w:szCs w:val="22"/>
        </w:rPr>
        <w:t xml:space="preserve">dias, a contar da data do recebimento da comunicação enviada pela autoridade competente.</w:t>
      </w:r>
      <w:bookmarkStart w:id="0" w:name="undefined"/>
      <w:r>
        <w:rPr>
          <w:rFonts w:ascii="Cambria" w:hAnsi="Cambria" w:cs="Cambria"/>
          <w:sz w:val="22"/>
          <w:szCs w:val="22"/>
        </w:rPr>
      </w:r>
      <w:bookmarkEnd w:id="0"/>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13.5 - A aplicação das sanções realizar-se-á em processo administrativo que assegure o contraditório e a ampla defesa ao Contratado, observando-se o procedimento previsto no </w:t>
      </w:r>
      <w:r>
        <w:rPr>
          <w:rFonts w:ascii="Cambria" w:hAnsi="Cambria" w:cs="Cambria"/>
          <w:b/>
          <w:bCs/>
          <w:sz w:val="22"/>
          <w:szCs w:val="22"/>
        </w:rPr>
        <w:t xml:space="preserve">caput </w:t>
      </w:r>
      <w:r>
        <w:rPr>
          <w:rFonts w:ascii="Cambria" w:hAnsi="Cambria" w:cs="Cambria"/>
          <w:sz w:val="22"/>
          <w:szCs w:val="22"/>
        </w:rPr>
        <w:t xml:space="preserve">e parágrafos do art. 158 da Lei nº 14.133, de 2021, para as penalidades de impedimento de licitar e contratar e de declaração de inidoneidade para licitar ou contratar.</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tabs>
          <w:tab w:val="left" w:pos="284" w:leader="none"/>
        </w:tabs>
        <w:rPr>
          <w:rFonts w:ascii="Cambria" w:hAnsi="Cambria" w:cs="Cambria"/>
          <w:sz w:val="22"/>
          <w:szCs w:val="22"/>
        </w:rPr>
      </w:pPr>
      <w:r>
        <w:rPr>
          <w:rFonts w:ascii="Cambria" w:hAnsi="Cambria" w:cs="Cambria"/>
          <w:sz w:val="22"/>
          <w:szCs w:val="22"/>
        </w:rPr>
        <w:t xml:space="preserve">13.6 - Na aplicação das sanções serão considerados (art. 156, §1º, da Lei nº 14.133, de 2021):</w:t>
      </w:r>
      <w:r>
        <w:rPr>
          <w:rFonts w:ascii="Cambria" w:hAnsi="Cambria" w:cs="Cambria"/>
          <w:sz w:val="22"/>
          <w:szCs w:val="22"/>
        </w:rPr>
      </w:r>
      <w:r>
        <w:rPr>
          <w:rFonts w:ascii="Cambria" w:hAnsi="Cambria" w:cs="Cambria"/>
          <w:sz w:val="22"/>
          <w:szCs w:val="22"/>
        </w:rPr>
      </w:r>
    </w:p>
    <w:p>
      <w:pPr>
        <w:contextualSpacing/>
        <w:ind w:left="709"/>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a) a natureza e a gravidade da infração cometida;</w:t>
      </w:r>
      <w:r>
        <w:rPr>
          <w:rFonts w:ascii="Cambria" w:hAnsi="Cambria" w:eastAsia="Arial" w:cs="Cambria"/>
          <w:sz w:val="22"/>
          <w:szCs w:val="22"/>
        </w:rPr>
      </w:r>
      <w:r>
        <w:rPr>
          <w:rFonts w:ascii="Cambria" w:hAnsi="Cambria" w:cs="Cambria"/>
          <w:sz w:val="22"/>
          <w:szCs w:val="22"/>
        </w:rPr>
      </w:r>
    </w:p>
    <w:p>
      <w:pPr>
        <w:contextualSpacing/>
        <w:ind w:left="709"/>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b) as peculiaridades do caso concreto;</w:t>
      </w:r>
      <w:r>
        <w:rPr>
          <w:rFonts w:ascii="Cambria" w:hAnsi="Cambria" w:eastAsia="Arial" w:cs="Cambria"/>
          <w:sz w:val="22"/>
          <w:szCs w:val="22"/>
        </w:rPr>
      </w:r>
      <w:r>
        <w:rPr>
          <w:rFonts w:ascii="Cambria" w:hAnsi="Cambria" w:cs="Cambria"/>
          <w:sz w:val="22"/>
          <w:szCs w:val="22"/>
        </w:rPr>
      </w:r>
    </w:p>
    <w:p>
      <w:pPr>
        <w:contextualSpacing/>
        <w:ind w:left="709"/>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c) as circunstâncias agravantes ou atenuantes;</w:t>
      </w:r>
      <w:r>
        <w:rPr>
          <w:rFonts w:ascii="Cambria" w:hAnsi="Cambria" w:eastAsia="Arial" w:cs="Cambria"/>
          <w:sz w:val="22"/>
          <w:szCs w:val="22"/>
        </w:rPr>
      </w:r>
      <w:r>
        <w:rPr>
          <w:rFonts w:ascii="Cambria" w:hAnsi="Cambria" w:cs="Cambria"/>
          <w:sz w:val="22"/>
          <w:szCs w:val="22"/>
        </w:rPr>
      </w:r>
    </w:p>
    <w:p>
      <w:pPr>
        <w:contextualSpacing/>
        <w:ind w:left="709"/>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d) os danos que dela provierem para o Contratante;</w:t>
      </w:r>
      <w:r>
        <w:rPr>
          <w:rFonts w:ascii="Cambria" w:hAnsi="Cambria" w:eastAsia="Arial" w:cs="Cambria"/>
          <w:sz w:val="22"/>
          <w:szCs w:val="22"/>
        </w:rPr>
      </w:r>
      <w:r>
        <w:rPr>
          <w:rFonts w:ascii="Cambria" w:hAnsi="Cambria" w:cs="Cambria"/>
          <w:sz w:val="22"/>
          <w:szCs w:val="22"/>
        </w:rPr>
      </w:r>
    </w:p>
    <w:p>
      <w:pPr>
        <w:contextualSpacing/>
        <w:ind w:left="709"/>
        <w:jc w:val="both"/>
        <w:spacing w:line="312" w:lineRule="auto"/>
        <w:tabs>
          <w:tab w:val="left" w:pos="284" w:leader="none"/>
        </w:tabs>
        <w:rPr>
          <w:rFonts w:ascii="Cambria" w:hAnsi="Cambria" w:cs="Cambria"/>
          <w:sz w:val="22"/>
          <w:szCs w:val="22"/>
        </w:rPr>
      </w:pPr>
      <w:r>
        <w:rPr>
          <w:rFonts w:ascii="Cambria" w:hAnsi="Cambria" w:eastAsia="Arial" w:cs="Cambria"/>
          <w:sz w:val="22"/>
          <w:szCs w:val="22"/>
        </w:rPr>
        <w:t xml:space="preserve">e) a implantação ou o aperfeiçoamento de programa de integridade, conforme normas e orientações dos órgãos de controle.</w:t>
      </w:r>
      <w:r>
        <w:rPr>
          <w:rFonts w:ascii="Cambria" w:hAnsi="Cambria" w:eastAsia="Arial"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13.7 - Os atos previstos como infrações administrativas na Lei nº 14.133, de 2021, ou em outras leis de licitações e contr</w:t>
      </w:r>
      <w:r>
        <w:rPr>
          <w:rFonts w:ascii="Cambria" w:hAnsi="Cambria" w:cs="Cambria"/>
          <w:sz w:val="22"/>
          <w:szCs w:val="22"/>
        </w:rPr>
        <w:t xml:space="preserve">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13.8 - A personalidade jurídica do Contratado poderá ser desconsiderada sempre que utilizada com abuso do direito para facilitar, encobrir ou dissimular a prática dos a</w:t>
      </w:r>
      <w:r>
        <w:rPr>
          <w:rFonts w:ascii="Cambria" w:hAnsi="Cambria" w:cs="Cambria"/>
          <w:sz w:val="22"/>
          <w:szCs w:val="22"/>
        </w:rPr>
        <w:t xml:space="preserve">tos ilícitos previstos neste Contrato ou para provocar confusão patrimonial, e, nesse caso, todos os efeitos das sanções aplicadas à pessoa jurídica serão estendidos aos seus administradores e sócios com poderes de administração, à pessoa jurídica sucessor</w:t>
      </w:r>
      <w:r>
        <w:rPr>
          <w:rFonts w:ascii="Cambria" w:hAnsi="Cambria" w:cs="Cambria"/>
          <w:sz w:val="22"/>
          <w:szCs w:val="22"/>
        </w:rPr>
        <w:t xml:space="preserve">a ou à empresa do mesmo ramo com relação de coligação ou controle, de fato ou de direito, com o Contratado, observados, em todos os casos, o contraditório, a ampla defesa e a obrigatoriedade de análise jurídica prévia (art. 160, da Lei nº 14.133, de 2021).</w:t>
      </w:r>
      <w:r>
        <w:rPr>
          <w:rFonts w:ascii="Cambria" w:hAnsi="Cambria" w:cs="Cambria"/>
          <w:i/>
          <w:iCs/>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13.9 - O Cont</w:t>
      </w:r>
      <w:r>
        <w:rPr>
          <w:rFonts w:ascii="Cambria" w:hAnsi="Cambria" w:cs="Cambria"/>
          <w:sz w:val="22"/>
          <w:szCs w:val="22"/>
        </w:rPr>
        <w:t xml:space="preserve">ratante deverá, no prazo máximo 15 (quinze) dias úteis, contado da data de aplicação da sanção, informar e manter atualizados os dados relativos às sanções por ela aplicadas, para fins de publicidade no Cadastro Nacional de Empresas Inidôneas e Suspensas (</w:t>
      </w:r>
      <w:r>
        <w:rPr>
          <w:rFonts w:ascii="Cambria" w:hAnsi="Cambria" w:cs="Cambria"/>
          <w:sz w:val="22"/>
          <w:szCs w:val="22"/>
        </w:rPr>
        <w:t xml:space="preserve">Ceis</w:t>
      </w:r>
      <w:r>
        <w:rPr>
          <w:rFonts w:ascii="Cambria" w:hAnsi="Cambria" w:cs="Cambria"/>
          <w:sz w:val="22"/>
          <w:szCs w:val="22"/>
        </w:rPr>
        <w:t xml:space="preserve">) e no Cadastro Nacional de Empresas Punidas (</w:t>
      </w:r>
      <w:r>
        <w:rPr>
          <w:rFonts w:ascii="Cambria" w:hAnsi="Cambria" w:cs="Cambria"/>
          <w:sz w:val="22"/>
          <w:szCs w:val="22"/>
        </w:rPr>
        <w:t xml:space="preserve">Cnep</w:t>
      </w:r>
      <w:r>
        <w:rPr>
          <w:rFonts w:ascii="Cambria" w:hAnsi="Cambria" w:cs="Cambria"/>
          <w:sz w:val="22"/>
          <w:szCs w:val="22"/>
        </w:rPr>
        <w:t xml:space="preserve">), instituídos no âmbito do Poder Executivo Federal. (Art. 161, da Lei nº 14.133, de 2021).</w:t>
      </w:r>
      <w:r>
        <w:rPr>
          <w:rFonts w:ascii="Cambria" w:hAnsi="Cambria" w:cs="Cambria"/>
          <w:i/>
          <w:iCs/>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13.10 - As sanções de impedimento de licitar e contratar e declaração de inidoneidade para licitar ou contratar são passíveis de reabilitação na forma do art. 163 da Lei nº 14.133/21.</w:t>
      </w:r>
      <w:r>
        <w:rPr>
          <w:rFonts w:ascii="Cambria" w:hAnsi="Cambria" w:cs="Cambria"/>
          <w:i/>
          <w:iCs/>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13.11 - Os débitos do contratado para com a Administração contratante, resultantes de multa administrativa e/ou indenizações</w:t>
      </w:r>
      <w:r>
        <w:rPr>
          <w:rFonts w:ascii="Cambria" w:hAnsi="Cambria" w:cs="Cambria"/>
          <w:sz w:val="22"/>
          <w:szCs w:val="22"/>
        </w:rPr>
        <w:t xml:space="preserve">, não inscritos em dívida ativa, poderão ser compensados, total ou parcialmente, com os créditos devidos pelo referido órgão decorrentes deste mesmo contrato ou de outros contratos administrativos que o contratado possua com o mesmo órgão ora contratante. </w:t>
      </w:r>
      <w:r>
        <w:rPr>
          <w:rFonts w:ascii="Cambria" w:hAnsi="Cambria" w:cs="Cambria"/>
          <w:sz w:val="22"/>
          <w:szCs w:val="22"/>
        </w:rPr>
      </w:r>
      <w:r>
        <w:rPr>
          <w:rFonts w:ascii="Cambria" w:hAnsi="Cambria" w:cs="Cambria"/>
          <w:sz w:val="22"/>
          <w:szCs w:val="22"/>
        </w:rPr>
      </w:r>
    </w:p>
    <w:p>
      <w:pPr>
        <w:pStyle w:val="1032"/>
        <w:contextualSpacing w:val="0"/>
        <w:ind w:left="0"/>
        <w:jc w:val="both"/>
        <w:spacing w:line="276" w:lineRule="auto"/>
        <w:widowControl w:val="off"/>
        <w:tabs>
          <w:tab w:val="left" w:pos="909" w:leader="none"/>
        </w:tabs>
        <w:rPr>
          <w:rFonts w:ascii="Cambria" w:hAnsi="Cambria" w:cs="Cambria"/>
          <w:sz w:val="22"/>
          <w:szCs w:val="22"/>
        </w:rPr>
      </w:pPr>
      <w:r>
        <w:rPr>
          <w:rFonts w:ascii="Cambria" w:hAnsi="Cambria" w:cs="Cambria"/>
          <w:color w:val="000000"/>
          <w:sz w:val="22"/>
          <w:szCs w:val="22"/>
        </w:rPr>
        <w:t xml:space="preserve">13.12 - </w:t>
      </w:r>
      <w:r>
        <w:rPr>
          <w:rFonts w:ascii="Cambria" w:hAnsi="Cambria" w:eastAsia="Times New Roman" w:cs="Cambria"/>
          <w:color w:val="000000"/>
          <w:sz w:val="22"/>
          <w:szCs w:val="22"/>
        </w:rPr>
        <w:t xml:space="preserve">Aquele que convocado para assinatura da ata ou contrato não o fizer dentro do prazo estabelecido pela Administração, deixar de entregar documentação exigida, apresentar documentação falsa, ensejar o retardamento da </w:t>
      </w:r>
      <w:r>
        <w:rPr>
          <w:rFonts w:ascii="Cambria" w:hAnsi="Cambria" w:eastAsia="Times New Roman" w:cs="Cambria"/>
          <w:color w:val="000000"/>
          <w:sz w:val="22"/>
          <w:szCs w:val="22"/>
        </w:rPr>
        <w:t xml:space="preserve">execução de seu objeto, não mantiver a proposta, falhar ou fraudar na execução do contrato, comportar-se de modo inidôneo, fizer declaração falsa ou cometer fraude fiscal, sendo-lhe garantido o direito à ampla defesa, serão aplicadas as sanções de multa</w:t>
      </w:r>
      <w:r>
        <w:rPr>
          <w:rFonts w:ascii="Cambria" w:hAnsi="Cambria" w:eastAsia="Times New Roman" w:cs="Cambria"/>
          <w:color w:val="000000"/>
          <w:sz w:val="22"/>
          <w:szCs w:val="22"/>
          <w:highlight w:val="none"/>
        </w:rPr>
        <w:t xml:space="preserve"> de</w:t>
      </w:r>
      <w:r>
        <w:rPr>
          <w:rFonts w:ascii="Cambria" w:hAnsi="Cambria" w:eastAsia="Times New Roman" w:cs="Cambria"/>
          <w:color w:val="000000"/>
          <w:sz w:val="22"/>
          <w:szCs w:val="22"/>
          <w:highlight w:val="none"/>
        </w:rPr>
        <w:t xml:space="preserve"> 10% (dez por cento) s</w:t>
      </w:r>
      <w:r>
        <w:rPr>
          <w:rFonts w:ascii="Cambria" w:hAnsi="Cambria" w:eastAsia="Times New Roman" w:cs="Cambria"/>
          <w:color w:val="000000"/>
          <w:sz w:val="22"/>
          <w:szCs w:val="22"/>
          <w:highlight w:val="none"/>
        </w:rPr>
        <w:t xml:space="preserve">obre o valor estabelecido em sua proposta e a penalidade de impedimento do direito de lic</w:t>
      </w:r>
      <w:r>
        <w:rPr>
          <w:rFonts w:ascii="Cambria" w:hAnsi="Cambria" w:eastAsia="Times New Roman" w:cs="Cambria"/>
          <w:color w:val="000000"/>
          <w:sz w:val="22"/>
          <w:szCs w:val="22"/>
          <w:highlight w:val="none"/>
        </w:rPr>
        <w:t xml:space="preserve">itar e contratar com a Administração Pública Municipal ou a declaração de inidoneidade para licitar e contratar com a Administração Pública, sem prejuízo das demais cominações legais, incluindo as</w:t>
      </w:r>
      <w:r>
        <w:rPr>
          <w:rFonts w:ascii="Cambria" w:hAnsi="Cambria" w:eastAsia="Times New Roman" w:cs="Cambria"/>
          <w:color w:val="000000"/>
          <w:sz w:val="22"/>
          <w:szCs w:val="22"/>
        </w:rPr>
        <w:t xml:space="preserve"> sanções previstas na Lei nº 14.133/2021 e, suas alterações.</w:t>
      </w:r>
      <w:r>
        <w:rPr>
          <w:rFonts w:ascii="Cambria" w:hAnsi="Cambria" w:eastAsia="Times New Roman" w:cs="Cambria"/>
          <w:color w:val="000000"/>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1047"/>
        <w:numPr>
          <w:ilvl w:val="0"/>
          <w:numId w:val="0"/>
        </w:numPr>
        <w:spacing w:before="0" w:line="312" w:lineRule="auto"/>
        <w:rPr>
          <w:rFonts w:ascii="Cambria" w:hAnsi="Cambria" w:cs="Cambria"/>
          <w:sz w:val="22"/>
          <w:szCs w:val="22"/>
        </w:rPr>
      </w:pPr>
      <w:r>
        <w:rPr>
          <w:rFonts w:ascii="Cambria" w:hAnsi="Cambria" w:cs="Cambria"/>
          <w:sz w:val="22"/>
          <w:szCs w:val="22"/>
        </w:rPr>
        <w:t xml:space="preserve">14 - FORMA E CRITÉRIOS DE SELEÇÃO DO FORNECEDOR</w:t>
      </w:r>
      <w:r>
        <w:rPr>
          <w:rFonts w:ascii="Cambria" w:hAnsi="Cambria" w:cs="Cambria"/>
          <w:sz w:val="22"/>
          <w:szCs w:val="22"/>
        </w:rPr>
      </w:r>
      <w:r>
        <w:rPr>
          <w:rFonts w:ascii="Cambria" w:hAnsi="Cambria" w:cs="Cambria"/>
          <w:sz w:val="22"/>
          <w:szCs w:val="22"/>
        </w:rPr>
      </w:r>
    </w:p>
    <w:p>
      <w:pPr>
        <w:pStyle w:val="1117"/>
        <w:ind w:left="0"/>
        <w:spacing w:before="0" w:line="312" w:lineRule="auto"/>
        <w:rPr>
          <w:rFonts w:ascii="Cambria" w:hAnsi="Cambria" w:cs="Cambria"/>
          <w:sz w:val="22"/>
          <w:szCs w:val="22"/>
        </w:rPr>
      </w:pPr>
      <w:r>
        <w:rPr>
          <w:rFonts w:ascii="Cambria" w:hAnsi="Cambria" w:cs="Cambria"/>
          <w:color w:val="auto"/>
          <w:sz w:val="22"/>
          <w:szCs w:val="22"/>
          <w:lang w:eastAsia="en-US"/>
        </w:rPr>
        <w:t xml:space="preserve">Forma de seleção e critério de julgamento da proposta</w:t>
      </w:r>
      <w:r>
        <w:rPr>
          <w:rFonts w:ascii="Cambria" w:hAnsi="Cambria" w:cs="Cambria"/>
          <w:color w:val="auto"/>
          <w:sz w:val="22"/>
          <w:szCs w:val="22"/>
          <w:highlight w:val="yellow"/>
        </w:rPr>
      </w:r>
      <w:r>
        <w:rPr>
          <w:rFonts w:ascii="Cambria" w:hAnsi="Cambria" w:cs="Cambria"/>
          <w:sz w:val="22"/>
          <w:szCs w:val="22"/>
        </w:rPr>
      </w:r>
    </w:p>
    <w:p>
      <w:pPr>
        <w:pStyle w:val="1064"/>
        <w:numPr>
          <w:ilvl w:val="0"/>
          <w:numId w:val="0"/>
        </w:numPr>
        <w:spacing w:before="0" w:after="0" w:line="312" w:lineRule="auto"/>
        <w:rPr>
          <w:rFonts w:ascii="Cambria" w:hAnsi="Cambria" w:eastAsia="Arial" w:cs="Cambria"/>
          <w:b/>
          <w:bCs/>
          <w:color w:val="000000" w:themeColor="text1"/>
          <w:sz w:val="22"/>
          <w:szCs w:val="22"/>
          <w:highlight w:val="none"/>
        </w:rPr>
      </w:pPr>
      <w:r>
        <w:rPr>
          <w:rFonts w:ascii="Cambria" w:hAnsi="Cambria" w:eastAsia="Arial" w:cs="Cambria"/>
          <w:sz w:val="22"/>
          <w:szCs w:val="22"/>
        </w:rPr>
        <w:t xml:space="preserve">14.1 - O fornecedor será selecionado por meio da realização de procedimento de LICITAÇÃO, na modalidade PREGÃO, sob a forma ELETRÔNICA, com adoção do critério de julgamento pelo </w:t>
      </w:r>
      <w:r>
        <w:rPr>
          <w:rFonts w:ascii="Cambria" w:hAnsi="Cambria" w:eastAsia="Arial" w:cs="Cambria"/>
          <w:b/>
          <w:bCs/>
          <w:color w:val="000000" w:themeColor="text1"/>
          <w:sz w:val="22"/>
          <w:szCs w:val="22"/>
        </w:rPr>
        <w:t xml:space="preserve">MENOR PREÇO.</w:t>
      </w:r>
      <w:r>
        <w:rPr>
          <w:rFonts w:ascii="Cambria" w:hAnsi="Cambria" w:cs="Cambria"/>
          <w:b/>
          <w:bCs/>
          <w:color w:val="000000" w:themeColor="text1"/>
          <w:sz w:val="22"/>
          <w:szCs w:val="22"/>
        </w:rPr>
      </w:r>
    </w:p>
    <w:p>
      <w:pPr>
        <w:pStyle w:val="1064"/>
        <w:numPr>
          <w:ilvl w:val="0"/>
          <w:numId w:val="0"/>
        </w:numPr>
        <w:spacing w:before="0" w:after="0" w:line="312" w:lineRule="auto"/>
        <w:rPr>
          <w:rFonts w:ascii="Cambria" w:hAnsi="Cambria" w:cs="Cambria"/>
          <w:b/>
          <w:bCs/>
          <w:color w:val="000000" w:themeColor="text1"/>
          <w:sz w:val="22"/>
          <w:szCs w:val="22"/>
        </w:rPr>
      </w:pPr>
      <w:r>
        <w:rPr>
          <w:rFonts w:ascii="Cambria" w:hAnsi="Cambria" w:eastAsia="Arial" w:cs="Cambria"/>
          <w:b/>
          <w:bCs/>
          <w:color w:val="000000" w:themeColor="text1"/>
          <w:sz w:val="22"/>
          <w:szCs w:val="22"/>
          <w:highlight w:val="none"/>
        </w:rPr>
      </w:r>
      <w:r>
        <w:rPr>
          <w:rFonts w:ascii="Cambria" w:hAnsi="Cambria" w:eastAsia="Arial" w:cs="Cambria"/>
          <w:b/>
          <w:bCs/>
          <w:color w:val="000000" w:themeColor="text1"/>
          <w:sz w:val="22"/>
          <w:szCs w:val="22"/>
          <w:highlight w:val="none"/>
        </w:rPr>
      </w:r>
    </w:p>
    <w:p>
      <w:pPr>
        <w:pStyle w:val="1117"/>
        <w:ind w:left="0"/>
        <w:spacing w:before="0" w:line="312" w:lineRule="auto"/>
        <w:rPr>
          <w:rFonts w:ascii="Cambria" w:hAnsi="Cambria" w:cs="Cambria"/>
          <w:sz w:val="22"/>
          <w:szCs w:val="22"/>
        </w:rPr>
      </w:pPr>
      <w:r>
        <w:rPr>
          <w:rFonts w:ascii="Cambria" w:hAnsi="Cambria" w:cs="Cambria"/>
          <w:sz w:val="22"/>
          <w:szCs w:val="22"/>
        </w:rPr>
      </w:r>
      <w:r>
        <w:rPr>
          <w:rFonts w:ascii="Cambria" w:hAnsi="Cambria" w:cs="Cambria"/>
          <w:color w:val="auto"/>
          <w:sz w:val="22"/>
          <w:szCs w:val="22"/>
          <w:lang w:eastAsia="en-US"/>
        </w:rPr>
        <w:t xml:space="preserve">Exigências de habilitação</w:t>
      </w:r>
      <w:r>
        <w:rPr>
          <w:rFonts w:ascii="Cambria" w:hAnsi="Cambria" w:cs="Cambria"/>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14.2 - Para fins de habilitação, deverá o licitante comprovar os seguintes requisitos:</w:t>
      </w:r>
      <w:r>
        <w:rPr>
          <w:rFonts w:ascii="Cambria" w:hAnsi="Cambria" w:cs="Cambria"/>
          <w:sz w:val="22"/>
          <w:szCs w:val="22"/>
        </w:rPr>
      </w:r>
      <w:r>
        <w:rPr>
          <w:rFonts w:ascii="Cambria" w:hAnsi="Cambria" w:cs="Cambria"/>
          <w:sz w:val="22"/>
          <w:szCs w:val="22"/>
        </w:rPr>
      </w:r>
    </w:p>
    <w:p>
      <w:pPr>
        <w:pStyle w:val="1117"/>
        <w:ind w:left="0"/>
        <w:spacing w:before="0" w:line="312" w:lineRule="auto"/>
        <w:rPr>
          <w:rFonts w:ascii="Cambria" w:hAnsi="Cambria" w:cs="Cambria"/>
          <w:sz w:val="22"/>
          <w:szCs w:val="22"/>
        </w:rPr>
      </w:pPr>
      <w:r>
        <w:rPr>
          <w:rFonts w:ascii="Cambria" w:hAnsi="Cambria" w:cs="Cambria"/>
          <w:color w:val="auto"/>
          <w:sz w:val="22"/>
          <w:szCs w:val="22"/>
          <w:lang w:eastAsia="zh-CN" w:bidi="hi-IN"/>
        </w:rPr>
        <w:t xml:space="preserve">14.2.1 - Habilitação jurídica</w:t>
      </w:r>
      <w:r>
        <w:rPr>
          <w:rFonts w:ascii="Cambria" w:hAnsi="Cambria" w:cs="Cambria"/>
          <w:color w:val="auto"/>
          <w:sz w:val="22"/>
          <w:szCs w:val="22"/>
          <w:lang w:eastAsia="zh-CN" w:bidi="hi-IN"/>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r>
      <w:bookmarkStart w:id="0" w:name="undefined"/>
      <w:r>
        <w:rPr>
          <w:rFonts w:ascii="Cambria" w:hAnsi="Cambria" w:cs="Cambria"/>
          <w:b/>
          <w:bCs/>
          <w:sz w:val="22"/>
          <w:szCs w:val="22"/>
        </w:rPr>
        <w:t xml:space="preserve">14.2.1.1 - Pessoa física:</w:t>
      </w:r>
      <w:r>
        <w:rPr>
          <w:rFonts w:ascii="Cambria" w:hAnsi="Cambria" w:cs="Cambria"/>
          <w:sz w:val="22"/>
          <w:szCs w:val="22"/>
        </w:rPr>
        <w:t xml:space="preserve"> cédula de identidade (RG) ou documento equivalente que, por força de lei, tenha validade para fins de identificação em todo o território nacional;</w:t>
      </w:r>
      <w:bookmarkEnd w:id="0"/>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b/>
          <w:bCs/>
          <w:sz w:val="22"/>
          <w:szCs w:val="22"/>
        </w:rPr>
        <w:t xml:space="preserve">14.2.1.2 - Empresário individual:</w:t>
      </w:r>
      <w:r>
        <w:rPr>
          <w:rFonts w:ascii="Cambria" w:hAnsi="Cambria" w:cs="Cambria"/>
          <w:sz w:val="22"/>
          <w:szCs w:val="22"/>
        </w:rPr>
        <w:t xml:space="preserve"> inscrição no Registro Público de Empresas Mercantis, a cargo da Junta Comercial da respectiva sede; </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b/>
          <w:bCs/>
          <w:sz w:val="22"/>
          <w:szCs w:val="22"/>
        </w:rPr>
        <w:t xml:space="preserve">14.2.1.3 - Microempreendedor Individual - MEI:</w:t>
      </w:r>
      <w:r>
        <w:rPr>
          <w:rFonts w:ascii="Cambria" w:hAnsi="Cambria" w:cs="Cambria"/>
          <w:sz w:val="22"/>
          <w:szCs w:val="22"/>
        </w:rPr>
        <w:t xml:space="preserve"> Certificado da Condição de Microempreendedor Individual - CCMEI, cuja aceitação ficará condicionada à verificação da autenticidade no sítio https://www.gov.br/empresas-e-negocios/pt-br/empreendedor; </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b/>
          <w:bCs/>
          <w:sz w:val="22"/>
          <w:szCs w:val="22"/>
        </w:rPr>
        <w:t xml:space="preserve">14.2.1.4 - </w:t>
      </w:r>
      <w:r>
        <w:rPr>
          <w:rFonts w:ascii="Cambria" w:hAnsi="Cambria" w:cs="Cambria"/>
          <w:b/>
          <w:bCs/>
          <w:sz w:val="22"/>
          <w:szCs w:val="22"/>
        </w:rPr>
        <w:t xml:space="preserve">Sociedade empresária, sociedade limitada unipessoal – SLU ou sociedade identificada como empresa individual de responsabilidade limitada - EIRELI:</w:t>
      </w:r>
      <w:r>
        <w:rPr>
          <w:rFonts w:ascii="Cambria" w:hAnsi="Cambria" w:cs="Cambria"/>
          <w:sz w:val="22"/>
          <w:szCs w:val="22"/>
        </w:rPr>
        <w:t xml:space="preserve"> inscrição do ato constitutivo, estatuto ou contrato social no Registro Público de Empresas Mercantis, a cargo da Junta Comercial da respectiva sede, acompanhada de documento comprobatório de seus administradores;</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b/>
          <w:bCs/>
          <w:sz w:val="22"/>
          <w:szCs w:val="22"/>
        </w:rPr>
        <w:t xml:space="preserve">14.2.1.5 - Sociedade empresária estrangeira:</w:t>
      </w:r>
      <w:r>
        <w:rPr>
          <w:rFonts w:ascii="Cambria" w:hAnsi="Cambria" w:cs="Cambria"/>
          <w:sz w:val="22"/>
          <w:szCs w:val="22"/>
        </w:rPr>
        <w:t xml:space="preserve"> portaria de autorização de funcionamento no Brasil, publica</w:t>
      </w:r>
      <w:r>
        <w:rPr>
          <w:rFonts w:ascii="Cambria" w:hAnsi="Cambria" w:cs="Cambria"/>
          <w:sz w:val="22"/>
          <w:szCs w:val="22"/>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b/>
          <w:bCs/>
          <w:sz w:val="22"/>
          <w:szCs w:val="22"/>
        </w:rPr>
        <w:t xml:space="preserve">14.2.1.6 - Sociedade simples: </w:t>
      </w:r>
      <w:r>
        <w:rPr>
          <w:rFonts w:ascii="Cambria" w:hAnsi="Cambria" w:cs="Cambria"/>
          <w:sz w:val="22"/>
          <w:szCs w:val="22"/>
        </w:rPr>
        <w:t xml:space="preserve">inscrição do ato constitutivo no Registro Civil de Pessoas Jurídicas do local de sua sede, acompanhada de documento comprobatório de seus administradores;</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b/>
          <w:bCs/>
          <w:sz w:val="22"/>
          <w:szCs w:val="22"/>
        </w:rPr>
        <w:t xml:space="preserve">14.2.1.7 - Filial, sucursal ou agência de sociedade simples ou empresária:</w:t>
      </w:r>
      <w:r>
        <w:rPr>
          <w:rFonts w:ascii="Cambria" w:hAnsi="Cambria" w:cs="Cambria"/>
          <w:sz w:val="22"/>
          <w:szCs w:val="22"/>
        </w:rPr>
        <w:t xml:space="preserve"> inscrição do ato constitutivo da filial, sucursal ou agência da sociedade simples ou empresária, respectivamente, no Registro Civil das Pessoas Jurídicas ou no Registro Público de Empresas </w:t>
      </w:r>
      <w:bookmarkStart w:id="0" w:name="undefined"/>
      <w:r>
        <w:rPr>
          <w:rFonts w:ascii="Cambria" w:hAnsi="Cambria" w:cs="Cambria"/>
          <w:sz w:val="22"/>
          <w:szCs w:val="22"/>
        </w:rPr>
        <w:t xml:space="preserve">Mercantis onde</w:t>
      </w:r>
      <w:bookmarkEnd w:id="0"/>
      <w:r>
        <w:rPr>
          <w:rFonts w:ascii="Cambria" w:hAnsi="Cambria" w:cs="Cambria"/>
          <w:sz w:val="22"/>
          <w:szCs w:val="22"/>
        </w:rPr>
        <w:t xml:space="preserve"> opera, com averbação no Registro onde tem sede a matriz</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b/>
          <w:bCs/>
          <w:sz w:val="22"/>
          <w:szCs w:val="22"/>
        </w:rPr>
        <w:t xml:space="preserve">14.2.1.8 - Sociedade cooperativa:</w:t>
      </w:r>
      <w:r>
        <w:rPr>
          <w:rFonts w:ascii="Cambria" w:hAnsi="Cambria" w:cs="Cambria"/>
          <w:sz w:val="22"/>
          <w:szCs w:val="22"/>
        </w:rPr>
        <w:t xml:space="preserve"> ata de funda</w:t>
      </w:r>
      <w:r>
        <w:rPr>
          <w:rFonts w:ascii="Cambria" w:hAnsi="Cambria" w:cs="Cambria"/>
          <w:sz w:val="22"/>
          <w:szCs w:val="22"/>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bCs/>
          <w:i/>
          <w:sz w:val="22"/>
          <w:szCs w:val="22"/>
        </w:rPr>
      </w:pPr>
      <w:r>
        <w:rPr>
          <w:rFonts w:ascii="Cambria" w:hAnsi="Cambria" w:cs="Cambria"/>
          <w:i/>
          <w:iCs/>
          <w:sz w:val="22"/>
          <w:szCs w:val="22"/>
        </w:rPr>
        <w:t xml:space="preserve">14.2.1.9 - Os documentos apresentados deverão estar acompanhados de todas as alterações ou da consolidação respectiva.</w:t>
      </w:r>
      <w:r>
        <w:rPr>
          <w:rFonts w:ascii="Cambria" w:hAnsi="Cambria" w:cs="Cambria"/>
          <w:i/>
          <w:iCs/>
          <w:sz w:val="22"/>
          <w:szCs w:val="22"/>
        </w:rPr>
      </w:r>
      <w:r>
        <w:rPr>
          <w:rFonts w:ascii="Cambria" w:hAnsi="Cambria" w:cs="Cambria"/>
          <w:i/>
          <w:iCs/>
          <w:sz w:val="22"/>
          <w:szCs w:val="22"/>
        </w:rPr>
      </w:r>
    </w:p>
    <w:p>
      <w:pPr>
        <w:pStyle w:val="1064"/>
        <w:numPr>
          <w:ilvl w:val="0"/>
          <w:numId w:val="0"/>
        </w:numPr>
        <w:ind w:left="709"/>
        <w:spacing w:before="0" w:after="0" w:line="312" w:lineRule="auto"/>
        <w:rPr>
          <w:rFonts w:ascii="Cambria" w:hAnsi="Cambria" w:cs="Cambria"/>
          <w:bCs/>
          <w:i/>
          <w:sz w:val="22"/>
          <w:szCs w:val="22"/>
        </w:rPr>
      </w:pPr>
      <w:r>
        <w:rPr>
          <w:rFonts w:ascii="Cambria" w:hAnsi="Cambria" w:cs="Cambria"/>
          <w:i/>
          <w:iCs/>
          <w:sz w:val="22"/>
          <w:szCs w:val="22"/>
        </w:rPr>
      </w:r>
      <w:r>
        <w:rPr>
          <w:rFonts w:ascii="Cambria" w:hAnsi="Cambria" w:cs="Cambria"/>
          <w:i/>
          <w:iCs/>
          <w:sz w:val="22"/>
          <w:szCs w:val="22"/>
        </w:rPr>
      </w:r>
      <w:r>
        <w:rPr>
          <w:rFonts w:ascii="Cambria" w:hAnsi="Cambria" w:cs="Cambria"/>
          <w:i/>
          <w:iCs/>
          <w:sz w:val="22"/>
          <w:szCs w:val="22"/>
        </w:rPr>
      </w:r>
    </w:p>
    <w:p>
      <w:pPr>
        <w:pStyle w:val="1117"/>
        <w:ind w:left="0"/>
        <w:spacing w:before="0" w:line="312" w:lineRule="auto"/>
        <w:rPr>
          <w:rFonts w:ascii="Cambria" w:hAnsi="Cambria" w:cs="Cambria"/>
          <w:sz w:val="22"/>
          <w:szCs w:val="22"/>
        </w:rPr>
      </w:pPr>
      <w:r>
        <w:rPr>
          <w:rFonts w:ascii="Cambria" w:hAnsi="Cambria" w:cs="Cambria"/>
          <w:color w:val="auto"/>
          <w:sz w:val="22"/>
          <w:szCs w:val="22"/>
          <w:lang w:eastAsia="zh-CN" w:bidi="hi-IN"/>
        </w:rPr>
        <w:t xml:space="preserve">14.2.2 - Habilitação fiscal, social e trabalhista</w:t>
      </w:r>
      <w:r>
        <w:rPr>
          <w:rFonts w:ascii="Cambria" w:hAnsi="Cambria" w:cs="Cambria"/>
          <w:color w:val="auto"/>
          <w:sz w:val="22"/>
          <w:szCs w:val="22"/>
          <w:lang w:eastAsia="zh-CN" w:bidi="hi-IN"/>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14.2.2.1 - </w:t>
      </w:r>
      <w:r>
        <w:rPr>
          <w:rFonts w:ascii="Cambria" w:hAnsi="Cambria" w:cs="Cambria"/>
          <w:sz w:val="22"/>
          <w:szCs w:val="22"/>
        </w:rPr>
        <w:t xml:space="preserve">Prova de inscrição no Cadastro Nacional de Pessoas Jurídicas ou no Cadastro de Pessoas Físicas, conforme o caso;</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14.2.2.2 - Prova de regulari</w:t>
      </w:r>
      <w:r>
        <w:rPr>
          <w:rFonts w:ascii="Cambria" w:hAnsi="Cambria" w:cs="Cambria"/>
          <w:sz w:val="22"/>
          <w:szCs w:val="22"/>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22"/>
          <w:szCs w:val="22"/>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14.2.2.3 - Prova de regularidade com o Fundo de Garantia do Tempo de Serviço (FGTS);</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14.2.2.4 - Prova de inexistência de </w:t>
      </w:r>
      <w:r>
        <w:rPr>
          <w:rFonts w:ascii="Cambria" w:hAnsi="Cambria" w:cs="Cambria"/>
          <w:sz w:val="22"/>
          <w:szCs w:val="22"/>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14.2.2.5 - Prova de inscrição no cadastro de contribuintes Estadual </w:t>
      </w:r>
      <w:r>
        <w:rPr>
          <w:rFonts w:ascii="Cambria" w:hAnsi="Cambria" w:cs="Cambria"/>
          <w:sz w:val="22"/>
          <w:szCs w:val="22"/>
        </w:rPr>
        <w:t xml:space="preserve">relativo</w:t>
      </w:r>
      <w:r>
        <w:rPr>
          <w:rFonts w:ascii="Cambria" w:hAnsi="Cambria" w:cs="Cambria"/>
          <w:sz w:val="22"/>
          <w:szCs w:val="22"/>
        </w:rPr>
        <w:t xml:space="preserve"> ao domicílio ou sede do fornecedor, pertinente ao seu ramo de atividade e compatível com o objeto contratual; </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14.2.2.6 - Prova de regularidade com a Fazenda Municipal </w:t>
      </w:r>
      <w:r>
        <w:rPr>
          <w:rFonts w:ascii="Cambria" w:hAnsi="Cambria" w:cs="Cambria"/>
          <w:sz w:val="22"/>
          <w:szCs w:val="22"/>
        </w:rPr>
        <w:t xml:space="preserve">do domicílio ou sede do fornecedor, relativa à atividade em cujo exercício contrata ou concorre;</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14.2.2.7 - Prova de regularidade com a Fazenda Municipal de Santa Bárbara do Sul</w:t>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14.2.2.8 - Caso o fornecedor seja considerado isento dos tributos Estaduais ou Municipais</w:t>
      </w:r>
      <w:r>
        <w:rPr>
          <w:rFonts w:ascii="Cambria" w:hAnsi="Cambria" w:cs="Cambria"/>
          <w:i/>
          <w:iCs/>
          <w:color w:val="ff0000"/>
          <w:sz w:val="22"/>
          <w:szCs w:val="22"/>
        </w:rPr>
        <w:t xml:space="preserve"> </w:t>
      </w:r>
      <w:r>
        <w:rPr>
          <w:rFonts w:ascii="Cambria" w:hAnsi="Cambria" w:cs="Cambria"/>
          <w:sz w:val="22"/>
          <w:szCs w:val="22"/>
        </w:rPr>
        <w:t xml:space="preserve">relacionados ao objeto contratual, deverá comprovar tal condição mediante a apresentação de declaração da Fazenda respectiva do seu domicílio ou sede, ou outra equivalente, na forma da lei.</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14.2.2.9 - </w:t>
      </w:r>
      <w:r>
        <w:rPr>
          <w:rFonts w:ascii="Cambria" w:hAnsi="Cambria" w:cs="Cambria"/>
          <w:sz w:val="22"/>
          <w:szCs w:val="22"/>
        </w:rPr>
        <w:t xml:space="preserve">O f</w:t>
      </w:r>
      <w:r>
        <w:rPr>
          <w:rFonts w:ascii="Cambria" w:hAnsi="Cambria" w:cs="Cambria"/>
          <w:sz w:val="22"/>
          <w:szCs w:val="22"/>
        </w:rPr>
        <w:t xml:space="preserve">ornecedor enquadrado como microempreendedor individual que pretenda auferir os benefícios do tratamento diferenciado previstos na Lei Complementar n. 123, de 2006, deverá apresentar a Certidão Simplificada da Junta com data não inferior a 1º de janeiro de 2024.</w:t>
      </w:r>
      <w:r>
        <w:rPr>
          <w:rFonts w:ascii="Cambria" w:hAnsi="Cambria" w:cs="Cambria"/>
          <w:sz w:val="22"/>
          <w:szCs w:val="22"/>
        </w:rPr>
      </w:r>
    </w:p>
    <w:p>
      <w:pPr>
        <w:pStyle w:val="1064"/>
        <w:numPr>
          <w:ilvl w:val="0"/>
          <w:numId w:val="0"/>
        </w:numPr>
        <w:ind w:left="709"/>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1117"/>
        <w:ind w:left="0"/>
        <w:spacing w:before="0" w:line="312" w:lineRule="auto"/>
        <w:rPr>
          <w:rFonts w:ascii="Cambria" w:hAnsi="Cambria" w:cs="Cambria"/>
          <w:sz w:val="22"/>
          <w:szCs w:val="22"/>
        </w:rPr>
      </w:pPr>
      <w:r>
        <w:rPr>
          <w:rFonts w:ascii="Cambria" w:hAnsi="Cambria" w:cs="Cambria"/>
          <w:color w:val="auto"/>
          <w:sz w:val="22"/>
          <w:szCs w:val="22"/>
          <w:lang w:eastAsia="zh-CN" w:bidi="hi-IN"/>
        </w:rPr>
        <w:t xml:space="preserve">14.2.3 - </w:t>
      </w:r>
      <w:r>
        <w:rPr>
          <w:rFonts w:ascii="Cambria" w:hAnsi="Cambria" w:cs="Cambria"/>
          <w:color w:val="auto"/>
          <w:sz w:val="22"/>
          <w:szCs w:val="22"/>
          <w:lang w:eastAsia="zh-CN" w:bidi="hi-IN"/>
        </w:rPr>
        <w:t xml:space="preserve">Qualificação Econômico-Financeira</w:t>
      </w:r>
      <w:r>
        <w:rPr>
          <w:rFonts w:ascii="Cambria" w:hAnsi="Cambria" w:cs="Cambria"/>
          <w:color w:val="auto"/>
          <w:sz w:val="22"/>
          <w:szCs w:val="22"/>
          <w:lang w:eastAsia="zh-CN" w:bidi="hi-IN"/>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14.2.3.1 - Certidão negativa de insolvência civil expedida pelo distribuidor do domicílio ou sede do licitante, caso se trate de pessoa física, desde que admitida a sua participação na licitação, ou de sociedade simples; </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14.2.3.2 - Certidão negativa de falência expedida pelo distribuidor da sede do fornecedor - Lei nº 14.133, de 2021, art. 69, caput, inciso II);</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14.2.3.3 - Índices de Liquidez Geral (LG), Solvência Geral (SG) e Liquidez Corrente (LC), </w:t>
      </w:r>
      <w:r>
        <w:rPr>
          <w:rFonts w:ascii="Cambria" w:hAnsi="Cambria" w:cs="Cambria"/>
          <w:sz w:val="22"/>
          <w:szCs w:val="22"/>
        </w:rPr>
        <w:t xml:space="preserve">superiores a 1 (um), comprovados mediante a apresentação pelo licitante de balanço patrimonial, demonstração de resultado de exercício e demais demonstrações contábeis dos 2 (dois) últimos exercícios sociais e obtidos pela aplicação das seguintes fórmulas:</w:t>
      </w:r>
      <w:r>
        <w:rPr>
          <w:rFonts w:ascii="Cambria" w:hAnsi="Cambria" w:cs="Cambria"/>
          <w:sz w:val="22"/>
          <w:szCs w:val="22"/>
        </w:rPr>
      </w:r>
      <w:r>
        <w:rPr>
          <w:rFonts w:ascii="Cambria" w:hAnsi="Cambria" w:cs="Cambria"/>
          <w:sz w:val="22"/>
          <w:szCs w:val="22"/>
        </w:rPr>
      </w:r>
    </w:p>
    <w:p>
      <w:pPr>
        <w:pStyle w:val="1064"/>
        <w:numPr>
          <w:ilvl w:val="0"/>
          <w:numId w:val="0"/>
        </w:numPr>
        <w:contextualSpacing/>
        <w:spacing w:before="0" w:after="0" w:line="312" w:lineRule="auto"/>
        <w:rPr>
          <w:rFonts w:ascii="Cambria" w:hAnsi="Cambria" w:cs="Cambria"/>
          <w:sz w:val="22"/>
          <w:szCs w:val="22"/>
        </w:rPr>
      </w:pPr>
      <w:r>
        <w:rPr>
          <w:rFonts w:ascii="Cambria" w:hAnsi="Cambria" w:eastAsia="Arial" w:cs="Cambria"/>
          <w:sz w:val="22"/>
          <w:szCs w:val="22"/>
        </w:rPr>
        <w:t xml:space="preserve">I - Liquidez Geral (LG) = (Ativo Circulante + Realizável a Longo </w:t>
      </w:r>
      <w:r>
        <w:rPr>
          <w:rFonts w:ascii="Cambria" w:hAnsi="Cambria" w:eastAsia="Arial" w:cs="Cambria"/>
          <w:sz w:val="22"/>
          <w:szCs w:val="22"/>
        </w:rPr>
        <w:t xml:space="preserve">Prazo )</w:t>
      </w:r>
      <w:r>
        <w:rPr>
          <w:rFonts w:ascii="Cambria" w:hAnsi="Cambria" w:eastAsia="Arial" w:cs="Cambria"/>
          <w:sz w:val="22"/>
          <w:szCs w:val="22"/>
        </w:rPr>
        <w:t xml:space="preserve">/( Passivo Circulante + Passivo Não Circulante);</w:t>
      </w:r>
      <w:r>
        <w:rPr>
          <w:rFonts w:ascii="Cambria" w:hAnsi="Cambria" w:eastAsia="Arial" w:cs="Cambria"/>
          <w:sz w:val="22"/>
          <w:szCs w:val="22"/>
        </w:rPr>
      </w:r>
      <w:r>
        <w:rPr>
          <w:rFonts w:ascii="Cambria" w:hAnsi="Cambria" w:cs="Cambria"/>
          <w:sz w:val="22"/>
          <w:szCs w:val="22"/>
        </w:rPr>
      </w:r>
    </w:p>
    <w:p>
      <w:pPr>
        <w:pStyle w:val="1066"/>
        <w:numPr>
          <w:ilvl w:val="0"/>
          <w:numId w:val="0"/>
        </w:numPr>
        <w:spacing w:before="0" w:after="0" w:line="312" w:lineRule="auto"/>
        <w:rPr>
          <w:rFonts w:ascii="Cambria" w:hAnsi="Cambria" w:cs="Cambria"/>
          <w:sz w:val="22"/>
          <w:szCs w:val="22"/>
        </w:rPr>
      </w:pPr>
      <w:r>
        <w:rPr>
          <w:rFonts w:ascii="Cambria" w:hAnsi="Cambria" w:eastAsia="Arial" w:cs="Cambria"/>
          <w:sz w:val="22"/>
          <w:szCs w:val="22"/>
        </w:rPr>
        <w:t xml:space="preserve">II - Solvência Geral (SG)= (Ativo </w:t>
      </w:r>
      <w:r>
        <w:rPr>
          <w:rFonts w:ascii="Cambria" w:hAnsi="Cambria" w:eastAsia="Arial" w:cs="Cambria"/>
          <w:sz w:val="22"/>
          <w:szCs w:val="22"/>
        </w:rPr>
        <w:t xml:space="preserve">Total)/</w:t>
      </w:r>
      <w:r>
        <w:rPr>
          <w:rFonts w:ascii="Cambria" w:hAnsi="Cambria" w:eastAsia="Arial" w:cs="Cambria"/>
          <w:sz w:val="22"/>
          <w:szCs w:val="22"/>
        </w:rPr>
        <w:t xml:space="preserve">(Passivo Circulante +Passivo não Circulante); e</w:t>
      </w:r>
      <w:r>
        <w:rPr>
          <w:rFonts w:ascii="Cambria" w:hAnsi="Cambria" w:eastAsia="Arial" w:cs="Cambria"/>
          <w:sz w:val="22"/>
          <w:szCs w:val="22"/>
        </w:rPr>
      </w:r>
      <w:r>
        <w:rPr>
          <w:rFonts w:ascii="Cambria" w:hAnsi="Cambria" w:cs="Cambria"/>
          <w:sz w:val="22"/>
          <w:szCs w:val="22"/>
        </w:rPr>
      </w:r>
    </w:p>
    <w:p>
      <w:pPr>
        <w:pStyle w:val="1066"/>
        <w:numPr>
          <w:ilvl w:val="0"/>
          <w:numId w:val="0"/>
        </w:numPr>
        <w:spacing w:before="0" w:after="0" w:line="312" w:lineRule="auto"/>
        <w:rPr>
          <w:rFonts w:ascii="Cambria" w:hAnsi="Cambria" w:cs="Cambria"/>
          <w:sz w:val="22"/>
          <w:szCs w:val="22"/>
        </w:rPr>
      </w:pPr>
      <w:r>
        <w:rPr>
          <w:rFonts w:ascii="Cambria" w:hAnsi="Cambria" w:eastAsia="Arial" w:cs="Cambria"/>
          <w:sz w:val="22"/>
          <w:szCs w:val="22"/>
        </w:rPr>
        <w:t xml:space="preserve">III - Liquidez Corrente (LC) = (Ativo </w:t>
      </w:r>
      <w:r>
        <w:rPr>
          <w:rFonts w:ascii="Cambria" w:hAnsi="Cambria" w:eastAsia="Arial" w:cs="Cambria"/>
          <w:sz w:val="22"/>
          <w:szCs w:val="22"/>
        </w:rPr>
        <w:t xml:space="preserve">Circulante)/</w:t>
      </w:r>
      <w:r>
        <w:rPr>
          <w:rFonts w:ascii="Cambria" w:hAnsi="Cambria" w:eastAsia="Arial" w:cs="Cambria"/>
          <w:sz w:val="22"/>
          <w:szCs w:val="22"/>
        </w:rPr>
        <w:t xml:space="preserve">(Passivo Circulante).</w:t>
      </w:r>
      <w:r>
        <w:rPr>
          <w:rFonts w:ascii="Cambria" w:hAnsi="Cambria" w:eastAsia="Arial"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color w:val="000000" w:themeColor="text1"/>
          <w:sz w:val="22"/>
          <w:szCs w:val="22"/>
        </w:rPr>
      </w:pPr>
      <w:r>
        <w:rPr>
          <w:rFonts w:ascii="Cambria" w:hAnsi="Cambria" w:eastAsia="Arial" w:cs="Cambria"/>
          <w:sz w:val="22"/>
          <w:szCs w:val="22"/>
        </w:rPr>
        <w:t xml:space="preserve">14.2.3.4 - </w:t>
      </w:r>
      <w:r>
        <w:rPr>
          <w:rFonts w:ascii="Cambria" w:hAnsi="Cambria" w:eastAsia="Arial" w:cs="Cambria"/>
          <w:sz w:val="22"/>
          <w:szCs w:val="22"/>
        </w:rPr>
        <w:t xml:space="preserve">Caso a empresa licitante apresente resultado inferior ou igual a 1 (um) em qualquer dos índices de Liquidez Geral (LG), Solvência Geral (SG) e Liquidez Corrente (LC), será exigido para fins de habilitação</w:t>
      </w:r>
      <w:r>
        <w:rPr>
          <w:rFonts w:ascii="Cambria" w:hAnsi="Cambria" w:eastAsia="Arial" w:cs="Cambria"/>
          <w:color w:val="000000" w:themeColor="text1"/>
          <w:sz w:val="22"/>
          <w:szCs w:val="22"/>
        </w:rPr>
        <w:t xml:space="preserve"> </w:t>
      </w:r>
      <w:r>
        <w:rPr>
          <w:rFonts w:ascii="Cambria" w:hAnsi="Cambria" w:eastAsia="Arial" w:cs="Cambria"/>
          <w:color w:val="000000" w:themeColor="text1"/>
          <w:sz w:val="22"/>
          <w:szCs w:val="22"/>
        </w:rPr>
        <w:t xml:space="preserve">patrimônio líquido mínimo 10</w:t>
      </w:r>
      <w:r>
        <w:rPr>
          <w:rFonts w:ascii="Cambria" w:hAnsi="Cambria" w:eastAsia="Arial" w:cs="Cambria"/>
          <w:color w:val="000000" w:themeColor="text1"/>
          <w:sz w:val="22"/>
          <w:szCs w:val="22"/>
        </w:rPr>
        <w:t xml:space="preserve">%  </w:t>
      </w:r>
      <w:r>
        <w:rPr>
          <w:rFonts w:ascii="Cambria" w:hAnsi="Cambria" w:eastAsia="Arial" w:cs="Cambria"/>
          <w:color w:val="000000" w:themeColor="text1"/>
          <w:sz w:val="22"/>
          <w:szCs w:val="22"/>
        </w:rPr>
        <w:t xml:space="preserve">do </w:t>
      </w:r>
      <w:r>
        <w:rPr>
          <w:rFonts w:ascii="Cambria" w:hAnsi="Cambria" w:eastAsia="Arial" w:cs="Cambria"/>
          <w:color w:val="000000" w:themeColor="text1"/>
          <w:sz w:val="22"/>
          <w:szCs w:val="22"/>
        </w:rPr>
        <w:t xml:space="preserve">valor total estimado da contratação</w:t>
      </w:r>
      <w:r>
        <w:rPr>
          <w:rFonts w:ascii="Cambria" w:hAnsi="Cambria" w:cs="Cambria"/>
          <w:color w:val="000000" w:themeColor="text1"/>
          <w:sz w:val="22"/>
          <w:szCs w:val="22"/>
        </w:rPr>
        <w:t xml:space="preserve">.</w:t>
      </w:r>
      <w:r>
        <w:rPr>
          <w:rFonts w:ascii="Cambria" w:hAnsi="Cambria" w:cs="Cambria"/>
          <w:color w:val="000000" w:themeColor="text1"/>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14.2.3.5 - As empresas criadas no exercício financeiro da licitação deverão atender a todas as exigências da habilitação e poderão substituir os demonstrativos contábeis pelo balanço de abertura. (Lei nº 14.133, de 2021, art. 65, §1º).</w:t>
      </w:r>
      <w:r>
        <w:rPr>
          <w:rFonts w:ascii="Cambria" w:hAnsi="Cambria" w:cs="Cambria"/>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14.2.3.6 - O balanço patrimonial, demonstração de resultado de exercício e demais demonstrações contábeis limitar-se-ão ao último exercício no caso de a pessoa jurídica ter sido constituída há menos de 2 (dois) anos. (Lei nº 14.133, de 2021, art. 69, §6º)</w:t>
      </w:r>
      <w:r>
        <w:rPr>
          <w:rFonts w:ascii="Cambria" w:hAnsi="Cambria" w:cs="Cambria"/>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color w:val="auto"/>
          <w:sz w:val="22"/>
          <w:szCs w:val="22"/>
        </w:rPr>
        <w:t xml:space="preserve">14.2.3.7 </w:t>
      </w:r>
      <w:r>
        <w:rPr>
          <w:rFonts w:ascii="Cambria" w:hAnsi="Cambria" w:cs="Cambria"/>
          <w:i w:val="0"/>
          <w:iCs w:val="0"/>
          <w:color w:val="auto"/>
          <w:sz w:val="22"/>
          <w:szCs w:val="22"/>
        </w:rPr>
        <w:t xml:space="preserve">- </w:t>
      </w:r>
      <w:r>
        <w:rPr>
          <w:rFonts w:ascii="Cambria" w:hAnsi="Cambria" w:cs="Cambria"/>
          <w:i w:val="0"/>
          <w:iCs w:val="0"/>
          <w:color w:val="auto"/>
          <w:sz w:val="22"/>
          <w:szCs w:val="22"/>
        </w:rPr>
        <w:t xml:space="preserve">O atendimento dos índices econômicos previstos neste item deverá ser atestado mediante declaração assinada por profissional habilitado da área contábil, apresentada pelo fornecedor.</w:t>
      </w:r>
      <w:r>
        <w:rPr>
          <w:rFonts w:ascii="Cambria" w:hAnsi="Cambria" w:cs="Cambria"/>
          <w:color w:val="auto"/>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b/>
          <w:bCs w:val="0"/>
          <w:i w:val="0"/>
          <w:color w:val="auto"/>
          <w:sz w:val="22"/>
          <w:szCs w:val="22"/>
          <w:highlight w:val="yellow"/>
          <w:u w:val="single"/>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1117"/>
        <w:ind w:left="0"/>
        <w:spacing w:before="0" w:line="312" w:lineRule="auto"/>
        <w:rPr>
          <w:rFonts w:ascii="Cambria" w:hAnsi="Cambria" w:cs="Cambria"/>
          <w:sz w:val="22"/>
          <w:szCs w:val="22"/>
        </w:rPr>
      </w:pPr>
      <w:r>
        <w:rPr>
          <w:rFonts w:ascii="Cambria" w:hAnsi="Cambria" w:cs="Cambria"/>
          <w:color w:val="auto"/>
          <w:sz w:val="22"/>
          <w:szCs w:val="22"/>
          <w:lang w:eastAsia="zh-CN" w:bidi="hi-IN"/>
        </w:rPr>
        <w:t xml:space="preserve">14.2.4 - </w:t>
      </w:r>
      <w:r>
        <w:rPr>
          <w:rFonts w:ascii="Cambria" w:hAnsi="Cambria" w:cs="Cambria"/>
          <w:color w:val="auto"/>
          <w:sz w:val="22"/>
          <w:szCs w:val="22"/>
          <w:lang w:eastAsia="zh-CN" w:bidi="hi-IN"/>
        </w:rPr>
        <w:t xml:space="preserve">Qualificação Técnica</w:t>
      </w:r>
      <w:r>
        <w:rPr>
          <w:rFonts w:ascii="Cambria" w:hAnsi="Cambria" w:cs="Cambria"/>
          <w:color w:val="auto"/>
          <w:sz w:val="22"/>
          <w:szCs w:val="22"/>
          <w:lang w:eastAsia="zh-CN" w:bidi="hi-IN"/>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14.2.4.1 - </w:t>
      </w:r>
      <w:r>
        <w:rPr>
          <w:rFonts w:ascii="Cambria" w:hAnsi="Cambria" w:cs="Cambria"/>
          <w:i w:val="0"/>
          <w:iCs w:val="0"/>
          <w:color w:val="auto"/>
          <w:sz w:val="22"/>
          <w:szCs w:val="22"/>
        </w:rPr>
        <w:t xml:space="preserve">Comprovação de aptidão para o fornecimento de equipamentos similares de complexidade tecnológica e operacional equivalente ou </w:t>
      </w:r>
      <w:r>
        <w:rPr>
          <w:rFonts w:ascii="Cambria" w:hAnsi="Cambria" w:cs="Cambria"/>
          <w:i w:val="0"/>
          <w:iCs w:val="0"/>
          <w:color w:val="auto"/>
          <w:sz w:val="22"/>
          <w:szCs w:val="22"/>
        </w:rPr>
        <w:t xml:space="preserve">superior com o objeto desta contratação, ou com o item pertinente, por meio da apresentação de certidões ou atestados, por pessoas jurídicas de direito público ou privado, ou regularmente emitido(s) pelo conselho profissional competente, quando for o caso.</w:t>
      </w:r>
      <w:r>
        <w:rPr>
          <w:rFonts w:ascii="Cambria" w:hAnsi="Cambria" w:cs="Cambria"/>
          <w:i w:val="0"/>
          <w:iCs w:val="0"/>
          <w:color w:val="auto"/>
          <w:sz w:val="22"/>
          <w:szCs w:val="22"/>
        </w:rPr>
      </w:r>
      <w:r>
        <w:rPr>
          <w:rFonts w:ascii="Cambria" w:hAnsi="Cambria" w:cs="Cambria"/>
          <w:sz w:val="22"/>
          <w:szCs w:val="22"/>
        </w:rPr>
      </w:r>
      <w:r>
        <w:rPr>
          <w:rFonts w:ascii="Cambria" w:hAnsi="Cambria" w:cs="Cambria"/>
          <w:sz w:val="22"/>
          <w:szCs w:val="22"/>
        </w:rPr>
      </w:r>
      <w:r>
        <w:rPr>
          <w:rFonts w:ascii="Cambria" w:hAnsi="Cambria" w:cs="Cambria"/>
          <w:sz w:val="22"/>
          <w:szCs w:val="22"/>
        </w:rPr>
      </w:r>
      <w:r>
        <w:rPr>
          <w:rFonts w:ascii="Cambria" w:hAnsi="Cambria" w:cs="Cambria"/>
          <w:sz w:val="22"/>
          <w:szCs w:val="22"/>
        </w:rPr>
      </w:r>
      <w:r>
        <w:rPr>
          <w:rFonts w:ascii="Cambria" w:hAnsi="Cambria" w:cs="Cambria"/>
          <w:i w:val="0"/>
          <w:iCs w:val="0"/>
          <w:color w:val="auto"/>
          <w:sz w:val="22"/>
          <w:szCs w:val="22"/>
        </w:rPr>
      </w:r>
    </w:p>
    <w:p>
      <w:pPr>
        <w:pStyle w:val="1112"/>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14.2.4.1.1 - Será admitida, para fins de comprovação de quantitativo mínimo, a apresentação e o somatório de diferentes atestados executados de forma concomitante.</w:t>
      </w:r>
      <w:r>
        <w:rPr>
          <w:rFonts w:ascii="Cambria" w:hAnsi="Cambria" w:cs="Cambria"/>
          <w:i w:val="0"/>
          <w:iCs w:val="0"/>
          <w:color w:val="auto"/>
          <w:sz w:val="22"/>
          <w:szCs w:val="22"/>
        </w:rPr>
      </w:r>
      <w:r>
        <w:rPr>
          <w:rFonts w:ascii="Cambria" w:hAnsi="Cambria" w:cs="Cambria"/>
          <w:sz w:val="22"/>
          <w:szCs w:val="22"/>
        </w:rPr>
      </w:r>
    </w:p>
    <w:p>
      <w:pPr>
        <w:pStyle w:val="1112"/>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14.2.4.1.2 - </w:t>
      </w:r>
      <w:r>
        <w:rPr>
          <w:rFonts w:ascii="Cambria" w:hAnsi="Cambria" w:cs="Cambria"/>
          <w:i w:val="0"/>
          <w:iCs w:val="0"/>
          <w:color w:val="auto"/>
          <w:sz w:val="22"/>
          <w:szCs w:val="22"/>
        </w:rPr>
        <w:t xml:space="preserve">Os atestados de capacidade técnica poderão ser apresentados em nome da matriz ou da filial do fornecedor.</w:t>
      </w:r>
      <w:r>
        <w:rPr>
          <w:rFonts w:ascii="Cambria" w:hAnsi="Cambria" w:cs="Cambria"/>
          <w:i w:val="0"/>
          <w:iCs w:val="0"/>
          <w:color w:val="auto"/>
          <w:sz w:val="22"/>
          <w:szCs w:val="22"/>
          <w:shd w:val="clear" w:color="auto" w:fill="ffff00"/>
        </w:rPr>
      </w:r>
      <w:r>
        <w:rPr>
          <w:rFonts w:ascii="Cambria" w:hAnsi="Cambria" w:cs="Cambria"/>
          <w:sz w:val="22"/>
          <w:szCs w:val="22"/>
        </w:rPr>
      </w:r>
    </w:p>
    <w:p>
      <w:pPr>
        <w:pStyle w:val="1112"/>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t xml:space="preserve">14.2.4.2.4 - O fornecedor disponibilizará todas as informações necessá</w:t>
      </w:r>
      <w:r>
        <w:rPr>
          <w:rFonts w:ascii="Cambria" w:hAnsi="Cambria" w:cs="Cambria"/>
          <w:i w:val="0"/>
          <w:iCs w:val="0"/>
          <w:color w:val="auto"/>
          <w:sz w:val="22"/>
          <w:szCs w:val="22"/>
        </w:rPr>
        <w:t xml:space="preserve">rias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ascii="Cambria" w:hAnsi="Cambria" w:cs="Cambria"/>
          <w:i w:val="0"/>
          <w:iCs w:val="0"/>
          <w:color w:val="auto"/>
          <w:sz w:val="22"/>
          <w:szCs w:val="22"/>
        </w:rPr>
      </w:r>
      <w:r>
        <w:rPr>
          <w:rFonts w:ascii="Cambria" w:hAnsi="Cambria" w:cs="Cambria"/>
          <w:sz w:val="22"/>
          <w:szCs w:val="22"/>
        </w:rPr>
      </w:r>
    </w:p>
    <w:p>
      <w:pPr>
        <w:pStyle w:val="1064"/>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14.4.2.3 - Caso admitida a participação de cooperativas, será exigida a seguinte documentação complementar:</w:t>
      </w:r>
      <w:r>
        <w:rPr>
          <w:rFonts w:ascii="Cambria" w:hAnsi="Cambria" w:cs="Cambria"/>
          <w:sz w:val="22"/>
          <w:szCs w:val="22"/>
        </w:rPr>
      </w:r>
      <w:r>
        <w:rPr>
          <w:rFonts w:ascii="Cambria" w:hAnsi="Cambria" w:cs="Cambria"/>
          <w:sz w:val="22"/>
          <w:szCs w:val="22"/>
        </w:rPr>
      </w:r>
    </w:p>
    <w:p>
      <w:pPr>
        <w:pStyle w:val="1066"/>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14.4.2.3.1 - A rel</w:t>
      </w:r>
      <w:r>
        <w:rPr>
          <w:rFonts w:ascii="Cambria" w:hAnsi="Cambria" w:cs="Cambria"/>
          <w:sz w:val="22"/>
          <w:szCs w:val="22"/>
        </w:rPr>
        <w:t xml:space="preserve">ação dos cooperados que atendem aos requisitos técnicos exigidos para a contratação e que executarão o contrato, com as respectivas atas de inscrição e a comprovação de que estão domiciliados na localidade da sede da cooperativa, respeitado o disposto nos </w:t>
      </w:r>
      <w:r>
        <w:rPr>
          <w:rFonts w:ascii="Cambria" w:hAnsi="Cambria" w:cs="Cambria"/>
          <w:sz w:val="22"/>
          <w:szCs w:val="22"/>
        </w:rPr>
        <w:t xml:space="preserve">arts</w:t>
      </w:r>
      <w:r>
        <w:rPr>
          <w:rFonts w:ascii="Cambria" w:hAnsi="Cambria" w:cs="Cambria"/>
          <w:sz w:val="22"/>
          <w:szCs w:val="22"/>
        </w:rPr>
        <w:t xml:space="preserve">. 4º, inciso XI, 21, inciso I e 42, §§2º a 6º da Lei n. 5.764, de 1971;</w:t>
      </w:r>
      <w:r>
        <w:rPr>
          <w:rFonts w:ascii="Cambria" w:hAnsi="Cambria" w:cs="Cambria"/>
          <w:sz w:val="22"/>
          <w:szCs w:val="22"/>
        </w:rPr>
      </w:r>
      <w:r>
        <w:rPr>
          <w:rFonts w:ascii="Cambria" w:hAnsi="Cambria" w:cs="Cambria"/>
          <w:sz w:val="22"/>
          <w:szCs w:val="22"/>
        </w:rPr>
      </w:r>
    </w:p>
    <w:p>
      <w:pPr>
        <w:pStyle w:val="1066"/>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14.4.2.3.2 - A declaração de regularidade de situação do contribuinte individual – DRSCI, para cada um dos cooperados indicados;</w:t>
      </w:r>
      <w:r>
        <w:rPr>
          <w:rFonts w:ascii="Cambria" w:hAnsi="Cambria" w:cs="Cambria"/>
          <w:sz w:val="22"/>
          <w:szCs w:val="22"/>
        </w:rPr>
      </w:r>
      <w:r>
        <w:rPr>
          <w:rFonts w:ascii="Cambria" w:hAnsi="Cambria" w:cs="Cambria"/>
          <w:sz w:val="22"/>
          <w:szCs w:val="22"/>
        </w:rPr>
      </w:r>
    </w:p>
    <w:p>
      <w:pPr>
        <w:pStyle w:val="1066"/>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14.4.2.3.3 - A comprovação do capital social proporcional ao número de cooperados necessários à prestação do serviço; </w:t>
      </w:r>
      <w:r>
        <w:rPr>
          <w:rFonts w:ascii="Cambria" w:hAnsi="Cambria" w:cs="Cambria"/>
          <w:sz w:val="22"/>
          <w:szCs w:val="22"/>
        </w:rPr>
      </w:r>
      <w:r>
        <w:rPr>
          <w:rFonts w:ascii="Cambria" w:hAnsi="Cambria" w:cs="Cambria"/>
          <w:sz w:val="22"/>
          <w:szCs w:val="22"/>
        </w:rPr>
      </w:r>
    </w:p>
    <w:p>
      <w:pPr>
        <w:pStyle w:val="1066"/>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14.4.2.3.4 - O registro previsto na Lei n. 5.764, de 1971, art. 107;</w:t>
      </w:r>
      <w:r>
        <w:rPr>
          <w:rFonts w:ascii="Cambria" w:hAnsi="Cambria" w:cs="Cambria"/>
          <w:sz w:val="22"/>
          <w:szCs w:val="22"/>
        </w:rPr>
      </w:r>
      <w:r>
        <w:rPr>
          <w:rFonts w:ascii="Cambria" w:hAnsi="Cambria" w:cs="Cambria"/>
          <w:sz w:val="22"/>
          <w:szCs w:val="22"/>
        </w:rPr>
      </w:r>
    </w:p>
    <w:p>
      <w:pPr>
        <w:pStyle w:val="1066"/>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14.4.2.3.5 - A comprovação de integração das respectivas quotas-partes por parte dos cooperados que executarão o contrato; e</w:t>
      </w:r>
      <w:r>
        <w:rPr>
          <w:rFonts w:ascii="Cambria" w:hAnsi="Cambria" w:cs="Cambria"/>
          <w:sz w:val="22"/>
          <w:szCs w:val="22"/>
        </w:rPr>
      </w:r>
      <w:r>
        <w:rPr>
          <w:rFonts w:ascii="Cambria" w:hAnsi="Cambria" w:cs="Cambria"/>
          <w:sz w:val="22"/>
          <w:szCs w:val="22"/>
        </w:rPr>
      </w:r>
    </w:p>
    <w:p>
      <w:pPr>
        <w:pStyle w:val="1066"/>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14.4.2.3.6 - Os seguintes documentos p</w:t>
      </w:r>
      <w:r>
        <w:rPr>
          <w:rFonts w:ascii="Cambria" w:hAnsi="Cambria" w:cs="Cambria"/>
          <w:sz w:val="22"/>
          <w:szCs w:val="22"/>
        </w:rPr>
        <w:t xml:space="preserve">ara a comprovação da regularidade jurídica da cooperativa: </w:t>
      </w:r>
      <w:r>
        <w:rPr>
          <w:rFonts w:ascii="Cambria" w:hAnsi="Cambria" w:cs="Cambria"/>
          <w:sz w:val="22"/>
          <w:szCs w:val="22"/>
        </w:rPr>
      </w:r>
    </w:p>
    <w:p>
      <w:pPr>
        <w:pStyle w:val="1066"/>
        <w:numPr>
          <w:ilvl w:val="0"/>
          <w:numId w:val="0"/>
        </w:numPr>
        <w:ind w:left="709"/>
        <w:spacing w:before="0" w:after="0" w:line="312" w:lineRule="auto"/>
        <w:rPr>
          <w:rFonts w:ascii="Cambria" w:hAnsi="Cambria" w:cs="Cambria"/>
          <w:sz w:val="22"/>
          <w:szCs w:val="22"/>
        </w:rPr>
      </w:pPr>
      <w:r>
        <w:rPr>
          <w:rFonts w:ascii="Cambria" w:hAnsi="Cambria" w:cs="Cambria"/>
          <w:sz w:val="22"/>
          <w:szCs w:val="22"/>
        </w:rPr>
        <w:t xml:space="preserve">a) ata de fundação; </w:t>
      </w:r>
      <w:r>
        <w:rPr>
          <w:rFonts w:ascii="Cambria" w:hAnsi="Cambria" w:cs="Cambria"/>
          <w:sz w:val="22"/>
          <w:szCs w:val="22"/>
        </w:rPr>
      </w:r>
    </w:p>
    <w:p>
      <w:pPr>
        <w:pStyle w:val="1066"/>
        <w:numPr>
          <w:ilvl w:val="0"/>
          <w:numId w:val="0"/>
        </w:numPr>
        <w:ind w:left="709"/>
        <w:spacing w:before="0" w:after="0" w:line="312" w:lineRule="auto"/>
        <w:rPr>
          <w:rFonts w:ascii="Cambria" w:hAnsi="Cambria" w:cs="Cambria"/>
          <w:sz w:val="22"/>
          <w:szCs w:val="22"/>
        </w:rPr>
      </w:pPr>
      <w:r>
        <w:rPr>
          <w:rFonts w:ascii="Cambria" w:hAnsi="Cambria" w:cs="Cambria"/>
          <w:sz w:val="22"/>
          <w:szCs w:val="22"/>
        </w:rPr>
        <w:t xml:space="preserve">b) estatuto social com a ata da assembleia que o aprovou; c) regimento dos fundos instituídos pelos cooperados, com a ata da assembleia; </w:t>
      </w:r>
      <w:r>
        <w:rPr>
          <w:rFonts w:ascii="Cambria" w:hAnsi="Cambria" w:cs="Cambria"/>
          <w:sz w:val="22"/>
          <w:szCs w:val="22"/>
        </w:rPr>
      </w:r>
    </w:p>
    <w:p>
      <w:pPr>
        <w:pStyle w:val="1066"/>
        <w:numPr>
          <w:ilvl w:val="0"/>
          <w:numId w:val="0"/>
        </w:numPr>
        <w:ind w:left="709"/>
        <w:spacing w:before="0" w:after="0" w:line="312" w:lineRule="auto"/>
        <w:rPr>
          <w:rFonts w:ascii="Cambria" w:hAnsi="Cambria" w:cs="Cambria"/>
          <w:sz w:val="22"/>
          <w:szCs w:val="22"/>
        </w:rPr>
      </w:pPr>
      <w:r>
        <w:rPr>
          <w:rFonts w:ascii="Cambria" w:hAnsi="Cambria" w:cs="Cambria"/>
          <w:sz w:val="22"/>
          <w:szCs w:val="22"/>
        </w:rPr>
        <w:t xml:space="preserve">d) editais de convocação das três última</w:t>
      </w:r>
      <w:r>
        <w:rPr>
          <w:rFonts w:ascii="Cambria" w:hAnsi="Cambria" w:cs="Cambria"/>
          <w:sz w:val="22"/>
          <w:szCs w:val="22"/>
        </w:rPr>
        <w:t xml:space="preserve">s assembleias gerais extraordinárias; </w:t>
      </w:r>
      <w:r>
        <w:rPr>
          <w:rFonts w:ascii="Cambria" w:hAnsi="Cambria" w:cs="Cambria"/>
          <w:sz w:val="22"/>
          <w:szCs w:val="22"/>
        </w:rPr>
      </w:r>
    </w:p>
    <w:p>
      <w:pPr>
        <w:pStyle w:val="1066"/>
        <w:numPr>
          <w:ilvl w:val="0"/>
          <w:numId w:val="0"/>
        </w:numPr>
        <w:ind w:left="709"/>
        <w:spacing w:before="0" w:after="0" w:line="312" w:lineRule="auto"/>
        <w:rPr>
          <w:rFonts w:ascii="Cambria" w:hAnsi="Cambria" w:cs="Cambria"/>
          <w:sz w:val="22"/>
          <w:szCs w:val="22"/>
        </w:rPr>
      </w:pPr>
      <w:r>
        <w:rPr>
          <w:rFonts w:ascii="Cambria" w:hAnsi="Cambria" w:cs="Cambria"/>
          <w:sz w:val="22"/>
          <w:szCs w:val="22"/>
        </w:rPr>
        <w:t xml:space="preserve">e) três registros de presença dos cooperados que executarão o contrato em assembleias gerais ou nas reuniões seccionais; e f) ata da sessão que os cooperados autorizaram a cooperativa a contratar o objeto da licitação;</w:t>
      </w:r>
      <w:r/>
      <w:r/>
    </w:p>
    <w:p>
      <w:pPr>
        <w:pStyle w:val="1066"/>
        <w:numPr>
          <w:ilvl w:val="0"/>
          <w:numId w:val="0"/>
        </w:numPr>
        <w:spacing w:before="0" w:after="0" w:line="312" w:lineRule="auto"/>
        <w:rPr>
          <w:rFonts w:ascii="Cambria" w:hAnsi="Cambria" w:cs="Cambria"/>
          <w:sz w:val="22"/>
          <w:szCs w:val="22"/>
        </w:rPr>
      </w:pPr>
      <w:r>
        <w:rPr>
          <w:rFonts w:ascii="Cambria" w:hAnsi="Cambria" w:cs="Cambria"/>
          <w:sz w:val="22"/>
          <w:szCs w:val="22"/>
        </w:rPr>
        <w:t xml:space="preserve">14.4.2.3.7 - A última auditoria contábil-financeira da cooperativa, conforme dispõe o art. 112 da Lei n. 5.764, de 1971, ou uma declaração, sob as penas da lei, de que tal auditoria não foi exigida pelo órgão fiscalizador.</w:t>
      </w:r>
      <w:r>
        <w:rPr>
          <w:rFonts w:ascii="Cambria" w:hAnsi="Cambria" w:cs="Cambria"/>
          <w:sz w:val="22"/>
          <w:szCs w:val="22"/>
        </w:rPr>
      </w:r>
      <w:r>
        <w:rPr>
          <w:rFonts w:ascii="Cambria" w:hAnsi="Cambria" w:cs="Cambria"/>
          <w:sz w:val="22"/>
          <w:szCs w:val="22"/>
        </w:rPr>
      </w:r>
    </w:p>
    <w:p>
      <w:pPr>
        <w:pStyle w:val="1066"/>
        <w:numPr>
          <w:ilvl w:val="0"/>
          <w:numId w:val="0"/>
        </w:numPr>
        <w:spacing w:before="0" w:after="0" w:line="312" w:lineRule="auto"/>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1047"/>
        <w:numPr>
          <w:ilvl w:val="0"/>
          <w:numId w:val="0"/>
        </w:numPr>
        <w:spacing w:before="0" w:line="312" w:lineRule="auto"/>
        <w:rPr>
          <w:rFonts w:ascii="Cambria" w:hAnsi="Cambria" w:cs="Cambria"/>
          <w:sz w:val="22"/>
          <w:szCs w:val="22"/>
        </w:rPr>
      </w:pPr>
      <w:r>
        <w:rPr>
          <w:rFonts w:ascii="Cambria" w:hAnsi="Cambria" w:cs="Cambria"/>
          <w:sz w:val="22"/>
          <w:szCs w:val="22"/>
        </w:rPr>
        <w:t xml:space="preserve">15 - ESTIMATIVAS DO VALOR DA CONTRATAÇÃO</w:t>
      </w:r>
      <w:r>
        <w:rPr>
          <w:rFonts w:ascii="Cambria" w:hAnsi="Cambria" w:cs="Cambria"/>
          <w:sz w:val="22"/>
          <w:szCs w:val="22"/>
        </w:rPr>
      </w:r>
      <w:r>
        <w:rPr>
          <w:rFonts w:ascii="Cambria" w:hAnsi="Cambria" w:cs="Cambria"/>
          <w:sz w:val="22"/>
          <w:szCs w:val="22"/>
        </w:rPr>
      </w:r>
    </w:p>
    <w:p>
      <w:pPr>
        <w:jc w:val="left"/>
        <w:rPr>
          <w:rFonts w:ascii="Cambria" w:hAnsi="Cambria" w:cs="Cambria"/>
          <w:bCs w:val="0"/>
          <w:color w:val="000000"/>
        </w:rPr>
      </w:pPr>
      <w:r>
        <w:rPr>
          <w:rFonts w:ascii="Cambria" w:hAnsi="Cambria" w:cs="Cambria"/>
          <w:i w:val="0"/>
          <w:iCs w:val="0"/>
          <w:color w:val="auto"/>
          <w:sz w:val="22"/>
          <w:szCs w:val="22"/>
        </w:rPr>
        <w:t xml:space="preserve">15.1 - O custo estimado total da contratação é de</w:t>
      </w:r>
      <w:r>
        <w:rPr>
          <w:rFonts w:ascii="Cambria" w:hAnsi="Cambria" w:cs="Cambria"/>
          <w:i w:val="0"/>
          <w:iCs w:val="0"/>
          <w:sz w:val="22"/>
          <w:szCs w:val="22"/>
        </w:rPr>
        <w:t xml:space="preserve"> </w:t>
      </w:r>
      <w:r>
        <w:rPr>
          <w:rFonts w:ascii="Cambria" w:hAnsi="Cambria" w:cs="Cambria"/>
          <w:b w:val="0"/>
          <w:bCs w:val="0"/>
          <w:i w:val="0"/>
          <w:iCs w:val="0"/>
          <w:color w:val="000000" w:themeColor="text1"/>
          <w:sz w:val="22"/>
          <w:szCs w:val="22"/>
          <w:highlight w:val="none"/>
        </w:rPr>
        <w:t xml:space="preserve">R$ 25.712,88 (vinte e cinco mil, setecentos e doze reais e oitenta de oito centavos )- 12 MESES</w:t>
      </w:r>
      <w:r>
        <w:rPr>
          <w:rFonts w:ascii="Cambria" w:hAnsi="Cambria" w:cs="Cambria"/>
          <w:i w:val="0"/>
          <w:iCs w:val="0"/>
          <w:sz w:val="22"/>
          <w:szCs w:val="22"/>
        </w:rPr>
        <w:t xml:space="preserve"> </w:t>
      </w:r>
      <w:r>
        <w:rPr>
          <w:rFonts w:ascii="Cambria" w:hAnsi="Cambria" w:cs="Cambria"/>
          <w:i w:val="0"/>
          <w:iCs w:val="0"/>
          <w:color w:val="auto"/>
          <w:sz w:val="22"/>
          <w:szCs w:val="22"/>
        </w:rPr>
        <w:t xml:space="preserve">conforme custos </w:t>
      </w:r>
      <w:r>
        <w:rPr>
          <w:rFonts w:ascii="Cambria" w:hAnsi="Cambria" w:cs="Cambria"/>
          <w:b w:val="0"/>
          <w:bCs w:val="0"/>
          <w:i w:val="0"/>
          <w:color w:val="000000"/>
          <w:sz w:val="22"/>
          <w:szCs w:val="22"/>
        </w:rPr>
        <w:t xml:space="preserve">mensais relacionados no ETP.</w:t>
      </w:r>
      <w:r>
        <w:rPr>
          <w:rFonts w:ascii="Cambria" w:hAnsi="Cambria" w:cs="Cambria"/>
          <w:b w:val="0"/>
          <w:bCs w:val="0"/>
          <w:i w:val="0"/>
          <w:color w:val="000000"/>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iCs w:val="0"/>
          <w:color w:val="auto"/>
          <w:sz w:val="22"/>
          <w:szCs w:val="22"/>
        </w:rPr>
      </w:r>
      <w:r>
        <w:rPr>
          <w:rFonts w:ascii="Cambria" w:hAnsi="Cambria" w:cs="Cambria"/>
          <w:i w:val="0"/>
          <w:iCs w:val="0"/>
          <w:color w:val="auto"/>
          <w:sz w:val="22"/>
          <w:szCs w:val="22"/>
        </w:rPr>
      </w:r>
      <w:r>
        <w:rPr>
          <w:rFonts w:ascii="Cambria" w:hAnsi="Cambria" w:cs="Cambria"/>
          <w:sz w:val="22"/>
          <w:szCs w:val="22"/>
        </w:rPr>
      </w:r>
    </w:p>
    <w:p>
      <w:pPr>
        <w:jc w:val="both"/>
        <w:spacing w:line="276" w:lineRule="auto"/>
        <w:widowControl w:val="off"/>
        <w:rPr>
          <w:rFonts w:ascii="Cambria" w:hAnsi="Cambria" w:cs="Cambria"/>
          <w:sz w:val="22"/>
          <w:szCs w:val="22"/>
        </w:rPr>
      </w:pPr>
      <w:r>
        <w:rPr>
          <w:rFonts w:ascii="Cambria" w:hAnsi="Cambria" w:eastAsia="Calibri" w:cs="Cambria"/>
          <w:b/>
          <w:bCs/>
          <w:sz w:val="22"/>
          <w:szCs w:val="22"/>
          <w:lang w:eastAsia="en-US"/>
        </w:rPr>
        <w:t xml:space="preserve">16 - ALTERAÇÃO SUBJETIVA</w:t>
      </w:r>
      <w:r>
        <w:rPr>
          <w:rFonts w:ascii="Cambria" w:hAnsi="Cambria" w:eastAsia="Calibri" w:cs="Cambria"/>
          <w:b/>
          <w:bCs/>
          <w:sz w:val="22"/>
          <w:szCs w:val="22"/>
          <w:lang w:eastAsia="en-US"/>
        </w:rPr>
      </w:r>
      <w:r>
        <w:rPr>
          <w:rFonts w:ascii="Cambria" w:hAnsi="Cambria" w:cs="Cambria"/>
          <w:sz w:val="22"/>
          <w:szCs w:val="22"/>
        </w:rPr>
      </w:r>
    </w:p>
    <w:p>
      <w:pPr>
        <w:jc w:val="both"/>
        <w:spacing w:line="276" w:lineRule="auto"/>
        <w:tabs>
          <w:tab w:val="left" w:pos="993" w:leader="none"/>
        </w:tabs>
        <w:rPr>
          <w:rFonts w:ascii="Cambria" w:hAnsi="Cambria" w:cs="Cambria"/>
          <w:sz w:val="22"/>
          <w:szCs w:val="22"/>
        </w:rPr>
      </w:pPr>
      <w:r>
        <w:rPr>
          <w:rFonts w:ascii="Cambria" w:hAnsi="Cambria" w:eastAsia="Calibri" w:cs="Cambria"/>
          <w:sz w:val="22"/>
          <w:szCs w:val="22"/>
          <w:lang w:eastAsia="en-US"/>
        </w:rPr>
        <w:t xml:space="preserve">16.1 - É admissível a fusão, cisão ou incorporação da contratada com/em outra pessoa jurídica, desde que sejam observados pela nova pessoa</w:t>
      </w:r>
      <w:r>
        <w:rPr>
          <w:rFonts w:ascii="Cambria" w:hAnsi="Cambria" w:eastAsia="Calibri" w:cs="Cambria"/>
          <w:sz w:val="22"/>
          <w:szCs w:val="22"/>
          <w:lang w:eastAsia="en-US"/>
        </w:rPr>
        <w:t xml:space="preserve">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Pr>
          <w:rFonts w:ascii="Cambria" w:hAnsi="Cambria" w:eastAsia="Calibri" w:cs="Cambria"/>
          <w:sz w:val="22"/>
          <w:szCs w:val="22"/>
          <w:lang w:eastAsia="en-US"/>
        </w:rPr>
      </w:r>
      <w:r>
        <w:rPr>
          <w:rFonts w:ascii="Cambria" w:hAnsi="Cambria" w:cs="Cambria"/>
          <w:sz w:val="22"/>
          <w:szCs w:val="22"/>
        </w:rPr>
      </w:r>
    </w:p>
    <w:p>
      <w:pPr>
        <w:jc w:val="both"/>
        <w:spacing w:line="276" w:lineRule="auto"/>
        <w:tabs>
          <w:tab w:val="left" w:pos="993" w:leader="none"/>
        </w:tabs>
        <w:rPr>
          <w:rFonts w:ascii="Cambria" w:hAnsi="Cambria" w:cs="Cambria"/>
          <w:sz w:val="22"/>
          <w:szCs w:val="22"/>
        </w:rPr>
      </w:pPr>
      <w:r>
        <w:rPr>
          <w:rFonts w:ascii="Cambria" w:hAnsi="Cambria" w:eastAsia="Calibri" w:cs="Cambria"/>
          <w:sz w:val="22"/>
          <w:szCs w:val="22"/>
          <w:lang w:eastAsia="en-US"/>
        </w:rPr>
      </w:r>
      <w:r>
        <w:rPr>
          <w:rFonts w:ascii="Cambria" w:hAnsi="Cambria" w:eastAsia="Calibri" w:cs="Cambria"/>
          <w:sz w:val="22"/>
          <w:szCs w:val="22"/>
          <w:lang w:eastAsia="en-US"/>
        </w:rPr>
      </w:r>
      <w:r>
        <w:rPr>
          <w:rFonts w:ascii="Cambria" w:hAnsi="Cambria" w:cs="Cambria"/>
          <w:sz w:val="22"/>
          <w:szCs w:val="22"/>
        </w:rPr>
      </w:r>
    </w:p>
    <w:p>
      <w:pPr>
        <w:pStyle w:val="1061"/>
        <w:ind w:left="0" w:firstLine="0"/>
        <w:spacing w:before="0" w:after="0"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color w:val="auto"/>
          <w:sz w:val="22"/>
          <w:szCs w:val="22"/>
        </w:rPr>
        <w:t xml:space="preserve">17 - DOTAÇÃO ORÇAMENTÁRIA </w:t>
      </w:r>
      <w:r>
        <w:rPr>
          <w:rFonts w:ascii="Cambria" w:hAnsi="Cambria" w:cs="Cambria"/>
          <w:color w:val="auto"/>
          <w:sz w:val="22"/>
          <w:szCs w:val="22"/>
        </w:rPr>
      </w:r>
      <w:r>
        <w:rPr>
          <w:rFonts w:ascii="Cambria" w:hAnsi="Cambria" w:cs="Cambria"/>
          <w:sz w:val="22"/>
          <w:szCs w:val="22"/>
        </w:rPr>
      </w:r>
    </w:p>
    <w:p>
      <w:pPr>
        <w:jc w:val="both"/>
        <w:spacing w:line="312" w:lineRule="auto"/>
        <w:tabs>
          <w:tab w:val="left" w:pos="426" w:leader="none"/>
        </w:tabs>
        <w:rPr>
          <w:rFonts w:ascii="Cambria" w:hAnsi="Cambria" w:cs="Cambria"/>
          <w:sz w:val="22"/>
          <w:szCs w:val="22"/>
        </w:rPr>
      </w:pPr>
      <w:r>
        <w:rPr>
          <w:rFonts w:ascii="Cambria" w:hAnsi="Cambria" w:cs="Cambria"/>
          <w:sz w:val="22"/>
          <w:szCs w:val="22"/>
        </w:rPr>
        <w:t xml:space="preserve">17.1 - </w:t>
      </w:r>
      <w:r>
        <w:rPr>
          <w:rFonts w:ascii="Cambria" w:hAnsi="Cambria" w:eastAsia="Calibri" w:cs="Cambria"/>
          <w:sz w:val="22"/>
          <w:szCs w:val="22"/>
          <w:lang w:eastAsia="en-US"/>
        </w:rPr>
        <w:t xml:space="preserve">As classificações orçamentárias para suportar a presente despesa constam da programação orçamentária da Secretaria Municipal de Administração</w:t>
      </w:r>
      <w:r>
        <w:rPr>
          <w:rFonts w:ascii="Cambria" w:hAnsi="Cambria" w:eastAsia="Calibri" w:cs="Cambria"/>
          <w:sz w:val="22"/>
          <w:szCs w:val="22"/>
          <w:lang w:eastAsia="en-US"/>
        </w:rPr>
        <w:t xml:space="preserve"> que serão devidamente identificadas no momento da efetiva contratação.</w:t>
      </w:r>
      <w:r>
        <w:rPr>
          <w:rFonts w:ascii="Cambria" w:hAnsi="Cambria" w:cs="Cambria"/>
          <w:iCs/>
          <w:sz w:val="22"/>
          <w:szCs w:val="22"/>
        </w:rPr>
      </w:r>
      <w:r>
        <w:rPr>
          <w:rFonts w:ascii="Cambria" w:hAnsi="Cambria" w:cs="Cambria"/>
          <w:sz w:val="22"/>
          <w:szCs w:val="22"/>
        </w:rPr>
      </w:r>
    </w:p>
    <w:p>
      <w:pPr>
        <w:pStyle w:val="1111"/>
        <w:numPr>
          <w:ilvl w:val="0"/>
          <w:numId w:val="0"/>
        </w:numPr>
        <w:spacing w:before="0" w:after="0" w:line="312" w:lineRule="auto"/>
        <w:rPr>
          <w:rFonts w:ascii="Cambria" w:hAnsi="Cambria" w:cs="Cambria"/>
          <w:sz w:val="22"/>
          <w:szCs w:val="22"/>
        </w:rPr>
      </w:pPr>
      <w:r>
        <w:rPr>
          <w:rFonts w:ascii="Cambria" w:hAnsi="Cambria" w:cs="Cambria"/>
          <w:i w:val="0"/>
          <w:color w:val="auto"/>
          <w:sz w:val="22"/>
          <w:szCs w:val="22"/>
        </w:rPr>
      </w:r>
      <w:r>
        <w:rPr>
          <w:rFonts w:ascii="Cambria" w:hAnsi="Cambria" w:cs="Cambria"/>
          <w:i w:val="0"/>
          <w:color w:val="auto"/>
          <w:sz w:val="22"/>
          <w:szCs w:val="22"/>
        </w:rPr>
      </w:r>
      <w:r>
        <w:rPr>
          <w:rFonts w:ascii="Cambria" w:hAnsi="Cambria" w:cs="Cambria"/>
          <w:sz w:val="22"/>
          <w:szCs w:val="22"/>
        </w:rPr>
      </w:r>
    </w:p>
    <w:p>
      <w:pPr>
        <w:jc w:val="right"/>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b/>
          <w:iCs/>
          <w:sz w:val="22"/>
          <w:szCs w:val="22"/>
        </w:rPr>
        <w:t xml:space="preserve">Santa Bárbara do Sul/RS, 14 de fevereiro de 2024.</w:t>
      </w:r>
      <w:r>
        <w:rPr>
          <w:rFonts w:ascii="Cambria" w:hAnsi="Cambria" w:cs="Cambria"/>
          <w:sz w:val="22"/>
          <w:szCs w:val="22"/>
        </w:rPr>
      </w:r>
    </w:p>
    <w:p>
      <w:pPr>
        <w:jc w:val="right"/>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iCs/>
          <w:sz w:val="22"/>
          <w:szCs w:val="22"/>
        </w:rPr>
      </w:r>
      <w:r>
        <w:rPr>
          <w:rFonts w:ascii="Cambria" w:hAnsi="Cambria" w:cs="Cambria"/>
          <w:iCs/>
          <w:sz w:val="22"/>
          <w:szCs w:val="22"/>
        </w:rPr>
      </w:r>
    </w:p>
    <w:p>
      <w:pPr>
        <w:jc w:val="right"/>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iCs/>
          <w:sz w:val="22"/>
          <w:szCs w:val="22"/>
        </w:rPr>
      </w:r>
      <w:r>
        <w:rPr>
          <w:rFonts w:ascii="Cambria" w:hAnsi="Cambria" w:cs="Cambria"/>
          <w:iCs/>
          <w:sz w:val="22"/>
          <w:szCs w:val="22"/>
        </w:rP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iCs/>
          <w:sz w:val="22"/>
          <w:szCs w:val="22"/>
        </w:rPr>
      </w:r>
      <w:r>
        <w:rPr>
          <w:rFonts w:ascii="Cambria" w:hAnsi="Cambria" w:cs="Cambria"/>
          <w:iCs/>
          <w:sz w:val="22"/>
          <w:szCs w:val="22"/>
        </w:rP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iCs/>
          <w:sz w:val="22"/>
          <w:szCs w:val="22"/>
        </w:rPr>
      </w:r>
      <w:r>
        <w:rPr>
          <w:rFonts w:ascii="Cambria" w:hAnsi="Cambria" w:cs="Cambria"/>
          <w:iCs/>
          <w:sz w:val="22"/>
          <w:szCs w:val="22"/>
        </w:rP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iCs/>
          <w:sz w:val="22"/>
          <w:szCs w:val="22"/>
        </w:rPr>
      </w:r>
      <w:r>
        <w:rPr>
          <w:rFonts w:ascii="Cambria" w:hAnsi="Cambria" w:cs="Cambria"/>
          <w:iCs/>
          <w:sz w:val="22"/>
          <w:szCs w:val="22"/>
        </w:rP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iCs/>
          <w:sz w:val="22"/>
          <w:szCs w:val="22"/>
        </w:rPr>
      </w:r>
      <w:r>
        <w:rPr>
          <w:rFonts w:ascii="Cambria" w:hAnsi="Cambria" w:cs="Cambria"/>
          <w:iCs/>
          <w:sz w:val="22"/>
          <w:szCs w:val="22"/>
        </w:rP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highlight w:val="none"/>
        </w:rPr>
      </w:pPr>
      <w:r>
        <w:rPr>
          <w:rFonts w:ascii="Cambria" w:hAnsi="Cambria" w:cs="Cambria"/>
          <w:iCs/>
          <w:sz w:val="22"/>
          <w:szCs w:val="22"/>
        </w:rPr>
        <w:t xml:space="preserve">Vanessa Geller</w:t>
      </w:r>
      <w:r>
        <w:rPr>
          <w:rFonts w:ascii="Cambria" w:hAnsi="Cambria" w:cs="Cambria"/>
          <w:iCs/>
          <w:sz w:val="22"/>
          <w:szCs w:val="22"/>
        </w:rPr>
      </w:r>
      <w:r>
        <w:rPr>
          <w:rFonts w:ascii="Cambria" w:hAnsi="Cambria" w:cs="Cambria"/>
          <w:sz w:val="22"/>
          <w:szCs w:val="22"/>
        </w:rP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highlight w:val="none"/>
        </w:rPr>
      </w:pPr>
      <w:r>
        <w:rPr>
          <w:rFonts w:ascii="Cambria" w:hAnsi="Cambria" w:cs="Cambria"/>
          <w:iCs/>
          <w:sz w:val="22"/>
          <w:szCs w:val="22"/>
          <w:highlight w:val="none"/>
        </w:rPr>
        <w:t xml:space="preserve">Secretária de Administração</w:t>
      </w:r>
      <w:r>
        <w:rPr>
          <w:rFonts w:ascii="Cambria" w:hAnsi="Cambria" w:cs="Cambria"/>
          <w:iCs/>
          <w:sz w:val="22"/>
          <w:szCs w:val="22"/>
          <w:highlight w:val="none"/>
        </w:rP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p>
    <w:p>
      <w:pPr>
        <w:ind w:right="-30"/>
        <w:jc w:val="center"/>
        <w:spacing w:line="360" w:lineRule="auto"/>
        <w:widowControl w:val="off"/>
      </w:pPr>
      <w:r>
        <w:rPr>
          <w:rFonts w:ascii="Cambria" w:hAnsi="Cambria" w:cs="Cambria"/>
          <w:color w:val="000000"/>
          <w:sz w:val="22"/>
          <w:szCs w:val="22"/>
        </w:rPr>
        <w:t xml:space="preserve">ANEXO V</w:t>
      </w:r>
      <w:r>
        <w:rPr>
          <w:rFonts w:ascii="Cambria" w:hAnsi="Cambria" w:cs="Cambria"/>
          <w:sz w:val="22"/>
          <w:szCs w:val="22"/>
        </w:rPr>
      </w:r>
      <w:r/>
    </w:p>
    <w:p>
      <w:pPr>
        <w:ind w:right="-30"/>
        <w:jc w:val="center"/>
        <w:spacing w:line="360" w:lineRule="auto"/>
        <w:widowControl w:val="off"/>
      </w:pPr>
      <w:r>
        <w:rPr>
          <w:rFonts w:ascii="Cambria" w:hAnsi="Cambria" w:cs="Cambria"/>
          <w:color w:val="000000"/>
          <w:sz w:val="22"/>
          <w:szCs w:val="22"/>
        </w:rPr>
      </w:r>
      <w:r>
        <w:rPr>
          <w:rFonts w:ascii="Cambria" w:hAnsi="Cambria" w:cs="Cambria"/>
        </w:rPr>
      </w:r>
      <w:r/>
    </w:p>
    <w:p>
      <w:pPr>
        <w:pStyle w:val="844"/>
        <w:jc w:val="center"/>
        <w:spacing w:line="360" w:lineRule="auto"/>
      </w:pPr>
      <w:r>
        <w:rPr>
          <w:rFonts w:ascii="Cambria" w:hAnsi="Cambria" w:cs="Cambria"/>
          <w:b/>
          <w:sz w:val="22"/>
          <w:szCs w:val="22"/>
        </w:rPr>
        <w:t xml:space="preserve">ESTADO DO RIO GRANDE DO SUL</w:t>
      </w:r>
      <w:r>
        <w:rPr>
          <w:rFonts w:ascii="Cambria" w:hAnsi="Cambria" w:cs="Cambria"/>
        </w:rPr>
      </w:r>
      <w:r/>
    </w:p>
    <w:p>
      <w:pPr>
        <w:pStyle w:val="844"/>
        <w:jc w:val="center"/>
        <w:spacing w:line="360" w:lineRule="auto"/>
      </w:pPr>
      <w:r>
        <w:rPr>
          <w:rFonts w:ascii="Cambria" w:hAnsi="Cambria" w:cs="Cambria"/>
          <w:b/>
          <w:sz w:val="22"/>
          <w:szCs w:val="22"/>
        </w:rPr>
        <w:t xml:space="preserve">PREFEITURA MUNICIPAL DE SANTA BÁRBARA DO SUL</w:t>
      </w:r>
      <w:r>
        <w:rPr>
          <w:rFonts w:ascii="Cambria" w:hAnsi="Cambria" w:cs="Cambria"/>
        </w:rPr>
      </w:r>
      <w:r/>
    </w:p>
    <w:p>
      <w:pPr>
        <w:pStyle w:val="844"/>
        <w:jc w:val="center"/>
        <w:spacing w:line="360" w:lineRule="auto"/>
      </w:pPr>
      <w:r>
        <w:rPr>
          <w:rFonts w:ascii="Cambria" w:hAnsi="Cambria" w:cs="Cambria"/>
          <w:b/>
          <w:sz w:val="22"/>
          <w:szCs w:val="22"/>
        </w:rPr>
        <w:t xml:space="preserve">AVISO DE LICITAÇÃO</w:t>
      </w:r>
      <w:r>
        <w:rPr>
          <w:rFonts w:ascii="Cambria" w:hAnsi="Cambria" w:cs="Cambria"/>
        </w:rPr>
      </w:r>
      <w:r/>
    </w:p>
    <w:p>
      <w:pPr>
        <w:pStyle w:val="844"/>
        <w:jc w:val="both"/>
        <w:spacing w:line="360" w:lineRule="auto"/>
      </w:pPr>
      <w:r>
        <w:rPr>
          <w:rFonts w:ascii="Cambria" w:hAnsi="Cambria" w:cs="Cambria"/>
        </w:rPr>
      </w:r>
      <w:r>
        <w:rPr>
          <w:rFonts w:ascii="Cambria" w:hAnsi="Cambria" w:cs="Cambria"/>
        </w:rPr>
      </w:r>
      <w:r/>
    </w:p>
    <w:p>
      <w:pPr>
        <w:pStyle w:val="844"/>
        <w:jc w:val="both"/>
        <w:spacing w:line="360" w:lineRule="auto"/>
      </w:pPr>
      <w:r>
        <w:rPr>
          <w:rFonts w:ascii="Cambria" w:hAnsi="Cambria" w:cs="Cambria"/>
          <w:color w:val="000000"/>
          <w:sz w:val="22"/>
          <w:szCs w:val="22"/>
          <w:shd w:val="clear" w:color="auto" w:fill="ffffff"/>
        </w:rPr>
        <w:t xml:space="preserve">Torno público abertura do </w:t>
      </w:r>
      <w:r>
        <w:rPr>
          <w:rFonts w:ascii="Cambria" w:hAnsi="Cambria" w:cs="Cambria"/>
          <w:b/>
          <w:color w:val="000000"/>
          <w:sz w:val="22"/>
          <w:szCs w:val="22"/>
          <w:shd w:val="clear" w:color="auto" w:fill="ffffff"/>
        </w:rPr>
        <w:t xml:space="preserve">Processo Licitatório n° 13/2024</w:t>
      </w:r>
      <w:r>
        <w:rPr>
          <w:rFonts w:ascii="Cambria" w:hAnsi="Cambria" w:cs="Cambria"/>
          <w:color w:val="000000"/>
          <w:sz w:val="22"/>
          <w:szCs w:val="22"/>
          <w:shd w:val="clear" w:color="auto" w:fill="ffffff"/>
        </w:rPr>
        <w:t xml:space="preserve">, na modalidade </w:t>
      </w:r>
      <w:r>
        <w:rPr>
          <w:rFonts w:ascii="Cambria" w:hAnsi="Cambria" w:cs="Cambria"/>
          <w:b/>
          <w:sz w:val="22"/>
          <w:szCs w:val="22"/>
          <w:shd w:val="clear" w:color="auto" w:fill="ffffff"/>
        </w:rPr>
        <w:t xml:space="preserve">PREGÃO ELETRÔNICO Nº 03/2024</w:t>
      </w:r>
      <w:r>
        <w:rPr>
          <w:rFonts w:ascii="Cambria" w:hAnsi="Cambria" w:cs="Cambria"/>
          <w:color w:val="000000"/>
          <w:sz w:val="22"/>
          <w:szCs w:val="22"/>
          <w:shd w:val="clear" w:color="auto" w:fill="ffffff"/>
        </w:rPr>
        <w:t xml:space="preserve">, </w:t>
      </w:r>
      <w:r>
        <w:rPr>
          <w:rFonts w:ascii="Cambria" w:hAnsi="Cambria" w:cs="Cambria"/>
          <w:color w:val="000000"/>
          <w:sz w:val="22"/>
          <w:szCs w:val="22"/>
          <w:highlight w:val="none"/>
        </w:rPr>
        <w:t xml:space="preserve">LOCAÇÃO DE CENTRAL TELEFÔNICA  - PABX</w:t>
      </w:r>
      <w:r>
        <w:rPr>
          <w:rFonts w:ascii="Cambria" w:hAnsi="Cambria" w:cs="Cambria"/>
          <w:color w:val="000000"/>
          <w:sz w:val="22"/>
          <w:szCs w:val="22"/>
          <w:highlight w:val="white"/>
        </w:rPr>
        <w:t xml:space="preserve">.</w:t>
      </w:r>
      <w:r>
        <w:rPr>
          <w:rFonts w:ascii="Cambria" w:hAnsi="Cambria" w:cs="Cambria"/>
          <w:color w:val="000000"/>
          <w:sz w:val="22"/>
          <w:szCs w:val="22"/>
          <w:highlight w:val="white"/>
          <w:shd w:val="clear" w:color="auto" w:fill="ffffff"/>
        </w:rPr>
        <w:t xml:space="preserve"> Início das </w:t>
      </w:r>
      <w:r>
        <w:rPr>
          <w:rFonts w:ascii="Cambria" w:hAnsi="Cambria" w:cs="Cambria"/>
          <w:b/>
          <w:color w:val="000000"/>
          <w:sz w:val="22"/>
          <w:szCs w:val="22"/>
          <w:highlight w:val="white"/>
          <w:shd w:val="clear" w:color="auto" w:fill="ffffff"/>
        </w:rPr>
        <w:t xml:space="preserve">Propost</w:t>
      </w:r>
      <w:r>
        <w:rPr>
          <w:rFonts w:ascii="Cambria" w:hAnsi="Cambria" w:cs="Cambria"/>
          <w:b/>
          <w:color w:val="000000"/>
          <w:sz w:val="22"/>
          <w:szCs w:val="22"/>
          <w:highlight w:val="white"/>
          <w:shd w:val="clear" w:color="auto" w:fill="ffffff"/>
        </w:rPr>
        <w:t xml:space="preserve">as:</w:t>
      </w:r>
      <w:r>
        <w:rPr>
          <w:rFonts w:ascii="Cambria" w:hAnsi="Cambria" w:cs="Cambria"/>
          <w:b/>
          <w:color w:val="000000"/>
          <w:sz w:val="22"/>
          <w:szCs w:val="22"/>
          <w:highlight w:val="white"/>
          <w:shd w:val="clear" w:color="auto" w:fill="ffff00"/>
        </w:rPr>
        <w:t xml:space="preserve"> </w:t>
      </w:r>
      <w:r>
        <w:rPr>
          <w:rFonts w:ascii="Cambria" w:hAnsi="Cambria" w:cs="Cambria"/>
          <w:b/>
          <w:color w:val="000000"/>
          <w:sz w:val="22"/>
          <w:szCs w:val="22"/>
          <w:highlight w:val="white"/>
          <w:shd w:val="clear" w:color="auto" w:fill="auto"/>
        </w:rPr>
        <w:t xml:space="preserve">07:59</w:t>
      </w:r>
      <w:r>
        <w:rPr>
          <w:rFonts w:ascii="Cambria" w:hAnsi="Cambria" w:cs="Cambria"/>
          <w:b/>
          <w:color w:val="000000"/>
          <w:sz w:val="22"/>
          <w:szCs w:val="22"/>
          <w:highlight w:val="white"/>
          <w:shd w:val="clear" w:color="auto" w:fill="auto"/>
        </w:rPr>
        <w:t xml:space="preserve">h do dia 20/02/2024</w:t>
      </w:r>
      <w:r>
        <w:rPr>
          <w:rFonts w:ascii="Cambria" w:hAnsi="Cambria" w:cs="Cambria"/>
          <w:b/>
          <w:color w:val="000000"/>
          <w:sz w:val="22"/>
          <w:szCs w:val="22"/>
          <w:highlight w:val="white"/>
          <w:shd w:val="clear" w:color="auto" w:fill="auto"/>
        </w:rPr>
        <w:t xml:space="preserve"> até às 07:59h do dia 05/03/2024. Início da sessão Pública: às 08hs do dia 05/03/2024</w:t>
      </w:r>
      <w:r>
        <w:rPr>
          <w:rFonts w:ascii="Cambria" w:hAnsi="Cambria" w:cs="Cambria"/>
          <w:color w:val="000000"/>
          <w:sz w:val="22"/>
          <w:szCs w:val="22"/>
          <w:highlight w:val="white"/>
          <w:shd w:val="clear" w:color="auto" w:fill="ffffff"/>
        </w:rPr>
        <w:t xml:space="preserve">,</w:t>
      </w:r>
      <w:r>
        <w:rPr>
          <w:rFonts w:ascii="Cambria" w:hAnsi="Cambria" w:cs="Cambria"/>
          <w:color w:val="000000"/>
          <w:sz w:val="22"/>
          <w:szCs w:val="22"/>
          <w:highlight w:val="white"/>
          <w:shd w:val="clear" w:color="auto" w:fill="ffffff"/>
        </w:rPr>
        <w:t xml:space="preserve"> </w:t>
      </w:r>
      <w:r>
        <w:rPr>
          <w:rFonts w:ascii="Cambria" w:hAnsi="Cambria" w:cs="Cambria"/>
          <w:sz w:val="22"/>
          <w:szCs w:val="22"/>
          <w:highlight w:val="white"/>
          <w:shd w:val="clear" w:color="auto" w:fill="ffffff"/>
        </w:rPr>
        <w:t xml:space="preserve">todos via portal </w:t>
      </w:r>
      <w:hyperlink r:id="rId51" w:tooltip="http://www.cidadecompras.com.br/" w:history="1">
        <w:r>
          <w:rPr>
            <w:rStyle w:val="1_17764"/>
            <w:rFonts w:ascii="Cambria" w:hAnsi="Cambria" w:cs="Cambria"/>
            <w:sz w:val="22"/>
            <w:szCs w:val="22"/>
            <w:highlight w:val="white"/>
          </w:rPr>
          <w:t xml:space="preserve">www.pregaobanrisul.com.br</w:t>
        </w:r>
      </w:hyperlink>
      <w:r>
        <w:rPr>
          <w:rFonts w:ascii="Cambria" w:hAnsi="Cambria" w:cs="Cambria"/>
          <w:bCs/>
          <w:iCs/>
          <w:color w:val="000000"/>
          <w:sz w:val="22"/>
          <w:szCs w:val="22"/>
          <w:highlight w:val="white"/>
          <w:shd w:val="clear" w:color="auto" w:fill="ffffff"/>
        </w:rPr>
        <w:t xml:space="preserve">, no horário de </w:t>
      </w:r>
      <w:r>
        <w:rPr>
          <w:rFonts w:ascii="Cambria" w:hAnsi="Cambria" w:cs="Cambria"/>
          <w:bCs/>
          <w:iCs/>
          <w:color w:val="000000"/>
          <w:sz w:val="22"/>
          <w:szCs w:val="22"/>
          <w:highlight w:val="white"/>
        </w:rPr>
        <w:t xml:space="preserve">Brasília – DF.</w:t>
      </w:r>
      <w:r>
        <w:rPr>
          <w:rFonts w:ascii="Cambria" w:hAnsi="Cambria" w:cs="Cambria"/>
          <w:sz w:val="22"/>
          <w:szCs w:val="22"/>
          <w:highlight w:val="white"/>
        </w:rPr>
        <w:t xml:space="preserve"> O Edital e informações comple</w:t>
      </w:r>
      <w:r>
        <w:rPr>
          <w:rFonts w:ascii="Cambria" w:hAnsi="Cambria" w:cs="Cambria"/>
          <w:sz w:val="22"/>
          <w:szCs w:val="22"/>
        </w:rPr>
        <w:t xml:space="preserve">mentares encontram-se a disposição dos interessados, junto à Comissão de Licitações, sito a Av. Eduardo de Brito, 101, Fone: 0xx 55 3372 3200, no horário de expediente e nos Sites: </w:t>
      </w:r>
      <w:hyperlink r:id="rId52" w:tooltip="http://www.pregaobanrisul.com.br/" w:history="1">
        <w:r>
          <w:rPr>
            <w:rStyle w:val="1_17764"/>
            <w:rFonts w:ascii="Cambria" w:hAnsi="Cambria" w:cs="Cambria"/>
            <w:sz w:val="22"/>
            <w:szCs w:val="22"/>
          </w:rPr>
          <w:t xml:space="preserve">www.pregaobanrisul.com.br</w:t>
        </w:r>
      </w:hyperlink>
      <w:r>
        <w:rPr>
          <w:rFonts w:ascii="Cambria" w:hAnsi="Cambria" w:cs="Cambria"/>
          <w:sz w:val="22"/>
          <w:szCs w:val="22"/>
        </w:rPr>
        <w:t xml:space="preserve"> </w:t>
      </w:r>
      <w:r>
        <w:rPr>
          <w:rStyle w:val="1119"/>
          <w:rFonts w:ascii="Cambria" w:hAnsi="Cambria" w:cs="Cambria"/>
          <w:iCs/>
          <w:sz w:val="22"/>
          <w:szCs w:val="22"/>
        </w:rPr>
        <w:t xml:space="preserve">e  </w:t>
      </w:r>
      <w:hyperlink r:id="rId53" w:tooltip="http://www.santabarbaradosul.rs.gov.br/" w:history="1">
        <w:r>
          <w:rPr>
            <w:rStyle w:val="1119"/>
            <w:rFonts w:ascii="Cambria" w:hAnsi="Cambria" w:cs="Cambria"/>
            <w:sz w:val="22"/>
            <w:szCs w:val="22"/>
          </w:rPr>
          <w:t xml:space="preserve">www.santabarbaradosul.rs.gov.br</w:t>
        </w:r>
      </w:hyperlink>
      <w:r>
        <w:rPr>
          <w:rStyle w:val="1119"/>
          <w:rFonts w:ascii="Cambria" w:hAnsi="Cambria" w:cs="Cambria"/>
          <w:sz w:val="22"/>
          <w:szCs w:val="22"/>
        </w:rPr>
        <w:t xml:space="preserve">.</w:t>
      </w:r>
      <w:r>
        <w:rPr>
          <w:rFonts w:ascii="Cambria" w:hAnsi="Cambria" w:cs="Cambria"/>
        </w:rPr>
      </w:r>
      <w:r/>
    </w:p>
    <w:p>
      <w:pPr>
        <w:pStyle w:val="844"/>
        <w:jc w:val="both"/>
        <w:spacing w:line="360" w:lineRule="auto"/>
      </w:pPr>
      <w:r>
        <w:rPr>
          <w:rStyle w:val="1119"/>
          <w:rFonts w:ascii="Cambria" w:hAnsi="Cambria" w:cs="Cambria"/>
          <w:i/>
          <w:color w:val="auto"/>
          <w:sz w:val="22"/>
          <w:szCs w:val="22"/>
          <w:u w:val="none"/>
        </w:rPr>
        <w:t xml:space="preserve">Emitido por Vivian Lima Vargas - Pregoeira</w:t>
      </w:r>
      <w:r>
        <w:rPr>
          <w:rFonts w:ascii="Cambria" w:hAnsi="Cambria" w:cs="Cambria"/>
        </w:rPr>
      </w:r>
      <w:r/>
    </w:p>
    <w:p>
      <w:pPr>
        <w:pStyle w:val="844"/>
        <w:jc w:val="both"/>
        <w:spacing w:line="360" w:lineRule="auto"/>
      </w:pPr>
      <w:r>
        <w:rPr>
          <w:rFonts w:ascii="Cambria" w:hAnsi="Cambria" w:cs="Cambria"/>
        </w:rPr>
      </w:r>
      <w:r>
        <w:rPr>
          <w:rFonts w:ascii="Cambria" w:hAnsi="Cambria" w:cs="Cambria"/>
        </w:rPr>
      </w:r>
      <w:r/>
    </w:p>
    <w:p>
      <w:pPr>
        <w:pStyle w:val="844"/>
        <w:jc w:val="both"/>
        <w:spacing w:line="360" w:lineRule="auto"/>
      </w:pPr>
      <w:r>
        <w:rPr>
          <w:rFonts w:ascii="Cambria" w:hAnsi="Cambria" w:cs="Cambria"/>
        </w:rPr>
      </w:r>
      <w:r>
        <w:rPr>
          <w:rFonts w:ascii="Cambria" w:hAnsi="Cambria" w:cs="Cambria"/>
        </w:rPr>
      </w:r>
      <w:r/>
    </w:p>
    <w:p>
      <w:pPr>
        <w:pStyle w:val="844"/>
        <w:jc w:val="right"/>
        <w:spacing w:line="360" w:lineRule="auto"/>
      </w:pPr>
      <w:r>
        <w:rPr>
          <w:rFonts w:ascii="Cambria" w:hAnsi="Cambria" w:cs="Cambria"/>
          <w:sz w:val="22"/>
          <w:szCs w:val="22"/>
          <w:shd w:val="clear" w:color="auto" w:fill="ffffff"/>
        </w:rPr>
        <w:t xml:space="preserve">Santa Bárbara do Sul, RS 14/02</w:t>
      </w:r>
      <w:r>
        <w:rPr>
          <w:rFonts w:ascii="Cambria" w:hAnsi="Cambria" w:cs="Cambria"/>
          <w:color w:val="000000"/>
          <w:sz w:val="22"/>
          <w:szCs w:val="22"/>
          <w:shd w:val="clear" w:color="auto" w:fill="ffffff"/>
        </w:rPr>
        <w:t xml:space="preserve">/2023.</w:t>
      </w:r>
      <w:r>
        <w:rPr>
          <w:rFonts w:ascii="Cambria" w:hAnsi="Cambria" w:cs="Cambria"/>
        </w:rPr>
      </w:r>
      <w:r/>
    </w:p>
    <w:p>
      <w:pPr>
        <w:pStyle w:val="844"/>
        <w:jc w:val="both"/>
        <w:spacing w:line="360" w:lineRule="auto"/>
      </w:pPr>
      <w:r>
        <w:rPr>
          <w:rFonts w:ascii="Cambria" w:hAnsi="Cambria" w:cs="Cambria"/>
        </w:rPr>
      </w:r>
      <w:r>
        <w:rPr>
          <w:rFonts w:ascii="Cambria" w:hAnsi="Cambria" w:cs="Cambria"/>
        </w:rPr>
      </w:r>
      <w:r/>
    </w:p>
    <w:p>
      <w:pPr>
        <w:pStyle w:val="844"/>
        <w:jc w:val="both"/>
        <w:spacing w:line="360" w:lineRule="auto"/>
      </w:pPr>
      <w:r>
        <w:rPr>
          <w:rFonts w:ascii="Cambria" w:hAnsi="Cambria" w:cs="Cambria"/>
        </w:rPr>
      </w:r>
      <w:r>
        <w:rPr>
          <w:rFonts w:ascii="Cambria" w:hAnsi="Cambria" w:cs="Cambria"/>
        </w:rPr>
      </w:r>
      <w:r/>
    </w:p>
    <w:p>
      <w:pPr>
        <w:pStyle w:val="844"/>
        <w:jc w:val="both"/>
        <w:spacing w:line="360" w:lineRule="auto"/>
      </w:pPr>
      <w:r>
        <w:rPr>
          <w:rFonts w:ascii="Cambria" w:hAnsi="Cambria" w:cs="Cambria"/>
        </w:rPr>
      </w:r>
      <w:r>
        <w:rPr>
          <w:rFonts w:ascii="Cambria" w:hAnsi="Cambria" w:cs="Cambria"/>
        </w:rPr>
      </w:r>
      <w:r/>
    </w:p>
    <w:p>
      <w:pPr>
        <w:pStyle w:val="844"/>
        <w:jc w:val="center"/>
        <w:spacing w:line="360" w:lineRule="auto"/>
      </w:pPr>
      <w:r>
        <w:rPr>
          <w:rFonts w:ascii="Cambria" w:hAnsi="Cambria" w:cs="Cambria"/>
        </w:rPr>
        <w:t xml:space="preserve">Mário Roberto Utzig Filho</w:t>
      </w:r>
      <w:r>
        <w:rPr>
          <w:rFonts w:ascii="Cambria" w:hAnsi="Cambria" w:cs="Cambria"/>
          <w:highlight w:val="none"/>
        </w:rPr>
      </w:r>
      <w:r/>
    </w:p>
    <w:p>
      <w:pPr>
        <w:jc w:val="center"/>
        <w:spacing w:line="360" w:lineRule="auto"/>
      </w:pPr>
      <w:r>
        <w:rPr>
          <w:rFonts w:ascii="Cambria" w:hAnsi="Cambria" w:cs="Cambria"/>
          <w:highlight w:val="none"/>
        </w:rPr>
        <w:t xml:space="preserve">Prefeito</w:t>
      </w:r>
      <w:r>
        <w:rPr>
          <w:rFonts w:ascii="Cambria" w:hAnsi="Cambria" w:cs="Cambria"/>
        </w:rPr>
      </w:r>
      <w:r/>
    </w:p>
    <w:p>
      <w:pPr>
        <w:pStyle w:val="844"/>
        <w:jc w:val="center"/>
        <w:spacing w:line="360" w:lineRule="auto"/>
      </w:pPr>
      <w:r>
        <w:rPr>
          <w:rFonts w:ascii="Cambria" w:hAnsi="Cambria" w:cs="Cambria"/>
        </w:rPr>
      </w:r>
      <w:r>
        <w:rPr>
          <w:rFonts w:ascii="Cambria" w:hAnsi="Cambria" w:cs="Cambria"/>
        </w:rPr>
      </w:r>
      <w:r/>
    </w:p>
    <w:p>
      <w:pPr>
        <w:pStyle w:val="844"/>
        <w:jc w:val="both"/>
        <w:spacing w:line="360" w:lineRule="auto"/>
      </w:pPr>
      <w:r>
        <w:rPr>
          <w:rFonts w:ascii="Cambria" w:hAnsi="Cambria" w:cs="Cambria"/>
          <w:b/>
          <w:bCs/>
          <w:i/>
          <w:color w:val="000000"/>
          <w:u w:val="single"/>
          <w:shd w:val="clear" w:color="auto" w:fill="ffffff"/>
        </w:rPr>
      </w:r>
      <w:r>
        <w:rPr>
          <w:rFonts w:ascii="Cambria" w:hAnsi="Cambria" w:cs="Cambria"/>
        </w:rPr>
      </w:r>
      <w:r/>
    </w:p>
    <w:p>
      <w:pPr>
        <w:pStyle w:val="844"/>
        <w:ind w:left="0" w:right="0" w:firstLine="567"/>
        <w:jc w:val="center"/>
        <w:spacing w:before="288" w:after="288" w:line="312" w:lineRule="auto"/>
      </w:pPr>
      <w:r>
        <w:rPr>
          <w:rFonts w:ascii="Cambria" w:hAnsi="Cambria" w:cs="Cambria"/>
          <w:color w:val="000000"/>
          <w:sz w:val="22"/>
          <w:szCs w:val="22"/>
        </w:rPr>
      </w:r>
      <w:r>
        <w:rPr>
          <w:rFonts w:ascii="Cambria" w:hAnsi="Cambria" w:cs="Cambria"/>
        </w:rPr>
      </w:r>
      <w:r/>
    </w:p>
    <w:p>
      <w:pPr>
        <w:pStyle w:val="844"/>
        <w:ind w:left="0" w:right="0" w:firstLine="567"/>
        <w:jc w:val="center"/>
        <w:spacing w:before="288" w:after="288" w:line="312" w:lineRule="auto"/>
      </w:pPr>
      <w:r>
        <w:rPr>
          <w:rFonts w:ascii="Cambria" w:hAnsi="Cambria" w:cs="Cambria"/>
          <w:color w:val="000000"/>
          <w:sz w:val="22"/>
          <w:szCs w:val="22"/>
        </w:rPr>
      </w:r>
      <w:r>
        <w:rPr>
          <w:rFonts w:ascii="Cambria" w:hAnsi="Cambria" w:cs="Cambria"/>
        </w:rPr>
      </w:r>
      <w:r/>
    </w:p>
    <w:p>
      <w:pPr>
        <w:pStyle w:val="844"/>
        <w:ind w:left="0" w:right="0" w:firstLine="567"/>
        <w:jc w:val="center"/>
        <w:spacing w:before="288" w:after="288" w:line="312" w:lineRule="auto"/>
      </w:pPr>
      <w:r>
        <w:rPr>
          <w:rFonts w:ascii="Cambria" w:hAnsi="Cambria" w:cs="Cambria"/>
          <w:color w:val="000000"/>
          <w:sz w:val="22"/>
          <w:szCs w:val="22"/>
        </w:rPr>
      </w:r>
      <w:r>
        <w:rPr>
          <w:rFonts w:ascii="Cambria" w:hAnsi="Cambria" w:cs="Cambria"/>
        </w:rPr>
      </w:r>
      <w:r/>
    </w:p>
    <w:p>
      <w:pPr>
        <w:jc w:val="left"/>
        <w:spacing w:line="360" w:lineRule="auto"/>
      </w:pPr>
      <w:r>
        <w:rPr>
          <w:rFonts w:ascii="Cambria" w:hAnsi="Cambria" w:cs="Cambria"/>
        </w:rPr>
      </w:r>
      <w:r>
        <w:rPr>
          <w:rFonts w:ascii="Cambria" w:hAnsi="Cambria" w:cs="Cambria"/>
        </w:rPr>
      </w:r>
      <w:r/>
    </w:p>
    <w:p>
      <w:pPr>
        <w:jc w:val="left"/>
        <w:spacing w:line="360" w:lineRule="auto"/>
      </w:pPr>
      <w:r>
        <w:rPr>
          <w:rFonts w:ascii="Cambria" w:hAnsi="Cambria" w:cs="Cambria"/>
        </w:rPr>
      </w:r>
      <w:r>
        <w:rPr>
          <w:rFonts w:ascii="Cambria" w:hAnsi="Cambria" w:cs="Cambria"/>
        </w:rPr>
      </w:r>
      <w:r/>
    </w:p>
    <w:p>
      <w:pPr>
        <w:jc w:val="left"/>
        <w:spacing w:line="360" w:lineRule="auto"/>
      </w:pPr>
      <w:r>
        <w:rPr>
          <w:rFonts w:ascii="Cambria" w:hAnsi="Cambria" w:cs="Cambria"/>
        </w:rPr>
      </w:r>
      <w:r>
        <w:rPr>
          <w:rFonts w:ascii="Cambria" w:hAnsi="Cambria" w:cs="Cambria"/>
        </w:rPr>
      </w:r>
      <w:r/>
    </w:p>
    <w:p>
      <w:pPr>
        <w:pStyle w:val="844"/>
        <w:jc w:val="left"/>
        <w:spacing w:line="360" w:lineRule="auto"/>
      </w:pPr>
      <w:r>
        <w:rPr>
          <w:rFonts w:ascii="Cambria" w:hAnsi="Cambria" w:cs="Cambria"/>
          <w:b/>
          <w:bCs/>
          <w:sz w:val="22"/>
          <w:szCs w:val="22"/>
        </w:rPr>
      </w:r>
      <w:r>
        <w:rPr>
          <w:rFonts w:ascii="Cambria" w:hAnsi="Cambria" w:cs="Cambria"/>
        </w:rPr>
      </w:r>
      <w:r/>
    </w:p>
    <w:p>
      <w:pPr>
        <w:pStyle w:val="844"/>
        <w:jc w:val="center"/>
        <w:spacing w:line="360" w:lineRule="auto"/>
      </w:pPr>
      <w:r>
        <w:rPr>
          <w:rFonts w:ascii="Cambria" w:hAnsi="Cambria" w:cs="Cambria"/>
          <w:b/>
          <w:bCs/>
          <w:sz w:val="22"/>
          <w:szCs w:val="22"/>
        </w:rPr>
        <w:t xml:space="preserve">ANEXO IV</w:t>
      </w:r>
      <w:r>
        <w:rPr>
          <w:rFonts w:ascii="Cambria" w:hAnsi="Cambria" w:cs="Cambria"/>
        </w:rPr>
      </w:r>
      <w:r/>
    </w:p>
    <w:p>
      <w:pPr>
        <w:pStyle w:val="844"/>
        <w:jc w:val="center"/>
        <w:spacing w:before="200" w:after="200"/>
      </w:pPr>
      <w:r>
        <w:rPr>
          <w:rFonts w:ascii="Cambria" w:hAnsi="Cambria" w:eastAsia="Arial" w:cs="Cambria"/>
          <w:b/>
          <w:color w:val="000000"/>
          <w:sz w:val="22"/>
          <w:szCs w:val="22"/>
        </w:rPr>
        <w:t xml:space="preserve">AUTORIZAÇÃO</w:t>
      </w:r>
      <w:r>
        <w:rPr>
          <w:rFonts w:ascii="Cambria" w:hAnsi="Cambria" w:cs="Cambria"/>
        </w:rPr>
      </w:r>
      <w:r/>
    </w:p>
    <w:p>
      <w:pPr>
        <w:pStyle w:val="844"/>
        <w:ind w:left="0" w:right="0" w:firstLine="2835"/>
        <w:jc w:val="both"/>
        <w:spacing w:before="200" w:after="200" w:line="480" w:lineRule="auto"/>
      </w:pPr>
      <w:r>
        <w:rPr>
          <w:rFonts w:ascii="Cambria" w:hAnsi="Cambria" w:cs="Cambria"/>
        </w:rPr>
      </w:r>
      <w:r>
        <w:rPr>
          <w:rFonts w:ascii="Cambria" w:hAnsi="Cambria" w:cs="Cambria"/>
        </w:rPr>
      </w:r>
      <w:r/>
    </w:p>
    <w:p>
      <w:pPr>
        <w:pStyle w:val="844"/>
        <w:jc w:val="both"/>
        <w:spacing w:line="480" w:lineRule="auto"/>
      </w:pPr>
      <w:r>
        <w:rPr>
          <w:rFonts w:ascii="Cambria" w:hAnsi="Cambria" w:eastAsia="Arial" w:cs="Cambria"/>
          <w:color w:val="000000"/>
          <w:sz w:val="22"/>
          <w:szCs w:val="22"/>
        </w:rPr>
        <w:t xml:space="preserve">Considerando o Pedido de Compras anexos ao processo, </w:t>
      </w:r>
      <w:r>
        <w:rPr>
          <w:rFonts w:ascii="Cambria" w:hAnsi="Cambria" w:eastAsia="Arial" w:cs="Cambria"/>
          <w:b/>
          <w:color w:val="000000"/>
          <w:sz w:val="22"/>
          <w:szCs w:val="22"/>
        </w:rPr>
        <w:t xml:space="preserve"> AUTORIZO </w:t>
      </w:r>
      <w:r>
        <w:rPr>
          <w:rFonts w:ascii="Cambria" w:hAnsi="Cambria" w:eastAsia="Arial" w:cs="Cambria"/>
          <w:color w:val="000000"/>
          <w:sz w:val="22"/>
          <w:szCs w:val="22"/>
        </w:rPr>
        <w:t xml:space="preserve">a Equipe de Licitações através de pregoeiro (a) intituida pela </w:t>
      </w:r>
      <w:r>
        <w:rPr>
          <w:rFonts w:ascii="Cambria" w:hAnsi="Cambria" w:eastAsia="Arial" w:cs="Cambria"/>
          <w:b/>
          <w:color w:val="000000"/>
          <w:sz w:val="22"/>
          <w:szCs w:val="22"/>
        </w:rPr>
        <w:t xml:space="preserve">Portaria n. 011/2024</w:t>
      </w:r>
      <w:r>
        <w:rPr>
          <w:rFonts w:ascii="Cambria" w:hAnsi="Cambria" w:eastAsia="Arial" w:cs="Cambria"/>
          <w:color w:val="000000"/>
          <w:sz w:val="22"/>
          <w:szCs w:val="22"/>
        </w:rPr>
        <w:t xml:space="preserve">,e em consonância ao disposto na </w:t>
      </w:r>
      <w:r>
        <w:rPr>
          <w:rFonts w:ascii="Cambria" w:hAnsi="Cambria" w:eastAsia="Arial" w:cs="Cambria"/>
          <w:b/>
          <w:color w:val="000000"/>
          <w:sz w:val="22"/>
          <w:szCs w:val="22"/>
        </w:rPr>
        <w:t xml:space="preserve">Lei Federal nº 14.133</w:t>
      </w:r>
      <w:r>
        <w:rPr>
          <w:rFonts w:ascii="Cambria" w:hAnsi="Cambria" w:eastAsia="Arial" w:cs="Cambria"/>
          <w:color w:val="000000"/>
          <w:sz w:val="22"/>
          <w:szCs w:val="22"/>
        </w:rPr>
        <w:t xml:space="preserve">, de 01 de abril de 2021, com suas alterações posteriores, a abrir processo licitatório próprio para </w:t>
      </w:r>
      <w:r>
        <w:rPr>
          <w:rFonts w:ascii="Cambria" w:hAnsi="Cambria" w:cs="Cambria"/>
          <w:i/>
          <w:iCs/>
          <w:color w:val="000000"/>
          <w:sz w:val="22"/>
          <w:szCs w:val="22"/>
        </w:rPr>
      </w:r>
      <w:r>
        <w:rPr>
          <w:rFonts w:ascii="Cambria" w:hAnsi="Cambria" w:cs="Cambria"/>
          <w:color w:val="000000"/>
          <w:sz w:val="22"/>
          <w:szCs w:val="22"/>
          <w:highlight w:val="none"/>
        </w:rPr>
        <w:t xml:space="preserve">LOCAÇÃO DE CENTRAL TELEFÔNICA  - PABX</w:t>
      </w:r>
      <w:r/>
      <w:r>
        <w:rPr>
          <w:rFonts w:ascii="Cambria" w:hAnsi="Cambria" w:cs="Cambria"/>
          <w:i/>
          <w:iCs/>
          <w:color w:val="000000"/>
          <w:sz w:val="22"/>
          <w:szCs w:val="22"/>
        </w:rPr>
      </w:r>
      <w:r>
        <w:rPr>
          <w:rFonts w:ascii="Cambria" w:hAnsi="Cambria" w:eastAsia="Arial" w:cs="Cambria"/>
          <w:color w:val="000000"/>
          <w:sz w:val="22"/>
          <w:szCs w:val="22"/>
        </w:rPr>
        <w:t xml:space="preserve">,</w:t>
      </w:r>
      <w:r>
        <w:rPr>
          <w:rFonts w:ascii="Cambria" w:hAnsi="Cambria" w:eastAsia="Arial" w:cs="Cambria"/>
          <w:color w:val="000000"/>
          <w:sz w:val="22"/>
          <w:szCs w:val="22"/>
          <w:shd w:val="clear" w:color="auto" w:fill="ffffff"/>
        </w:rPr>
        <w:t xml:space="preserve"> conforme pesquisa de preços efetuados pelo Setor de compras, c</w:t>
      </w:r>
      <w:r>
        <w:rPr>
          <w:rFonts w:ascii="Cambria" w:hAnsi="Cambria" w:eastAsia="Arial" w:cs="Cambria"/>
          <w:color w:val="000000"/>
          <w:sz w:val="22"/>
          <w:szCs w:val="22"/>
        </w:rPr>
        <w:t xml:space="preserve">om fiel observância à legislação e formalidades pertinentes em vigor, devendo ser mantido prévio entendimento com a Secretaria Municipal de  Fazenda, para verificar a existência de disponibilidade orçamentária.</w:t>
      </w:r>
      <w:r>
        <w:rPr>
          <w:rFonts w:ascii="Cambria" w:hAnsi="Cambria" w:cs="Cambria"/>
        </w:rPr>
      </w:r>
      <w:r/>
    </w:p>
    <w:p>
      <w:pPr>
        <w:pStyle w:val="844"/>
        <w:ind w:left="0" w:right="0" w:firstLine="2835"/>
        <w:jc w:val="both"/>
        <w:spacing w:before="200" w:after="200" w:line="480" w:lineRule="auto"/>
      </w:pPr>
      <w:r>
        <w:rPr>
          <w:rFonts w:ascii="Cambria" w:hAnsi="Cambria" w:cs="Cambria"/>
          <w:sz w:val="22"/>
          <w:szCs w:val="22"/>
        </w:rPr>
        <w:br/>
      </w:r>
      <w:r>
        <w:rPr>
          <w:rFonts w:ascii="Cambria" w:hAnsi="Cambria" w:cs="Cambria"/>
        </w:rPr>
      </w:r>
      <w:r/>
    </w:p>
    <w:p>
      <w:pPr>
        <w:pStyle w:val="844"/>
        <w:jc w:val="right"/>
        <w:spacing w:before="200" w:after="200"/>
      </w:pPr>
      <w:r>
        <w:rPr>
          <w:rFonts w:ascii="Cambria" w:hAnsi="Cambria" w:eastAsia="Arial" w:cs="Cambria"/>
          <w:color w:val="000000"/>
          <w:sz w:val="22"/>
          <w:szCs w:val="22"/>
          <w:shd w:val="clear" w:color="auto" w:fill="ffffff"/>
        </w:rPr>
        <w:t xml:space="preserve">Santa Bárbara do Sul, 06 de fevereiro de 2024</w:t>
      </w:r>
      <w:r/>
    </w:p>
    <w:p>
      <w:pPr>
        <w:pStyle w:val="844"/>
        <w:jc w:val="right"/>
        <w:spacing w:before="200" w:after="200"/>
      </w:pPr>
      <w:r>
        <w:rPr>
          <w:rFonts w:ascii="Cambria" w:hAnsi="Cambria" w:cs="Cambria"/>
        </w:rPr>
      </w:r>
      <w:r>
        <w:rPr>
          <w:rFonts w:ascii="Cambria" w:hAnsi="Cambria" w:cs="Cambria"/>
        </w:rPr>
      </w:r>
      <w:r/>
    </w:p>
    <w:p>
      <w:pPr>
        <w:pStyle w:val="844"/>
        <w:jc w:val="both"/>
        <w:spacing w:before="200" w:after="200"/>
      </w:pPr>
      <w:r>
        <w:rPr>
          <w:rFonts w:ascii="Cambria" w:hAnsi="Cambria" w:cs="Cambria"/>
        </w:rPr>
      </w:r>
      <w:r>
        <w:rPr>
          <w:rFonts w:ascii="Cambria" w:hAnsi="Cambria" w:cs="Cambria"/>
        </w:rPr>
      </w:r>
      <w:r/>
    </w:p>
    <w:p>
      <w:pPr>
        <w:pStyle w:val="844"/>
        <w:jc w:val="both"/>
        <w:spacing w:before="200" w:after="200"/>
      </w:pPr>
      <w:r>
        <w:rPr>
          <w:rFonts w:ascii="Cambria" w:hAnsi="Cambria" w:cs="Cambria"/>
          <w:sz w:val="22"/>
          <w:szCs w:val="22"/>
        </w:rPr>
        <w:br/>
      </w:r>
      <w:r>
        <w:rPr>
          <w:rFonts w:ascii="Cambria" w:hAnsi="Cambria" w:cs="Cambria"/>
        </w:rPr>
      </w:r>
      <w:r/>
    </w:p>
    <w:p>
      <w:pPr>
        <w:pStyle w:val="844"/>
        <w:jc w:val="center"/>
        <w:spacing w:line="360" w:lineRule="auto"/>
      </w:pPr>
      <w:r>
        <w:rPr>
          <w:rFonts w:ascii="Cambria" w:hAnsi="Cambria" w:cs="Cambria"/>
          <w:sz w:val="22"/>
          <w:szCs w:val="22"/>
        </w:rPr>
        <w:t xml:space="preserve">Mário Roberto Utzig Filho</w:t>
      </w:r>
      <w:r/>
    </w:p>
    <w:p>
      <w:pPr>
        <w:pStyle w:val="844"/>
        <w:jc w:val="center"/>
        <w:spacing w:line="360" w:lineRule="auto"/>
      </w:pPr>
      <w:r>
        <w:rPr>
          <w:rFonts w:ascii="Cambria" w:hAnsi="Cambria" w:cs="Cambria"/>
          <w:sz w:val="22"/>
          <w:szCs w:val="22"/>
        </w:rPr>
        <w:t xml:space="preserve">Prefeito</w:t>
      </w:r>
      <w:r/>
    </w:p>
    <w:p>
      <w:pPr>
        <w:jc w:val="left"/>
        <w:rPr>
          <w:rFonts w:hint="default" w:ascii="Cambria" w:hAnsi="Cambria" w:cs="Cambria"/>
          <w:bCs/>
          <w:i/>
          <w:color w:val="000000"/>
          <w:highlight w:val="none"/>
        </w:rPr>
      </w:pPr>
      <w:r>
        <w:rPr>
          <w:rFonts w:ascii="Cambria" w:hAnsi="Cambria" w:cs="Cambria"/>
          <w:b w:val="0"/>
          <w:bCs w:val="0"/>
          <w:color w:val="000000" w:themeColor="text1"/>
          <w:sz w:val="22"/>
          <w:szCs w:val="22"/>
        </w:rPr>
      </w:r>
      <w:r>
        <w:rPr>
          <w:rFonts w:ascii="Cambria" w:hAnsi="Cambria" w:cs="Cambria"/>
          <w:b w:val="0"/>
          <w:bCs w:val="0"/>
          <w:color w:val="000000" w:themeColor="text1"/>
          <w:sz w:val="22"/>
          <w:szCs w:val="22"/>
        </w:rPr>
      </w:r>
      <w:r/>
    </w:p>
    <w:p>
      <w:pPr>
        <w:jc w:val="center"/>
        <w:spacing w:line="312" w:lineRule="auto"/>
        <w:tabs>
          <w:tab w:val="left" w:pos="284" w:leader="none"/>
          <w:tab w:val="left" w:pos="426" w:leader="none"/>
          <w:tab w:val="left" w:pos="567" w:leader="none"/>
          <w:tab w:val="left" w:pos="851" w:leader="none"/>
        </w:tabs>
        <w:rPr>
          <w:rFonts w:ascii="Cambria" w:hAnsi="Cambria" w:cs="Cambria"/>
          <w:sz w:val="22"/>
          <w:szCs w:val="22"/>
        </w:rPr>
      </w:pPr>
      <w:r>
        <w:rPr>
          <w:rFonts w:ascii="Cambria" w:hAnsi="Cambria" w:cs="Cambria"/>
          <w:iCs/>
          <w:sz w:val="22"/>
          <w:szCs w:val="22"/>
          <w:highlight w:val="none"/>
        </w:rPr>
      </w:r>
      <w:r>
        <w:rPr>
          <w:rFonts w:ascii="Cambria" w:hAnsi="Cambria" w:cs="Cambria"/>
          <w:iCs/>
          <w:sz w:val="22"/>
          <w:szCs w:val="22"/>
          <w:highlight w:val="none"/>
        </w:rPr>
      </w:r>
    </w:p>
    <w:sectPr>
      <w:headerReference w:type="default" r:id="rId9"/>
      <w:headerReference w:type="first" r:id="rId10"/>
      <w:footerReference w:type="default" r:id="rId11"/>
      <w:footerReference w:type="first" r:id="rId12"/>
      <w:footnotePr/>
      <w:endnotePr/>
      <w:type w:val="nextPage"/>
      <w:pgSz w:w="11906" w:h="16838" w:orient="portrait"/>
      <w:pgMar w:top="89" w:right="1134" w:bottom="1418" w:left="1134" w:header="0" w:footer="0" w:gutter="0"/>
      <w:cols w:num="1" w:sep="0" w:space="708"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37:00Z" w:initials="MM">
    <w:p w14:paraId="00000001" w14:textId="00000001">
      <w:pPr>
        <w:spacing w:line="240" w:after="0" w:lineRule="auto" w:before="0"/>
        <w:ind w:firstLine="0" w:left="0" w:right="0"/>
        <w:jc w:val="left"/>
      </w:pPr>
      <w:r>
        <w:rPr>
          <w:rFonts w:eastAsia="Arial" w:ascii="Arial" w:hAnsi="Arial" w:cs="Arial"/>
          <w:sz w:val="22"/>
        </w:rPr>
        <w:t xml:space="preserve">Nota Explicativa 1: Fica a critério da Administração exigir - ou não - a garantia contratual dos bens, complementar à garantia legal, mediante a devida fundamentação, a ser exposta neste item do Termo de Referência. Não a exigindo, deverá suprimir o item. </w:t>
      </w:r>
    </w:p>
    <w:p w14:paraId="00000002" w14:textId="00000002">
      <w:pPr>
        <w:spacing w:line="240" w:after="0" w:lineRule="auto" w:before="0"/>
        <w:ind w:firstLine="0" w:left="0" w:right="0"/>
        <w:jc w:val="left"/>
      </w:pPr>
      <w:r>
        <w:rPr>
          <w:rFonts w:eastAsia="Arial" w:ascii="Arial" w:hAnsi="Arial" w:cs="Arial"/>
          <w:sz w:val="22"/>
        </w:rPr>
        <w:t xml:space="preserve"/>
      </w:r>
    </w:p>
  </w:comment>
  <w:comment w:id="1" w:author="Autor" w:date="2022-12-19T21:03:00Z" w:initials="MM">
    <w:p w14:paraId="00000003" w14:textId="00000003">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4" w14:textId="00000004">
      <w:pPr>
        <w:spacing w:line="240" w:after="0" w:lineRule="auto" w:before="0"/>
        <w:ind w:firstLine="0" w:left="0" w:right="0"/>
        <w:jc w:val="left"/>
      </w:pPr>
      <w:r>
        <w:rPr>
          <w:rFonts w:eastAsia="Arial" w:ascii="Arial" w:hAnsi="Arial" w:cs="Arial"/>
          <w:sz w:val="22"/>
        </w:rPr>
        <w:t xml:space="preserve"/>
      </w:r>
    </w:p>
    <w:p w14:paraId="00000005" w14:textId="00000005">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6" w14:textId="00000006">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7" w14:textId="00000007">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8" w14:textId="00000008">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9" w14:textId="00000009">
      <w:pPr>
        <w:spacing w:line="240" w:after="0" w:lineRule="auto" w:before="0"/>
        <w:ind w:firstLine="0" w:left="0" w:right="0"/>
        <w:jc w:val="left"/>
      </w:pPr>
      <w:r>
        <w:rPr>
          <w:rFonts w:eastAsia="Arial" w:ascii="Arial" w:hAnsi="Arial" w:cs="Arial"/>
          <w:sz w:val="22"/>
        </w:rPr>
        <w:t xml:space="preserve"/>
      </w:r>
    </w:p>
    <w:p w14:paraId="0000000A" w14:textId="0000000A">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 w:id="2" w:author="Autor" w:date="1900-01-01T00:00:00Z" w:initials="A">
    <w:p w14:paraId="0000000B" w14:textId="0000000B">
      <w:pPr>
        <w:spacing w:line="240" w:after="0" w:lineRule="auto" w:before="0"/>
        <w:ind w:firstLine="0" w:left="0" w:right="0"/>
        <w:jc w:val="left"/>
      </w:pPr>
      <w:r>
        <w:rPr>
          <w:rFonts w:eastAsia="Arial" w:ascii="Arial" w:hAnsi="Arial" w:cs="Arial"/>
          <w:sz w:val="22"/>
        </w:rPr>
        <w:t xml:space="preserve">Nota Explicativa 1: O Termo de Referência e os Estudos Técnicos Preliminares deverão estar alinhados com o Plano de Contratações Anual, além de outros instrumentos de planejamento da Administração, </w:t>
      </w:r>
    </w:p>
    <w:p w14:paraId="0000000C" w14:textId="0000000C">
      <w:pPr>
        <w:spacing w:line="240" w:after="0" w:lineRule="auto" w:before="0"/>
        <w:ind w:firstLine="0" w:left="0" w:right="0"/>
        <w:jc w:val="left"/>
      </w:pPr>
      <w:r>
        <w:rPr>
          <w:rFonts w:eastAsia="Arial" w:ascii="Arial" w:hAnsi="Arial" w:cs="Arial"/>
          <w:sz w:val="22"/>
        </w:rPr>
        <w:t xml:space="preserve"/>
      </w:r>
    </w:p>
    <w:p w14:paraId="0000000D" w14:textId="0000000D">
      <w:pPr>
        <w:spacing w:line="240" w:after="0" w:lineRule="auto" w:before="0"/>
        <w:ind w:firstLine="0" w:left="0" w:right="0"/>
        <w:jc w:val="left"/>
      </w:pPr>
      <w:r>
        <w:rPr>
          <w:rFonts w:eastAsia="Arial" w:ascii="Arial" w:hAnsi="Arial" w:cs="Arial"/>
          <w:sz w:val="22"/>
        </w:rPr>
        <w:t xml:space="preserve">Nota Explicativa 2: A impossibilidade de adoção de critérios e práticas de sustentabilidade nas contratações públicas deverá ser justificada pelo gestor competente nos Estudos Técnicos Preliminares ou nos autos do processo administrativo, com a indicação das pertinentes razões de fato e/ou direito, conforme o Parecer n. 00001/2021/CNS/CGU/AGU. </w:t>
      </w:r>
    </w:p>
    <w:p w14:paraId="0000000E" w14:textId="0000000E">
      <w:pPr>
        <w:spacing w:line="240" w:after="0" w:lineRule="auto" w:before="0"/>
        <w:ind w:firstLine="0" w:left="0" w:right="0"/>
        <w:jc w:val="left"/>
      </w:pPr>
      <w:r>
        <w:rPr>
          <w:rFonts w:eastAsia="Arial" w:ascii="Arial" w:hAnsi="Arial" w:cs="Arial"/>
          <w:sz w:val="22"/>
        </w:rPr>
        <w:t xml:space="preserve">Se houver justificativa nos autos para a não-adoção de critérios de sustentabilidade (e apenas nesse caso), deverá haver a supressão dos dispositivos específicos acima. </w:t>
      </w:r>
    </w:p>
    <w:p w14:paraId="0000000F" w14:textId="0000000F">
      <w:pPr>
        <w:spacing w:line="240" w:after="0" w:lineRule="auto" w:before="0"/>
        <w:ind w:firstLine="0" w:left="0" w:right="0"/>
        <w:jc w:val="left"/>
      </w:pPr>
      <w:r>
        <w:rPr>
          <w:rFonts w:eastAsia="Arial" w:ascii="Arial" w:hAnsi="Arial" w:cs="Arial"/>
          <w:sz w:val="22"/>
        </w:rPr>
        <w:t xml:space="preserve"/>
      </w:r>
    </w:p>
    <w:p w14:paraId="00000010" w14:textId="00000010">
      <w:pPr>
        <w:spacing w:line="240" w:after="0" w:lineRule="auto" w:before="0"/>
        <w:ind w:firstLine="0" w:left="0" w:right="0"/>
        <w:jc w:val="left"/>
      </w:pPr>
      <w:r>
        <w:rPr>
          <w:rFonts w:eastAsia="Arial" w:ascii="Arial" w:hAnsi="Arial" w:cs="Arial"/>
          <w:sz w:val="22"/>
        </w:rPr>
        <w:t xml:space="preserve">Nota Explicativa 3: A inclusão de critérios de sustentabilidade deve ser feita de modo claro e objetivo. Deve-se evitar a transcrição literal e automática das previsões legais ou normativas, sem efetuar o exame da incidência real e efetiva delas na contratação em apreço.</w:t>
      </w:r>
    </w:p>
    <w:p w14:paraId="00000011" w14:textId="00000011">
      <w:pPr>
        <w:spacing w:line="240" w:after="0" w:lineRule="auto" w:before="0"/>
        <w:ind w:firstLine="0" w:left="0" w:right="0"/>
        <w:jc w:val="left"/>
      </w:pPr>
      <w:r>
        <w:rPr>
          <w:rFonts w:eastAsia="Arial" w:ascii="Arial" w:hAnsi="Arial" w:cs="Arial"/>
          <w:sz w:val="22"/>
        </w:rPr>
        <w:t xml:space="preserve">Assim, uma vez exigido qualquer requisito ambiental na especificação do objeto e/ou edital, e/ou contrato, deve ser prevista a forma objetiva de comprovação. É preciso saber quais critérios de sustentabilidade devem ser incluídos nas peças editalícias, como fazer essas exigências e de que forma as pretendidas contratadas devem comprovar o cumprimento desses critérios de sustentabilidade exigidos pela Administração. </w:t>
      </w:r>
    </w:p>
    <w:p w14:paraId="00000012" w14:textId="00000012">
      <w:pPr>
        <w:spacing w:line="240" w:after="0" w:lineRule="auto" w:before="0"/>
        <w:ind w:firstLine="0" w:left="0" w:right="0"/>
        <w:jc w:val="left"/>
      </w:pPr>
      <w:r>
        <w:rPr>
          <w:rFonts w:eastAsia="Arial" w:ascii="Arial" w:hAnsi="Arial" w:cs="Arial"/>
          <w:sz w:val="22"/>
        </w:rPr>
        <w:t xml:space="preserve"/>
      </w:r>
    </w:p>
    <w:p w14:paraId="00000013" w14:textId="00000013">
      <w:pPr>
        <w:spacing w:line="240" w:after="0" w:lineRule="auto" w:before="0"/>
        <w:ind w:firstLine="0" w:left="0" w:right="0"/>
        <w:jc w:val="left"/>
      </w:pPr>
      <w:r>
        <w:rPr>
          <w:rFonts w:eastAsia="Arial" w:ascii="Arial" w:hAnsi="Arial" w:cs="Arial"/>
          <w:sz w:val="22"/>
        </w:rPr>
        <w:t xml:space="preserve">Nota Explicativa 4: Nas aquisições e contratações governamentais, deve ser dada prioridade para produtos reciclados e recicláveis e para bens, serviços e obras que considerem critérios compatíveis com padrões de consumo sustentáveis (artigo 7º, XI, da Lei nº 12.305, de 2010 – Política Nacional de Resíduos Sólidos). Deve-se observar, também, a regulamentação a ser editada a luz da nova legislação.</w:t>
      </w:r>
    </w:p>
  </w:comment>
  <w:comment w:id="3" w:author="Autor" w:date="1900-01-01T00:00:00Z" w:initials="A">
    <w:p w14:paraId="00000014" w14:textId="00000014">
      <w:pPr>
        <w:spacing w:line="240" w:after="0" w:lineRule="auto" w:before="0"/>
        <w:ind w:firstLine="0" w:left="0" w:right="0"/>
        <w:jc w:val="left"/>
      </w:pPr>
      <w:r>
        <w:rPr>
          <w:rFonts w:eastAsia="Arial" w:ascii="Arial" w:hAnsi="Arial" w:cs="Arial"/>
          <w:sz w:val="22"/>
        </w:rPr>
        <w:t xml:space="preserve">Nota Explicativa 1: A subcontratação deve ser avaliada à luz do artigo 122 da Lei nº 14.133, de 2021:</w:t>
      </w:r>
    </w:p>
    <w:p w14:paraId="00000015" w14:textId="00000015">
      <w:pPr>
        <w:spacing w:line="240" w:after="0" w:lineRule="auto" w:before="0"/>
        <w:ind w:firstLine="0" w:left="0" w:right="0"/>
        <w:jc w:val="left"/>
      </w:pPr>
      <w:r>
        <w:rPr>
          <w:rFonts w:eastAsia="Arial" w:ascii="Arial" w:hAnsi="Arial" w:cs="Arial"/>
          <w:sz w:val="22"/>
        </w:rPr>
        <w:t xml:space="preserve">“Art. 122. Na execução do contrato e sem prejuízo das responsabilidades contratuais e legais, o contratado poderá subcontratar partes da obra, do serviço ou do fornecimento até o limite autorizado, em cada caso, pela Administração.</w:t>
      </w:r>
    </w:p>
    <w:p w14:paraId="00000016" w14:textId="00000016">
      <w:pPr>
        <w:spacing w:line="240" w:after="0" w:lineRule="auto" w:before="0"/>
        <w:ind w:firstLine="0" w:left="0" w:right="0"/>
        <w:jc w:val="left"/>
      </w:pPr>
      <w:r>
        <w:rPr>
          <w:rFonts w:eastAsia="Arial" w:ascii="Arial" w:hAnsi="Arial" w:cs="Arial"/>
          <w:sz w:val="22"/>
        </w:rPr>
        <w:t xml:space="preserve">§ 1º O contratado apresentará à Administração documentação que comprove a capacidade técnica do subcontratado, que será avaliada e juntada aos autos do processo correspondente.</w:t>
      </w:r>
    </w:p>
    <w:p w14:paraId="00000017" w14:textId="00000017">
      <w:pPr>
        <w:spacing w:line="240" w:after="0" w:lineRule="auto" w:before="0"/>
        <w:ind w:firstLine="0" w:left="0" w:right="0"/>
        <w:jc w:val="left"/>
      </w:pPr>
      <w:r>
        <w:rPr>
          <w:rFonts w:eastAsia="Arial" w:ascii="Arial" w:hAnsi="Arial" w:cs="Arial"/>
          <w:sz w:val="22"/>
        </w:rPr>
        <w:t xml:space="preserve">§ 2º Regulamento ou edital de licitação poderão vedar, restringir ou estabelecer condições para a subcontratação.</w:t>
      </w:r>
    </w:p>
    <w:p w14:paraId="00000018" w14:textId="00000018">
      <w:pPr>
        <w:spacing w:line="240" w:after="0" w:lineRule="auto" w:before="0"/>
        <w:ind w:firstLine="0" w:left="0" w:right="0"/>
        <w:jc w:val="left"/>
      </w:pPr>
      <w:r>
        <w:rPr>
          <w:rFonts w:eastAsia="Arial" w:ascii="Arial" w:hAnsi="Arial" w:cs="Arial"/>
          <w:sz w:val="22"/>
        </w:rPr>
        <w:t xml:space="preserve">§ 3º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comment>
  <w:comment w:id="4" w:author="Autor" w:date="1900-01-01T00:00:00Z" w:initials="A">
    <w:p w14:paraId="00000019" w14:textId="00000019">
      <w:pPr>
        <w:spacing w:line="240" w:after="0" w:lineRule="auto" w:before="0"/>
        <w:ind w:firstLine="0" w:left="0" w:right="0"/>
        <w:jc w:val="left"/>
      </w:pPr>
      <w:r>
        <w:rPr>
          <w:rFonts w:eastAsia="Arial" w:ascii="Arial" w:hAnsi="Arial" w:cs="Arial"/>
          <w:sz w:val="22"/>
        </w:rPr>
        <w:t xml:space="preserve">Nota Explicativa: Caso exigido, 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 Deve a Administração especificar essas exigências.</w:t>
      </w:r>
    </w:p>
  </w:comment>
  <w:comment w:id="5" w:author="Autor" w:date="1900-01-01T00:00:00Z" w:initials="A">
    <w:p w14:paraId="0000001A" w14:textId="0000001A">
      <w:pPr>
        <w:spacing w:line="240" w:after="0" w:lineRule="auto" w:before="0"/>
        <w:ind w:firstLine="0" w:left="0" w:right="0"/>
        <w:jc w:val="left"/>
      </w:pPr>
      <w:r>
        <w:rPr>
          <w:rFonts w:eastAsia="Arial" w:ascii="Arial" w:hAnsi="Arial" w:cs="Arial"/>
          <w:sz w:val="22"/>
        </w:rPr>
        <w:t xml:space="preserve">Nota Explicativa: Incluir esse item no caso de a contratação adotar o pagamento antecipado previsto no § 1º do art. 145 da Lei nº 14.133, de 2021.</w:t>
      </w:r>
    </w:p>
    <w:p w14:paraId="0000001B" w14:textId="0000001B">
      <w:pPr>
        <w:spacing w:line="240" w:after="0" w:lineRule="auto" w:before="0"/>
        <w:ind w:firstLine="0" w:left="0" w:right="0"/>
        <w:jc w:val="left"/>
      </w:pPr>
      <w:r>
        <w:rPr>
          <w:rFonts w:eastAsia="Arial" w:ascii="Arial" w:hAnsi="Arial" w:cs="Arial"/>
          <w:sz w:val="22"/>
        </w:rPr>
        <w:t xml:space="preserve">Importante lembrar que, para a utilização desse mecanismo, é necessário que se demonstre nos autos que a antecipação do pagamento é, alternativamente, ou condição indispensável para a obtenção do bem, ou propicia sensível economia de recursos (art. 145, § 1º, da Lei nº 14.133, de 2021). Em todo o caso, a lei impõe que a adoção do pagamento antecipado, parcial ou total, seja precedida de justificativa prévia.</w:t>
      </w:r>
    </w:p>
  </w:comment>
  <w:comment w:id="6" w:author="Autor" w:date="1900-01-01T00:00:00Z" w:initials="A">
    <w:p w14:paraId="0000001C" w14:textId="0000001C">
      <w:pPr>
        <w:spacing w:line="240" w:after="0" w:lineRule="auto" w:before="0"/>
        <w:ind w:firstLine="0" w:left="0" w:right="0"/>
        <w:jc w:val="left"/>
      </w:pPr>
      <w:r>
        <w:rPr>
          <w:rFonts w:eastAsia="Arial" w:ascii="Arial" w:hAnsi="Arial" w:cs="Arial"/>
          <w:sz w:val="22"/>
        </w:rPr>
        <w:t xml:space="preserve">Nota Explicativa 1: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Deste modo, é possível que essa comprovação se dê pela somatória de atestados de contratos executados realizados concomitantemente, pois da mesma forma revelam a capacidade operacional da empresa.</w:t>
      </w:r>
    </w:p>
    <w:p w14:paraId="0000001D" w14:textId="0000001D">
      <w:pPr>
        <w:spacing w:line="240" w:after="0" w:lineRule="auto" w:before="0"/>
        <w:ind w:firstLine="0" w:left="0" w:right="0"/>
        <w:jc w:val="left"/>
      </w:pPr>
      <w:r>
        <w:rPr>
          <w:rFonts w:eastAsia="Arial" w:ascii="Arial" w:hAnsi="Arial" w:cs="Arial"/>
          <w:sz w:val="22"/>
        </w:rPr>
        <w:t xml:space="preserve">De qualquer forma, é absolutamente fundamental que a exigência seja totalmente objetiva, indicando quantitativos precisos, para evitar dúvidas na hora da habilitação, que podem vir a comprometer o objetivo do processo, de formalizar a contratação. </w:t>
      </w:r>
    </w:p>
    <w:p w14:paraId="0000001E" w14:textId="0000001E">
      <w:pPr>
        <w:spacing w:line="240" w:after="0" w:lineRule="auto" w:before="0"/>
        <w:ind w:firstLine="0" w:left="0" w:right="0"/>
        <w:jc w:val="left"/>
      </w:pPr>
      <w:r>
        <w:rPr>
          <w:rFonts w:eastAsia="Arial" w:ascii="Arial" w:hAnsi="Arial" w:cs="Arial"/>
          <w:sz w:val="22"/>
        </w:rPr>
        <w:t xml:space="preserve">Conforme §2º do art. 67 da Lei nº 14.133, de 2021,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entendidas essas como as que possuem valor individual igual ou superior a 4% do valor total estimado da contratação (art. 67, §1º). </w:t>
      </w:r>
    </w:p>
    <w:p w14:paraId="0000001F" w14:textId="0000001F">
      <w:pPr>
        <w:spacing w:line="240" w:after="0" w:lineRule="auto" w:before="0"/>
        <w:ind w:firstLine="0" w:left="0" w:right="0"/>
        <w:jc w:val="left"/>
      </w:pPr>
      <w:r>
        <w:rPr>
          <w:rFonts w:eastAsia="Arial" w:ascii="Arial" w:hAnsi="Arial" w:cs="Arial"/>
          <w:sz w:val="22"/>
        </w:rPr>
        <w:t xml:space="preserve">Nota Explicativa 2: Os requisitos de qualificação técnica são aplicáveis a todos os licitantes, inclusive pessoas físicas, conforme inciso I do art. 5º da Instrução Normativa Seges/ME nº 116, de 2021.</w:t>
      </w:r>
    </w:p>
    <w:p w14:paraId="00000020" w14:textId="00000020">
      <w:pPr>
        <w:spacing w:line="240" w:after="0" w:lineRule="auto" w:before="0"/>
        <w:ind w:firstLine="0" w:left="0" w:right="0"/>
        <w:jc w:val="left"/>
      </w:pPr>
      <w:r>
        <w:rPr>
          <w:rFonts w:eastAsia="Arial" w:ascii="Arial" w:hAnsi="Arial" w:cs="Arial"/>
          <w:sz w:val="22"/>
        </w:rPr>
        <w:t xml:space="preserve">Nota Explicativa 3: Caso seja permitida a subcontratação de fornecimento com aspectos técnicos específicos, poderá ser admitida a apresentação de atestados relativos a potencial subcontratado, limitado a 25% do objeto licitado, conforme art. 67, §9º da Lei nº 14.133, de 2021.</w:t>
      </w:r>
    </w:p>
    <w:p w14:paraId="00000021" w14:textId="00000021">
      <w:pPr>
        <w:spacing w:line="240" w:after="0" w:lineRule="auto" w:before="0"/>
        <w:ind w:firstLine="0" w:left="0" w:right="0"/>
        <w:jc w:val="left"/>
      </w:pPr>
      <w:r>
        <w:rPr>
          <w:rFonts w:eastAsia="Arial" w:ascii="Arial" w:hAnsi="Arial" w:cs="Arial"/>
          <w:sz w:val="22"/>
        </w:rPr>
        <w:t xml:space="preserve">Em sendo esse o caso do processo, recomenda-se inserir a seguinte disposição: </w:t>
      </w:r>
    </w:p>
    <w:p w14:paraId="00000022" w14:textId="00000022">
      <w:pPr>
        <w:spacing w:line="240" w:after="0" w:lineRule="auto" w:before="0"/>
        <w:ind w:firstLine="0" w:left="0" w:right="0"/>
        <w:jc w:val="left"/>
      </w:pPr>
      <w:r>
        <w:rPr>
          <w:rFonts w:eastAsia="Arial" w:ascii="Arial" w:hAnsi="Arial" w:cs="Arial"/>
          <w:sz w:val="22"/>
        </w:rPr>
        <w:t xml:space="preserve">8.31.x: Será admitida a apresentação de atestados relativos a potencial subcontratado em relação à parcela do fornecimento de.... ..., cuja subcontratação foi expressamente autorizada no tópico pertinente.</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2" w15:done="0"/>
  <w15:commentEx w15:paraId="0000000A" w15:done="0"/>
  <w15:commentEx w15:paraId="00000013" w15:done="0"/>
  <w15:commentEx w15:paraId="00000018" w15:done="0"/>
  <w15:commentEx w15:paraId="00000019" w15:done="0"/>
  <w15:commentEx w15:paraId="0000001B" w15:done="0"/>
  <w15:commentEx w15:paraId="00000022" w15:done="0"/>
</w15:commentsEx>
</file>

<file path=word/commentsIdsDocument.xml><?xml version="1.0" encoding="utf-8"?>
<w16cid:commentsIds xmlns:mc="http://schemas.openxmlformats.org/markup-compatibility/2006" xmlns:w16cid="http://schemas.microsoft.com/office/word/2016/wordml/cid" mc:Ignorable="w16cid">
  <w16cid:commentId w16cid:paraId="00000002" w16cid:durableId="54AA8FD2"/>
  <w16cid:commentId w16cid:paraId="0000000A" w16cid:durableId="18B3211D"/>
  <w16cid:commentId w16cid:paraId="00000013" w16cid:durableId="44865BD6"/>
  <w16cid:commentId w16cid:paraId="00000018" w16cid:durableId="0343292D"/>
  <w16cid:commentId w16cid:paraId="00000019" w16cid:durableId="1082DADB"/>
  <w16cid:commentId w16cid:paraId="0000001B" w16cid:durableId="37FD565D"/>
  <w16cid:commentId w16cid:paraId="00000022" w16cid:durableId="7C85BF9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 Arial">
    <w:panose1 w:val="02000603000000000000"/>
  </w:font>
  <w:font w:name="Courier New">
    <w:panose1 w:val="02070309020205020404"/>
  </w:font>
  <w:font w:name="Symbol">
    <w:panose1 w:val="05050102010706020507"/>
  </w:font>
  <w:font w:name="Cambria">
    <w:panose1 w:val="02040503050406030204"/>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Calibri">
    <w:panose1 w:val="020F0502020204030204"/>
  </w:font>
  <w:font w:name="MS Mincho">
    <w:panose1 w:val="02020503050405090304"/>
  </w:font>
  <w:font w:name="Tahoma">
    <w:panose1 w:val="020B0604030504040204"/>
  </w:font>
  <w:font w:name="Lohit Hindi">
    <w:panose1 w:val="02000603000000000000"/>
  </w:font>
  <w:font w:name="Ecofont_Spranq_eco_Sans">
    <w:panose1 w:val="02000603000000000000"/>
  </w:font>
  <w:font w:name="NSimSun">
    <w:panose1 w:val="02010609030101010101"/>
  </w:font>
  <w:font w:name="CIDFont">
    <w:panose1 w:val="02000603000000000000"/>
  </w:font>
  <w:font w:name="Arial">
    <w:panose1 w:val="020B0604020202020204"/>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42056" name="image1.png" descr="Interface gráfica do usuário, Texto&#10;&#10;Descrição gerada automaticamente"/>
                          <pic:cNvPicPr>
                            <a:picLocks noChangeAspect="1"/>
                          </pic:cNvPicPr>
                          <pic:nvPr/>
                        </pic:nvPicPr>
                        <pic:blipFill>
                          <a:blip r:embed="rId1"/>
                          <a:srcRect l="140" t="0" r="140" b="0"/>
                          <a:stretch/>
                        </pic:blipFill>
                        <pic:spPr bwMode="auto">
                          <a:xfrm rot="0" flipH="0" flipV="0">
                            <a:off x="0" y="0"/>
                            <a:ext cx="5654039" cy="83121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rotation:0;" stroked="false">
                  <v:path textboxrect="0,0,0,0"/>
                  <v:imagedata r:id="rId1" o:title=""/>
                </v:shape>
              </w:pict>
            </mc:Fallback>
          </mc:AlternateContent>
        </w:r>
        <w:r/>
      </w:p>
      <w:p>
        <w:pPr>
          <w:pStyle w:val="1082"/>
          <w:rPr>
            <w:rFonts w:ascii="Arial" w:hAnsi="Arial" w:cs="Arial"/>
            <w:sz w:val="14"/>
            <w:szCs w:val="14"/>
          </w:rPr>
        </w:pPr>
        <w:r/>
        <w:bookmarkStart w:id="102" w:name="_Hlk135299703"/>
        <w:r/>
        <w:bookmarkEnd w:id="102"/>
        <w:r>
          <w:rPr>
            <w:rFonts w:ascii="Arial" w:hAnsi="Arial" w:cs="Arial"/>
            <w:sz w:val="14"/>
            <w:szCs w:val="14"/>
          </w:r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trPr>
        <w:trHeight w:val="300"/>
      </w:trPr>
      <w:tc>
        <w:tcPr>
          <w:tcW w:w="3210" w:type="dxa"/>
          <w:textDirection w:val="lrTb"/>
          <w:noWrap w:val="false"/>
        </w:tcPr>
        <w:p>
          <w:pPr>
            <w:pStyle w:val="877"/>
            <w:ind w:left="-115"/>
          </w:pPr>
          <w:r/>
          <w:r/>
        </w:p>
      </w:tc>
      <w:tc>
        <w:tcPr>
          <w:tcW w:w="3210" w:type="dxa"/>
          <w:textDirection w:val="lrTb"/>
          <w:noWrap w:val="false"/>
        </w:tcPr>
        <w:p>
          <w:pPr>
            <w:pStyle w:val="877"/>
            <w:jc w:val="center"/>
          </w:pPr>
          <w:r/>
          <w:r/>
        </w:p>
      </w:tc>
      <w:tc>
        <w:tcPr>
          <w:tcW w:w="3210" w:type="dxa"/>
          <w:textDirection w:val="lrTb"/>
          <w:noWrap w:val="false"/>
        </w:tcPr>
        <w:p>
          <w:pPr>
            <w:pStyle w:val="877"/>
            <w:ind w:right="-115"/>
            <w:jc w:val="right"/>
          </w:pPr>
          <w:r/>
          <w:r/>
        </w:p>
      </w:tc>
    </w:tr>
  </w:tbl>
  <w:p>
    <w:pPr>
      <w:pStyle w:val="879"/>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4"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a:off x="0" y="0"/>
                        <a:ext cx="5654040" cy="831215"/>
                      </a:xfrm>
                      <a:prstGeom prst="rect">
                        <a:avLst/>
                      </a:prstGeom>
                    </pic:spPr>
                  </pic:pic>
                </a:graphicData>
              </a:graphic>
              <wp14:sizeRelH relativeFrom="margin">
                <wp14:pctWidth>0</wp14:pctWidth>
              </wp14:sizeRelH>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0;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right"/>
      <w:rPr>
        <w:rFonts w:ascii="Arial" w:hAnsi="Arial" w:cs="Arial"/>
        <w:sz w:val="20"/>
        <w:szCs w:val="20"/>
      </w:rPr>
    </w:pPr>
    <w:r>
      <w:rPr>
        <w:rFonts w:ascii="Arial" w:hAnsi="Arial" w:cs="Arial"/>
        <w:sz w:val="20"/>
        <w:szCs w:val="20"/>
      </w:rPr>
    </w:r>
    <w:r>
      <w:rPr>
        <w:rFonts w:ascii="Arial" w:hAnsi="Arial" w:cs="Arial"/>
        <w:sz w:val="20"/>
        <w:szCs w:val="20"/>
      </w:rPr>
    </w:r>
    <w:r/>
  </w:p>
  <w:p>
    <w:pPr>
      <w:pStyle w:val="877"/>
      <w:jc w:val="right"/>
      <w:rPr>
        <w:rFonts w:ascii="Arial" w:hAnsi="Arial" w:cs="Arial"/>
        <w:sz w:val="20"/>
        <w:szCs w:val="20"/>
      </w:rPr>
    </w:pPr>
    <w:r>
      <w:rPr>
        <w:rFonts w:ascii="Arial" w:hAnsi="Arial" w:cs="Arial"/>
        <w:sz w:val="20"/>
        <w:szCs w:val="20"/>
      </w:rPr>
    </w:r>
    <w:r>
      <mc:AlternateContent>
        <mc:Choice Requires="wpg">
          <w:drawing>
            <wp:inline xmlns:wp="http://schemas.openxmlformats.org/drawingml/2006/wordprocessingDrawing" distT="0" distB="0" distL="0" distR="0">
              <wp:extent cx="4367893" cy="795304"/>
              <wp:effectExtent l="0" t="0" r="0" b="0"/>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474912" name="image2.png" descr="Fundo preto com letras brancas&#10;&#10;Descrição gerada automaticamente"/>
                      <pic:cNvPicPr>
                        <a:picLocks noChangeAspect="1"/>
                      </pic:cNvPicPr>
                      <pic:nvPr/>
                    </pic:nvPicPr>
                    <pic:blipFill>
                      <a:blip r:embed="rId1"/>
                      <a:srcRect l="126" t="0" r="126" b="0"/>
                      <a:stretch/>
                    </pic:blipFill>
                    <pic:spPr bwMode="auto">
                      <a:xfrm rot="0" flipH="0" flipV="0">
                        <a:off x="0" y="0"/>
                        <a:ext cx="4367892" cy="7953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3.9pt;height:62.6pt;mso-wrap-distance-left:0.0pt;mso-wrap-distance-top:0.0pt;mso-wrap-distance-right:0.0pt;mso-wrap-distance-bottom:0.0pt;rotation:0;" stroked="false">
              <v:path textboxrect="0,0,0,0"/>
              <v:imagedata r:id="rId1" o:title=""/>
            </v:shape>
          </w:pict>
        </mc:Fallback>
      </mc:AlternateContent>
    </w:r>
    <w:r>
      <w:rPr>
        <w:rFonts w:ascii="Arial" w:hAnsi="Arial" w:cs="Arial"/>
        <w:sz w:val="20"/>
        <w:szCs w:val="20"/>
      </w:rPr>
    </w:r>
    <w:r/>
  </w:p>
  <w:p>
    <w:pPr>
      <w:pStyle w:val="877"/>
      <w:jc w:val="right"/>
      <w:rPr>
        <w:rFonts w:ascii="Arial" w:hAnsi="Arial" w:cs="Arial"/>
        <w:sz w:val="20"/>
        <w:szCs w:val="20"/>
      </w:rPr>
    </w:pPr>
    <w:r>
      <w:rPr>
        <w:rFonts w:ascii="Arial" w:hAnsi="Arial" w:cs="Arial"/>
        <w:sz w:val="20"/>
        <w:szCs w:val="20"/>
      </w:rPr>
    </w:r>
    <w:r>
      <w:rPr>
        <w:rFonts w:ascii="Arial" w:hAnsi="Arial" w:cs="Arial"/>
        <w:sz w:val="20"/>
        <w:szCs w:val="20"/>
      </w:rPr>
    </w:r>
    <w:r/>
  </w:p>
  <w:p>
    <w:pPr>
      <w:pStyle w:val="877"/>
      <w:jc w:val="right"/>
      <w:rPr>
        <w:rFonts w:ascii="Arial" w:hAnsi="Arial" w:cs="Arial"/>
        <w:sz w:val="20"/>
        <w:szCs w:val="20"/>
      </w:rPr>
    </w:pPr>
    <w:r>
      <w:rPr>
        <w:rFonts w:ascii="Arial" w:hAnsi="Arial" w:cs="Arial"/>
        <w:sz w:val="20"/>
        <w:szCs w:val="20"/>
      </w:rPr>
      <w:t xml:space="preserve">EDITAL - PREGÃO ELETRÔNICO Nº 03/2024</w:t>
    </w:r>
    <w:r>
      <w:rPr>
        <w:rFonts w:ascii="Arial" w:hAnsi="Arial" w:cs="Arial"/>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right"/>
    </w:pPr>
    <w:r>
      <w:rPr>
        <w:rFonts w:ascii="Arial" w:hAnsi="Arial" w:cs="Arial"/>
        <w:sz w:val="20"/>
        <w:szCs w:val="20"/>
      </w:rPr>
    </w:r>
    <w:r>
      <mc:AlternateContent>
        <mc:Choice Requires="wpg">
          <w:drawing>
            <wp:inline xmlns:wp="http://schemas.openxmlformats.org/drawingml/2006/wordprocessingDrawing" distT="0" distB="0" distL="0" distR="0">
              <wp:extent cx="4367893" cy="795305"/>
              <wp:effectExtent l="0" t="0" r="0" b="0"/>
              <wp:docPr id="2"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169916" name="image2.png" descr="Fundo preto com letras brancas&#10;&#10;Descrição gerada automaticamente"/>
                      <pic:cNvPicPr>
                        <a:picLocks noChangeAspect="1"/>
                      </pic:cNvPicPr>
                      <pic:nvPr/>
                    </pic:nvPicPr>
                    <pic:blipFill>
                      <a:blip r:embed="rId1"/>
                      <a:srcRect l="126" t="0" r="126" b="0"/>
                      <a:stretch/>
                    </pic:blipFill>
                    <pic:spPr bwMode="auto">
                      <a:xfrm rot="0" flipH="0" flipV="0">
                        <a:off x="0" y="0"/>
                        <a:ext cx="4367891" cy="79530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3.9pt;height:62.6pt;mso-wrap-distance-left:0.0pt;mso-wrap-distance-top:0.0pt;mso-wrap-distance-right:0.0pt;mso-wrap-distance-bottom:0.0pt;rotation:0;" stroked="false">
              <v:path textboxrect="0,0,0,0"/>
              <v:imagedata r:id="rId1" o:title=""/>
            </v:shape>
          </w:pict>
        </mc:Fallback>
      </mc:AlternateContent>
    </w:r>
    <w:r>
      <w:rPr>
        <w:rFonts w:ascii="Arial" w:hAnsi="Arial" w:cs="Arial"/>
        <w:sz w:val="20"/>
        <w:szCs w:val="20"/>
      </w:rPr>
    </w:r>
    <w:r/>
  </w:p>
  <w:p>
    <w:pPr>
      <w:pStyle w:val="877"/>
      <w:jc w:val="right"/>
    </w:pPr>
    <w:r>
      <w:rPr>
        <w:rFonts w:ascii="Arial" w:hAnsi="Arial" w:cs="Arial"/>
        <w:sz w:val="20"/>
        <w:szCs w:val="20"/>
      </w:rPr>
    </w:r>
    <w:r>
      <w:rPr>
        <w:rFonts w:ascii="Arial" w:hAnsi="Arial" w:cs="Arial"/>
        <w:sz w:val="20"/>
        <w:szCs w:val="20"/>
      </w:rPr>
    </w:r>
    <w:r/>
  </w:p>
  <w:p>
    <w:pPr>
      <w:jc w:val="right"/>
    </w:pPr>
    <w:r>
      <w:rPr>
        <w:rFonts w:ascii="Arial" w:hAnsi="Arial" w:cs="Arial"/>
        <w:sz w:val="20"/>
        <w:szCs w:val="20"/>
      </w:rPr>
      <w:t xml:space="preserve">EDITAL - PREGÃO ELETRÔNICO Nº 03/2024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ind w:left="420" w:hanging="420"/>
      </w:pPr>
      <w:rPr>
        <w:rFonts w:hint="default"/>
      </w:rPr>
    </w:lvl>
    <w:lvl w:ilvl="1">
      <w:start w:val="4"/>
      <w:numFmt w:val="decimal"/>
      <w:isLgl w:val="false"/>
      <w:suff w:val="space"/>
      <w:lvlText w:val="%1.%2"/>
      <w:lvlJc w:val="left"/>
      <w:pPr>
        <w:ind w:left="420" w:hanging="420"/>
      </w:pPr>
      <w:rPr>
        <w:rFonts w:hint="default"/>
      </w:rPr>
    </w:lvl>
    <w:lvl w:ilvl="2">
      <w:start w:val="3"/>
      <w:numFmt w:val="decimal"/>
      <w:isLgl w:val="false"/>
      <w:suff w:val="space"/>
      <w:lvlText w:val="%1.%2.%3"/>
      <w:lvlJc w:val="left"/>
      <w:pPr>
        <w:ind w:left="720" w:hanging="720"/>
      </w:pPr>
      <w:rPr>
        <w:rFonts w:hint="default"/>
      </w:rPr>
    </w:lvl>
    <w:lvl w:ilvl="3">
      <w:start w:val="1"/>
      <w:numFmt w:val="decimal"/>
      <w:isLgl w:val="false"/>
      <w:suff w:val="space"/>
      <w:lvlText w:val="%1.%2.%3.%4"/>
      <w:lvlJc w:val="left"/>
      <w:pPr>
        <w:ind w:left="720" w:hanging="720"/>
      </w:pPr>
      <w:rPr>
        <w:rFonts w:hint="default"/>
      </w:rPr>
    </w:lvl>
    <w:lvl w:ilvl="4">
      <w:start w:val="1"/>
      <w:numFmt w:val="decimal"/>
      <w:isLgl w:val="false"/>
      <w:suff w:val="space"/>
      <w:lvlText w:val="%1.%2.%3.%4.%5"/>
      <w:lvlJc w:val="left"/>
      <w:pPr>
        <w:ind w:left="720" w:hanging="720"/>
      </w:pPr>
      <w:rPr>
        <w:rFonts w:hint="default"/>
      </w:rPr>
    </w:lvl>
    <w:lvl w:ilvl="5">
      <w:start w:val="1"/>
      <w:numFmt w:val="decimal"/>
      <w:isLgl w:val="false"/>
      <w:suff w:val="space"/>
      <w:lvlText w:val="%1.%2.%3.%4.%5.%6"/>
      <w:lvlJc w:val="left"/>
      <w:pPr>
        <w:ind w:left="1080" w:hanging="1080"/>
      </w:pPr>
      <w:rPr>
        <w:rFonts w:hint="default"/>
      </w:rPr>
    </w:lvl>
    <w:lvl w:ilvl="6">
      <w:start w:val="1"/>
      <w:numFmt w:val="decimal"/>
      <w:isLgl w:val="false"/>
      <w:suff w:val="space"/>
      <w:lvlText w:val="%1.%2.%3.%4.%5.%6.%7"/>
      <w:lvlJc w:val="left"/>
      <w:pPr>
        <w:ind w:left="1080" w:hanging="1080"/>
      </w:pPr>
      <w:rPr>
        <w:rFonts w:hint="default"/>
      </w:rPr>
    </w:lvl>
    <w:lvl w:ilvl="7">
      <w:start w:val="1"/>
      <w:numFmt w:val="decimal"/>
      <w:isLgl w:val="false"/>
      <w:suff w:val="space"/>
      <w:lvlText w:val="%1.%2.%3.%4.%5.%6.%7.%8"/>
      <w:lvlJc w:val="left"/>
      <w:pPr>
        <w:ind w:left="1440" w:hanging="1440"/>
      </w:pPr>
      <w:rPr>
        <w:rFonts w:hint="default"/>
      </w:rPr>
    </w:lvl>
    <w:lvl w:ilvl="8">
      <w:start w:val="1"/>
      <w:numFmt w:val="decimal"/>
      <w:isLgl w:val="false"/>
      <w:suff w:val="space"/>
      <w:lvlText w:val="%1.%2.%3.%4.%5.%6.%7.%8.%9"/>
      <w:lvlJc w:val="left"/>
      <w:pPr>
        <w:ind w:left="1440" w:hanging="1440"/>
      </w:pPr>
      <w:rPr>
        <w:rFonts w:hint="default"/>
      </w:rPr>
    </w:lvl>
  </w:abstractNum>
  <w:abstractNum w:abstractNumId="1">
    <w:multiLevelType w:val="hybridMultilevel"/>
    <w:lvl w:ilvl="0">
      <w:start w:val="1"/>
      <w:numFmt w:val="decimal"/>
      <w:pStyle w:val="1047"/>
      <w:isLgl w:val="false"/>
      <w:suff w:val="space"/>
      <w:lvlText w:val="%1."/>
      <w:lvlJc w:val="left"/>
      <w:pPr>
        <w:ind w:left="360" w:hanging="360"/>
      </w:pPr>
      <w:rPr>
        <w:b/>
      </w:rPr>
    </w:lvl>
    <w:lvl w:ilvl="1">
      <w:start w:val="1"/>
      <w:numFmt w:val="decimal"/>
      <w:pStyle w:val="1064"/>
      <w:isLgl w:val="false"/>
      <w:suff w:val="space"/>
      <w:lvlText w:val="%1.%2."/>
      <w:lvlJc w:val="left"/>
      <w:pPr>
        <w:ind w:left="999" w:hanging="432"/>
      </w:pPr>
      <w:rPr>
        <w:rFonts w:ascii="Cambria" w:hAnsi="Cambria" w:eastAsia="Cambria" w:cs="Cambria"/>
        <w:b w:val="0"/>
        <w:i w:val="0"/>
        <w:strike w:val="0"/>
        <w:color w:val="auto"/>
        <w:sz w:val="22"/>
        <w:szCs w:val="20"/>
        <w:u w:val="none"/>
      </w:rPr>
    </w:lvl>
    <w:lvl w:ilvl="2">
      <w:start w:val="1"/>
      <w:numFmt w:val="decimal"/>
      <w:pStyle w:val="1066"/>
      <w:isLgl w:val="false"/>
      <w:suff w:val="space"/>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67"/>
      <w:isLgl w:val="false"/>
      <w:suff w:val="space"/>
      <w:lvlText w:val="%1.%2.%3.%4."/>
      <w:lvlJc w:val="left"/>
      <w:pPr>
        <w:ind w:left="2491" w:hanging="648"/>
      </w:pPr>
      <w:rPr>
        <w:rFonts w:ascii="Cambria" w:hAnsi="Cambria" w:eastAsia="Cambria" w:cs="Cambria"/>
        <w:b w:val="0"/>
        <w:sz w:val="22"/>
      </w:rPr>
    </w:lvl>
    <w:lvl w:ilvl="4">
      <w:start w:val="1"/>
      <w:numFmt w:val="decimal"/>
      <w:pStyle w:val="1068"/>
      <w:isLgl w:val="false"/>
      <w:suff w:val="space"/>
      <w:lvlText w:val="%1.%2.%3.%4.%5."/>
      <w:lvlJc w:val="left"/>
      <w:pPr>
        <w:ind w:left="2232" w:hanging="792"/>
      </w:pPr>
    </w:lvl>
    <w:lvl w:ilvl="5">
      <w:start w:val="1"/>
      <w:numFmt w:val="decimal"/>
      <w:isLgl w:val="false"/>
      <w:suff w:val="space"/>
      <w:lvlText w:val="%1.%2.%3.%4.%5.%6."/>
      <w:lvlJc w:val="left"/>
      <w:pPr>
        <w:ind w:left="2736" w:hanging="936"/>
      </w:pPr>
    </w:lvl>
    <w:lvl w:ilvl="6">
      <w:start w:val="1"/>
      <w:numFmt w:val="decimal"/>
      <w:isLgl w:val="false"/>
      <w:suff w:val="space"/>
      <w:lvlText w:val="%1.%2.%3.%4.%5.%6.%7."/>
      <w:lvlJc w:val="left"/>
      <w:pPr>
        <w:ind w:left="3240" w:hanging="1080"/>
      </w:pPr>
    </w:lvl>
    <w:lvl w:ilvl="7">
      <w:start w:val="1"/>
      <w:numFmt w:val="decimal"/>
      <w:isLgl w:val="false"/>
      <w:suff w:val="space"/>
      <w:lvlText w:val="%1.%2.%3.%4.%5.%6.%7.%8."/>
      <w:lvlJc w:val="left"/>
      <w:pPr>
        <w:ind w:left="3744" w:hanging="1224"/>
      </w:pPr>
    </w:lvl>
    <w:lvl w:ilvl="8">
      <w:start w:val="1"/>
      <w:numFmt w:val="decimal"/>
      <w:isLgl w:val="false"/>
      <w:suff w:val="space"/>
      <w:lvlText w:val="%1.%2.%3.%4.%5.%6.%7.%8.%9."/>
      <w:lvlJc w:val="left"/>
      <w:pPr>
        <w:ind w:left="4320" w:hanging="1440"/>
      </w:pPr>
    </w:lvl>
  </w:abstractNum>
  <w:abstractNum w:abstractNumId="2">
    <w:multiLevelType w:val="hybridMultilevel"/>
    <w:lvl w:ilvl="0">
      <w:start w:val="1"/>
      <w:numFmt w:val="bullet"/>
      <w:pStyle w:val="872"/>
      <w:isLgl w:val="false"/>
      <w:suff w:val="space"/>
      <w:lvlText w:val=""/>
      <w:lvlJc w:val="left"/>
      <w:pPr>
        <w:ind w:left="1492" w:hanging="360"/>
        <w:tabs>
          <w:tab w:val="left" w:pos="1492" w:leader="none"/>
        </w:tabs>
      </w:pPr>
      <w:rPr>
        <w:rFonts w:hint="default" w:ascii="Symbol" w:hAnsi="Symbol"/>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space"/>
      <w:lvlText w:val="%1"/>
      <w:lvlJc w:val="left"/>
      <w:pPr>
        <w:ind w:left="420" w:hanging="420"/>
      </w:pPr>
      <w:rPr>
        <w:rFonts w:hint="default"/>
        <w:i w:val="0"/>
        <w:color w:val="auto"/>
      </w:rPr>
    </w:lvl>
    <w:lvl w:ilvl="1">
      <w:start w:val="4"/>
      <w:numFmt w:val="decimal"/>
      <w:isLgl w:val="false"/>
      <w:suff w:val="space"/>
      <w:lvlText w:val="%1.%2"/>
      <w:lvlJc w:val="left"/>
      <w:pPr>
        <w:ind w:left="420" w:hanging="420"/>
      </w:pPr>
      <w:rPr>
        <w:rFonts w:hint="default"/>
        <w:i w:val="0"/>
        <w:color w:val="auto"/>
      </w:rPr>
    </w:lvl>
    <w:lvl w:ilvl="2">
      <w:start w:val="1"/>
      <w:numFmt w:val="decimal"/>
      <w:isLgl w:val="false"/>
      <w:suff w:val="space"/>
      <w:lvlText w:val="%1.%2.%3"/>
      <w:lvlJc w:val="left"/>
      <w:pPr>
        <w:ind w:left="720" w:hanging="720"/>
      </w:pPr>
      <w:rPr>
        <w:rFonts w:hint="default"/>
        <w:i w:val="0"/>
        <w:color w:val="auto"/>
      </w:rPr>
    </w:lvl>
    <w:lvl w:ilvl="3">
      <w:start w:val="1"/>
      <w:numFmt w:val="decimal"/>
      <w:isLgl w:val="false"/>
      <w:suff w:val="space"/>
      <w:lvlText w:val="%1.%2.%3.%4"/>
      <w:lvlJc w:val="left"/>
      <w:pPr>
        <w:ind w:left="720" w:hanging="720"/>
      </w:pPr>
      <w:rPr>
        <w:rFonts w:hint="default"/>
        <w:i w:val="0"/>
        <w:color w:val="auto"/>
      </w:rPr>
    </w:lvl>
    <w:lvl w:ilvl="4">
      <w:start w:val="1"/>
      <w:numFmt w:val="decimal"/>
      <w:isLgl w:val="false"/>
      <w:suff w:val="space"/>
      <w:lvlText w:val="%1.%2.%3.%4.%5"/>
      <w:lvlJc w:val="left"/>
      <w:pPr>
        <w:ind w:left="720" w:hanging="720"/>
      </w:pPr>
      <w:rPr>
        <w:rFonts w:hint="default"/>
        <w:i w:val="0"/>
        <w:color w:val="auto"/>
      </w:rPr>
    </w:lvl>
    <w:lvl w:ilvl="5">
      <w:start w:val="1"/>
      <w:numFmt w:val="decimal"/>
      <w:isLgl w:val="false"/>
      <w:suff w:val="space"/>
      <w:lvlText w:val="%1.%2.%3.%4.%5.%6"/>
      <w:lvlJc w:val="left"/>
      <w:pPr>
        <w:ind w:left="1080" w:hanging="1080"/>
      </w:pPr>
      <w:rPr>
        <w:rFonts w:hint="default"/>
        <w:i w:val="0"/>
        <w:color w:val="auto"/>
      </w:rPr>
    </w:lvl>
    <w:lvl w:ilvl="6">
      <w:start w:val="1"/>
      <w:numFmt w:val="decimal"/>
      <w:isLgl w:val="false"/>
      <w:suff w:val="space"/>
      <w:lvlText w:val="%1.%2.%3.%4.%5.%6.%7"/>
      <w:lvlJc w:val="left"/>
      <w:pPr>
        <w:ind w:left="1080" w:hanging="1080"/>
      </w:pPr>
      <w:rPr>
        <w:rFonts w:hint="default"/>
        <w:i w:val="0"/>
        <w:color w:val="auto"/>
      </w:rPr>
    </w:lvl>
    <w:lvl w:ilvl="7">
      <w:start w:val="1"/>
      <w:numFmt w:val="decimal"/>
      <w:isLgl w:val="false"/>
      <w:suff w:val="space"/>
      <w:lvlText w:val="%1.%2.%3.%4.%5.%6.%7.%8"/>
      <w:lvlJc w:val="left"/>
      <w:pPr>
        <w:ind w:left="1440" w:hanging="1440"/>
      </w:pPr>
      <w:rPr>
        <w:rFonts w:hint="default"/>
        <w:i w:val="0"/>
        <w:color w:val="auto"/>
      </w:rPr>
    </w:lvl>
    <w:lvl w:ilvl="8">
      <w:start w:val="1"/>
      <w:numFmt w:val="decimal"/>
      <w:isLgl w:val="false"/>
      <w:suff w:val="space"/>
      <w:lvlText w:val="%1.%2.%3.%4.%5.%6.%7.%8.%9"/>
      <w:lvlJc w:val="left"/>
      <w:pPr>
        <w:ind w:left="1440" w:hanging="1440"/>
      </w:pPr>
      <w:rPr>
        <w:rFonts w:hint="default"/>
        <w:i w:val="0"/>
        <w:color w:val="auto"/>
      </w:rPr>
    </w:lvl>
  </w:abstractNum>
  <w:abstractNum w:abstractNumId="4">
    <w:multiLevelType w:val="hybridMultilevel"/>
    <w:lvl w:ilvl="0">
      <w:start w:val="1"/>
      <w:numFmt w:val="decimal"/>
      <w:isLgl w:val="false"/>
      <w:suff w:val="tab"/>
      <w:lvlText w:val="%1."/>
      <w:lvlJc w:val="left"/>
      <w:pPr>
        <w:ind w:left="1417" w:hanging="360"/>
      </w:pPr>
    </w:lvl>
    <w:lvl w:ilvl="1">
      <w:start w:val="1"/>
      <w:numFmt w:val="decimal"/>
      <w:isLgl w:val="false"/>
      <w:suff w:val="tab"/>
      <w:lvlText w:val="%1.%2."/>
      <w:lvlJc w:val="left"/>
      <w:pPr>
        <w:ind w:left="1849" w:hanging="432"/>
      </w:pPr>
    </w:lvl>
    <w:lvl w:ilvl="2">
      <w:start w:val="1"/>
      <w:numFmt w:val="decimal"/>
      <w:isLgl w:val="false"/>
      <w:suff w:val="tab"/>
      <w:lvlText w:val="%1.%2.%3."/>
      <w:lvlJc w:val="left"/>
      <w:pPr>
        <w:ind w:left="2281" w:hanging="504"/>
      </w:pPr>
    </w:lvl>
    <w:lvl w:ilvl="3">
      <w:start w:val="1"/>
      <w:numFmt w:val="decimal"/>
      <w:isLgl w:val="false"/>
      <w:suff w:val="tab"/>
      <w:lvlText w:val="%1.%2.%3.%4."/>
      <w:lvlJc w:val="left"/>
      <w:pPr>
        <w:ind w:left="2785" w:hanging="648"/>
      </w:pPr>
    </w:lvl>
    <w:lvl w:ilvl="4">
      <w:start w:val="1"/>
      <w:numFmt w:val="decimal"/>
      <w:isLgl w:val="false"/>
      <w:suff w:val="tab"/>
      <w:lvlText w:val="%1.%2.%3.%4.%5."/>
      <w:lvlJc w:val="left"/>
      <w:pPr>
        <w:ind w:left="3289" w:hanging="792"/>
      </w:pPr>
    </w:lvl>
    <w:lvl w:ilvl="5">
      <w:start w:val="1"/>
      <w:numFmt w:val="decimal"/>
      <w:isLgl w:val="false"/>
      <w:suff w:val="tab"/>
      <w:lvlText w:val="%1.%2.%3.%4.%5.%6."/>
      <w:lvlJc w:val="left"/>
      <w:pPr>
        <w:ind w:left="3793" w:hanging="936"/>
      </w:pPr>
    </w:lvl>
    <w:lvl w:ilvl="6">
      <w:start w:val="1"/>
      <w:numFmt w:val="decimal"/>
      <w:isLgl w:val="false"/>
      <w:suff w:val="tab"/>
      <w:lvlText w:val="%1.%2.%3.%4.%5.%6.%7."/>
      <w:lvlJc w:val="left"/>
      <w:pPr>
        <w:ind w:left="4297" w:hanging="1080"/>
      </w:pPr>
    </w:lvl>
    <w:lvl w:ilvl="7">
      <w:start w:val="1"/>
      <w:numFmt w:val="decimal"/>
      <w:isLgl w:val="false"/>
      <w:suff w:val="tab"/>
      <w:lvlText w:val="%1.%2.%3.%4.%5.%6.%7.%8."/>
      <w:lvlJc w:val="left"/>
      <w:pPr>
        <w:ind w:left="4801" w:hanging="1224"/>
      </w:pPr>
    </w:lvl>
    <w:lvl w:ilvl="8">
      <w:start w:val="1"/>
      <w:numFmt w:val="decimal"/>
      <w:isLgl w:val="false"/>
      <w:suff w:val="tab"/>
      <w:lvlText w:val="%1.%2.%3.%4.%5.%6.%7.%8.%9."/>
      <w:lvlJc w:val="left"/>
      <w:pPr>
        <w:ind w:left="5377" w:hanging="1440"/>
      </w:pPr>
    </w:lvl>
  </w:abstractNum>
  <w:abstractNum w:abstractNumId="5">
    <w:multiLevelType w:val="hybridMultilevel"/>
    <w:lvl w:ilvl="0">
      <w:start w:val="1"/>
      <w:numFmt w:val="bullet"/>
      <w:isLgl w:val="false"/>
      <w:suff w:val="tab"/>
      <w:lvlText w:val="·"/>
      <w:lvlJc w:val="left"/>
      <w:pPr>
        <w:ind w:left="1417" w:hanging="360"/>
      </w:pPr>
      <w:rPr>
        <w:rFonts w:hint="default" w:ascii="Symbol" w:hAnsi="Symbol" w:eastAsia="Symbol" w:cs="Symbol"/>
      </w:rPr>
    </w:lvl>
    <w:lvl w:ilvl="1">
      <w:start w:val="1"/>
      <w:numFmt w:val="bullet"/>
      <w:isLgl w:val="false"/>
      <w:suff w:val="tab"/>
      <w:lvlText w:val="o"/>
      <w:lvlJc w:val="left"/>
      <w:pPr>
        <w:ind w:left="2137" w:hanging="360"/>
      </w:pPr>
      <w:rPr>
        <w:rFonts w:hint="default" w:ascii="Courier New" w:hAnsi="Courier New" w:eastAsia="Courier New" w:cs="Courier New"/>
      </w:rPr>
    </w:lvl>
    <w:lvl w:ilvl="2">
      <w:start w:val="1"/>
      <w:numFmt w:val="bullet"/>
      <w:isLgl w:val="false"/>
      <w:suff w:val="tab"/>
      <w:lvlText w:val="§"/>
      <w:lvlJc w:val="left"/>
      <w:pPr>
        <w:ind w:left="2857" w:hanging="360"/>
      </w:pPr>
      <w:rPr>
        <w:rFonts w:hint="default" w:ascii="Wingdings" w:hAnsi="Wingdings" w:eastAsia="Wingdings" w:cs="Wingdings"/>
      </w:rPr>
    </w:lvl>
    <w:lvl w:ilvl="3">
      <w:start w:val="1"/>
      <w:numFmt w:val="bullet"/>
      <w:isLgl w:val="false"/>
      <w:suff w:val="tab"/>
      <w:lvlText w:val="·"/>
      <w:lvlJc w:val="left"/>
      <w:pPr>
        <w:ind w:left="3577" w:hanging="360"/>
      </w:pPr>
      <w:rPr>
        <w:rFonts w:hint="default" w:ascii="Symbol" w:hAnsi="Symbol" w:eastAsia="Symbol" w:cs="Symbol"/>
      </w:rPr>
    </w:lvl>
    <w:lvl w:ilvl="4">
      <w:start w:val="1"/>
      <w:numFmt w:val="bullet"/>
      <w:isLgl w:val="false"/>
      <w:suff w:val="tab"/>
      <w:lvlText w:val="o"/>
      <w:lvlJc w:val="left"/>
      <w:pPr>
        <w:ind w:left="4297" w:hanging="360"/>
      </w:pPr>
      <w:rPr>
        <w:rFonts w:hint="default" w:ascii="Courier New" w:hAnsi="Courier New" w:eastAsia="Courier New" w:cs="Courier New"/>
      </w:rPr>
    </w:lvl>
    <w:lvl w:ilvl="5">
      <w:start w:val="1"/>
      <w:numFmt w:val="bullet"/>
      <w:isLgl w:val="false"/>
      <w:suff w:val="tab"/>
      <w:lvlText w:val="§"/>
      <w:lvlJc w:val="left"/>
      <w:pPr>
        <w:ind w:left="5017" w:hanging="360"/>
      </w:pPr>
      <w:rPr>
        <w:rFonts w:hint="default" w:ascii="Wingdings" w:hAnsi="Wingdings" w:eastAsia="Wingdings" w:cs="Wingdings"/>
      </w:rPr>
    </w:lvl>
    <w:lvl w:ilvl="6">
      <w:start w:val="1"/>
      <w:numFmt w:val="bullet"/>
      <w:isLgl w:val="false"/>
      <w:suff w:val="tab"/>
      <w:lvlText w:val="·"/>
      <w:lvlJc w:val="left"/>
      <w:pPr>
        <w:ind w:left="5737" w:hanging="360"/>
      </w:pPr>
      <w:rPr>
        <w:rFonts w:hint="default" w:ascii="Symbol" w:hAnsi="Symbol" w:eastAsia="Symbol" w:cs="Symbol"/>
      </w:rPr>
    </w:lvl>
    <w:lvl w:ilvl="7">
      <w:start w:val="1"/>
      <w:numFmt w:val="bullet"/>
      <w:isLgl w:val="false"/>
      <w:suff w:val="tab"/>
      <w:lvlText w:val="o"/>
      <w:lvlJc w:val="left"/>
      <w:pPr>
        <w:ind w:left="6457" w:hanging="360"/>
      </w:pPr>
      <w:rPr>
        <w:rFonts w:hint="default" w:ascii="Courier New" w:hAnsi="Courier New" w:eastAsia="Courier New" w:cs="Courier New"/>
      </w:rPr>
    </w:lvl>
    <w:lvl w:ilvl="8">
      <w:start w:val="1"/>
      <w:numFmt w:val="bullet"/>
      <w:isLgl w:val="false"/>
      <w:suff w:val="tab"/>
      <w:lvlText w:val="§"/>
      <w:lvlJc w:val="left"/>
      <w:pPr>
        <w:ind w:left="7177" w:hanging="360"/>
      </w:pPr>
      <w:rPr>
        <w:rFonts w:hint="default" w:ascii="Wingdings" w:hAnsi="Wingdings" w:eastAsia="Wingdings" w:cs="Wingdings"/>
      </w:rPr>
    </w:lvl>
  </w:abstractNum>
  <w:abstractNum w:abstractNumId="6">
    <w:multiLevelType w:val="hybridMultilevel"/>
    <w:lvl w:ilvl="0">
      <w:start w:val="1"/>
      <w:numFmt w:val="upperRoman"/>
      <w:isLgl w:val="false"/>
      <w:suff w:val="tab"/>
      <w:lvlText w:val="%1)"/>
      <w:lvlJc w:val="left"/>
      <w:pPr>
        <w:ind w:left="3555" w:hanging="720"/>
      </w:pPr>
      <w:rPr>
        <w:rFonts w:hint="default"/>
      </w:rPr>
    </w:lvl>
    <w:lvl w:ilvl="1">
      <w:start w:val="1"/>
      <w:numFmt w:val="lowerLetter"/>
      <w:isLgl w:val="false"/>
      <w:suff w:val="tab"/>
      <w:lvlText w:val="%2."/>
      <w:lvlJc w:val="left"/>
      <w:pPr>
        <w:ind w:left="3915" w:hanging="360"/>
      </w:pPr>
    </w:lvl>
    <w:lvl w:ilvl="2">
      <w:start w:val="1"/>
      <w:numFmt w:val="lowerRoman"/>
      <w:isLgl w:val="false"/>
      <w:suff w:val="tab"/>
      <w:lvlText w:val="%3."/>
      <w:lvlJc w:val="right"/>
      <w:pPr>
        <w:ind w:left="4635" w:hanging="180"/>
      </w:pPr>
    </w:lvl>
    <w:lvl w:ilvl="3">
      <w:start w:val="1"/>
      <w:numFmt w:val="decimal"/>
      <w:isLgl w:val="false"/>
      <w:suff w:val="tab"/>
      <w:lvlText w:val="%4."/>
      <w:lvlJc w:val="left"/>
      <w:pPr>
        <w:ind w:left="5355" w:hanging="360"/>
      </w:pPr>
    </w:lvl>
    <w:lvl w:ilvl="4">
      <w:start w:val="1"/>
      <w:numFmt w:val="lowerLetter"/>
      <w:isLgl w:val="false"/>
      <w:suff w:val="tab"/>
      <w:lvlText w:val="%5."/>
      <w:lvlJc w:val="left"/>
      <w:pPr>
        <w:ind w:left="6075" w:hanging="360"/>
      </w:pPr>
    </w:lvl>
    <w:lvl w:ilvl="5">
      <w:start w:val="1"/>
      <w:numFmt w:val="lowerRoman"/>
      <w:isLgl w:val="false"/>
      <w:suff w:val="tab"/>
      <w:lvlText w:val="%6."/>
      <w:lvlJc w:val="right"/>
      <w:pPr>
        <w:ind w:left="6795" w:hanging="180"/>
      </w:pPr>
    </w:lvl>
    <w:lvl w:ilvl="6">
      <w:start w:val="1"/>
      <w:numFmt w:val="decimal"/>
      <w:isLgl w:val="false"/>
      <w:suff w:val="tab"/>
      <w:lvlText w:val="%7."/>
      <w:lvlJc w:val="left"/>
      <w:pPr>
        <w:ind w:left="7515" w:hanging="360"/>
      </w:pPr>
    </w:lvl>
    <w:lvl w:ilvl="7">
      <w:start w:val="1"/>
      <w:numFmt w:val="lowerLetter"/>
      <w:isLgl w:val="false"/>
      <w:suff w:val="tab"/>
      <w:lvlText w:val="%8."/>
      <w:lvlJc w:val="left"/>
      <w:pPr>
        <w:ind w:left="8235" w:hanging="360"/>
      </w:pPr>
    </w:lvl>
    <w:lvl w:ilvl="8">
      <w:start w:val="1"/>
      <w:numFmt w:val="lowerRoman"/>
      <w:isLgl w:val="false"/>
      <w:suff w:val="tab"/>
      <w:lvlText w:val="%9."/>
      <w:lvlJc w:val="right"/>
      <w:pPr>
        <w:ind w:left="8955" w:hanging="180"/>
      </w:pPr>
    </w:lvl>
  </w:abstractNum>
  <w:abstractNum w:abstractNumId="7">
    <w:multiLevelType w:val="hybridMultilevel"/>
    <w:lvl w:ilvl="0">
      <w:start w:val="1"/>
      <w:numFmt w:val="decimal"/>
      <w:isLgl w:val="false"/>
      <w:suff w:val="tab"/>
      <w:lvlText w:val="%1."/>
      <w:lvlJc w:val="left"/>
      <w:pPr>
        <w:ind w:left="360" w:hanging="360"/>
      </w:pPr>
      <w:rPr>
        <w:rFonts w:hint="default"/>
        <w:b/>
        <w:color w:val="auto"/>
      </w:rPr>
    </w:lvl>
    <w:lvl w:ilvl="1">
      <w:start w:val="1"/>
      <w:numFmt w:val="decimal"/>
      <w:isLgl w:val="false"/>
      <w:suff w:val="tab"/>
      <w:lvlText w:val="%1.%2."/>
      <w:lvlJc w:val="left"/>
      <w:pPr>
        <w:ind w:left="716" w:hanging="432"/>
      </w:pPr>
      <w:rPr>
        <w:rFonts w:hint="default"/>
        <w:b w:val="0"/>
        <w:i w:val="0"/>
        <w:strike w:val="0"/>
        <w:color w:val="auto"/>
        <w:u w:val="none"/>
      </w:rPr>
    </w:lvl>
    <w:lvl w:ilvl="2">
      <w:start w:val="1"/>
      <w:numFmt w:val="decimal"/>
      <w:isLgl w:val="false"/>
      <w:suff w:val="tab"/>
      <w:lvlText w:val="%1.%2.%3."/>
      <w:lvlJc w:val="left"/>
      <w:pPr>
        <w:ind w:left="930" w:hanging="504"/>
      </w:pPr>
      <w:rPr>
        <w:rFonts w:hint="default"/>
        <w:b w:val="0"/>
        <w:i w:val="0"/>
        <w:color w:val="ff0000"/>
      </w:rPr>
    </w:lvl>
    <w:lvl w:ilvl="3">
      <w:start w:val="1"/>
      <w:numFmt w:val="decimal"/>
      <w:isLgl w:val="false"/>
      <w:suff w:val="tab"/>
      <w:lvlText w:val="%1.%2.%3.%4."/>
      <w:lvlJc w:val="left"/>
      <w:pPr>
        <w:ind w:left="2491" w:hanging="648"/>
      </w:pPr>
      <w:rPr>
        <w:rFonts w:hint="default"/>
      </w:rPr>
    </w:lvl>
    <w:lvl w:ilvl="4">
      <w:start w:val="1"/>
      <w:numFmt w:val="lowerLetter"/>
      <w:isLgl w:val="false"/>
      <w:suff w:val="tab"/>
      <w:lvlText w:val="%5)"/>
      <w:lvlJc w:val="left"/>
      <w:pPr>
        <w:ind w:left="1800" w:hanging="360"/>
      </w:p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8">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9">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
      <w:numFmt w:val="lowerLetter"/>
      <w:isLgl w:val="false"/>
      <w:suff w:val="tab"/>
      <w:lvlText w:val="%1)"/>
      <w:lvlJc w:val="left"/>
      <w:pPr>
        <w:ind w:left="709" w:hanging="360"/>
      </w:pPr>
    </w:lvl>
    <w:lvl w:ilvl="1">
      <w:start w:val="1"/>
      <w:numFmt w:val="lowerLetter"/>
      <w:isLgl w:val="false"/>
      <w:suff w:val="tab"/>
      <w:lvlText w:val="%2."/>
      <w:lvlJc w:val="left"/>
      <w:pPr>
        <w:ind w:left="1429" w:hanging="360"/>
      </w:pPr>
    </w:lvl>
    <w:lvl w:ilvl="2">
      <w:start w:val="1"/>
      <w:numFmt w:val="lowerRoman"/>
      <w:isLgl w:val="false"/>
      <w:suff w:val="tab"/>
      <w:lvlText w:val="%3."/>
      <w:lvlJc w:val="right"/>
      <w:pPr>
        <w:ind w:left="2149" w:hanging="180"/>
      </w:pPr>
    </w:lvl>
    <w:lvl w:ilvl="3">
      <w:start w:val="1"/>
      <w:numFmt w:val="decimal"/>
      <w:isLgl w:val="false"/>
      <w:suff w:val="tab"/>
      <w:lvlText w:val="%4."/>
      <w:lvlJc w:val="left"/>
      <w:pPr>
        <w:ind w:left="2869" w:hanging="360"/>
      </w:pPr>
    </w:lvl>
    <w:lvl w:ilvl="4">
      <w:start w:val="1"/>
      <w:numFmt w:val="lowerLetter"/>
      <w:isLgl w:val="false"/>
      <w:suff w:val="tab"/>
      <w:lvlText w:val="%5."/>
      <w:lvlJc w:val="left"/>
      <w:pPr>
        <w:ind w:left="3589" w:hanging="360"/>
      </w:pPr>
    </w:lvl>
    <w:lvl w:ilvl="5">
      <w:start w:val="1"/>
      <w:numFmt w:val="lowerRoman"/>
      <w:isLgl w:val="false"/>
      <w:suff w:val="tab"/>
      <w:lvlText w:val="%6."/>
      <w:lvlJc w:val="right"/>
      <w:pPr>
        <w:ind w:left="4309" w:hanging="180"/>
      </w:pPr>
    </w:lvl>
    <w:lvl w:ilvl="6">
      <w:start w:val="1"/>
      <w:numFmt w:val="decimal"/>
      <w:isLgl w:val="false"/>
      <w:suff w:val="tab"/>
      <w:lvlText w:val="%7."/>
      <w:lvlJc w:val="left"/>
      <w:pPr>
        <w:ind w:left="5029" w:hanging="360"/>
      </w:pPr>
    </w:lvl>
    <w:lvl w:ilvl="7">
      <w:start w:val="1"/>
      <w:numFmt w:val="lowerLetter"/>
      <w:isLgl w:val="false"/>
      <w:suff w:val="tab"/>
      <w:lvlText w:val="%8."/>
      <w:lvlJc w:val="left"/>
      <w:pPr>
        <w:ind w:left="5749" w:hanging="360"/>
      </w:pPr>
    </w:lvl>
    <w:lvl w:ilvl="8">
      <w:start w:val="1"/>
      <w:numFmt w:val="lowerRoman"/>
      <w:isLgl w:val="false"/>
      <w:suff w:val="tab"/>
      <w:lvlText w:val="%9."/>
      <w:lvlJc w:val="right"/>
      <w:pPr>
        <w:ind w:left="6469" w:hanging="180"/>
      </w:pPr>
    </w:lvl>
  </w:abstractNum>
  <w:num w:numId="1">
    <w:abstractNumId w:val="2"/>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9"/>
    </w:lvlOverride>
    <w:lvlOverride w:ilvl="1">
      <w:startOverride w:val="2"/>
    </w:lvlOverride>
    <w:lvlOverride w:ilvl="2">
      <w:startOverride w:val="1"/>
    </w:lvlOverride>
  </w:num>
  <w:num w:numId="5">
    <w:abstractNumId w:val="3"/>
  </w:num>
  <w:num w:numId="6">
    <w:abstractNumId w:val="0"/>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ja-JP"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6">
    <w:name w:val="Heading 5 Char"/>
    <w:basedOn w:val="854"/>
    <w:link w:val="849"/>
    <w:uiPriority w:val="9"/>
    <w:rPr>
      <w:rFonts w:ascii="Arial" w:hAnsi="Arial" w:eastAsia="Arial" w:cs="Arial"/>
      <w:b/>
      <w:bCs/>
      <w:sz w:val="24"/>
      <w:szCs w:val="24"/>
    </w:rPr>
  </w:style>
  <w:style w:type="character" w:styleId="817">
    <w:name w:val="Heading 7 Char"/>
    <w:basedOn w:val="854"/>
    <w:link w:val="851"/>
    <w:uiPriority w:val="9"/>
    <w:rPr>
      <w:rFonts w:ascii="Arial" w:hAnsi="Arial" w:eastAsia="Arial" w:cs="Arial"/>
      <w:b/>
      <w:bCs/>
      <w:i/>
      <w:iCs/>
      <w:sz w:val="22"/>
      <w:szCs w:val="22"/>
    </w:rPr>
  </w:style>
  <w:style w:type="character" w:styleId="818">
    <w:name w:val="Heading 8 Char"/>
    <w:basedOn w:val="854"/>
    <w:link w:val="852"/>
    <w:uiPriority w:val="9"/>
    <w:rPr>
      <w:rFonts w:ascii="Arial" w:hAnsi="Arial" w:eastAsia="Arial" w:cs="Arial"/>
      <w:i/>
      <w:iCs/>
      <w:sz w:val="22"/>
      <w:szCs w:val="22"/>
    </w:rPr>
  </w:style>
  <w:style w:type="character" w:styleId="819">
    <w:name w:val="Heading 9 Char"/>
    <w:basedOn w:val="854"/>
    <w:link w:val="853"/>
    <w:uiPriority w:val="9"/>
    <w:rPr>
      <w:rFonts w:ascii="Arial" w:hAnsi="Arial" w:eastAsia="Arial" w:cs="Arial"/>
      <w:i/>
      <w:iCs/>
      <w:sz w:val="21"/>
      <w:szCs w:val="21"/>
    </w:rPr>
  </w:style>
  <w:style w:type="character" w:styleId="820">
    <w:name w:val="Subtitle Char"/>
    <w:basedOn w:val="854"/>
    <w:link w:val="884"/>
    <w:uiPriority w:val="11"/>
    <w:rPr>
      <w:sz w:val="24"/>
      <w:szCs w:val="24"/>
    </w:rPr>
  </w:style>
  <w:style w:type="character" w:styleId="821">
    <w:name w:val="Intense Quote Char"/>
    <w:link w:val="900"/>
    <w:uiPriority w:val="30"/>
    <w:rPr>
      <w:i/>
    </w:rPr>
  </w:style>
  <w:style w:type="table" w:styleId="822">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1">
    <w:name w:val="Footnote Text Char"/>
    <w:link w:val="885"/>
    <w:uiPriority w:val="99"/>
    <w:rPr>
      <w:sz w:val="18"/>
    </w:rPr>
  </w:style>
  <w:style w:type="character" w:styleId="842">
    <w:name w:val="Endnote Text Char"/>
    <w:link w:val="873"/>
    <w:uiPriority w:val="99"/>
    <w:rPr>
      <w:sz w:val="20"/>
    </w:rPr>
  </w:style>
  <w:style w:type="paragraph" w:styleId="843">
    <w:name w:val="TOC Heading"/>
    <w:uiPriority w:val="39"/>
    <w:unhideWhenUsed/>
  </w:style>
  <w:style w:type="paragraph" w:styleId="844" w:default="1">
    <w:name w:val="Normal"/>
    <w:qFormat/>
    <w:rPr>
      <w:rFonts w:ascii="Ecofont_Spranq_eco_Sans" w:hAnsi="Ecofont_Spranq_eco_Sans" w:cs="Tahoma" w:eastAsiaTheme="minorEastAsia"/>
      <w:sz w:val="24"/>
      <w:szCs w:val="24"/>
      <w:lang w:eastAsia="pt-BR"/>
    </w:rPr>
  </w:style>
  <w:style w:type="paragraph" w:styleId="845">
    <w:name w:val="Heading 1"/>
    <w:basedOn w:val="844"/>
    <w:next w:val="844"/>
    <w:link w:val="1051"/>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46">
    <w:name w:val="Heading 2"/>
    <w:basedOn w:val="844"/>
    <w:next w:val="844"/>
    <w:link w:val="1034"/>
    <w:qFormat/>
    <w:pPr>
      <w:ind w:right="-1"/>
      <w:jc w:val="center"/>
      <w:keepNext/>
      <w:tabs>
        <w:tab w:val="left" w:pos="1701" w:leader="none"/>
      </w:tabs>
      <w:outlineLvl w:val="1"/>
    </w:pPr>
    <w:rPr>
      <w:rFonts w:ascii="Times New Roman" w:hAnsi="Times New Roman" w:cs="Times New Roman"/>
      <w:b/>
      <w:color w:val="000000"/>
      <w:szCs w:val="20"/>
    </w:rPr>
  </w:style>
  <w:style w:type="paragraph" w:styleId="847">
    <w:name w:val="Heading 3"/>
    <w:basedOn w:val="844"/>
    <w:next w:val="844"/>
    <w:link w:val="1096"/>
    <w:uiPriority w:val="9"/>
    <w:semiHidden/>
    <w:unhideWhenUsed/>
    <w:qFormat/>
    <w:pPr>
      <w:keepLines/>
      <w:keepNext/>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848">
    <w:name w:val="Heading 4"/>
    <w:basedOn w:val="844"/>
    <w:next w:val="844"/>
    <w:link w:val="1046"/>
    <w:semiHidden/>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paragraph" w:styleId="849">
    <w:name w:val="Heading 5"/>
    <w:basedOn w:val="844"/>
    <w:next w:val="844"/>
    <w:link w:val="892"/>
    <w:uiPriority w:val="9"/>
    <w:unhideWhenUsed/>
    <w:qFormat/>
    <w:pPr>
      <w:keepLines/>
      <w:keepNext/>
      <w:spacing w:before="320" w:after="200"/>
      <w:outlineLvl w:val="4"/>
    </w:pPr>
    <w:rPr>
      <w:rFonts w:ascii="Arial" w:hAnsi="Arial" w:eastAsia="Arial" w:cs="Arial"/>
      <w:b/>
      <w:bCs/>
    </w:rPr>
  </w:style>
  <w:style w:type="paragraph" w:styleId="850">
    <w:name w:val="Heading 6"/>
    <w:basedOn w:val="844"/>
    <w:next w:val="844"/>
    <w:link w:val="1097"/>
    <w:uiPriority w:val="9"/>
    <w:semiHidden/>
    <w:unhideWhenUsed/>
    <w:qFormat/>
    <w:pPr>
      <w:keepLines/>
      <w:keepNext/>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paragraph" w:styleId="851">
    <w:name w:val="Heading 7"/>
    <w:basedOn w:val="844"/>
    <w:next w:val="844"/>
    <w:link w:val="894"/>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link w:val="895"/>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link w:val="896"/>
    <w:uiPriority w:val="9"/>
    <w:unhideWhenUsed/>
    <w:qFormat/>
    <w:pPr>
      <w:keepLines/>
      <w:keepNext/>
      <w:spacing w:before="320" w:after="200"/>
      <w:outlineLvl w:val="8"/>
    </w:pPr>
    <w:rPr>
      <w:rFonts w:ascii="Arial" w:hAnsi="Arial" w:eastAsia="Arial" w:cs="Arial"/>
      <w:i/>
      <w:iCs/>
      <w:sz w:val="21"/>
      <w:szCs w:val="21"/>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character" w:styleId="857">
    <w:name w:val="endnote reference"/>
    <w:basedOn w:val="854"/>
    <w:uiPriority w:val="99"/>
    <w:semiHidden/>
    <w:unhideWhenUsed/>
    <w:rPr>
      <w:vertAlign w:val="superscript"/>
    </w:rPr>
  </w:style>
  <w:style w:type="character" w:styleId="858">
    <w:name w:val="Strong"/>
    <w:basedOn w:val="854"/>
    <w:uiPriority w:val="22"/>
    <w:qFormat/>
    <w:rPr>
      <w:b/>
      <w:bCs/>
    </w:rPr>
  </w:style>
  <w:style w:type="character" w:styleId="859">
    <w:name w:val="annotation reference"/>
    <w:basedOn w:val="854"/>
    <w:unhideWhenUsed/>
    <w:qFormat/>
    <w:rPr>
      <w:sz w:val="16"/>
      <w:szCs w:val="16"/>
    </w:rPr>
  </w:style>
  <w:style w:type="character" w:styleId="860">
    <w:name w:val="FollowedHyperlink"/>
    <w:basedOn w:val="854"/>
    <w:semiHidden/>
    <w:unhideWhenUsed/>
    <w:qFormat/>
    <w:rPr>
      <w:color w:val="800080" w:themeColor="followedHyperlink"/>
      <w:u w:val="single"/>
    </w:rPr>
  </w:style>
  <w:style w:type="character" w:styleId="861">
    <w:name w:val="Emphasis"/>
    <w:basedOn w:val="854"/>
    <w:qFormat/>
    <w:rPr>
      <w:i/>
      <w:iCs/>
    </w:rPr>
  </w:style>
  <w:style w:type="character" w:styleId="862">
    <w:name w:val="footnote reference"/>
    <w:basedOn w:val="854"/>
    <w:uiPriority w:val="99"/>
    <w:unhideWhenUsed/>
    <w:rPr>
      <w:vertAlign w:val="superscript"/>
    </w:rPr>
  </w:style>
  <w:style w:type="character" w:styleId="863">
    <w:name w:val="Hyperlink"/>
    <w:uiPriority w:val="99"/>
    <w:rPr>
      <w:color w:val="000080"/>
      <w:u w:val="single"/>
    </w:rPr>
  </w:style>
  <w:style w:type="paragraph" w:styleId="864">
    <w:name w:val="toc 2"/>
    <w:basedOn w:val="844"/>
    <w:next w:val="844"/>
    <w:uiPriority w:val="39"/>
    <w:unhideWhenUsed/>
    <w:qFormat/>
    <w:pPr>
      <w:ind w:left="283"/>
      <w:spacing w:after="57"/>
    </w:pPr>
  </w:style>
  <w:style w:type="paragraph" w:styleId="865">
    <w:name w:val="toc 9"/>
    <w:basedOn w:val="844"/>
    <w:next w:val="844"/>
    <w:uiPriority w:val="39"/>
    <w:unhideWhenUsed/>
    <w:qFormat/>
    <w:pPr>
      <w:ind w:left="2268"/>
      <w:spacing w:after="57"/>
    </w:pPr>
  </w:style>
  <w:style w:type="paragraph" w:styleId="866">
    <w:name w:val="Body Text"/>
    <w:basedOn w:val="844"/>
    <w:link w:val="1060"/>
    <w:unhideWhenUsed/>
    <w:pPr>
      <w:spacing w:before="100" w:beforeAutospacing="1" w:after="100" w:afterAutospacing="1"/>
    </w:pPr>
    <w:rPr>
      <w:rFonts w:ascii="Times New Roman" w:hAnsi="Times New Roman" w:eastAsia="Times New Roman" w:cs="Times New Roman"/>
    </w:rPr>
  </w:style>
  <w:style w:type="paragraph" w:styleId="867">
    <w:name w:val="toc 6"/>
    <w:basedOn w:val="844"/>
    <w:next w:val="844"/>
    <w:uiPriority w:val="39"/>
    <w:unhideWhenUsed/>
    <w:pPr>
      <w:ind w:left="1417"/>
      <w:spacing w:after="57"/>
    </w:pPr>
  </w:style>
  <w:style w:type="paragraph" w:styleId="868">
    <w:name w:val="annotation text"/>
    <w:basedOn w:val="844"/>
    <w:link w:val="1044"/>
    <w:unhideWhenUsed/>
    <w:rPr>
      <w:sz w:val="20"/>
      <w:szCs w:val="20"/>
    </w:rPr>
  </w:style>
  <w:style w:type="paragraph" w:styleId="869">
    <w:name w:val="toc 5"/>
    <w:basedOn w:val="844"/>
    <w:next w:val="844"/>
    <w:uiPriority w:val="39"/>
    <w:unhideWhenUsed/>
    <w:pPr>
      <w:ind w:left="1134"/>
      <w:spacing w:after="57"/>
    </w:pPr>
  </w:style>
  <w:style w:type="paragraph" w:styleId="870">
    <w:name w:val="table of figures"/>
    <w:basedOn w:val="844"/>
    <w:next w:val="844"/>
    <w:uiPriority w:val="99"/>
    <w:unhideWhenUsed/>
  </w:style>
  <w:style w:type="paragraph" w:styleId="871">
    <w:name w:val="Title"/>
    <w:basedOn w:val="844"/>
    <w:next w:val="844"/>
    <w:link w:val="1049"/>
    <w:pPr>
      <w:contextualSpacing/>
      <w:spacing w:after="300"/>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872">
    <w:name w:val="List Bullet 5"/>
    <w:basedOn w:val="844"/>
    <w:pPr>
      <w:numPr>
        <w:ilvl w:val="0"/>
        <w:numId w:val="1"/>
      </w:numPr>
      <w:contextualSpacing/>
    </w:pPr>
  </w:style>
  <w:style w:type="paragraph" w:styleId="873">
    <w:name w:val="endnote text"/>
    <w:basedOn w:val="844"/>
    <w:link w:val="1031"/>
    <w:uiPriority w:val="99"/>
    <w:semiHidden/>
    <w:unhideWhenUsed/>
    <w:qFormat/>
    <w:rPr>
      <w:sz w:val="20"/>
    </w:rPr>
  </w:style>
  <w:style w:type="paragraph" w:styleId="874">
    <w:name w:val="Normal (Web)"/>
    <w:basedOn w:val="844"/>
    <w:uiPriority w:val="99"/>
    <w:qFormat/>
    <w:pPr>
      <w:spacing w:before="100" w:beforeAutospacing="1" w:after="100" w:afterAutospacing="1"/>
    </w:pPr>
    <w:rPr>
      <w:rFonts w:ascii="Times New Roman" w:hAnsi="Times New Roman" w:cs="Times New Roman"/>
    </w:rPr>
  </w:style>
  <w:style w:type="paragraph" w:styleId="875">
    <w:name w:val="toc 4"/>
    <w:basedOn w:val="844"/>
    <w:next w:val="844"/>
    <w:uiPriority w:val="39"/>
    <w:unhideWhenUsed/>
    <w:pPr>
      <w:ind w:left="850"/>
      <w:spacing w:after="57"/>
    </w:pPr>
  </w:style>
  <w:style w:type="paragraph" w:styleId="876">
    <w:name w:val="toc 8"/>
    <w:basedOn w:val="844"/>
    <w:next w:val="844"/>
    <w:uiPriority w:val="39"/>
    <w:unhideWhenUsed/>
    <w:qFormat/>
    <w:pPr>
      <w:ind w:left="1984"/>
      <w:spacing w:after="57"/>
    </w:pPr>
  </w:style>
  <w:style w:type="paragraph" w:styleId="877">
    <w:name w:val="Header"/>
    <w:basedOn w:val="844"/>
    <w:link w:val="1042"/>
    <w:qFormat/>
    <w:pPr>
      <w:tabs>
        <w:tab w:val="center" w:pos="4252" w:leader="none"/>
        <w:tab w:val="right" w:pos="8504" w:leader="none"/>
      </w:tabs>
    </w:pPr>
  </w:style>
  <w:style w:type="paragraph" w:styleId="878">
    <w:name w:val="annotation subject"/>
    <w:basedOn w:val="868"/>
    <w:next w:val="868"/>
    <w:link w:val="1045"/>
    <w:semiHidden/>
    <w:unhideWhenUsed/>
    <w:qFormat/>
    <w:rPr>
      <w:b/>
      <w:bCs/>
    </w:rPr>
  </w:style>
  <w:style w:type="paragraph" w:styleId="879">
    <w:name w:val="Footer"/>
    <w:basedOn w:val="844"/>
    <w:link w:val="1043"/>
    <w:uiPriority w:val="99"/>
    <w:qFormat/>
    <w:pPr>
      <w:tabs>
        <w:tab w:val="center" w:pos="4252" w:leader="none"/>
        <w:tab w:val="right" w:pos="8504" w:leader="none"/>
      </w:tabs>
    </w:pPr>
  </w:style>
  <w:style w:type="paragraph" w:styleId="880">
    <w:name w:val="Caption"/>
    <w:basedOn w:val="844"/>
    <w:next w:val="844"/>
    <w:uiPriority w:val="35"/>
    <w:semiHidden/>
    <w:unhideWhenUsed/>
    <w:qFormat/>
    <w:pPr>
      <w:spacing w:line="276" w:lineRule="auto"/>
    </w:pPr>
    <w:rPr>
      <w:b/>
      <w:bCs/>
      <w:color w:val="4f81bd" w:themeColor="accent1"/>
      <w:sz w:val="18"/>
      <w:szCs w:val="18"/>
    </w:rPr>
  </w:style>
  <w:style w:type="paragraph" w:styleId="881">
    <w:name w:val="toc 7"/>
    <w:basedOn w:val="844"/>
    <w:next w:val="844"/>
    <w:uiPriority w:val="39"/>
    <w:unhideWhenUsed/>
    <w:qFormat/>
    <w:pPr>
      <w:ind w:left="1701"/>
      <w:spacing w:after="57"/>
    </w:pPr>
  </w:style>
  <w:style w:type="paragraph" w:styleId="882">
    <w:name w:val="toc 3"/>
    <w:basedOn w:val="844"/>
    <w:next w:val="844"/>
    <w:uiPriority w:val="39"/>
    <w:unhideWhenUsed/>
    <w:qFormat/>
    <w:pPr>
      <w:ind w:left="567"/>
      <w:spacing w:after="57"/>
    </w:pPr>
  </w:style>
  <w:style w:type="paragraph" w:styleId="883">
    <w:name w:val="Balloon Text"/>
    <w:basedOn w:val="844"/>
    <w:link w:val="1033"/>
    <w:uiPriority w:val="99"/>
    <w:qFormat/>
    <w:rPr>
      <w:rFonts w:ascii="Tahoma" w:hAnsi="Tahoma"/>
      <w:sz w:val="16"/>
      <w:szCs w:val="16"/>
    </w:rPr>
  </w:style>
  <w:style w:type="paragraph" w:styleId="884">
    <w:name w:val="Subtitle"/>
    <w:basedOn w:val="844"/>
    <w:next w:val="844"/>
    <w:link w:val="899"/>
    <w:uiPriority w:val="11"/>
    <w:qFormat/>
    <w:pPr>
      <w:spacing w:before="200" w:after="200"/>
    </w:pPr>
  </w:style>
  <w:style w:type="paragraph" w:styleId="885">
    <w:name w:val="footnote text"/>
    <w:basedOn w:val="844"/>
    <w:link w:val="1030"/>
    <w:uiPriority w:val="99"/>
    <w:semiHidden/>
    <w:unhideWhenUsed/>
    <w:qFormat/>
    <w:pPr>
      <w:spacing w:after="40"/>
    </w:pPr>
    <w:rPr>
      <w:sz w:val="18"/>
    </w:rPr>
  </w:style>
  <w:style w:type="paragraph" w:styleId="886">
    <w:name w:val="toc 1"/>
    <w:basedOn w:val="844"/>
    <w:next w:val="844"/>
    <w:uiPriority w:val="39"/>
    <w:unhideWhenUsed/>
    <w:qFormat/>
    <w:pPr>
      <w:spacing w:after="100"/>
      <w:tabs>
        <w:tab w:val="left" w:pos="426" w:leader="none"/>
        <w:tab w:val="right" w:pos="9628" w:leader="dot"/>
      </w:tabs>
    </w:pPr>
    <w:rPr>
      <w:rFonts w:ascii="Arial" w:hAnsi="Arial" w:eastAsia="Times New Roman"/>
      <w:sz w:val="20"/>
    </w:rPr>
  </w:style>
  <w:style w:type="table" w:styleId="887">
    <w:name w:val="Table Grid"/>
    <w:basedOn w:val="855"/>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customStyle="1">
    <w:name w:val="Heading 1 Char"/>
    <w:basedOn w:val="854"/>
    <w:uiPriority w:val="9"/>
    <w:rPr>
      <w:rFonts w:ascii="Arial" w:hAnsi="Arial" w:eastAsia="Arial" w:cs="Arial"/>
      <w:sz w:val="40"/>
      <w:szCs w:val="40"/>
    </w:rPr>
  </w:style>
  <w:style w:type="character" w:styleId="889" w:customStyle="1">
    <w:name w:val="Heading 2 Char"/>
    <w:basedOn w:val="854"/>
    <w:uiPriority w:val="9"/>
    <w:rPr>
      <w:rFonts w:ascii="Arial" w:hAnsi="Arial" w:eastAsia="Arial" w:cs="Arial"/>
      <w:sz w:val="34"/>
    </w:rPr>
  </w:style>
  <w:style w:type="character" w:styleId="890" w:customStyle="1">
    <w:name w:val="Heading 3 Char"/>
    <w:basedOn w:val="854"/>
    <w:uiPriority w:val="9"/>
    <w:rPr>
      <w:rFonts w:ascii="Arial" w:hAnsi="Arial" w:eastAsia="Arial" w:cs="Arial"/>
      <w:sz w:val="30"/>
      <w:szCs w:val="30"/>
    </w:rPr>
  </w:style>
  <w:style w:type="character" w:styleId="891" w:customStyle="1">
    <w:name w:val="Heading 4 Char"/>
    <w:basedOn w:val="854"/>
    <w:uiPriority w:val="9"/>
    <w:rPr>
      <w:rFonts w:ascii="Arial" w:hAnsi="Arial" w:eastAsia="Arial" w:cs="Arial"/>
      <w:b/>
      <w:bCs/>
      <w:sz w:val="26"/>
      <w:szCs w:val="26"/>
    </w:rPr>
  </w:style>
  <w:style w:type="character" w:styleId="892" w:customStyle="1">
    <w:name w:val="Título 5 Char"/>
    <w:basedOn w:val="854"/>
    <w:link w:val="849"/>
    <w:uiPriority w:val="9"/>
    <w:rPr>
      <w:rFonts w:ascii="Arial" w:hAnsi="Arial" w:eastAsia="Arial" w:cs="Arial"/>
      <w:b/>
      <w:bCs/>
      <w:sz w:val="24"/>
      <w:szCs w:val="24"/>
    </w:rPr>
  </w:style>
  <w:style w:type="character" w:styleId="893" w:customStyle="1">
    <w:name w:val="Heading 6 Char"/>
    <w:basedOn w:val="854"/>
    <w:uiPriority w:val="9"/>
    <w:rPr>
      <w:rFonts w:ascii="Arial" w:hAnsi="Arial" w:eastAsia="Arial" w:cs="Arial"/>
      <w:b/>
      <w:bCs/>
      <w:sz w:val="22"/>
      <w:szCs w:val="22"/>
    </w:rPr>
  </w:style>
  <w:style w:type="character" w:styleId="894" w:customStyle="1">
    <w:name w:val="Título 7 Char"/>
    <w:basedOn w:val="854"/>
    <w:link w:val="851"/>
    <w:uiPriority w:val="9"/>
    <w:qFormat/>
    <w:rPr>
      <w:rFonts w:ascii="Arial" w:hAnsi="Arial" w:eastAsia="Arial" w:cs="Arial"/>
      <w:b/>
      <w:bCs/>
      <w:i/>
      <w:iCs/>
      <w:sz w:val="22"/>
      <w:szCs w:val="22"/>
    </w:rPr>
  </w:style>
  <w:style w:type="character" w:styleId="895" w:customStyle="1">
    <w:name w:val="Título 8 Char"/>
    <w:basedOn w:val="854"/>
    <w:link w:val="852"/>
    <w:uiPriority w:val="9"/>
    <w:rPr>
      <w:rFonts w:ascii="Arial" w:hAnsi="Arial" w:eastAsia="Arial" w:cs="Arial"/>
      <w:i/>
      <w:iCs/>
      <w:sz w:val="22"/>
      <w:szCs w:val="22"/>
    </w:rPr>
  </w:style>
  <w:style w:type="character" w:styleId="896" w:customStyle="1">
    <w:name w:val="Título 9 Char"/>
    <w:basedOn w:val="854"/>
    <w:link w:val="853"/>
    <w:uiPriority w:val="9"/>
    <w:rPr>
      <w:rFonts w:ascii="Arial" w:hAnsi="Arial" w:eastAsia="Arial" w:cs="Arial"/>
      <w:i/>
      <w:iCs/>
      <w:sz w:val="21"/>
      <w:szCs w:val="21"/>
    </w:rPr>
  </w:style>
  <w:style w:type="paragraph" w:styleId="897">
    <w:name w:val="No Spacing"/>
    <w:uiPriority w:val="1"/>
    <w:qFormat/>
    <w:rPr>
      <w:rFonts w:eastAsiaTheme="minorEastAsia"/>
    </w:rPr>
  </w:style>
  <w:style w:type="character" w:styleId="898" w:customStyle="1">
    <w:name w:val="Title Char"/>
    <w:basedOn w:val="854"/>
    <w:uiPriority w:val="10"/>
    <w:qFormat/>
    <w:rPr>
      <w:sz w:val="48"/>
      <w:szCs w:val="48"/>
    </w:rPr>
  </w:style>
  <w:style w:type="character" w:styleId="899" w:customStyle="1">
    <w:name w:val="Subtítulo Char"/>
    <w:basedOn w:val="854"/>
    <w:link w:val="884"/>
    <w:uiPriority w:val="11"/>
    <w:qFormat/>
    <w:rPr>
      <w:sz w:val="24"/>
      <w:szCs w:val="24"/>
    </w:rPr>
  </w:style>
  <w:style w:type="paragraph" w:styleId="900">
    <w:name w:val="Intense Quote"/>
    <w:basedOn w:val="844"/>
    <w:next w:val="844"/>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Citação Intensa Char"/>
    <w:link w:val="900"/>
    <w:uiPriority w:val="30"/>
    <w:rPr>
      <w:i/>
    </w:rPr>
  </w:style>
  <w:style w:type="character" w:styleId="902" w:customStyle="1">
    <w:name w:val="Header Char"/>
    <w:basedOn w:val="854"/>
    <w:uiPriority w:val="99"/>
  </w:style>
  <w:style w:type="character" w:styleId="903" w:customStyle="1">
    <w:name w:val="Footer Char"/>
    <w:basedOn w:val="854"/>
    <w:uiPriority w:val="99"/>
  </w:style>
  <w:style w:type="character" w:styleId="904" w:customStyle="1">
    <w:name w:val="Caption Char"/>
    <w:uiPriority w:val="99"/>
  </w:style>
  <w:style w:type="table" w:styleId="905" w:customStyle="1">
    <w:name w:val="Table Grid Light"/>
    <w:basedOn w:val="85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06" w:customStyle="1">
    <w:name w:val="Simples Tabela 11"/>
    <w:basedOn w:val="85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Simples Tabela 21"/>
    <w:basedOn w:val="85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Simples Tabela 31"/>
    <w:basedOn w:val="8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Tabela Simples 41"/>
    <w:basedOn w:val="8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Tabela Simples 51"/>
    <w:basedOn w:val="8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Tabela de Grade 1 Clara1"/>
    <w:basedOn w:val="85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basedOn w:val="85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basedOn w:val="85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basedOn w:val="8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basedOn w:val="85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basedOn w:val="85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basedOn w:val="85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8" w:customStyle="1">
    <w:name w:val="Tabela de Grade 21"/>
    <w:basedOn w:val="85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basedOn w:val="85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basedOn w:val="85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basedOn w:val="85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basedOn w:val="8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basedOn w:val="85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Grid Table 2 - Accent 6"/>
    <w:basedOn w:val="85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Tabela de Grade 31"/>
    <w:basedOn w:val="8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basedOn w:val="85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basedOn w:val="85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basedOn w:val="85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basedOn w:val="8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basedOn w:val="85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basedOn w:val="85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Tabela de Grade 41"/>
    <w:basedOn w:val="85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basedOn w:val="85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4" w:customStyle="1">
    <w:name w:val="Grid Table 4 - Accent 2"/>
    <w:basedOn w:val="855"/>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5" w:customStyle="1">
    <w:name w:val="Grid Table 4 - Accent 3"/>
    <w:basedOn w:val="85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6" w:customStyle="1">
    <w:name w:val="Grid Table 4 - Accent 4"/>
    <w:basedOn w:val="85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7" w:customStyle="1">
    <w:name w:val="Grid Table 4 - Accent 5"/>
    <w:basedOn w:val="85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8" w:customStyle="1">
    <w:name w:val="Grid Table 4 - Accent 6"/>
    <w:basedOn w:val="85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9" w:customStyle="1">
    <w:name w:val="Tabela de Grade 5 Escura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1" w:customStyle="1">
    <w:name w:val="Grid Table 5 Dark - Accent 2"/>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2" w:customStyle="1">
    <w:name w:val="Grid Table 5 Dark - Accent 3"/>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3" w:customStyle="1">
    <w:name w:val="Grid Table 5 Dark- Accent 4"/>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4" w:customStyle="1">
    <w:name w:val="Grid Table 5 Dark - Accent 5"/>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5" w:customStyle="1">
    <w:name w:val="Grid Table 5 Dark - Accent 6"/>
    <w:basedOn w:val="85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6" w:customStyle="1">
    <w:name w:val="Tabela de Grade 6 Colorida1"/>
    <w:basedOn w:val="85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7" w:customStyle="1">
    <w:name w:val="Grid Table 6 Colorful - Accent 1"/>
    <w:basedOn w:val="85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8" w:customStyle="1">
    <w:name w:val="Grid Table 6 Colorful - Accent 2"/>
    <w:basedOn w:val="85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49" w:customStyle="1">
    <w:name w:val="Grid Table 6 Colorful - Accent 3"/>
    <w:basedOn w:val="85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50" w:customStyle="1">
    <w:name w:val="Grid Table 6 Colorful - Accent 4"/>
    <w:basedOn w:val="8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1" w:customStyle="1">
    <w:name w:val="Grid Table 6 Colorful - Accent 5"/>
    <w:basedOn w:val="85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2" w:customStyle="1">
    <w:name w:val="Grid Table 6 Colorful - Accent 6"/>
    <w:basedOn w:val="85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3" w:customStyle="1">
    <w:name w:val="Tabela de Grade 7 Colorida1"/>
    <w:basedOn w:val="85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basedOn w:val="85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55"/>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5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5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5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5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0" w:customStyle="1">
    <w:name w:val="Tabela de Lista 1 Clara1"/>
    <w:basedOn w:val="85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basedOn w:val="85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1 Light - Accent 2"/>
    <w:basedOn w:val="85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3" w:customStyle="1">
    <w:name w:val="List Table 1 Light - Accent 3"/>
    <w:basedOn w:val="85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4" w:customStyle="1">
    <w:name w:val="List Table 1 Light - Accent 4"/>
    <w:basedOn w:val="85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basedOn w:val="855"/>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List Table 1 Light - Accent 6"/>
    <w:basedOn w:val="855"/>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Tabela de Lista 21"/>
    <w:basedOn w:val="85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8" w:customStyle="1">
    <w:name w:val="List Table 2 - Accent 1"/>
    <w:basedOn w:val="85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9" w:customStyle="1">
    <w:name w:val="List Table 2 - Accent 2"/>
    <w:basedOn w:val="855"/>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70" w:customStyle="1">
    <w:name w:val="List Table 2 - Accent 3"/>
    <w:basedOn w:val="855"/>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1" w:customStyle="1">
    <w:name w:val="List Table 2 - Accent 4"/>
    <w:basedOn w:val="85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2" w:customStyle="1">
    <w:name w:val="List Table 2 - Accent 5"/>
    <w:basedOn w:val="85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3" w:customStyle="1">
    <w:name w:val="List Table 2 - Accent 6"/>
    <w:basedOn w:val="85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4" w:customStyle="1">
    <w:name w:val="Tabela de Lista 31"/>
    <w:basedOn w:val="85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basedOn w:val="85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3 - Accent 2"/>
    <w:basedOn w:val="85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7" w:customStyle="1">
    <w:name w:val="List Table 3 - Accent 3"/>
    <w:basedOn w:val="855"/>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8" w:customStyle="1">
    <w:name w:val="List Table 3 - Accent 4"/>
    <w:basedOn w:val="85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9" w:customStyle="1">
    <w:name w:val="List Table 3 - Accent 5"/>
    <w:basedOn w:val="85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0" w:customStyle="1">
    <w:name w:val="List Table 3 - Accent 6"/>
    <w:basedOn w:val="85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1" w:customStyle="1">
    <w:name w:val="Tabela de Lista 4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basedOn w:val="85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4 - Accent 2"/>
    <w:basedOn w:val="855"/>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4" w:customStyle="1">
    <w:name w:val="List Table 4 - Accent 3"/>
    <w:basedOn w:val="85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5" w:customStyle="1">
    <w:name w:val="List Table 4 - Accent 4"/>
    <w:basedOn w:val="85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6" w:customStyle="1">
    <w:name w:val="List Table 4 - Accent 5"/>
    <w:basedOn w:val="85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7" w:customStyle="1">
    <w:name w:val="List Table 4 - Accent 6"/>
    <w:basedOn w:val="85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8" w:customStyle="1">
    <w:name w:val="Tabela de Lista 5 Escura1"/>
    <w:basedOn w:val="85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9" w:customStyle="1">
    <w:name w:val="List Table 5 Dark - Accent 1"/>
    <w:basedOn w:val="85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0" w:customStyle="1">
    <w:name w:val="List Table 5 Dark - Accent 2"/>
    <w:basedOn w:val="855"/>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1" w:customStyle="1">
    <w:name w:val="List Table 5 Dark - Accent 3"/>
    <w:basedOn w:val="855"/>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2" w:customStyle="1">
    <w:name w:val="List Table 5 Dark - Accent 4"/>
    <w:basedOn w:val="85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3" w:customStyle="1">
    <w:name w:val="List Table 5 Dark - Accent 5"/>
    <w:basedOn w:val="85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4" w:customStyle="1">
    <w:name w:val="List Table 5 Dark - Accent 6"/>
    <w:basedOn w:val="85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5" w:customStyle="1">
    <w:name w:val="Tabela de Lista 6 Colorida1"/>
    <w:basedOn w:val="85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6" w:customStyle="1">
    <w:name w:val="List Table 6 Colorful - Accent 1"/>
    <w:basedOn w:val="855"/>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97" w:customStyle="1">
    <w:name w:val="List Table 6 Colorful - Accent 2"/>
    <w:basedOn w:val="855"/>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98" w:customStyle="1">
    <w:name w:val="List Table 6 Colorful - Accent 3"/>
    <w:basedOn w:val="855"/>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99" w:customStyle="1">
    <w:name w:val="List Table 6 Colorful - Accent 4"/>
    <w:basedOn w:val="85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00" w:customStyle="1">
    <w:name w:val="List Table 6 Colorful - Accent 5"/>
    <w:basedOn w:val="85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1" w:customStyle="1">
    <w:name w:val="List Table 6 Colorful - Accent 6"/>
    <w:basedOn w:val="85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2" w:customStyle="1">
    <w:name w:val="Tabela de Lista 7 Colorida1"/>
    <w:basedOn w:val="85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basedOn w:val="85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basedOn w:val="855"/>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basedOn w:val="855"/>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basedOn w:val="855"/>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basedOn w:val="855"/>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basedOn w:val="855"/>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9" w:customStyle="1">
    <w:name w:val="Lined - Accent"/>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0" w:customStyle="1">
    <w:name w:val="Lined - Accent 1"/>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1" w:customStyle="1">
    <w:name w:val="Lined - Accent 2"/>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2" w:customStyle="1">
    <w:name w:val="Lined - Accent 3"/>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3" w:customStyle="1">
    <w:name w:val="Lined - Accent 4"/>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Lined - Accent 5"/>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Lined - Accent 6"/>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amp; Lined - Accent"/>
    <w:basedOn w:val="85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7" w:customStyle="1">
    <w:name w:val="Bordered &amp; Lined - Accent 1"/>
    <w:basedOn w:val="855"/>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8" w:customStyle="1">
    <w:name w:val="Bordered &amp; Lined - Accent 2"/>
    <w:basedOn w:val="855"/>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9" w:customStyle="1">
    <w:name w:val="Bordered &amp; Lined - Accent 3"/>
    <w:basedOn w:val="855"/>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0" w:customStyle="1">
    <w:name w:val="Bordered &amp; Lined - Accent 4"/>
    <w:basedOn w:val="85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Bordered &amp; Lined - Accent 5"/>
    <w:basedOn w:val="85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Bordered &amp; Lined - Accent 6"/>
    <w:basedOn w:val="85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w:basedOn w:val="85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4" w:customStyle="1">
    <w:name w:val="Bordered - Accent 1"/>
    <w:basedOn w:val="85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5" w:customStyle="1">
    <w:name w:val="Bordered - Accent 2"/>
    <w:basedOn w:val="85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6" w:customStyle="1">
    <w:name w:val="Bordered - Accent 3"/>
    <w:basedOn w:val="8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7" w:customStyle="1">
    <w:name w:val="Bordered - Accent 4"/>
    <w:basedOn w:val="8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8" w:customStyle="1">
    <w:name w:val="Bordered - Accent 5"/>
    <w:basedOn w:val="85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9" w:customStyle="1">
    <w:name w:val="Bordered - Accent 6"/>
    <w:basedOn w:val="85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0" w:customStyle="1">
    <w:name w:val="Texto de nota de rodapé Char"/>
    <w:link w:val="885"/>
    <w:uiPriority w:val="99"/>
    <w:qFormat/>
    <w:rPr>
      <w:sz w:val="18"/>
    </w:rPr>
  </w:style>
  <w:style w:type="character" w:styleId="1031" w:customStyle="1">
    <w:name w:val="Texto de nota de fim Char"/>
    <w:link w:val="873"/>
    <w:uiPriority w:val="99"/>
    <w:qFormat/>
    <w:rPr>
      <w:sz w:val="20"/>
    </w:rPr>
  </w:style>
  <w:style w:type="paragraph" w:styleId="1032">
    <w:name w:val="List Paragraph"/>
    <w:basedOn w:val="844"/>
    <w:link w:val="1095"/>
    <w:uiPriority w:val="34"/>
    <w:qFormat/>
    <w:pPr>
      <w:contextualSpacing/>
      <w:ind w:left="720"/>
    </w:pPr>
  </w:style>
  <w:style w:type="character" w:styleId="1033" w:customStyle="1">
    <w:name w:val="Texto de balão Char"/>
    <w:link w:val="883"/>
    <w:uiPriority w:val="99"/>
    <w:qFormat/>
    <w:rPr>
      <w:rFonts w:ascii="Tahoma" w:hAnsi="Tahoma" w:cs="Tahoma"/>
      <w:sz w:val="16"/>
      <w:szCs w:val="16"/>
    </w:rPr>
  </w:style>
  <w:style w:type="character" w:styleId="1034" w:customStyle="1">
    <w:name w:val="Título 2 Char"/>
    <w:link w:val="846"/>
    <w:rPr>
      <w:b/>
      <w:color w:val="000000"/>
      <w:sz w:val="24"/>
    </w:rPr>
  </w:style>
  <w:style w:type="paragraph" w:styleId="1035" w:customStyle="1">
    <w:name w:val="Nível 2"/>
    <w:basedOn w:val="844"/>
    <w:next w:val="844"/>
    <w:pPr>
      <w:jc w:val="both"/>
      <w:spacing w:after="120"/>
    </w:pPr>
    <w:rPr>
      <w:rFonts w:ascii="Arial" w:hAnsi="Arial" w:cs="Times New Roman"/>
      <w:b/>
      <w:szCs w:val="20"/>
    </w:rPr>
  </w:style>
  <w:style w:type="character" w:styleId="1036" w:customStyle="1">
    <w:name w:val="normal__char1"/>
    <w:rPr>
      <w:rFonts w:hint="default" w:ascii="Arial" w:hAnsi="Arial" w:cs="Arial"/>
      <w:sz w:val="24"/>
      <w:szCs w:val="24"/>
      <w:u w:val="none"/>
    </w:rPr>
  </w:style>
  <w:style w:type="character" w:styleId="1037" w:customStyle="1">
    <w:name w:val="apple-style-span"/>
    <w:basedOn w:val="854"/>
    <w:qFormat/>
  </w:style>
  <w:style w:type="paragraph" w:styleId="1038">
    <w:name w:val="Quote"/>
    <w:basedOn w:val="844"/>
    <w:next w:val="844"/>
    <w:link w:val="103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039" w:customStyle="1">
    <w:name w:val="Citação Char"/>
    <w:link w:val="1038"/>
    <w:qFormat/>
    <w:rPr>
      <w:rFonts w:ascii="Arial" w:hAnsi="Arial" w:eastAsia="Calibri" w:cs="Tahoma"/>
      <w:i/>
      <w:iCs/>
      <w:color w:val="000000"/>
      <w:szCs w:val="24"/>
      <w:shd w:val="clear" w:color="auto" w:fill="ffffcc"/>
    </w:rPr>
  </w:style>
  <w:style w:type="paragraph" w:styleId="1040" w:customStyle="1">
    <w:name w:val="Nota explicativa"/>
    <w:basedOn w:val="1038"/>
    <w:link w:val="1041"/>
    <w:qFormat/>
    <w:rPr>
      <w:szCs w:val="20"/>
    </w:rPr>
  </w:style>
  <w:style w:type="character" w:styleId="1041" w:customStyle="1">
    <w:name w:val="Nota explicativa Char"/>
    <w:basedOn w:val="1039"/>
    <w:link w:val="1040"/>
    <w:rPr>
      <w:rFonts w:ascii="Arial" w:hAnsi="Arial" w:eastAsia="Calibri" w:cs="Tahoma"/>
      <w:i/>
      <w:iCs/>
      <w:color w:val="000000"/>
      <w:szCs w:val="24"/>
      <w:shd w:val="clear" w:color="auto" w:fill="ffffcc"/>
    </w:rPr>
  </w:style>
  <w:style w:type="character" w:styleId="1042" w:customStyle="1">
    <w:name w:val="Cabeçalho Char"/>
    <w:link w:val="877"/>
    <w:qFormat/>
    <w:rPr>
      <w:rFonts w:ascii="Ecofont_Spranq_eco_Sans" w:hAnsi="Ecofont_Spranq_eco_Sans" w:cs="Tahoma"/>
      <w:sz w:val="24"/>
      <w:szCs w:val="24"/>
    </w:rPr>
  </w:style>
  <w:style w:type="character" w:styleId="1043" w:customStyle="1">
    <w:name w:val="Rodapé Char"/>
    <w:link w:val="879"/>
    <w:uiPriority w:val="99"/>
    <w:qFormat/>
    <w:rPr>
      <w:rFonts w:ascii="Ecofont_Spranq_eco_Sans" w:hAnsi="Ecofont_Spranq_eco_Sans" w:cs="Tahoma"/>
      <w:sz w:val="24"/>
      <w:szCs w:val="24"/>
    </w:rPr>
  </w:style>
  <w:style w:type="character" w:styleId="1044" w:customStyle="1">
    <w:name w:val="Texto de comentário Char"/>
    <w:basedOn w:val="854"/>
    <w:link w:val="868"/>
    <w:qFormat/>
    <w:rPr>
      <w:rFonts w:ascii="Ecofont_Spranq_eco_Sans" w:hAnsi="Ecofont_Spranq_eco_Sans" w:cs="Tahoma"/>
      <w:lang w:eastAsia="pt-BR"/>
    </w:rPr>
  </w:style>
  <w:style w:type="character" w:styleId="1045" w:customStyle="1">
    <w:name w:val="Assunto do comentário Char"/>
    <w:basedOn w:val="1044"/>
    <w:link w:val="878"/>
    <w:semiHidden/>
    <w:qFormat/>
    <w:rPr>
      <w:rFonts w:ascii="Ecofont_Spranq_eco_Sans" w:hAnsi="Ecofont_Spranq_eco_Sans" w:cs="Tahoma"/>
      <w:b/>
      <w:bCs/>
      <w:lang w:eastAsia="pt-BR"/>
    </w:rPr>
  </w:style>
  <w:style w:type="character" w:styleId="1046" w:customStyle="1">
    <w:name w:val="Título 4 Char"/>
    <w:basedOn w:val="854"/>
    <w:link w:val="848"/>
    <w:qFormat/>
    <w:rPr>
      <w:rFonts w:asciiTheme="majorHAnsi" w:hAnsiTheme="majorHAnsi" w:eastAsiaTheme="majorEastAsia" w:cstheme="majorBidi"/>
      <w:i/>
      <w:iCs/>
      <w:color w:val="365f91" w:themeColor="accent1" w:themeShade="BF"/>
      <w:sz w:val="24"/>
      <w:szCs w:val="24"/>
      <w:lang w:eastAsia="pt-BR"/>
    </w:rPr>
  </w:style>
  <w:style w:type="paragraph" w:styleId="1047" w:customStyle="1">
    <w:name w:val="Nivel 01"/>
    <w:basedOn w:val="845"/>
    <w:next w:val="844"/>
    <w:link w:val="1050"/>
    <w:qFormat/>
    <w:pPr>
      <w:numPr>
        <w:ilvl w:val="0"/>
        <w:numId w:val="2"/>
      </w:numPr>
      <w:jc w:val="both"/>
      <w:spacing w:before="288" w:after="288" w:line="312" w:lineRule="auto"/>
      <w:tabs>
        <w:tab w:val="left" w:pos="567" w:leader="none"/>
      </w:tabs>
    </w:pPr>
    <w:rPr>
      <w:rFonts w:ascii="Arial" w:hAnsi="Arial" w:cs="Arial"/>
      <w:color w:val="auto"/>
      <w:sz w:val="20"/>
      <w:szCs w:val="20"/>
    </w:rPr>
  </w:style>
  <w:style w:type="paragraph" w:styleId="1048" w:customStyle="1">
    <w:name w:val="Nivel_01_Titulo"/>
    <w:basedOn w:val="1047"/>
    <w:link w:val="1052"/>
    <w:pPr>
      <w:jc w:val="left"/>
    </w:pPr>
    <w:rPr>
      <w:rFonts w:cstheme="majorBidi"/>
      <w:color w:val="000000" w:themeColor="text1"/>
      <w:spacing w:val="5"/>
      <w:sz w:val="52"/>
      <w:szCs w:val="52"/>
    </w:rPr>
  </w:style>
  <w:style w:type="character" w:styleId="1049" w:customStyle="1">
    <w:name w:val="Título Char"/>
    <w:basedOn w:val="854"/>
    <w:link w:val="871"/>
    <w:rPr>
      <w:rFonts w:asciiTheme="majorHAnsi" w:hAnsiTheme="majorHAnsi" w:eastAsiaTheme="majorEastAsia" w:cstheme="majorBidi"/>
      <w:color w:val="17365d" w:themeColor="text2" w:themeShade="BF"/>
      <w:spacing w:val="5"/>
      <w:sz w:val="52"/>
      <w:szCs w:val="52"/>
      <w:lang w:eastAsia="pt-BR"/>
    </w:rPr>
  </w:style>
  <w:style w:type="character" w:styleId="1050" w:customStyle="1">
    <w:name w:val="Nivel 01 Char"/>
    <w:basedOn w:val="1049"/>
    <w:link w:val="1047"/>
    <w:qFormat/>
    <w:rPr>
      <w:rFonts w:ascii="Arial" w:hAnsi="Arial" w:cs="Arial" w:eastAsiaTheme="majorEastAsia"/>
      <w:b/>
      <w:bCs/>
      <w:color w:val="17365d" w:themeColor="text2" w:themeShade="BF"/>
      <w:spacing w:val="5"/>
      <w:sz w:val="52"/>
      <w:szCs w:val="52"/>
      <w:lang w:eastAsia="pt-BR"/>
    </w:rPr>
  </w:style>
  <w:style w:type="character" w:styleId="1051" w:customStyle="1">
    <w:name w:val="Título 1 Char"/>
    <w:basedOn w:val="854"/>
    <w:link w:val="845"/>
    <w:rPr>
      <w:rFonts w:asciiTheme="majorHAnsi" w:hAnsiTheme="majorHAnsi" w:eastAsiaTheme="majorEastAsia" w:cstheme="majorBidi"/>
      <w:b/>
      <w:bCs/>
      <w:color w:val="365f91" w:themeColor="accent1" w:themeShade="BF"/>
      <w:sz w:val="28"/>
      <w:szCs w:val="28"/>
      <w:lang w:eastAsia="pt-BR"/>
    </w:rPr>
  </w:style>
  <w:style w:type="character" w:styleId="1052" w:customStyle="1">
    <w:name w:val="Nivel_01_Titulo Char"/>
    <w:basedOn w:val="1050"/>
    <w:link w:val="1048"/>
    <w:qFormat/>
    <w:rPr>
      <w:rFonts w:ascii="Arial" w:hAnsi="Arial" w:eastAsiaTheme="majorEastAsia" w:cstheme="majorBidi"/>
      <w:b/>
      <w:bCs/>
      <w:color w:val="000000" w:themeColor="text1"/>
      <w:spacing w:val="5"/>
      <w:sz w:val="52"/>
      <w:szCs w:val="52"/>
      <w:lang w:eastAsia="pt-BR"/>
    </w:rPr>
  </w:style>
  <w:style w:type="paragraph" w:styleId="1053"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54" w:customStyle="1">
    <w:name w:val="Quote Char"/>
    <w:basedOn w:val="854"/>
    <w:link w:val="1055"/>
    <w:qFormat/>
    <w:rPr>
      <w:rFonts w:ascii="Ecofont_Spranq_eco_Sans" w:hAnsi="Ecofont_Spranq_eco_Sans" w:eastAsia="Calibri" w:cs="Tahoma"/>
      <w:i/>
      <w:iCs/>
      <w:color w:val="000000"/>
      <w:shd w:val="clear" w:color="auto" w:fill="ffffcc"/>
    </w:rPr>
  </w:style>
  <w:style w:type="paragraph" w:styleId="1055" w:customStyle="1">
    <w:name w:val="Citação1"/>
    <w:basedOn w:val="844"/>
    <w:next w:val="844"/>
    <w:link w:val="1054"/>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56" w:customStyle="1">
    <w:name w:val="paragraph"/>
    <w:basedOn w:val="844"/>
    <w:pPr>
      <w:spacing w:before="100" w:beforeAutospacing="1" w:after="100" w:afterAutospacing="1"/>
    </w:pPr>
    <w:rPr>
      <w:rFonts w:ascii="Times New Roman" w:hAnsi="Times New Roman" w:eastAsia="Times New Roman" w:cs="Times New Roman"/>
    </w:rPr>
  </w:style>
  <w:style w:type="character" w:styleId="1057" w:customStyle="1">
    <w:name w:val="normaltextrun"/>
    <w:basedOn w:val="854"/>
  </w:style>
  <w:style w:type="character" w:styleId="1058" w:customStyle="1">
    <w:name w:val="eop"/>
    <w:basedOn w:val="854"/>
  </w:style>
  <w:style w:type="character" w:styleId="1059" w:customStyle="1">
    <w:name w:val="spellingerror"/>
    <w:basedOn w:val="854"/>
    <w:qFormat/>
  </w:style>
  <w:style w:type="character" w:styleId="1060" w:customStyle="1">
    <w:name w:val="Corpo de texto Char"/>
    <w:basedOn w:val="854"/>
    <w:link w:val="866"/>
    <w:rPr>
      <w:rFonts w:eastAsia="Times New Roman"/>
      <w:sz w:val="24"/>
      <w:szCs w:val="24"/>
      <w:lang w:eastAsia="pt-BR"/>
    </w:rPr>
  </w:style>
  <w:style w:type="paragraph" w:styleId="1061" w:customStyle="1">
    <w:name w:val="Nivel1"/>
    <w:basedOn w:val="845"/>
    <w:link w:val="1062"/>
    <w:qFormat/>
    <w:pPr>
      <w:ind w:left="357" w:hanging="357"/>
      <w:jc w:val="both"/>
      <w:spacing w:line="276" w:lineRule="auto"/>
    </w:pPr>
    <w:rPr>
      <w:rFonts w:ascii="Arial" w:hAnsi="Arial" w:cs="Arial"/>
      <w:bCs w:val="0"/>
      <w:color w:val="000000"/>
    </w:rPr>
  </w:style>
  <w:style w:type="character" w:styleId="1062" w:customStyle="1">
    <w:name w:val="Nivel1 Char"/>
    <w:basedOn w:val="1051"/>
    <w:link w:val="1061"/>
    <w:qFormat/>
    <w:rPr>
      <w:rFonts w:ascii="Arial" w:hAnsi="Arial" w:cs="Arial" w:eastAsiaTheme="majorEastAsia"/>
      <w:b/>
      <w:bCs w:val="0"/>
      <w:color w:val="000000"/>
      <w:sz w:val="28"/>
      <w:szCs w:val="28"/>
      <w:lang w:eastAsia="pt-BR"/>
    </w:rPr>
  </w:style>
  <w:style w:type="paragraph" w:styleId="1063" w:customStyle="1">
    <w:name w:val="Parágrafo da Lista1"/>
    <w:basedOn w:val="844"/>
    <w:qFormat/>
    <w:pPr>
      <w:ind w:left="720"/>
    </w:pPr>
    <w:rPr>
      <w:rFonts w:eastAsia="Times New Roman" w:cs="Ecofont_Spranq_eco_Sans"/>
    </w:rPr>
  </w:style>
  <w:style w:type="paragraph" w:styleId="1064" w:customStyle="1">
    <w:name w:val="Nivel 2"/>
    <w:basedOn w:val="844"/>
    <w:link w:val="1089"/>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065" w:customStyle="1">
    <w:name w:val="Nivel 1"/>
    <w:basedOn w:val="1064"/>
    <w:next w:val="1064"/>
    <w:qFormat/>
    <w:pPr>
      <w:numPr>
        <w:ilvl w:val="0"/>
        <w:numId w:val="0"/>
      </w:numPr>
      <w:ind w:left="360" w:hanging="360"/>
    </w:pPr>
    <w:rPr>
      <w:b/>
    </w:rPr>
  </w:style>
  <w:style w:type="paragraph" w:styleId="1066" w:customStyle="1">
    <w:name w:val="Nivel 3"/>
    <w:basedOn w:val="844"/>
    <w:link w:val="1115"/>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067" w:customStyle="1">
    <w:name w:val="Nivel 4"/>
    <w:basedOn w:val="1066"/>
    <w:link w:val="1069"/>
    <w:qFormat/>
    <w:pPr>
      <w:numPr>
        <w:ilvl w:val="3"/>
      </w:numPr>
      <w:ind w:left="567" w:firstLine="0"/>
    </w:pPr>
    <w:rPr>
      <w:color w:val="auto"/>
    </w:rPr>
  </w:style>
  <w:style w:type="paragraph" w:styleId="1068" w:customStyle="1">
    <w:name w:val="Nivel 5"/>
    <w:basedOn w:val="1067"/>
    <w:qFormat/>
    <w:pPr>
      <w:numPr>
        <w:ilvl w:val="4"/>
      </w:numPr>
      <w:ind w:left="851" w:firstLine="0"/>
    </w:pPr>
  </w:style>
  <w:style w:type="character" w:styleId="1069" w:customStyle="1">
    <w:name w:val="Nivel 4 Char"/>
    <w:basedOn w:val="854"/>
    <w:link w:val="1067"/>
    <w:qFormat/>
    <w:rPr>
      <w:rFonts w:ascii="Arial" w:hAnsi="Arial" w:cs="Arial"/>
      <w:lang w:eastAsia="pt-BR"/>
    </w:rPr>
  </w:style>
  <w:style w:type="paragraph" w:styleId="1070" w:customStyle="1">
    <w:name w:val="textbody"/>
    <w:basedOn w:val="844"/>
    <w:qFormat/>
    <w:pPr>
      <w:spacing w:before="100" w:beforeAutospacing="1" w:after="100" w:afterAutospacing="1"/>
    </w:pPr>
    <w:rPr>
      <w:rFonts w:ascii="Times New Roman" w:hAnsi="Times New Roman" w:eastAsia="Times New Roman" w:cs="Times New Roman"/>
    </w:rPr>
  </w:style>
  <w:style w:type="paragraph" w:styleId="1071" w:customStyle="1">
    <w:name w:val="em_0020ementa"/>
    <w:basedOn w:val="844"/>
    <w:pPr>
      <w:ind w:left="4160"/>
      <w:jc w:val="both"/>
    </w:pPr>
    <w:rPr>
      <w:rFonts w:ascii="Times New Roman" w:hAnsi="Times New Roman" w:eastAsia="Times New Roman" w:cs="Times New Roman"/>
      <w:sz w:val="28"/>
      <w:szCs w:val="28"/>
    </w:rPr>
  </w:style>
  <w:style w:type="character" w:styleId="1072" w:customStyle="1">
    <w:name w:val="cp_0020corpodespacho__char1"/>
    <w:qFormat/>
    <w:rPr>
      <w:rFonts w:hint="default" w:ascii="Times New Roman" w:hAnsi="Times New Roman" w:cs="Times New Roman"/>
      <w:sz w:val="26"/>
      <w:szCs w:val="26"/>
      <w:u w:val="none"/>
    </w:rPr>
  </w:style>
  <w:style w:type="character" w:styleId="1073" w:customStyle="1">
    <w:name w:val="em_0020ementa__char1"/>
    <w:qFormat/>
    <w:rPr>
      <w:rFonts w:hint="default" w:ascii="Times New Roman" w:hAnsi="Times New Roman" w:cs="Times New Roman"/>
      <w:sz w:val="28"/>
      <w:szCs w:val="28"/>
      <w:u w:val="none"/>
    </w:rPr>
  </w:style>
  <w:style w:type="paragraph" w:styleId="1074" w:customStyle="1">
    <w:name w:val="Revisão1"/>
    <w:hidden/>
    <w:uiPriority w:val="99"/>
    <w:semiHidden/>
    <w:qFormat/>
    <w:rPr>
      <w:rFonts w:ascii="Ecofont_Spranq_eco_Sans" w:hAnsi="Ecofont_Spranq_eco_Sans" w:eastAsia="Times New Roman" w:cs="Tahoma"/>
      <w:sz w:val="24"/>
      <w:szCs w:val="24"/>
      <w:lang w:eastAsia="pt-BR"/>
    </w:rPr>
  </w:style>
  <w:style w:type="character" w:styleId="1075" w:customStyle="1">
    <w:name w:val="Manoel"/>
    <w:qFormat/>
    <w:rPr>
      <w:rFonts w:ascii="Arial" w:hAnsi="Arial" w:cs="Arial"/>
      <w:color w:val="7030a0"/>
      <w:sz w:val="20"/>
    </w:rPr>
  </w:style>
  <w:style w:type="character" w:styleId="1076" w:customStyle="1">
    <w:name w:val="ListLabel 12"/>
    <w:qFormat/>
    <w:rPr>
      <w:b/>
    </w:rPr>
  </w:style>
  <w:style w:type="paragraph" w:styleId="1077" w:customStyle="1">
    <w:name w:val="texto1"/>
    <w:basedOn w:val="844"/>
    <w:qFormat/>
    <w:pPr>
      <w:spacing w:before="100" w:beforeAutospacing="1" w:after="100" w:afterAutospacing="1"/>
    </w:pPr>
    <w:rPr>
      <w:rFonts w:ascii="Times New Roman" w:hAnsi="Times New Roman" w:eastAsia="Times New Roman" w:cs="Times New Roman"/>
    </w:rPr>
  </w:style>
  <w:style w:type="paragraph" w:styleId="1078" w:customStyle="1">
    <w:name w:val="Grade Colorida - Ênfase 11"/>
    <w:basedOn w:val="844"/>
    <w:next w:val="844"/>
    <w:link w:val="1079"/>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79" w:customStyle="1">
    <w:name w:val="Grade Colorida - Ênfase 1 Char"/>
    <w:link w:val="1078"/>
    <w:uiPriority w:val="29"/>
    <w:qFormat/>
    <w:rPr>
      <w:rFonts w:ascii="Arial" w:hAnsi="Arial" w:eastAsia="Calibri"/>
      <w:i/>
      <w:iCs/>
      <w:color w:val="000000"/>
      <w:szCs w:val="24"/>
      <w:shd w:val="clear" w:color="auto" w:fill="ffffcc"/>
    </w:rPr>
  </w:style>
  <w:style w:type="paragraph" w:styleId="1080" w:customStyle="1">
    <w:name w:val="x_western"/>
    <w:basedOn w:val="844"/>
    <w:qFormat/>
    <w:pPr>
      <w:spacing w:before="100" w:beforeAutospacing="1" w:after="100" w:afterAutospacing="1"/>
    </w:pPr>
    <w:rPr>
      <w:rFonts w:ascii="Times New Roman" w:hAnsi="Times New Roman" w:eastAsia="Times New Roman" w:cs="Times New Roman"/>
    </w:rPr>
  </w:style>
  <w:style w:type="paragraph" w:styleId="1081" w:customStyle="1">
    <w:name w:val="TCU - Ac - item 9 - §§_0"/>
    <w:basedOn w:val="844"/>
    <w:qFormat/>
    <w:pPr>
      <w:ind w:firstLine="1134"/>
      <w:jc w:val="both"/>
    </w:pPr>
    <w:rPr>
      <w:rFonts w:ascii="Times New Roman" w:hAnsi="Times New Roman" w:eastAsia="Times New Roman" w:cs="Times New Roman"/>
      <w:szCs w:val="22"/>
      <w:lang w:eastAsia="en-US"/>
    </w:rPr>
  </w:style>
  <w:style w:type="paragraph" w:styleId="1082" w:customStyle="1">
    <w:name w:val="Normal_1"/>
    <w:qFormat/>
    <w:rPr>
      <w:rFonts w:eastAsia="Times New Roman"/>
      <w:sz w:val="24"/>
      <w:szCs w:val="22"/>
      <w:lang w:eastAsia="en-US"/>
    </w:rPr>
  </w:style>
  <w:style w:type="paragraph" w:styleId="1083" w:customStyle="1">
    <w:name w:val="tcu_-__ac_-_item_9_-_1ª_linha"/>
    <w:basedOn w:val="844"/>
    <w:qFormat/>
    <w:pPr>
      <w:spacing w:before="100" w:beforeAutospacing="1" w:after="100" w:afterAutospacing="1"/>
    </w:pPr>
    <w:rPr>
      <w:rFonts w:ascii="Times New Roman" w:hAnsi="Times New Roman" w:eastAsia="Times New Roman" w:cs="Times New Roman"/>
    </w:rPr>
  </w:style>
  <w:style w:type="paragraph" w:styleId="1084" w:customStyle="1">
    <w:name w:val="texto_justificado_recuo_primeira_linha"/>
    <w:basedOn w:val="844"/>
    <w:qFormat/>
    <w:pPr>
      <w:spacing w:before="100" w:beforeAutospacing="1" w:after="100" w:afterAutospacing="1"/>
    </w:pPr>
    <w:rPr>
      <w:rFonts w:ascii="Times New Roman" w:hAnsi="Times New Roman" w:eastAsia="Times New Roman" w:cs="Times New Roman"/>
    </w:rPr>
  </w:style>
  <w:style w:type="character" w:styleId="1085" w:customStyle="1">
    <w:name w:val="highlight"/>
    <w:basedOn w:val="854"/>
    <w:qFormat/>
  </w:style>
  <w:style w:type="paragraph" w:styleId="1086" w:customStyle="1">
    <w:name w:val="texto_justificado"/>
    <w:basedOn w:val="844"/>
    <w:qFormat/>
    <w:pPr>
      <w:spacing w:before="100" w:beforeAutospacing="1" w:after="100" w:afterAutospacing="1"/>
    </w:pPr>
    <w:rPr>
      <w:rFonts w:ascii="Times New Roman" w:hAnsi="Times New Roman" w:eastAsia="Times New Roman" w:cs="Times New Roman"/>
    </w:rPr>
  </w:style>
  <w:style w:type="character" w:styleId="1087" w:customStyle="1">
    <w:name w:val="Menção Pendente1"/>
    <w:basedOn w:val="854"/>
    <w:uiPriority w:val="99"/>
    <w:semiHidden/>
    <w:unhideWhenUsed/>
    <w:qFormat/>
    <w:rPr>
      <w:color w:val="605e5c"/>
      <w:shd w:val="clear" w:color="auto" w:fill="e1dfdd"/>
    </w:rPr>
  </w:style>
  <w:style w:type="character" w:styleId="1088" w:customStyle="1">
    <w:name w:val="Menção Pendente2"/>
    <w:basedOn w:val="854"/>
    <w:uiPriority w:val="99"/>
    <w:semiHidden/>
    <w:unhideWhenUsed/>
    <w:rPr>
      <w:color w:val="605e5c"/>
      <w:shd w:val="clear" w:color="auto" w:fill="e1dfdd"/>
    </w:rPr>
  </w:style>
  <w:style w:type="character" w:styleId="1089" w:customStyle="1">
    <w:name w:val="Nivel 2 Char"/>
    <w:basedOn w:val="854"/>
    <w:link w:val="1064"/>
    <w:qFormat/>
    <w:rPr>
      <w:rFonts w:ascii="Arial" w:hAnsi="Arial" w:cs="Arial"/>
      <w:color w:val="000000"/>
      <w:lang w:eastAsia="pt-BR"/>
    </w:rPr>
  </w:style>
  <w:style w:type="paragraph" w:styleId="1090" w:customStyle="1">
    <w:name w:val="Nível 2 Opcional"/>
    <w:basedOn w:val="1064"/>
    <w:link w:val="1092"/>
    <w:qFormat/>
    <w:pPr>
      <w:numPr>
        <w:ilvl w:val="0"/>
        <w:numId w:val="0"/>
      </w:numPr>
      <w:ind w:left="432" w:hanging="432"/>
    </w:pPr>
    <w:rPr>
      <w:rFonts w:eastAsia="Times New Roman"/>
      <w:i/>
      <w:color w:val="ff0000"/>
    </w:rPr>
  </w:style>
  <w:style w:type="paragraph" w:styleId="1091" w:customStyle="1">
    <w:name w:val="Nível 3 Opcional"/>
    <w:basedOn w:val="1066"/>
    <w:link w:val="1093"/>
    <w:qFormat/>
    <w:pPr>
      <w:numPr>
        <w:ilvl w:val="0"/>
        <w:numId w:val="0"/>
      </w:numPr>
      <w:ind w:left="1072" w:hanging="504"/>
    </w:pPr>
    <w:rPr>
      <w:rFonts w:eastAsia="Times New Roman"/>
      <w:i/>
      <w:iCs/>
      <w:color w:val="ff0000"/>
    </w:rPr>
  </w:style>
  <w:style w:type="character" w:styleId="1092" w:customStyle="1">
    <w:name w:val="Nível 2 Opcional Char"/>
    <w:basedOn w:val="854"/>
    <w:link w:val="1090"/>
    <w:qFormat/>
    <w:rPr>
      <w:rFonts w:ascii="Arial" w:hAnsi="Arial" w:eastAsia="Times New Roman" w:cs="Arial"/>
      <w:i/>
      <w:color w:val="ff0000"/>
      <w:lang w:eastAsia="pt-BR"/>
    </w:rPr>
  </w:style>
  <w:style w:type="character" w:styleId="1093" w:customStyle="1">
    <w:name w:val="Nível 3 Opcional Char"/>
    <w:basedOn w:val="854"/>
    <w:link w:val="1091"/>
    <w:qFormat/>
    <w:rPr>
      <w:rFonts w:ascii="Arial" w:hAnsi="Arial" w:eastAsia="Times New Roman" w:cs="Arial"/>
      <w:i/>
      <w:iCs/>
      <w:color w:val="ff0000"/>
      <w:lang w:eastAsia="pt-BR"/>
    </w:rPr>
  </w:style>
  <w:style w:type="character" w:styleId="1094">
    <w:name w:val="Placeholder Text"/>
    <w:basedOn w:val="854"/>
    <w:uiPriority w:val="67"/>
    <w:semiHidden/>
    <w:qFormat/>
    <w:rPr>
      <w:color w:val="808080"/>
    </w:rPr>
  </w:style>
  <w:style w:type="character" w:styleId="1095" w:customStyle="1">
    <w:name w:val="Parágrafo da Lista Char"/>
    <w:basedOn w:val="854"/>
    <w:link w:val="1032"/>
    <w:uiPriority w:val="34"/>
    <w:qFormat/>
    <w:rPr>
      <w:rFonts w:ascii="Ecofont_Spranq_eco_Sans" w:hAnsi="Ecofont_Spranq_eco_Sans" w:cs="Tahoma"/>
      <w:sz w:val="24"/>
      <w:szCs w:val="24"/>
      <w:lang w:eastAsia="pt-BR"/>
    </w:rPr>
  </w:style>
  <w:style w:type="character" w:styleId="1096" w:customStyle="1">
    <w:name w:val="Título 3 Char"/>
    <w:basedOn w:val="854"/>
    <w:link w:val="847"/>
    <w:uiPriority w:val="9"/>
    <w:semiHidden/>
    <w:qFormat/>
    <w:rPr>
      <w:rFonts w:asciiTheme="majorHAnsi" w:hAnsiTheme="majorHAnsi" w:eastAsiaTheme="majorEastAsia" w:cstheme="majorBidi"/>
      <w:color w:val="244061" w:themeColor="accent1" w:themeShade="80"/>
      <w:sz w:val="24"/>
      <w:szCs w:val="24"/>
    </w:rPr>
  </w:style>
  <w:style w:type="character" w:styleId="1097" w:customStyle="1">
    <w:name w:val="Título 6 Char"/>
    <w:basedOn w:val="854"/>
    <w:link w:val="850"/>
    <w:uiPriority w:val="9"/>
    <w:semiHidden/>
    <w:qFormat/>
    <w:rPr>
      <w:rFonts w:asciiTheme="majorHAnsi" w:hAnsiTheme="majorHAnsi" w:eastAsiaTheme="majorEastAsia" w:cstheme="majorBidi"/>
      <w:color w:val="244061" w:themeColor="accent1" w:themeShade="80"/>
      <w:sz w:val="22"/>
      <w:szCs w:val="22"/>
    </w:rPr>
  </w:style>
  <w:style w:type="paragraph" w:styleId="1098" w:customStyle="1">
    <w:name w:val="Sombreamento Médio 1 - Ênfase 31"/>
    <w:basedOn w:val="844"/>
    <w:next w:val="844"/>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99" w:customStyle="1">
    <w:name w:val="corpo"/>
    <w:basedOn w:val="844"/>
    <w:qFormat/>
    <w:pPr>
      <w:spacing w:before="100" w:beforeAutospacing="1" w:after="100" w:afterAutospacing="1"/>
    </w:pPr>
    <w:rPr>
      <w:rFonts w:ascii="Times New Roman" w:hAnsi="Times New Roman" w:eastAsia="Times New Roman" w:cs="Times New Roman"/>
    </w:rPr>
  </w:style>
  <w:style w:type="paragraph" w:styleId="1100" w:customStyle="1">
    <w:name w:val="item_nivel2"/>
    <w:basedOn w:val="844"/>
    <w:qFormat/>
    <w:pPr>
      <w:spacing w:before="100" w:beforeAutospacing="1" w:after="100" w:afterAutospacing="1"/>
    </w:pPr>
    <w:rPr>
      <w:rFonts w:ascii="Times New Roman" w:hAnsi="Times New Roman" w:eastAsia="Times New Roman" w:cs="Times New Roman"/>
    </w:rPr>
  </w:style>
  <w:style w:type="paragraph" w:styleId="1101" w:customStyle="1">
    <w:name w:val="item_nivel1"/>
    <w:basedOn w:val="844"/>
    <w:qFormat/>
    <w:pPr>
      <w:spacing w:before="100" w:beforeAutospacing="1" w:after="100" w:afterAutospacing="1"/>
    </w:pPr>
    <w:rPr>
      <w:rFonts w:ascii="Times New Roman" w:hAnsi="Times New Roman" w:eastAsia="Times New Roman" w:cs="Times New Roman"/>
    </w:rPr>
  </w:style>
  <w:style w:type="paragraph" w:styleId="1102" w:customStyle="1">
    <w:name w:val="item_alinea_letra"/>
    <w:basedOn w:val="844"/>
    <w:qFormat/>
    <w:pPr>
      <w:spacing w:before="100" w:beforeAutospacing="1" w:after="100" w:afterAutospacing="1"/>
    </w:pPr>
    <w:rPr>
      <w:rFonts w:ascii="Times New Roman" w:hAnsi="Times New Roman" w:eastAsia="Times New Roman" w:cs="Times New Roman"/>
    </w:rPr>
  </w:style>
  <w:style w:type="character" w:styleId="1103" w:customStyle="1">
    <w:name w:val="markedcontent"/>
    <w:basedOn w:val="854"/>
    <w:qFormat/>
  </w:style>
  <w:style w:type="paragraph" w:styleId="1104" w:customStyle="1">
    <w:name w:val="Standard"/>
    <w:qFormat/>
    <w:rPr>
      <w:rFonts w:ascii="Liberation Serif" w:hAnsi="Liberation Serif" w:eastAsia="NSimSun" w:cs="Lucida Sans"/>
      <w:sz w:val="24"/>
      <w:szCs w:val="24"/>
      <w:lang w:eastAsia="zh-CN" w:bidi="hi-IN"/>
    </w:rPr>
  </w:style>
  <w:style w:type="paragraph" w:styleId="1105" w:customStyle="1">
    <w:name w:val="Text body"/>
    <w:basedOn w:val="1104"/>
    <w:qFormat/>
    <w:pPr>
      <w:spacing w:after="140" w:line="276" w:lineRule="auto"/>
    </w:pPr>
  </w:style>
  <w:style w:type="character" w:styleId="1106" w:customStyle="1">
    <w:name w:val="Menção Pendente3"/>
    <w:basedOn w:val="854"/>
    <w:uiPriority w:val="99"/>
    <w:semiHidden/>
    <w:unhideWhenUsed/>
    <w:qFormat/>
    <w:rPr>
      <w:color w:val="605e5c"/>
      <w:shd w:val="clear" w:color="auto" w:fill="e1dfdd"/>
    </w:rPr>
  </w:style>
  <w:style w:type="character" w:styleId="1107" w:customStyle="1">
    <w:name w:val="Menção Pendente4"/>
    <w:basedOn w:val="854"/>
    <w:uiPriority w:val="99"/>
    <w:semiHidden/>
    <w:unhideWhenUsed/>
    <w:qFormat/>
    <w:rPr>
      <w:color w:val="605e5c"/>
      <w:shd w:val="clear" w:color="auto" w:fill="e1dfdd"/>
    </w:rPr>
  </w:style>
  <w:style w:type="paragraph" w:styleId="1108" w:customStyle="1">
    <w:name w:val="ou"/>
    <w:basedOn w:val="1032"/>
    <w:link w:val="1109"/>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109" w:customStyle="1">
    <w:name w:val="ou Char"/>
    <w:basedOn w:val="1095"/>
    <w:link w:val="1108"/>
    <w:qFormat/>
    <w:rPr>
      <w:rFonts w:ascii="Arial" w:hAnsi="Arial" w:cs="Arial" w:eastAsiaTheme="minorHAnsi"/>
      <w:b/>
      <w:bCs/>
      <w:i/>
      <w:iCs/>
      <w:color w:val="ff0000"/>
      <w:sz w:val="24"/>
      <w:szCs w:val="24"/>
      <w:u w:val="single"/>
      <w:lang w:eastAsia="pt-BR"/>
    </w:rPr>
  </w:style>
  <w:style w:type="paragraph" w:styleId="1110" w:customStyle="1">
    <w:name w:val="dou-paragraph"/>
    <w:basedOn w:val="844"/>
    <w:qFormat/>
    <w:pPr>
      <w:spacing w:before="100" w:beforeAutospacing="1" w:after="100" w:afterAutospacing="1"/>
    </w:pPr>
    <w:rPr>
      <w:rFonts w:ascii="Times New Roman" w:hAnsi="Times New Roman" w:eastAsia="Times New Roman" w:cs="Times New Roman"/>
    </w:rPr>
  </w:style>
  <w:style w:type="paragraph" w:styleId="1111" w:customStyle="1">
    <w:name w:val="Nível 2 -Red"/>
    <w:basedOn w:val="1064"/>
    <w:link w:val="1113"/>
    <w:qFormat/>
    <w:rPr>
      <w:i/>
      <w:iCs/>
      <w:color w:val="ff0000"/>
    </w:rPr>
  </w:style>
  <w:style w:type="paragraph" w:styleId="1112" w:customStyle="1">
    <w:name w:val="Nível 3-R"/>
    <w:basedOn w:val="1066"/>
    <w:link w:val="1116"/>
    <w:qFormat/>
    <w:rPr>
      <w:i/>
      <w:iCs/>
      <w:color w:val="ff0000"/>
    </w:rPr>
  </w:style>
  <w:style w:type="character" w:styleId="1113" w:customStyle="1">
    <w:name w:val="Nível 2 -Red Char"/>
    <w:basedOn w:val="1089"/>
    <w:link w:val="1111"/>
    <w:qFormat/>
    <w:rPr>
      <w:rFonts w:ascii="Arial" w:hAnsi="Arial" w:cs="Arial"/>
      <w:i/>
      <w:iCs/>
      <w:color w:val="ff0000"/>
      <w:lang w:eastAsia="pt-BR"/>
    </w:rPr>
  </w:style>
  <w:style w:type="paragraph" w:styleId="1114" w:customStyle="1">
    <w:name w:val="Nível 4-R"/>
    <w:basedOn w:val="1067"/>
    <w:link w:val="1118"/>
    <w:qFormat/>
    <w:rPr>
      <w:i/>
      <w:iCs/>
      <w:color w:val="ff0000"/>
    </w:rPr>
  </w:style>
  <w:style w:type="character" w:styleId="1115" w:customStyle="1">
    <w:name w:val="Nivel 3 Char"/>
    <w:basedOn w:val="854"/>
    <w:link w:val="1066"/>
    <w:qFormat/>
    <w:rPr>
      <w:rFonts w:ascii="Arial" w:hAnsi="Arial" w:cs="Arial"/>
      <w:color w:val="000000"/>
      <w:lang w:eastAsia="pt-BR"/>
    </w:rPr>
  </w:style>
  <w:style w:type="character" w:styleId="1116" w:customStyle="1">
    <w:name w:val="Nível 3-R Char"/>
    <w:basedOn w:val="1115"/>
    <w:link w:val="1112"/>
    <w:qFormat/>
    <w:rPr>
      <w:rFonts w:ascii="Arial" w:hAnsi="Arial" w:cs="Arial"/>
      <w:i/>
      <w:iCs/>
      <w:color w:val="ff0000"/>
      <w:lang w:eastAsia="pt-BR"/>
    </w:rPr>
  </w:style>
  <w:style w:type="paragraph" w:styleId="1117" w:customStyle="1">
    <w:name w:val="Nível 1-Sem Num"/>
    <w:basedOn w:val="1047"/>
    <w:link w:val="1120"/>
    <w:qFormat/>
    <w:pPr>
      <w:numPr>
        <w:ilvl w:val="0"/>
        <w:numId w:val="0"/>
      </w:numPr>
      <w:outlineLvl w:val="1"/>
    </w:pPr>
    <w:rPr>
      <w:color w:val="ff0000"/>
    </w:rPr>
  </w:style>
  <w:style w:type="character" w:styleId="1118" w:customStyle="1">
    <w:name w:val="Nível 4-R Char"/>
    <w:basedOn w:val="1069"/>
    <w:link w:val="1114"/>
    <w:qFormat/>
    <w:rPr>
      <w:rFonts w:ascii="Arial" w:hAnsi="Arial" w:cs="Arial"/>
      <w:i/>
      <w:iCs/>
      <w:color w:val="ff0000"/>
      <w:lang w:eastAsia="pt-BR"/>
    </w:rPr>
  </w:style>
  <w:style w:type="character" w:styleId="1119" w:customStyle="1">
    <w:name w:val="Link da Internet"/>
    <w:basedOn w:val="854"/>
    <w:uiPriority w:val="99"/>
    <w:unhideWhenUsed/>
    <w:qFormat/>
    <w:rPr>
      <w:color w:val="0000ff" w:themeColor="hyperlink"/>
      <w:u w:val="single"/>
    </w:rPr>
  </w:style>
  <w:style w:type="character" w:styleId="1120" w:customStyle="1">
    <w:name w:val="Nível 1-Sem Num Char"/>
    <w:basedOn w:val="1050"/>
    <w:link w:val="1117"/>
    <w:qFormat/>
    <w:rPr>
      <w:rFonts w:ascii="Arial" w:hAnsi="Arial" w:cs="Arial" w:eastAsiaTheme="majorEastAsia"/>
      <w:b/>
      <w:bCs/>
      <w:color w:val="ff0000"/>
      <w:spacing w:val="5"/>
      <w:sz w:val="52"/>
      <w:szCs w:val="52"/>
      <w:lang w:eastAsia="pt-BR"/>
    </w:rPr>
  </w:style>
  <w:style w:type="paragraph" w:styleId="1121" w:customStyle="1">
    <w:name w:val="citação 2"/>
    <w:basedOn w:val="1038"/>
    <w:link w:val="1125"/>
    <w:qFormat/>
    <w:rPr>
      <w:szCs w:val="20"/>
    </w:rPr>
  </w:style>
  <w:style w:type="paragraph" w:styleId="1122" w:customStyle="1">
    <w:name w:val="Preâmbulo"/>
    <w:basedOn w:val="844"/>
    <w:link w:val="1123"/>
    <w:qFormat/>
    <w:pPr>
      <w:ind w:left="4253" w:right="-17"/>
      <w:jc w:val="both"/>
      <w:spacing w:before="480" w:after="120" w:line="360" w:lineRule="auto"/>
    </w:pPr>
    <w:rPr>
      <w:rFonts w:ascii="Arial" w:hAnsi="Arial" w:eastAsia="Arial" w:cs="Arial"/>
      <w:bCs/>
      <w:sz w:val="20"/>
      <w:szCs w:val="20"/>
    </w:rPr>
  </w:style>
  <w:style w:type="character" w:styleId="1123" w:customStyle="1">
    <w:name w:val="Preâmbulo Char"/>
    <w:basedOn w:val="854"/>
    <w:link w:val="1122"/>
    <w:qFormat/>
    <w:rPr>
      <w:rFonts w:ascii="Arial" w:hAnsi="Arial" w:eastAsia="Arial" w:cs="Arial"/>
      <w:bCs/>
      <w:lang w:eastAsia="pt-BR"/>
    </w:rPr>
  </w:style>
  <w:style w:type="character" w:styleId="1124" w:customStyle="1">
    <w:name w:val="Menção Pendente5"/>
    <w:basedOn w:val="854"/>
    <w:uiPriority w:val="99"/>
    <w:semiHidden/>
    <w:unhideWhenUsed/>
    <w:qFormat/>
    <w:rPr>
      <w:color w:val="605e5c"/>
      <w:shd w:val="clear" w:color="auto" w:fill="e1dfdd"/>
    </w:rPr>
  </w:style>
  <w:style w:type="character" w:styleId="1125" w:customStyle="1">
    <w:name w:val="citação 2 Char"/>
    <w:basedOn w:val="1039"/>
    <w:link w:val="1121"/>
    <w:qFormat/>
    <w:rPr>
      <w:rFonts w:ascii="Arial" w:hAnsi="Arial" w:eastAsia="Calibri" w:cs="Tahoma"/>
      <w:i/>
      <w:iCs/>
      <w:color w:val="000000"/>
      <w:szCs w:val="24"/>
      <w:shd w:val="clear" w:color="auto" w:fill="ffffcc"/>
    </w:rPr>
  </w:style>
  <w:style w:type="paragraph" w:styleId="1126" w:customStyle="1">
    <w:name w:val="Cabeçalho do Sumário1"/>
    <w:basedOn w:val="845"/>
    <w:next w:val="844"/>
    <w:uiPriority w:val="39"/>
    <w:unhideWhenUsed/>
    <w:qFormat/>
    <w:pPr>
      <w:spacing w:before="240" w:line="259" w:lineRule="auto"/>
      <w:outlineLvl w:val="9"/>
    </w:pPr>
    <w:rPr>
      <w:b w:val="0"/>
      <w:bCs w:val="0"/>
      <w:sz w:val="32"/>
      <w:szCs w:val="32"/>
    </w:rPr>
  </w:style>
  <w:style w:type="character" w:styleId="1127" w:customStyle="1">
    <w:name w:val="Menção Pendente6"/>
    <w:basedOn w:val="854"/>
    <w:uiPriority w:val="99"/>
    <w:semiHidden/>
    <w:unhideWhenUsed/>
    <w:qFormat/>
    <w:rPr>
      <w:color w:val="605e5c"/>
      <w:shd w:val="clear" w:color="auto" w:fill="e1dfdd"/>
    </w:rPr>
  </w:style>
  <w:style w:type="character" w:styleId="1128" w:customStyle="1">
    <w:name w:val="Mention non résolue1"/>
    <w:basedOn w:val="854"/>
    <w:uiPriority w:val="99"/>
    <w:semiHidden/>
    <w:unhideWhenUsed/>
    <w:qFormat/>
    <w:rPr>
      <w:color w:val="605e5c"/>
      <w:shd w:val="clear" w:color="auto" w:fill="e1dfdd"/>
    </w:rPr>
  </w:style>
  <w:style w:type="paragraph" w:styleId="1129" w:customStyle="1">
    <w:name w:val="Nível 01-Sem Numeração"/>
    <w:link w:val="994"/>
    <w:uiPriority w:val="1"/>
    <w:qFormat/>
    <w:pPr>
      <w:contextualSpacing w:val="0"/>
      <w:ind w:left="0" w:right="0" w:firstLine="0"/>
      <w:jc w:val="both"/>
      <w:keepLines/>
      <w:keepNext/>
      <w:pageBreakBefore w:val="0"/>
      <w:spacing w:before="0" w:beforeAutospacing="0" w:after="0" w:afterAutospacing="0" w:line="276" w:lineRule="auto"/>
      <w:shd w:val="nil" w:color="000000"/>
      <w:widowControl/>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Theme="majorHAnsi" w:hAnsiTheme="majorHAnsi" w:eastAsiaTheme="majorEastAsia" w:cstheme="majorHAnsi"/>
      <w:b w:val="0"/>
      <w:bCs/>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character" w:styleId="1_17764" w:customStyle="1">
    <w:name w:val="Hiperlink"/>
    <w:qFormat/>
    <w:rPr>
      <w:color w:val="0000ff"/>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eis" TargetMode="External"/><Relationship Id="rId34" Type="http://schemas.openxmlformats.org/officeDocument/2006/relationships/hyperlink" Target="https://www.portaltransparencia.gov.br/sancoes/cnep" TargetMode="External"/><Relationship Id="rId35" Type="http://schemas.openxmlformats.org/officeDocument/2006/relationships/hyperlink" Target="https://www.planalto.gov.br/ccivil_03/leis/l8429.htm" TargetMode="External"/><Relationship Id="rId36"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s://pregaobanrisul.com.br/" TargetMode="External"/><Relationship Id="rId44" Type="http://schemas.openxmlformats.org/officeDocument/2006/relationships/hyperlink" Target="http://www.santabarnara" TargetMode="External"/><Relationship Id="rId45"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s://pregaobanrisul.com.br" TargetMode="External"/><Relationship Id="rId51" Type="http://schemas.openxmlformats.org/officeDocument/2006/relationships/hyperlink" Target="http://www.cidadecompras.com.br/" TargetMode="External"/><Relationship Id="rId52" Type="http://schemas.openxmlformats.org/officeDocument/2006/relationships/hyperlink" Target="http://www.pregaobanrisul.com.br/" TargetMode="External"/><Relationship Id="rId53" Type="http://schemas.openxmlformats.org/officeDocument/2006/relationships/hyperlink" Target="http://www.santabarbaradosul.rs.gov.br/" TargetMode="External"/><Relationship Id="rId54" Type="http://schemas.onlyoffice.com/commentsDocument" Target="commentsDocument.xml" /><Relationship Id="rId55" Type="http://schemas.onlyoffice.com/commentsExtendedDocument" Target="commentsExtendedDocument.xml" /><Relationship Id="rId56" Type="http://schemas.onlyoffice.com/commentsIdsDocument" Target="commentsIdsDocument.xml" /><Relationship Id="rId57"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11</cp:revision>
  <dcterms:created xsi:type="dcterms:W3CDTF">2023-12-18T21:44:00Z</dcterms:created>
  <dcterms:modified xsi:type="dcterms:W3CDTF">2024-02-14T15:49:48Z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1046-12.2.0.13306</vt:lpwstr>
  </property>
  <property fmtid="{D5CDD505-2E9C-101B-9397-08002B2CF9AE}" pid="5" name="ICV">
    <vt:lpwstr>31095916759F41F785D3FDA5FAC73A08_13</vt:lpwstr>
  </property>
</Properties>
</file>