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ExtendedDocument.xml" ContentType="application/vnd.openxmlformats-officedocument.wordprocessingml.commentsExtended+xml"/>
  <Override PartName="/docProps/custom.xml" ContentType="application/vnd.openxmlformats-officedocument.custom-properties+xml"/>
  <Override PartName="/word/commentsDocument.xml" ContentType="application/vnd.openxmlformats-officedocument.wordprocessingml.comments+xml"/>
  <Override PartName="/word/footer2.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commentsIds.xml" ContentType="application/vnd.openxmlformats-officedocument.wordprocessingml.commentsIds+xml"/>
  <Override PartName="/word/commentsExtended.xml" ContentType="application/vnd.openxmlformats-officedocument.wordprocessingml.commentsExtended+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commentsIdsDocument.xml" ContentType="application/vnd.openxmlformats-officedocument.wordprocessingml.commentsIds+xml"/>
  <Override PartName="/word/comments.xml" ContentType="application/vnd.openxmlformats-officedocument.wordprocessingml.comments+xml"/>
  <Override PartName="/word/endnotes.xml" ContentType="application/vnd.openxmlformats-officedocument.wordprocessingml.endnote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footnotes.xml" ContentType="application/vnd.openxmlformats-officedocument.wordprocessingml.footnotes+xml"/>
  <Override PartName="/word/document.xml" ContentType="application/vnd.openxmlformats-officedocument.wordprocessingml.document.main+xml"/>
  <Override PartName="/customXml/itemProps4.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word/people.xml" ContentType="application/vnd.openxmlformats-officedocument.wordprocessingml.people+xml"/>
  <Override PartName="/customXml/itemProps2.xml" ContentType="application/vnd.openxmlformats-officedocument.customXmlProperti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sz w:val="18"/>
          <w:szCs w:val="18"/>
        </w:rPr>
        <mc:AlternateContent>
          <mc:Choice Requires="wpg">
            <w:drawing>
              <wp:anchor xmlns:wp="http://schemas.openxmlformats.org/drawingml/2006/wordprocessingDrawing" xmlns:wp14="http://schemas.microsoft.com/office/word/2010/wordprocessingDrawing" distT="0" distB="0" distL="115200" distR="115200" simplePos="0" relativeHeight="251660288" behindDoc="0" locked="0" layoutInCell="1" allowOverlap="1">
                <wp:simplePos x="0" y="0"/>
                <wp:positionH relativeFrom="column">
                  <wp:posOffset>445641</wp:posOffset>
                </wp:positionH>
                <wp:positionV relativeFrom="paragraph">
                  <wp:posOffset>95992</wp:posOffset>
                </wp:positionV>
                <wp:extent cx="5426544" cy="5057775"/>
                <wp:effectExtent l="38099" t="38099" r="38099" b="38099"/>
                <wp:wrapNone/>
                <wp:docPr id="4" name="Retângulo 4"/>
                <wp:cNvGraphicFramePr/>
                <a:graphic xmlns:a="http://schemas.openxmlformats.org/drawingml/2006/main">
                  <a:graphicData uri="http://schemas.microsoft.com/office/word/2010/wordprocessingShape">
                    <wps:wsp>
                      <wps:cNvPr id="0" name=""/>
                      <wps:cNvSpPr/>
                      <wps:spPr bwMode="auto">
                        <a:xfrm>
                          <a:off x="0" y="0"/>
                          <a:ext cx="5426543" cy="5057775"/>
                        </a:xfrm>
                        <a:prstGeom prst="rect">
                          <a:avLst/>
                        </a:prstGeom>
                        <a:noFill/>
                        <a:ln w="76199" cap="flat" cmpd="sng" algn="ctr">
                          <a:solidFill>
                            <a:schemeClr val="accent1">
                              <a:shade val="95000"/>
                              <a:satMod val="105000"/>
                            </a:schemeClr>
                          </a:solidFill>
                          <a:prstDash val="solid"/>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3" o:spid="_x0000_s3" o:spt="1" type="#_x0000_t1" style="position:absolute;z-index:251660288;o:allowoverlap:true;o:allowincell:true;mso-position-horizontal-relative:text;margin-left:35.1pt;mso-position-horizontal:absolute;mso-position-vertical-relative:text;margin-top:7.6pt;mso-position-vertical:absolute;width:427.3pt;height:398.2pt;mso-wrap-distance-left:9.1pt;mso-wrap-distance-top:0.0pt;mso-wrap-distance-right:9.1pt;mso-wrap-distance-bottom:0.0pt;visibility:visible;" filled="f" strokecolor="#487BB4" strokeweight="6.00pt">
                <v:stroke dashstyle="solid"/>
              </v:shape>
            </w:pict>
          </mc:Fallback>
        </mc:AlternateContent>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rPr>
          <w:rFonts w:ascii="Cambria" w:hAnsi="Cambria" w:cs="Cambria"/>
          <w:b/>
          <w:bCs/>
          <w:color w:val="405ca1"/>
          <w:sz w:val="18"/>
          <w:szCs w:val="18"/>
        </w:rPr>
      </w:pPr>
      <w:r>
        <w:rPr>
          <w:rFonts w:ascii="Cambria" w:hAnsi="Cambria" w:cs="Cambria"/>
          <w:b/>
          <w:bCs/>
          <w:color w:val="405ca1"/>
          <w:sz w:val="18"/>
          <w:szCs w:val="18"/>
        </w:rPr>
      </w:r>
      <w:r>
        <w:rPr>
          <w:rFonts w:ascii="Cambria" w:hAnsi="Cambria" w:cs="Cambria"/>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jc w:val="center"/>
        <w:rPr>
          <w:rFonts w:ascii="Cambria" w:hAnsi="Cambria" w:cs="Cambria"/>
          <w:b/>
          <w:bCs/>
          <w:color w:val="000000" w:themeColor="text1"/>
          <w:sz w:val="18"/>
          <w:szCs w:val="18"/>
          <w:u w:val="single"/>
        </w:rPr>
      </w:pPr>
      <w:r>
        <w:rPr>
          <w:rFonts w:ascii="Cambria" w:hAnsi="Cambria" w:cs="Cambria"/>
          <w:b/>
          <w:bCs/>
          <w:color w:val="000000" w:themeColor="text1"/>
          <w:sz w:val="18"/>
          <w:szCs w:val="18"/>
          <w:u w:val="single"/>
        </w:rPr>
        <w:t xml:space="preserve">PREGÃO ELETRÔNICO Nº 08/2024</w:t>
      </w:r>
      <w:r>
        <w:rPr>
          <w:rFonts w:ascii="Cambria" w:hAnsi="Cambria" w:cs="Cambria"/>
          <w:sz w:val="20"/>
          <w:szCs w:val="20"/>
        </w:rPr>
      </w:r>
      <w:r/>
    </w:p>
    <w:p>
      <w:pPr>
        <w:jc w:val="center"/>
        <w:rPr>
          <w:rFonts w:ascii="Cambria" w:hAnsi="Cambria" w:cs="Cambria"/>
          <w:bCs/>
          <w:i/>
          <w:color w:val="000000" w:themeColor="text1"/>
          <w:sz w:val="22"/>
          <w:szCs w:val="22"/>
        </w:rPr>
      </w:pPr>
      <w:r>
        <w:rPr>
          <w:rFonts w:ascii="Cambria" w:hAnsi="Cambria" w:cs="Cambria"/>
          <w:bCs/>
          <w:i/>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OBJETO</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Registro de Preço para Aquisição de Fraldas e materiais de Higiene Pessoal</w:t>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VALOR TOTAL DA CONTRATAÇÃO</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R$ 212.954,00</w:t>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DATA DA SESSÃO PÚBLICA</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Dia </w:t>
      </w:r>
      <w:r>
        <w:rPr>
          <w:rFonts w:ascii="Cambria" w:hAnsi="Cambria" w:cs="Cambria"/>
          <w:b/>
          <w:bCs/>
          <w:color w:val="000000" w:themeColor="text1"/>
          <w:sz w:val="22"/>
          <w:szCs w:val="22"/>
        </w:rPr>
        <w:t xml:space="preserve">25/03/</w:t>
      </w:r>
      <w:r>
        <w:rPr>
          <w:rFonts w:ascii="Cambria" w:hAnsi="Cambria" w:cs="Cambria"/>
          <w:b/>
          <w:bCs/>
          <w:color w:val="000000" w:themeColor="text1"/>
          <w:sz w:val="22"/>
          <w:szCs w:val="22"/>
        </w:rPr>
        <w:t xml:space="preserve">2024 </w:t>
      </w:r>
      <w:r>
        <w:rPr>
          <w:rFonts w:ascii="Cambria" w:hAnsi="Cambria" w:cs="Cambria"/>
          <w:color w:val="000000" w:themeColor="text1"/>
          <w:sz w:val="22"/>
          <w:szCs w:val="22"/>
        </w:rPr>
        <w:t xml:space="preserve">às </w:t>
      </w:r>
      <w:r>
        <w:rPr>
          <w:rFonts w:ascii="Cambria" w:hAnsi="Cambria" w:cs="Cambria"/>
          <w:b/>
          <w:bCs/>
          <w:color w:val="000000" w:themeColor="text1"/>
          <w:sz w:val="22"/>
          <w:szCs w:val="22"/>
        </w:rPr>
        <w:t xml:space="preserve">08h (horário de Brasília)</w:t>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aps/>
          <w:color w:val="000000" w:themeColor="text1"/>
          <w:sz w:val="22"/>
          <w:szCs w:val="22"/>
        </w:rPr>
      </w:pPr>
      <w:r>
        <w:rPr>
          <w:rFonts w:ascii="Cambria" w:hAnsi="Cambria" w:cs="Cambria"/>
          <w:b/>
          <w:bCs/>
          <w:caps/>
          <w:color w:val="000000" w:themeColor="text1"/>
          <w:sz w:val="22"/>
          <w:szCs w:val="22"/>
        </w:rPr>
      </w:r>
      <w:r>
        <w:rPr>
          <w:rFonts w:ascii="Cambria" w:hAnsi="Cambria" w:cs="Cambria"/>
          <w:sz w:val="24"/>
          <w:szCs w:val="24"/>
        </w:rPr>
      </w:r>
      <w:r>
        <w:rPr>
          <w:sz w:val="32"/>
          <w:szCs w:val="32"/>
        </w:rP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Critério de Julgamento:</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Menor Preço por Item</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sz w:val="24"/>
          <w:szCs w:val="24"/>
        </w:rPr>
      </w:r>
      <w:r>
        <w:rPr>
          <w:sz w:val="32"/>
          <w:szCs w:val="32"/>
        </w:rPr>
      </w:r>
    </w:p>
    <w:p>
      <w:pPr>
        <w:jc w:val="center"/>
        <w:rPr>
          <w:rFonts w:ascii="Cambria" w:hAnsi="Cambria" w:cs="Cambria"/>
          <w:caps/>
          <w:color w:val="000000" w:themeColor="text1"/>
          <w:sz w:val="22"/>
          <w:szCs w:val="22"/>
        </w:rPr>
      </w:pPr>
      <w:r>
        <w:rPr>
          <w:rFonts w:ascii="Cambria" w:hAnsi="Cambria" w:cs="Cambria"/>
          <w:b/>
          <w:bCs/>
          <w:caps/>
          <w:color w:val="000000" w:themeColor="text1"/>
          <w:sz w:val="22"/>
          <w:szCs w:val="22"/>
        </w:rPr>
        <w:t xml:space="preserve">Modo de disputa:</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t xml:space="preserve">Aberto</w:t>
      </w:r>
      <w:r>
        <w:rPr>
          <w:rFonts w:ascii="Cambria" w:hAnsi="Cambria" w:cs="Cambria"/>
          <w:sz w:val="24"/>
          <w:szCs w:val="24"/>
        </w:rPr>
      </w:r>
      <w:r>
        <w:rPr>
          <w:sz w:val="32"/>
          <w:szCs w:val="32"/>
        </w:rPr>
      </w:r>
    </w:p>
    <w:p>
      <w:pPr>
        <w:jc w:val="center"/>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PREFERÊNCIA ME/EPP/EQUIPARADAS</w:t>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t xml:space="preserve">SIM</w:t>
      </w:r>
      <w:r>
        <w:rPr>
          <w:rFonts w:ascii="Cambria" w:hAnsi="Cambria" w:cs="Cambria"/>
          <w:sz w:val="24"/>
          <w:szCs w:val="24"/>
        </w:rPr>
      </w:r>
      <w:r>
        <w:rPr>
          <w:sz w:val="32"/>
          <w:szCs w:val="32"/>
        </w:rPr>
      </w:r>
    </w:p>
    <w:p>
      <w:pPr>
        <w:jc w:val="center"/>
        <w:rPr>
          <w:rFonts w:ascii="Cambria" w:hAnsi="Cambria" w:cs="Cambria"/>
          <w:b/>
          <w:bCs/>
          <w:color w:val="000000" w:themeColor="text1"/>
          <w:sz w:val="22"/>
          <w:szCs w:val="22"/>
        </w:rPr>
      </w:pPr>
      <w:r>
        <w:rPr>
          <w:rFonts w:ascii="Cambria" w:hAnsi="Cambria" w:cs="Cambria"/>
          <w:b/>
          <w:bCs/>
          <w:color w:val="000000" w:themeColor="text1"/>
          <w:sz w:val="22"/>
          <w:szCs w:val="22"/>
        </w:rPr>
      </w:r>
      <w:r>
        <w:rPr>
          <w:rFonts w:ascii="Cambria" w:hAnsi="Cambria" w:cs="Cambria"/>
          <w:sz w:val="24"/>
          <w:szCs w:val="24"/>
        </w:rPr>
      </w:r>
      <w:r>
        <w:rPr>
          <w:sz w:val="32"/>
          <w:szCs w:val="32"/>
        </w:rP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jc w:val="both"/>
        <w:rPr>
          <w:rFonts w:ascii="Cambria" w:hAnsi="Cambria" w:cs="Cambria"/>
          <w:b/>
          <w:bCs/>
          <w:color w:val="5b5b5f"/>
          <w:sz w:val="18"/>
          <w:szCs w:val="18"/>
        </w:rPr>
      </w:pPr>
      <w:r>
        <w:rPr>
          <w:rFonts w:ascii="Cambria" w:hAnsi="Cambria" w:cs="Cambria"/>
          <w:b/>
          <w:bCs/>
          <w:color w:val="5b5b5f"/>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b/>
          <w:bCs/>
          <w:color w:val="000000"/>
          <w:sz w:val="18"/>
          <w:szCs w:val="18"/>
        </w:rPr>
      </w:r>
      <w:r/>
    </w:p>
    <w:p>
      <w:pPr>
        <w:rPr>
          <w:rFonts w:ascii="Cambria" w:hAnsi="Cambria" w:cs="Cambria"/>
          <w:b/>
          <w:bCs/>
          <w:color w:val="000000"/>
          <w:sz w:val="18"/>
          <w:szCs w:val="18"/>
        </w:rPr>
      </w:pPr>
      <w:r>
        <w:rPr>
          <w:rFonts w:ascii="Cambria" w:hAnsi="Cambria" w:cs="Cambria"/>
          <w:b/>
          <w:bCs/>
          <w:color w:val="000000"/>
          <w:sz w:val="18"/>
          <w:szCs w:val="18"/>
        </w:rPr>
      </w:r>
      <w:r>
        <w:rPr>
          <w:rFonts w:ascii="Cambria" w:hAnsi="Cambria" w:cs="Cambria"/>
          <w:sz w:val="20"/>
          <w:szCs w:val="20"/>
        </w:rPr>
      </w:r>
      <w:r/>
    </w:p>
    <w:p>
      <w:pPr>
        <w:ind w:firstLine="567"/>
        <w:jc w:val="center"/>
        <w:rPr>
          <w:rFonts w:ascii="Cambria" w:hAnsi="Cambria" w:cs="Cambria"/>
          <w:b/>
          <w:bCs/>
          <w:color w:val="000000"/>
          <w:sz w:val="18"/>
          <w:szCs w:val="18"/>
        </w:rPr>
      </w:pPr>
      <w:r>
        <w:rPr>
          <w:rFonts w:ascii="Cambria" w:hAnsi="Cambria" w:cs="Cambria"/>
          <w:b/>
          <w:color w:val="000000"/>
          <w:sz w:val="18"/>
          <w:szCs w:val="18"/>
        </w:rPr>
        <w:t xml:space="preserve">PREFEITURA MUNICIPAL DE SANTA BÁRBARA DO SUL/RS</w:t>
      </w:r>
      <w:r>
        <w:rPr>
          <w:rFonts w:ascii="Cambria" w:hAnsi="Cambria" w:cs="Cambria"/>
          <w:sz w:val="20"/>
          <w:szCs w:val="20"/>
        </w:rPr>
      </w:r>
      <w:r/>
    </w:p>
    <w:p>
      <w:pPr>
        <w:ind w:firstLine="567"/>
        <w:jc w:val="center"/>
        <w:rPr>
          <w:rFonts w:ascii="Cambria" w:hAnsi="Cambria" w:cs="Cambria"/>
          <w:b/>
          <w:color w:val="000000"/>
          <w:sz w:val="18"/>
          <w:szCs w:val="18"/>
        </w:rPr>
      </w:pPr>
      <w:r>
        <w:rPr>
          <w:rFonts w:ascii="Cambria" w:hAnsi="Cambria" w:cs="Cambria"/>
          <w:b/>
          <w:color w:val="000000"/>
          <w:sz w:val="18"/>
          <w:szCs w:val="18"/>
        </w:rPr>
        <w:t xml:space="preserve">PREGÃO ELETRÔNICO Nº 8/2024.</w:t>
      </w:r>
      <w:r>
        <w:rPr>
          <w:rFonts w:ascii="Cambria" w:hAnsi="Cambria" w:cs="Cambria"/>
          <w:sz w:val="20"/>
          <w:szCs w:val="20"/>
        </w:rPr>
      </w:r>
      <w:r/>
    </w:p>
    <w:p>
      <w:pPr>
        <w:ind w:firstLine="567"/>
        <w:jc w:val="center"/>
        <w:rPr>
          <w:rFonts w:ascii="Cambria" w:hAnsi="Cambria" w:cs="Cambria"/>
          <w:bCs/>
          <w:color w:val="000000"/>
          <w:sz w:val="18"/>
          <w:szCs w:val="18"/>
        </w:rPr>
      </w:pPr>
      <w:r>
        <w:rPr>
          <w:rFonts w:ascii="Cambria" w:hAnsi="Cambria" w:cs="Cambria"/>
          <w:color w:val="000000"/>
          <w:sz w:val="18"/>
          <w:szCs w:val="18"/>
        </w:rPr>
        <w:t xml:space="preserve">(Processo Administrativo n</w:t>
      </w:r>
      <w:r>
        <w:rPr>
          <w:rFonts w:ascii="Cambria" w:hAnsi="Cambria" w:cs="Cambria"/>
          <w:bCs/>
          <w:color w:val="000000"/>
          <w:sz w:val="18"/>
          <w:szCs w:val="18"/>
        </w:rPr>
        <w:t xml:space="preserve">°22/2024)</w:t>
      </w:r>
      <w:r>
        <w:rPr>
          <w:rFonts w:ascii="Cambria" w:hAnsi="Cambria" w:cs="Cambria"/>
          <w:sz w:val="20"/>
          <w:szCs w:val="20"/>
        </w:rPr>
      </w:r>
      <w:r/>
    </w:p>
    <w:p>
      <w:pPr>
        <w:ind w:firstLine="567"/>
        <w:jc w:val="both"/>
        <w:rPr>
          <w:rFonts w:ascii="Cambria" w:hAnsi="Cambria" w:cs="Cambria"/>
          <w:b/>
          <w:color w:val="000000"/>
          <w:sz w:val="18"/>
          <w:szCs w:val="18"/>
        </w:rPr>
      </w:pPr>
      <w:r>
        <w:rPr>
          <w:rFonts w:ascii="Cambria" w:hAnsi="Cambria" w:cs="Cambria"/>
          <w:b/>
          <w:color w:val="000000"/>
          <w:sz w:val="18"/>
          <w:szCs w:val="18"/>
        </w:rPr>
      </w:r>
      <w:r>
        <w:rPr>
          <w:rFonts w:ascii="Cambria" w:hAnsi="Cambria" w:cs="Cambria"/>
          <w:sz w:val="20"/>
          <w:szCs w:val="20"/>
        </w:rPr>
      </w:r>
      <w:r/>
    </w:p>
    <w:p>
      <w:pPr>
        <w:pStyle w:val="1076"/>
        <w:numPr>
          <w:ilvl w:val="0"/>
          <w:numId w:val="0"/>
        </w:numPr>
        <w:ind w:firstLine="709"/>
        <w:spacing w:before="0" w:after="0" w:line="240" w:lineRule="auto"/>
        <w:rPr>
          <w:rFonts w:ascii="Cambria" w:hAnsi="Cambria" w:cs="Cambria"/>
          <w:sz w:val="18"/>
          <w:szCs w:val="18"/>
        </w:rPr>
      </w:pPr>
      <w:r>
        <w:rPr>
          <w:rFonts w:ascii="Cambria" w:hAnsi="Cambria" w:cs="Cambria"/>
          <w:sz w:val="18"/>
          <w:szCs w:val="18"/>
        </w:rPr>
        <w:t xml:space="preserve">Torna-se púb</w:t>
      </w:r>
      <w:r>
        <w:rPr>
          <w:rFonts w:ascii="Cambria" w:hAnsi="Cambria" w:cs="Cambria"/>
          <w:sz w:val="18"/>
          <w:szCs w:val="18"/>
        </w:rPr>
        <w:t xml:space="preserve">lico que a Prefeitura Municipal de Santa Bárbara do Sul/RS, por meio do Setor de Licitações, sediado na Avenida Eduardo de Britto, nº 101, Bairro Cerutti, no município de Santa Bárbara do Sul/RS, CEP 98.240-000, realizará licitação, para registro de preços</w:t>
      </w:r>
      <w:r>
        <w:rPr>
          <w:rFonts w:ascii="Cambria" w:hAnsi="Cambria" w:cs="Cambria"/>
          <w:color w:val="000000" w:themeColor="text1"/>
          <w:sz w:val="18"/>
          <w:szCs w:val="18"/>
        </w:rPr>
        <w:t xml:space="preserve"> </w:t>
      </w:r>
      <w:r>
        <w:rPr>
          <w:rFonts w:ascii="Cambria" w:hAnsi="Cambria" w:cs="Cambria"/>
          <w:sz w:val="18"/>
          <w:szCs w:val="18"/>
        </w:rPr>
        <w:t xml:space="preserve">para AQUISIÇÃO DE FRALDAS E MATERIAIS DE HIGIENE PESSOAL, na modalidade PREGÃO, na forma ELETRÔNICA,</w:t>
      </w:r>
      <w:r>
        <w:rPr>
          <w:rFonts w:ascii="Cambria" w:hAnsi="Cambria" w:eastAsia="Times New Roman" w:cs="Cambria"/>
          <w:sz w:val="18"/>
          <w:szCs w:val="18"/>
        </w:rPr>
        <w:t xml:space="preserve"> </w:t>
      </w:r>
      <w:r>
        <w:rPr>
          <w:rFonts w:ascii="Cambria" w:hAnsi="Cambria" w:cs="Cambria"/>
          <w:sz w:val="18"/>
          <w:szCs w:val="18"/>
        </w:rPr>
        <w:t xml:space="preserve">nos termos da </w:t>
      </w:r>
      <w:hyperlink r:id="rId17" w:tooltip="http://www.planalto.gov.br/ccivil_03/_ato2019-2022/2021/lei/L14133.htm" w:history="1">
        <w:r>
          <w:rPr>
            <w:rStyle w:val="875"/>
            <w:rFonts w:ascii="Cambria" w:hAnsi="Cambria" w:cs="Cambria"/>
            <w:sz w:val="18"/>
            <w:szCs w:val="18"/>
          </w:rPr>
          <w:t xml:space="preserve">Lei nº 14.133, de 1º de abril de 2021</w:t>
        </w:r>
      </w:hyperlink>
      <w:r>
        <w:rPr>
          <w:rFonts w:ascii="Cambria" w:hAnsi="Cambria" w:cs="Cambria"/>
          <w:sz w:val="18"/>
          <w:szCs w:val="18"/>
        </w:rPr>
        <w:t xml:space="preserve">, do Decreto nº 5.456, de 05 de setembro de 2023, e demais legislações aplicáveis e, ainda, de acordo com as condições estabelecidas neste Edital</w:t>
      </w:r>
      <w:r>
        <w:rPr>
          <w:rFonts w:ascii="Cambria" w:hAnsi="Cambria" w:eastAsia="Times New Roman" w:cs="Cambria"/>
          <w:sz w:val="18"/>
          <w:szCs w:val="18"/>
        </w:rPr>
        <w:t xml:space="preserve">.</w:t>
      </w:r>
      <w:r>
        <w:rPr>
          <w:rFonts w:ascii="Cambria" w:hAnsi="Cambria" w:cs="Cambria"/>
          <w:sz w:val="16"/>
          <w:szCs w:val="16"/>
        </w:rPr>
      </w:r>
      <w:r/>
    </w:p>
    <w:p>
      <w:pPr>
        <w:pStyle w:val="1076"/>
        <w:numPr>
          <w:ilvl w:val="0"/>
          <w:numId w:val="0"/>
        </w:numPr>
        <w:ind w:firstLine="709"/>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59"/>
        <w:ind w:left="0" w:firstLine="0"/>
        <w:spacing w:before="0" w:after="0" w:line="240" w:lineRule="auto"/>
        <w:rPr>
          <w:rFonts w:ascii="Cambria" w:hAnsi="Cambria" w:cs="Cambria"/>
          <w:sz w:val="18"/>
          <w:szCs w:val="18"/>
        </w:rPr>
      </w:pPr>
      <w:r>
        <w:rPr>
          <w:rFonts w:ascii="Cambria" w:hAnsi="Cambria" w:cs="Cambria"/>
          <w:sz w:val="16"/>
          <w:szCs w:val="16"/>
        </w:rPr>
      </w:r>
      <w:bookmarkStart w:id="1" w:name="_Toc135469223"/>
      <w:r>
        <w:rPr>
          <w:rFonts w:ascii="Cambria" w:hAnsi="Cambria" w:cs="Cambria"/>
          <w:sz w:val="18"/>
          <w:szCs w:val="18"/>
          <w:lang w:eastAsia="en-US"/>
        </w:rPr>
        <w:t xml:space="preserve">DO OBJETO</w:t>
      </w:r>
      <w:bookmarkEnd w:id="1"/>
      <w:r>
        <w:rPr>
          <w:rFonts w:ascii="Cambria" w:hAnsi="Cambria" w:cs="Cambria"/>
          <w:sz w:val="16"/>
          <w:szCs w:val="16"/>
        </w:rPr>
      </w:r>
      <w:r/>
    </w:p>
    <w:p>
      <w:pPr>
        <w:pStyle w:val="1059"/>
        <w:numPr>
          <w:ilvl w:val="1"/>
          <w:numId w:val="2"/>
        </w:numPr>
        <w:ind w:left="0" w:firstLine="0"/>
        <w:spacing w:before="0" w:after="0" w:line="240" w:lineRule="auto"/>
        <w:rPr>
          <w:rFonts w:ascii="Cambria" w:hAnsi="Cambria" w:cs="Cambria"/>
          <w:sz w:val="18"/>
          <w:szCs w:val="18"/>
        </w:rPr>
      </w:pPr>
      <w:r>
        <w:rPr>
          <w:rFonts w:ascii="Cambria" w:hAnsi="Cambria" w:cs="Cambria"/>
          <w:b w:val="0"/>
          <w:bCs w:val="0"/>
          <w:sz w:val="18"/>
          <w:szCs w:val="18"/>
        </w:rPr>
        <w:t xml:space="preserve">O objeto da presente licitação é para AQUISIÇÃO DE FRALDAS E MATERIAIS DE HIGIENE PESSOAL, conforme condições, quantidades e exigências estabelecidas neste Edital e seus anexos.</w:t>
      </w:r>
      <w:r>
        <w:rPr>
          <w:rFonts w:ascii="Cambria" w:hAnsi="Cambria" w:cs="Cambria"/>
          <w:sz w:val="16"/>
          <w:szCs w:val="16"/>
        </w:rPr>
      </w:r>
      <w:r/>
    </w:p>
    <w:p>
      <w:pPr>
        <w:pStyle w:val="1123"/>
        <w:numPr>
          <w:ilvl w:val="0"/>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A licitação será dividida em ITENS, conforme tabela constante do Termo de Referência, facultando-se ao licitante a participação em quantos ITENS forem de seu interesse.</w:t>
      </w:r>
      <w:r>
        <w:rPr>
          <w:rFonts w:ascii="Cambria" w:hAnsi="Cambria" w:cs="Cambria"/>
          <w:sz w:val="16"/>
          <w:szCs w:val="16"/>
        </w:rPr>
      </w:r>
      <w:r/>
    </w:p>
    <w:p>
      <w:pPr>
        <w:pStyle w:val="1123"/>
        <w:numPr>
          <w:ilvl w:val="1"/>
          <w:numId w:val="0"/>
        </w:numPr>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16"/>
          <w:szCs w:val="16"/>
        </w:rPr>
      </w:r>
      <w:r/>
    </w:p>
    <w:p>
      <w:pPr>
        <w:pStyle w:val="1059"/>
        <w:ind w:left="0" w:firstLine="0"/>
        <w:spacing w:before="0" w:after="0" w:line="240" w:lineRule="auto"/>
        <w:rPr>
          <w:rFonts w:ascii="Cambria" w:hAnsi="Cambria" w:cs="Cambria"/>
          <w:sz w:val="18"/>
          <w:szCs w:val="18"/>
        </w:rPr>
      </w:pPr>
      <w:r>
        <w:rPr>
          <w:rFonts w:ascii="Cambria" w:hAnsi="Cambria" w:cs="Cambria"/>
          <w:sz w:val="16"/>
          <w:szCs w:val="16"/>
        </w:rPr>
      </w:r>
      <w:bookmarkStart w:id="2" w:name="_Toc135469224"/>
      <w:r>
        <w:rPr>
          <w:rFonts w:ascii="Cambria" w:hAnsi="Cambria" w:cs="Cambria"/>
          <w:sz w:val="18"/>
          <w:szCs w:val="18"/>
        </w:rPr>
        <w:t xml:space="preserve">DO REGISTRO DE PREÇOS </w:t>
      </w:r>
      <w:bookmarkEnd w:id="2"/>
      <w:r>
        <w:rPr>
          <w:rFonts w:ascii="Cambria" w:hAnsi="Cambria" w:cs="Cambria"/>
          <w:sz w:val="16"/>
          <w:szCs w:val="16"/>
        </w:rPr>
      </w:r>
      <w:r/>
    </w:p>
    <w:p>
      <w:pPr>
        <w:pStyle w:val="1059"/>
        <w:numPr>
          <w:ilvl w:val="1"/>
          <w:numId w:val="2"/>
        </w:numPr>
        <w:ind w:left="0" w:firstLine="0"/>
        <w:spacing w:before="0" w:after="0" w:line="240" w:lineRule="auto"/>
        <w:rPr>
          <w:rFonts w:ascii="Cambria" w:hAnsi="Cambria" w:cs="Cambria"/>
          <w:b w:val="0"/>
          <w:bCs w:val="0"/>
          <w:sz w:val="18"/>
          <w:szCs w:val="18"/>
        </w:rPr>
      </w:pPr>
      <w:r>
        <w:rPr>
          <w:rFonts w:ascii="Cambria" w:hAnsi="Cambria" w:cs="Cambria"/>
          <w:b w:val="0"/>
          <w:bCs w:val="0"/>
          <w:sz w:val="18"/>
          <w:szCs w:val="18"/>
        </w:rPr>
        <w:t xml:space="preserve">As regras referentes aos órgãos gerenciadores e participantes, bem como eventuais adesões são as que constam da minuta de Ata de Registro de Preços.</w:t>
      </w:r>
      <w:r>
        <w:rPr>
          <w:rFonts w:ascii="Cambria" w:hAnsi="Cambria" w:cs="Cambria"/>
          <w:sz w:val="16"/>
          <w:szCs w:val="16"/>
        </w:rPr>
      </w:r>
      <w:r/>
    </w:p>
    <w:p>
      <w:pPr>
        <w:pStyle w:val="1076"/>
        <w:numPr>
          <w:ilvl w:val="0"/>
          <w:numId w:val="0"/>
        </w:numPr>
        <w:spacing w:before="0" w:after="0" w:line="240" w:lineRule="auto"/>
        <w:rPr>
          <w:rFonts w:ascii="Cambria" w:hAnsi="Cambria" w:cs="Cambria"/>
          <w:b w:val="0"/>
          <w:bCs w:val="0"/>
          <w:sz w:val="18"/>
          <w:szCs w:val="18"/>
        </w:rPr>
      </w:pPr>
      <w:r>
        <w:rPr>
          <w:rFonts w:ascii="Cambria" w:hAnsi="Cambria" w:cs="Cambria"/>
          <w:b w:val="0"/>
          <w:bCs w:val="0"/>
          <w:sz w:val="18"/>
          <w:szCs w:val="18"/>
        </w:rPr>
      </w:r>
      <w:r>
        <w:rPr>
          <w:rFonts w:ascii="Cambria" w:hAnsi="Cambria" w:cs="Cambria"/>
          <w:sz w:val="16"/>
          <w:szCs w:val="16"/>
        </w:rPr>
      </w:r>
      <w:r/>
    </w:p>
    <w:p>
      <w:pPr>
        <w:pStyle w:val="1059"/>
        <w:ind w:left="0" w:firstLine="0"/>
        <w:spacing w:before="0" w:after="0" w:line="240" w:lineRule="auto"/>
        <w:rPr>
          <w:rFonts w:ascii="Cambria" w:hAnsi="Cambria" w:cs="Cambria"/>
          <w:b/>
          <w:bCs/>
          <w:sz w:val="18"/>
          <w:szCs w:val="18"/>
        </w:rPr>
      </w:pPr>
      <w:r>
        <w:rPr>
          <w:rFonts w:ascii="Cambria" w:hAnsi="Cambria" w:cs="Cambria"/>
          <w:b/>
          <w:bCs/>
          <w:sz w:val="16"/>
          <w:szCs w:val="16"/>
        </w:rPr>
      </w:r>
      <w:bookmarkStart w:id="3" w:name="_Toc135469225"/>
      <w:r>
        <w:rPr>
          <w:rFonts w:ascii="Cambria" w:hAnsi="Cambria" w:cs="Cambria"/>
          <w:b/>
          <w:bCs/>
          <w:sz w:val="18"/>
          <w:szCs w:val="18"/>
        </w:rPr>
        <w:t xml:space="preserve">DA PARTICIPAÇÃO NA LICITAÇÃO</w:t>
      </w:r>
      <w:bookmarkEnd w:id="3"/>
      <w:r>
        <w:rPr>
          <w:rFonts w:ascii="Cambria" w:hAnsi="Cambria" w:cs="Cambria"/>
          <w:sz w:val="16"/>
          <w:szCs w:val="16"/>
        </w:rPr>
      </w:r>
      <w:r/>
    </w:p>
    <w:p>
      <w:pPr>
        <w:jc w:val="both"/>
        <w:rPr>
          <w:rFonts w:ascii="Cambria" w:hAnsi="Cambria" w:cs="Cambria"/>
          <w:sz w:val="18"/>
          <w:szCs w:val="18"/>
        </w:rPr>
      </w:pPr>
      <w:r>
        <w:rPr>
          <w:rFonts w:ascii="Cambria" w:hAnsi="Cambria" w:cs="Cambria"/>
          <w:sz w:val="20"/>
          <w:szCs w:val="20"/>
        </w:rPr>
      </w:r>
      <w:bookmarkStart w:id="4" w:name="_Hlk135302270"/>
      <w:r>
        <w:rPr>
          <w:rFonts w:ascii="Cambria" w:hAnsi="Cambria" w:cs="Cambria"/>
          <w:sz w:val="18"/>
          <w:szCs w:val="18"/>
        </w:rPr>
        <w:t xml:space="preserve">3.1</w:t>
      </w:r>
      <w:r>
        <w:rPr>
          <w:rFonts w:ascii="Cambria" w:hAnsi="Cambria" w:cs="Cambria"/>
          <w:sz w:val="18"/>
          <w:szCs w:val="18"/>
        </w:rPr>
        <w:tab/>
        <w:t xml:space="preserve">Poderão participar deste Pregão os interessados que estiverem previamente credenciados no </w:t>
      </w:r>
      <w:r>
        <w:rPr>
          <w:rFonts w:ascii="Cambria" w:hAnsi="Cambria" w:eastAsia="CIDFont" w:cs="Cambria"/>
          <w:color w:val="000000" w:themeColor="text1"/>
          <w:sz w:val="18"/>
          <w:szCs w:val="18"/>
          <w:lang w:eastAsia="zh-CN" w:bidi="ar"/>
        </w:rPr>
        <w:t xml:space="preserve">ao sistema eletrônico, no site https://pregaobanrisul.com.br/.</w:t>
      </w:r>
      <w:bookmarkEnd w:id="4"/>
      <w:r>
        <w:rPr>
          <w:rFonts w:ascii="Cambria" w:hAnsi="Cambria" w:cs="Cambria"/>
          <w:sz w:val="20"/>
          <w:szCs w:val="20"/>
        </w:rPr>
      </w:r>
      <w:r/>
    </w:p>
    <w:p>
      <w:pPr>
        <w:pStyle w:val="1076"/>
        <w:numPr>
          <w:ilvl w:val="1"/>
          <w:numId w:val="0"/>
        </w:numPr>
        <w:spacing w:before="0" w:after="0" w:line="240" w:lineRule="auto"/>
        <w:rPr>
          <w:rFonts w:ascii="Cambria" w:hAnsi="Cambria" w:cs="Cambria"/>
          <w:sz w:val="18"/>
          <w:szCs w:val="18"/>
        </w:rPr>
      </w:pPr>
      <w:r>
        <w:rPr>
          <w:rFonts w:ascii="Cambria" w:hAnsi="Cambria" w:cs="Cambria"/>
          <w:sz w:val="18"/>
          <w:szCs w:val="18"/>
        </w:rPr>
        <w:t xml:space="preserve">3.2</w:t>
      </w:r>
      <w:r>
        <w:rPr>
          <w:rFonts w:ascii="Cambria" w:hAnsi="Cambria" w:cs="Cambria"/>
          <w:sz w:val="18"/>
          <w:szCs w:val="18"/>
        </w:rPr>
        <w:tab/>
        <w:t xml:space="preserve">O licitante responsabiliza-se exclusiva e formalmente pelas transações efetuadas em seu nome, assume como firmes e verdadeiras suas propostas e seus lances, inclusiv</w:t>
      </w:r>
      <w:r>
        <w:rPr>
          <w:rFonts w:ascii="Cambria" w:hAnsi="Cambria" w:cs="Cambria"/>
          <w:sz w:val="18"/>
          <w:szCs w:val="18"/>
        </w:rPr>
        <w:t xml:space="preserve">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Cambria" w:hAnsi="Cambria" w:cs="Cambria"/>
          <w:sz w:val="16"/>
          <w:szCs w:val="16"/>
        </w:rPr>
      </w:r>
      <w:r/>
    </w:p>
    <w:p>
      <w:pPr>
        <w:pStyle w:val="1076"/>
        <w:numPr>
          <w:ilvl w:val="1"/>
          <w:numId w:val="0"/>
        </w:numPr>
        <w:spacing w:before="0" w:after="0" w:line="240" w:lineRule="auto"/>
        <w:rPr>
          <w:rFonts w:ascii="Cambria" w:hAnsi="Cambria" w:cs="Cambria"/>
          <w:sz w:val="18"/>
          <w:szCs w:val="18"/>
        </w:rPr>
      </w:pPr>
      <w:r>
        <w:rPr>
          <w:rFonts w:ascii="Cambria" w:hAnsi="Cambria" w:cs="Cambria"/>
          <w:sz w:val="18"/>
          <w:szCs w:val="18"/>
        </w:rPr>
        <w:t xml:space="preserve">3.3</w:t>
      </w:r>
      <w:r>
        <w:rPr>
          <w:rFonts w:ascii="Cambria" w:hAnsi="Cambria" w:cs="Cambria"/>
          <w:sz w:val="18"/>
          <w:szCs w:val="18"/>
        </w:rPr>
        <w:tab/>
        <w:t xml:space="preserve">É de responsabilidade do cadastrado conferir a exatidão dos seus dados cadastrais</w:t>
      </w:r>
      <w:r>
        <w:rPr>
          <w:rFonts w:ascii="Cambria" w:hAnsi="Cambria" w:cs="Cambria"/>
          <w:sz w:val="18"/>
          <w:szCs w:val="18"/>
        </w:rPr>
        <w:t xml:space="preserve"> nos Sistemas relacionados no item anterior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076"/>
        <w:numPr>
          <w:ilvl w:val="1"/>
          <w:numId w:val="0"/>
        </w:numPr>
        <w:spacing w:before="0" w:after="0" w:line="240" w:lineRule="auto"/>
        <w:rPr>
          <w:rFonts w:ascii="Cambria" w:hAnsi="Cambria" w:cs="Cambria"/>
          <w:sz w:val="18"/>
          <w:szCs w:val="18"/>
        </w:rPr>
      </w:pPr>
      <w:r>
        <w:rPr>
          <w:rFonts w:ascii="Cambria" w:hAnsi="Cambria" w:cs="Cambria"/>
          <w:sz w:val="18"/>
          <w:szCs w:val="18"/>
        </w:rPr>
        <w:t xml:space="preserve">3.4</w:t>
      </w:r>
      <w:r>
        <w:rPr>
          <w:rFonts w:ascii="Cambria" w:hAnsi="Cambria" w:cs="Cambria"/>
          <w:sz w:val="18"/>
          <w:szCs w:val="18"/>
        </w:rPr>
        <w:tab/>
        <w:t xml:space="preserve">A não observância do disposto no item anterior poderá ensejar desclassificação no momento da habilitação.</w:t>
      </w:r>
      <w:r>
        <w:rPr>
          <w:rFonts w:ascii="Cambria" w:hAnsi="Cambria" w:cs="Cambria"/>
          <w:sz w:val="16"/>
          <w:szCs w:val="16"/>
        </w:rPr>
      </w:r>
      <w:r/>
    </w:p>
    <w:p>
      <w:pPr>
        <w:pStyle w:val="1076"/>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5" w:name="_Ref117000692"/>
      <w:r>
        <w:rPr>
          <w:rFonts w:ascii="Cambria" w:hAnsi="Cambria" w:cs="Cambria"/>
          <w:sz w:val="18"/>
          <w:szCs w:val="18"/>
        </w:rPr>
        <w:t xml:space="preserve">3.5</w:t>
      </w:r>
      <w:r>
        <w:rPr>
          <w:rFonts w:ascii="Cambria" w:hAnsi="Cambria" w:cs="Cambria"/>
          <w:sz w:val="18"/>
          <w:szCs w:val="18"/>
        </w:rPr>
        <w:tab/>
        <w:t xml:space="preserve">Não poderão disputar esta licitação:</w:t>
      </w:r>
      <w:bookmarkEnd w:id="5"/>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w:t>
      </w:r>
      <w:r>
        <w:rPr>
          <w:rFonts w:ascii="Cambria" w:hAnsi="Cambria" w:cs="Cambria"/>
          <w:sz w:val="18"/>
          <w:szCs w:val="18"/>
        </w:rPr>
        <w:tab/>
        <w:t xml:space="preserve">A</w:t>
      </w:r>
      <w:bookmarkStart w:id="6" w:name="_Ref113883338"/>
      <w:r>
        <w:rPr>
          <w:rFonts w:ascii="Cambria" w:hAnsi="Cambria" w:cs="Cambria"/>
          <w:sz w:val="18"/>
          <w:szCs w:val="18"/>
        </w:rPr>
        <w:t xml:space="preserve">queles que não atendam às condições previstas neste Edital e seu(s) anexo(s);</w:t>
      </w:r>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7" w:name="_Ref114659912"/>
      <w:r>
        <w:rPr>
          <w:rFonts w:ascii="Cambria" w:hAnsi="Cambria" w:cs="Cambria"/>
          <w:sz w:val="18"/>
          <w:szCs w:val="18"/>
        </w:rPr>
        <w:t xml:space="preserve">3.5.2</w:t>
      </w:r>
      <w:r>
        <w:rPr>
          <w:rFonts w:ascii="Cambria" w:hAnsi="Cambria" w:cs="Cambria"/>
          <w:sz w:val="18"/>
          <w:szCs w:val="18"/>
        </w:rPr>
        <w:tab/>
        <w:t xml:space="preserve">O autor do anteprojeto, do projeto básico ou do projeto executivo, pessoa física ou jurídica, quando a licitação versar sobre serviços ou fornecimento de bens a ele relacionados;</w:t>
      </w:r>
      <w:bookmarkEnd w:id="6"/>
      <w:r>
        <w:rPr>
          <w:rFonts w:ascii="Cambria" w:hAnsi="Cambria" w:cs="Cambria"/>
          <w:sz w:val="16"/>
          <w:szCs w:val="16"/>
        </w:rPr>
      </w:r>
      <w:bookmarkEnd w:id="7"/>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8" w:name="_Ref114659913"/>
      <w:r>
        <w:rPr>
          <w:rFonts w:ascii="Cambria" w:hAnsi="Cambria" w:cs="Cambria"/>
          <w:sz w:val="16"/>
          <w:szCs w:val="16"/>
        </w:rPr>
      </w:r>
      <w:bookmarkStart w:id="9" w:name="_Ref113883339"/>
      <w:r>
        <w:rPr>
          <w:rFonts w:ascii="Cambria" w:hAnsi="Cambria" w:cs="Cambria"/>
          <w:sz w:val="18"/>
          <w:szCs w:val="18"/>
        </w:rPr>
        <w:t xml:space="preserve">3.5.3</w:t>
      </w:r>
      <w:r>
        <w:rPr>
          <w:rFonts w:ascii="Cambria" w:hAnsi="Cambria" w:cs="Cambria"/>
          <w:sz w:val="18"/>
          <w:szCs w:val="18"/>
        </w:rPr>
        <w:tab/>
        <w:t xml:space="preserve">A empresa, isoladamente ou em consórcio, responsável pela elaboração do projeto básico ou do projeto executivo, ou empresa da qual o autor</w:t>
      </w:r>
      <w:r>
        <w:rPr>
          <w:rFonts w:ascii="Cambria" w:hAnsi="Cambria" w:cs="Cambria"/>
          <w:sz w:val="18"/>
          <w:szCs w:val="18"/>
        </w:rPr>
        <w:t xml:space="preserve">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Pr>
          <w:rFonts w:ascii="Cambria" w:hAnsi="Cambria" w:cs="Cambria"/>
          <w:sz w:val="18"/>
          <w:szCs w:val="18"/>
        </w:rPr>
        <w:t xml:space="preserve"> </w:t>
      </w:r>
      <w:bookmarkEnd w:id="9"/>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0" w:name="_Ref113883003"/>
      <w:r>
        <w:rPr>
          <w:rFonts w:ascii="Cambria" w:hAnsi="Cambria" w:cs="Cambria"/>
          <w:sz w:val="18"/>
          <w:szCs w:val="18"/>
        </w:rPr>
        <w:t xml:space="preserve">3.5.4</w:t>
      </w:r>
      <w:r>
        <w:rPr>
          <w:rFonts w:ascii="Cambria" w:hAnsi="Cambria" w:cs="Cambria"/>
          <w:sz w:val="18"/>
          <w:szCs w:val="18"/>
        </w:rPr>
        <w:tab/>
        <w:t xml:space="preserve">Pessoa física ou jurídica que se encontre, ao tempo da licitação, impossibilitada de participar da licitação em decorrência de sanção que lhe foi imposta;</w:t>
      </w:r>
      <w:bookmarkEnd w:id="10"/>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3.5.5</w:t>
      </w:r>
      <w:r>
        <w:rPr>
          <w:rFonts w:ascii="Cambria" w:hAnsi="Cambria" w:cs="Cambria"/>
          <w:sz w:val="18"/>
          <w:szCs w:val="18"/>
        </w:rPr>
        <w:tab/>
        <w:t xml:space="preserve">Aquele que mantenha vínculo de natureza técnica, comercial, econômica, financeira, trabalhista ou civil com dirigen</w:t>
      </w:r>
      <w:r>
        <w:rPr>
          <w:rFonts w:ascii="Cambria" w:hAnsi="Cambria" w:cs="Cambria"/>
          <w:sz w:val="18"/>
          <w:szCs w:val="18"/>
        </w:rPr>
        <w:t xml:space="preserve">te do órgão ou entidade contratante ou com agente público que desempenhe função na licitação ou atue na fiscalização ou na gestão do contrato, ou que deles seja cônjuge, companheiro ou parente em linha reta, colateral ou por afinidade, até o terceiro grau;</w:t>
      </w:r>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3.5.6</w:t>
      </w:r>
      <w:r>
        <w:rPr>
          <w:rFonts w:ascii="Cambria" w:hAnsi="Cambria" w:cs="Cambria"/>
          <w:sz w:val="18"/>
          <w:szCs w:val="18"/>
        </w:rPr>
        <w:tab/>
        <w:t xml:space="preserve">E</w:t>
      </w:r>
      <w:bookmarkStart w:id="11" w:name="_Ref113883579"/>
      <w:r>
        <w:rPr>
          <w:rFonts w:ascii="Cambria" w:hAnsi="Cambria" w:cs="Cambria"/>
          <w:sz w:val="18"/>
          <w:szCs w:val="18"/>
        </w:rPr>
        <w:t xml:space="preserve">mpresas controladoras, controladas ou coligadas, nos termos da Lei nº 6.404, de 15 de dezembro de 1976, concorrendo entre si;</w:t>
      </w:r>
      <w:bookmarkEnd w:id="11"/>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3.5.7</w:t>
      </w:r>
      <w:r>
        <w:rPr>
          <w:rFonts w:ascii="Cambria" w:hAnsi="Cambria" w:cs="Cambria"/>
          <w:sz w:val="18"/>
          <w:szCs w:val="18"/>
        </w:rPr>
        <w:tab/>
        <w:t xml:space="preserve">Pessoa física ou jurídica que, nos 5 (cinco) anos anteriores à divulgação </w:t>
      </w:r>
      <w:r>
        <w:rPr>
          <w:rFonts w:ascii="Cambria" w:hAnsi="Cambria" w:cs="Cambria"/>
          <w:sz w:val="18"/>
          <w:szCs w:val="18"/>
        </w:rPr>
        <w:t xml:space="preserve">do edital, tenha sido condenada judicialmente, com trânsito em julgado, por exploração de trabalho infantil, por submissão de trabalhadores a condições análogas às de escravo ou por contratação de adolescentes nos casos vedados pela legislação trabalhista;</w:t>
      </w:r>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6"/>
          <w:szCs w:val="16"/>
        </w:rPr>
      </w:r>
      <w:bookmarkStart w:id="12" w:name="_Ref113962336"/>
      <w:r>
        <w:rPr>
          <w:rFonts w:ascii="Cambria" w:hAnsi="Cambria" w:cs="Cambria"/>
          <w:sz w:val="18"/>
          <w:szCs w:val="18"/>
        </w:rPr>
        <w:t xml:space="preserve">3.5.8</w:t>
      </w:r>
      <w:r>
        <w:rPr>
          <w:rFonts w:ascii="Cambria" w:hAnsi="Cambria" w:cs="Cambria"/>
          <w:sz w:val="18"/>
          <w:szCs w:val="18"/>
        </w:rPr>
        <w:tab/>
        <w:t xml:space="preserve">Agente público do órgão ou entidade licitante;</w:t>
      </w:r>
      <w:bookmarkEnd w:id="12"/>
      <w:r>
        <w:rPr>
          <w:rFonts w:ascii="Cambria" w:hAnsi="Cambria" w:cs="Cambria"/>
          <w:sz w:val="16"/>
          <w:szCs w:val="16"/>
        </w:rPr>
      </w:r>
      <w:r/>
    </w:p>
    <w:p>
      <w:pPr>
        <w:pStyle w:val="1124"/>
        <w:numPr>
          <w:ilvl w:val="2"/>
          <w:numId w:val="0"/>
        </w:numPr>
        <w:ind w:firstLine="708"/>
        <w:spacing w:before="0" w:after="0" w:line="240" w:lineRule="auto"/>
        <w:rPr>
          <w:rFonts w:ascii="Cambria" w:hAnsi="Cambria" w:cs="Cambria"/>
          <w:color w:val="000000" w:themeColor="text1"/>
          <w:sz w:val="18"/>
          <w:szCs w:val="18"/>
        </w:rPr>
      </w:pPr>
      <w:r>
        <w:rPr>
          <w:rFonts w:ascii="Cambria" w:hAnsi="Cambria" w:cs="Cambria"/>
          <w:color w:val="000000" w:themeColor="text1"/>
          <w:sz w:val="18"/>
          <w:szCs w:val="18"/>
        </w:rPr>
        <w:t xml:space="preserve">3.5.9</w:t>
      </w:r>
      <w:r>
        <w:rPr>
          <w:rFonts w:ascii="Cambria" w:hAnsi="Cambria" w:cs="Cambria"/>
          <w:color w:val="000000" w:themeColor="text1"/>
          <w:sz w:val="18"/>
          <w:szCs w:val="18"/>
        </w:rPr>
        <w:tab/>
        <w:t xml:space="preserve">Pessoas jurídicas reunidas em consórcio;</w:t>
      </w:r>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3.5.10</w:t>
      </w:r>
      <w:r>
        <w:rPr>
          <w:rFonts w:ascii="Cambria" w:hAnsi="Cambria" w:cs="Cambria"/>
          <w:sz w:val="18"/>
          <w:szCs w:val="18"/>
        </w:rPr>
        <w:tab/>
        <w:t xml:space="preserve">Organizações da Sociedade Civil de Interesse Público - OSCIP, atuando nessa condição;</w:t>
      </w:r>
      <w:r>
        <w:rPr>
          <w:rFonts w:ascii="Cambria" w:hAnsi="Cambria" w:cs="Cambria"/>
          <w:sz w:val="16"/>
          <w:szCs w:val="16"/>
        </w:rPr>
      </w:r>
      <w:r/>
    </w:p>
    <w:p>
      <w:pPr>
        <w:pStyle w:val="1078"/>
        <w:numPr>
          <w:ilvl w:val="2"/>
          <w:numId w:val="0"/>
        </w:numPr>
        <w:ind w:firstLine="708"/>
        <w:spacing w:before="0" w:after="0" w:line="240" w:lineRule="auto"/>
        <w:rPr>
          <w:rFonts w:ascii="Cambria" w:hAnsi="Cambria" w:cs="Cambria"/>
          <w:sz w:val="18"/>
          <w:szCs w:val="18"/>
        </w:rPr>
      </w:pPr>
      <w:r>
        <w:rPr>
          <w:rFonts w:ascii="Cambria" w:hAnsi="Cambria" w:cs="Cambria"/>
          <w:sz w:val="18"/>
          <w:szCs w:val="18"/>
        </w:rPr>
        <w:t xml:space="preserve">3.5.11</w:t>
      </w:r>
      <w:r>
        <w:rPr>
          <w:rFonts w:ascii="Cambria" w:hAnsi="Cambria" w:cs="Cambria"/>
          <w:sz w:val="18"/>
          <w:szCs w:val="18"/>
        </w:rPr>
        <w:tab/>
        <w:t xml:space="preserve">Não poderá participar, direta ou indiretamente, da licitação ou da execução </w:t>
      </w:r>
      <w:r>
        <w:rPr>
          <w:rFonts w:ascii="Cambria" w:hAnsi="Cambria" w:cs="Cambria"/>
          <w:sz w:val="18"/>
          <w:szCs w:val="18"/>
        </w:rPr>
        <w:t xml:space="preserve">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tooltip="http://www.planalto.gov.br/ccivil_03/_ato2019-2022/2021/lei/L14133.htm#art9§1" w:anchor="art9§1" w:history="1">
        <w:r>
          <w:rPr>
            <w:rStyle w:val="875"/>
            <w:rFonts w:ascii="Cambria" w:hAnsi="Cambria" w:cs="Cambria"/>
            <w:sz w:val="18"/>
            <w:szCs w:val="18"/>
          </w:rPr>
          <w:t xml:space="preserve">§ 1º do art. 9º da Lei nº 14.133, de 2021</w:t>
        </w:r>
      </w:hyperlink>
      <w:r>
        <w:rPr>
          <w:rFonts w:ascii="Cambria" w:hAnsi="Cambria" w:cs="Cambria"/>
          <w:sz w:val="18"/>
          <w:szCs w:val="18"/>
        </w:rPr>
        <w:t xml:space="preserve">.</w:t>
      </w:r>
      <w:r>
        <w:rPr>
          <w:rFonts w:ascii="Cambria" w:hAnsi="Cambria" w:cs="Cambria"/>
          <w:sz w:val="16"/>
          <w:szCs w:val="16"/>
        </w:rPr>
      </w:r>
      <w:r/>
    </w:p>
    <w:p>
      <w:pPr>
        <w:pStyle w:val="1076"/>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3" w:name="art14§2"/>
      <w:r>
        <w:rPr>
          <w:rFonts w:ascii="Cambria" w:hAnsi="Cambria" w:cs="Cambria"/>
          <w:sz w:val="16"/>
          <w:szCs w:val="16"/>
        </w:rPr>
      </w:r>
      <w:bookmarkStart w:id="14" w:name="art14§3"/>
      <w:r>
        <w:rPr>
          <w:rFonts w:ascii="Cambria" w:hAnsi="Cambria" w:cs="Cambria"/>
          <w:sz w:val="16"/>
          <w:szCs w:val="16"/>
        </w:rPr>
      </w:r>
      <w:bookmarkEnd w:id="13"/>
      <w:r>
        <w:rPr>
          <w:rFonts w:ascii="Cambria" w:hAnsi="Cambria" w:cs="Cambria"/>
          <w:sz w:val="16"/>
          <w:szCs w:val="16"/>
        </w:rPr>
      </w:r>
      <w:bookmarkEnd w:id="14"/>
      <w:r>
        <w:rPr>
          <w:rFonts w:ascii="Cambria" w:hAnsi="Cambria" w:cs="Cambria"/>
          <w:sz w:val="18"/>
          <w:szCs w:val="18"/>
        </w:rPr>
        <w:t xml:space="preserve">3.6</w:t>
      </w:r>
      <w:r>
        <w:rPr>
          <w:rFonts w:ascii="Cambria" w:hAnsi="Cambria" w:cs="Cambria"/>
          <w:sz w:val="18"/>
          <w:szCs w:val="18"/>
        </w:rPr>
        <w:tab/>
        <w:t xml:space="preserve">Equiparam-se aos autores do projeto as empresas integrantes do mesmo grupo econômico.</w:t>
      </w:r>
      <w:bookmarkStart w:id="15" w:name="art14§4"/>
      <w:r>
        <w:rPr>
          <w:rFonts w:ascii="Cambria" w:hAnsi="Cambria" w:cs="Cambria"/>
          <w:sz w:val="16"/>
          <w:szCs w:val="16"/>
        </w:rPr>
      </w:r>
      <w:bookmarkEnd w:id="15"/>
      <w:r>
        <w:rPr>
          <w:rFonts w:ascii="Cambria" w:hAnsi="Cambria" w:cs="Cambria"/>
          <w:sz w:val="16"/>
          <w:szCs w:val="16"/>
        </w:rPr>
      </w:r>
      <w:r/>
    </w:p>
    <w:p>
      <w:pPr>
        <w:pStyle w:val="1076"/>
        <w:numPr>
          <w:ilvl w:val="1"/>
          <w:numId w:val="0"/>
        </w:numPr>
        <w:spacing w:before="0" w:after="0" w:line="240" w:lineRule="auto"/>
        <w:rPr>
          <w:rFonts w:ascii="Cambria" w:hAnsi="Cambria" w:cs="Cambria"/>
          <w:sz w:val="18"/>
          <w:szCs w:val="18"/>
        </w:rPr>
      </w:pPr>
      <w:r>
        <w:rPr>
          <w:rFonts w:ascii="Cambria" w:hAnsi="Cambria" w:cs="Cambria"/>
          <w:sz w:val="16"/>
          <w:szCs w:val="16"/>
        </w:rPr>
      </w:r>
      <w:bookmarkStart w:id="16" w:name="art14§5"/>
      <w:r>
        <w:rPr>
          <w:rFonts w:ascii="Cambria" w:hAnsi="Cambria" w:cs="Cambria"/>
          <w:sz w:val="16"/>
          <w:szCs w:val="16"/>
        </w:rPr>
      </w:r>
      <w:bookmarkEnd w:id="16"/>
      <w:r>
        <w:rPr>
          <w:rFonts w:ascii="Cambria" w:hAnsi="Cambria" w:cs="Cambria"/>
          <w:sz w:val="18"/>
          <w:szCs w:val="18"/>
        </w:rPr>
        <w:t xml:space="preserve">3.7</w:t>
      </w:r>
      <w:r>
        <w:rPr>
          <w:rFonts w:ascii="Cambria" w:hAnsi="Cambria" w:cs="Cambria"/>
          <w:sz w:val="18"/>
          <w:szCs w:val="18"/>
        </w:rPr>
        <w:tab/>
        <w:t xml:space="preserve">Em licitações e contratações realizadas no âmbito de projetos e programas parcialmente financiados por agência oficial de cooperação estrangeira </w:t>
      </w:r>
      <w:r>
        <w:rPr>
          <w:rFonts w:ascii="Cambria" w:hAnsi="Cambria" w:cs="Cambria"/>
          <w:sz w:val="18"/>
          <w:szCs w:val="18"/>
        </w:rPr>
        <w:t xml:space="preserve">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tooltip="http://www.planalto.gov.br/ccivil_03/_ato2019-2022/2021/lei/L14133.htm" w:history="1">
        <w:r>
          <w:rPr>
            <w:rStyle w:val="875"/>
            <w:rFonts w:ascii="Cambria" w:hAnsi="Cambria" w:cs="Cambria"/>
            <w:sz w:val="18"/>
            <w:szCs w:val="18"/>
          </w:rPr>
          <w:t xml:space="preserve">Lei nº 14.133/2021</w:t>
        </w:r>
      </w:hyperlink>
      <w:r>
        <w:rPr>
          <w:rFonts w:ascii="Cambria" w:hAnsi="Cambria" w:cs="Cambria"/>
          <w:sz w:val="18"/>
          <w:szCs w:val="18"/>
        </w:rPr>
        <w:t xml:space="preserve">.</w:t>
      </w:r>
      <w:r>
        <w:rPr>
          <w:rFonts w:ascii="Cambria" w:hAnsi="Cambria" w:cs="Cambria"/>
          <w:sz w:val="16"/>
          <w:szCs w:val="16"/>
        </w:rPr>
      </w:r>
      <w:r/>
    </w:p>
    <w:p>
      <w:pPr>
        <w:pStyle w:val="1076"/>
        <w:numPr>
          <w:ilvl w:val="1"/>
          <w:numId w:val="0"/>
        </w:numPr>
        <w:spacing w:before="0" w:after="0" w:line="240"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59"/>
        <w:spacing w:before="0" w:after="0" w:line="240" w:lineRule="auto"/>
        <w:rPr>
          <w:rFonts w:ascii="Cambria" w:hAnsi="Cambria" w:cs="Cambria"/>
          <w:sz w:val="18"/>
          <w:szCs w:val="18"/>
        </w:rPr>
      </w:pPr>
      <w:r>
        <w:rPr>
          <w:rFonts w:ascii="Cambria" w:hAnsi="Cambria" w:cs="Cambria"/>
          <w:sz w:val="16"/>
          <w:szCs w:val="16"/>
        </w:rPr>
      </w:r>
      <w:bookmarkStart w:id="17" w:name="_Toc135469226"/>
      <w:r>
        <w:rPr>
          <w:rFonts w:ascii="Cambria" w:hAnsi="Cambria" w:cs="Cambria"/>
          <w:sz w:val="18"/>
          <w:szCs w:val="18"/>
        </w:rPr>
        <w:t xml:space="preserve">DA APRESENTAÇÃO DA PROPOSTA E DOS DOCUMENTOS DE HABILITAÇÃO</w:t>
      </w:r>
      <w:bookmarkEnd w:id="17"/>
      <w:r>
        <w:rPr>
          <w:rFonts w:ascii="Cambria" w:hAnsi="Cambria" w:cs="Cambria"/>
          <w:sz w:val="16"/>
          <w:szCs w:val="16"/>
        </w:rPr>
      </w:r>
      <w:r/>
    </w:p>
    <w:p>
      <w:pPr>
        <w:pStyle w:val="1059"/>
        <w:numPr>
          <w:ilvl w:val="1"/>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8" w:name="_Ref113886867"/>
      <w:r>
        <w:rPr>
          <w:rFonts w:ascii="Cambria" w:hAnsi="Cambria" w:cs="Cambria"/>
          <w:b w:val="0"/>
          <w:bCs w:val="0"/>
          <w:sz w:val="18"/>
          <w:szCs w:val="18"/>
        </w:rPr>
        <w:t xml:space="preserve">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r>
        <w:rPr>
          <w:rFonts w:ascii="Cambria" w:hAnsi="Cambria" w:cs="Cambria"/>
          <w:sz w:val="16"/>
          <w:szCs w:val="16"/>
        </w:rPr>
      </w:r>
      <w:r/>
    </w:p>
    <w:p>
      <w:pPr>
        <w:pStyle w:val="1059"/>
        <w:numPr>
          <w:ilvl w:val="2"/>
          <w:numId w:val="2"/>
        </w:numPr>
        <w:spacing w:before="0" w:after="0" w:line="240" w:lineRule="auto"/>
        <w:rPr>
          <w:rFonts w:ascii="Cambria" w:hAnsi="Cambria" w:cs="Cambria"/>
          <w:b w:val="0"/>
          <w:bCs w:val="0"/>
          <w:sz w:val="18"/>
          <w:szCs w:val="18"/>
        </w:rPr>
      </w:pPr>
      <w:r>
        <w:rPr>
          <w:rFonts w:ascii="Cambria" w:hAnsi="Cambria" w:cs="Cambria"/>
          <w:sz w:val="16"/>
          <w:szCs w:val="16"/>
        </w:rPr>
      </w:r>
      <w:bookmarkStart w:id="19" w:name="_Ref113968921"/>
      <w:r>
        <w:rPr>
          <w:rFonts w:ascii="Cambria" w:hAnsi="Cambria" w:cs="Cambria"/>
          <w:b w:val="0"/>
          <w:bCs w:val="0"/>
          <w:color w:val="000000" w:themeColor="text1"/>
          <w:sz w:val="18"/>
          <w:szCs w:val="18"/>
        </w:rPr>
        <w:t xml:space="preserve">No cadastramento da proposta inicial, o licitante declarará, em campo próprio do sistema, que:</w:t>
      </w:r>
      <w:bookmarkEnd w:id="19"/>
      <w:r>
        <w:rPr>
          <w:rFonts w:ascii="Cambria" w:hAnsi="Cambria" w:cs="Cambria"/>
          <w:sz w:val="16"/>
          <w:szCs w:val="16"/>
        </w:rPr>
      </w:r>
      <w:r/>
    </w:p>
    <w:p>
      <w:pPr>
        <w:pStyle w:val="1123"/>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Está ciente e concorda com as condições contidas no edital e seus anexos, bem como de que a proposta apresentada compreende a integralidade dos custos para atendimento dos direitos trabalhistas assegurados na Constituição Federal, nas </w:t>
      </w:r>
      <w:r>
        <w:rPr>
          <w:rFonts w:ascii="Cambria" w:hAnsi="Cambria" w:cs="Cambria"/>
          <w:i w:val="0"/>
          <w:iCs w:val="0"/>
          <w:color w:val="auto"/>
          <w:sz w:val="18"/>
          <w:szCs w:val="18"/>
        </w:rPr>
        <w:t xml:space="preserve">leis trabalhistas, nas normas infralegais, nas convenções coletivas de trabalho e nos termos de ajustamento de conduta vigentes na data de sua entrega em definitivo e que cumpre plenamente os requisitos de habilitação definidos no instrumento convocatório;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emprega menor de 18 anos em trabalho noturno, perigoso ou insalubre e não emprega menor de 16 anos, salvo menor, a partir de 14 anos, na condição de aprendiz, nos termos do </w:t>
      </w:r>
      <w:hyperlink r:id="rId20" w:tooltip="https://www.planalto.gov.br/ccivil_03/constituicao/constituicaocompilado.htm#art7" w:anchor="art7" w:history="1">
        <w:r>
          <w:rPr>
            <w:rStyle w:val="875"/>
            <w:rFonts w:ascii="Cambria" w:hAnsi="Cambria" w:cs="Cambria"/>
            <w:i w:val="0"/>
            <w:iCs w:val="0"/>
            <w:color w:val="auto"/>
            <w:sz w:val="18"/>
            <w:szCs w:val="18"/>
          </w:rPr>
          <w:t xml:space="preserve">artigo 7°, XXXIII, da Constituição</w:t>
        </w:r>
      </w:hyperlink>
      <w:r>
        <w:rPr>
          <w:rFonts w:ascii="Cambria" w:hAnsi="Cambria" w:cs="Cambria"/>
          <w:i w:val="0"/>
          <w:iCs w:val="0"/>
          <w:color w:val="auto"/>
          <w:sz w:val="18"/>
          <w:szCs w:val="18"/>
        </w:rPr>
        <w:t xml:space="preserve">;</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Não possui empregados executando trabalho degradante ou forçado, observando o disposto nos </w:t>
      </w:r>
      <w:hyperlink r:id="rId21" w:tooltip="https://www.planalto.gov.br/ccivil_03/constituicao/constituicaocompilado.htm" w:history="1">
        <w:r>
          <w:rPr>
            <w:rStyle w:val="875"/>
            <w:rFonts w:ascii="Cambria" w:hAnsi="Cambria" w:cs="Cambria"/>
            <w:i w:val="0"/>
            <w:iCs w:val="0"/>
            <w:color w:val="auto"/>
            <w:sz w:val="18"/>
            <w:szCs w:val="18"/>
          </w:rPr>
          <w:t xml:space="preserve">incisos III e IV do art. 1º e no inciso III do art. 5º da Constituição Federal</w:t>
        </w:r>
      </w:hyperlink>
      <w:r>
        <w:rPr>
          <w:rFonts w:ascii="Cambria" w:hAnsi="Cambria" w:cs="Cambria"/>
          <w:sz w:val="16"/>
          <w:szCs w:val="16"/>
        </w:rPr>
      </w:r>
      <w:r/>
    </w:p>
    <w:p>
      <w:pPr>
        <w:pStyle w:val="1123"/>
        <w:numPr>
          <w:ilvl w:val="2"/>
          <w:numId w:val="2"/>
        </w:numPr>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23"/>
        <w:ind w:left="999" w:hanging="432"/>
        <w:spacing w:before="0" w:after="0" w:line="240" w:lineRule="auto"/>
        <w:rPr>
          <w:rFonts w:ascii="Cambria" w:hAnsi="Cambria" w:cs="Cambria"/>
          <w:i w:val="0"/>
          <w:color w:val="auto"/>
          <w:sz w:val="18"/>
          <w:szCs w:val="18"/>
        </w:rPr>
      </w:pPr>
      <w:r>
        <w:rPr>
          <w:rFonts w:ascii="Cambria" w:hAnsi="Cambria" w:cs="Cambria"/>
          <w:i w:val="0"/>
          <w:iCs w:val="0"/>
          <w:color w:val="auto"/>
          <w:sz w:val="18"/>
          <w:szCs w:val="18"/>
        </w:rPr>
        <w:t xml:space="preserve">O licitante organizado em cooperativa deverá declarar, ainda, em campo próprio do sistema eletrônico, que cumpre os requisitos estabelecidos no </w:t>
      </w:r>
      <w:hyperlink r:id="rId22" w:tooltip="http://www.planalto.gov.br/ccivil_03/_ato2019-2022/2021/lei/L14133.htm#art16" w:anchor="art16" w:history="1">
        <w:r>
          <w:rPr>
            <w:rStyle w:val="875"/>
            <w:rFonts w:ascii="Cambria" w:hAnsi="Cambria" w:cs="Cambria"/>
            <w:i w:val="0"/>
            <w:iCs w:val="0"/>
            <w:color w:val="auto"/>
            <w:sz w:val="18"/>
            <w:szCs w:val="18"/>
          </w:rPr>
          <w:t xml:space="preserve">artigo 16 da Lei nº 14.133, de 2021</w:t>
        </w:r>
      </w:hyperlink>
      <w:r>
        <w:rPr>
          <w:rFonts w:ascii="Cambria" w:hAnsi="Cambria" w:cs="Cambria"/>
          <w:i w:val="0"/>
          <w:iCs w:val="0"/>
          <w:color w:val="auto"/>
          <w:sz w:val="18"/>
          <w:szCs w:val="18"/>
        </w:rPr>
        <w:t xml:space="preserve">.</w:t>
      </w:r>
      <w:r>
        <w:rPr>
          <w:rFonts w:ascii="Cambria" w:hAnsi="Cambria" w:cs="Cambria"/>
          <w:sz w:val="16"/>
          <w:szCs w:val="16"/>
        </w:rPr>
      </w:r>
      <w:r/>
    </w:p>
    <w:p>
      <w:pPr>
        <w:pStyle w:val="1123"/>
        <w:ind w:left="999" w:hanging="432"/>
        <w:spacing w:before="0" w:after="0" w:line="240" w:lineRule="auto"/>
        <w:rPr>
          <w:rFonts w:ascii="Cambria" w:hAnsi="Cambria" w:cs="Cambria"/>
          <w:i w:val="0"/>
          <w:color w:val="auto"/>
          <w:sz w:val="18"/>
          <w:szCs w:val="18"/>
        </w:rPr>
      </w:pPr>
      <w:r>
        <w:rPr>
          <w:rFonts w:ascii="Cambria" w:hAnsi="Cambria" w:cs="Cambria"/>
          <w:sz w:val="16"/>
          <w:szCs w:val="16"/>
        </w:rPr>
      </w:r>
      <w:bookmarkStart w:id="20" w:name="_Ref117000019"/>
      <w:r>
        <w:rPr>
          <w:rFonts w:ascii="Cambria" w:hAnsi="Cambria" w:cs="Cambria"/>
          <w:i w:val="0"/>
          <w:iCs w:val="0"/>
          <w:color w:val="auto"/>
          <w:sz w:val="18"/>
          <w:szCs w:val="18"/>
        </w:rPr>
        <w:t xml:space="preserve">O fornecedor enquadrado como microempresa, empresa de pequeno porte ou sociedade cooperativa deverá declarar, ainda, em campo próprio do sistema eletrônico, que cumpre os requisitos estabelecidos no </w:t>
      </w:r>
      <w:hyperlink r:id="rId23" w:tooltip="https://www.planalto.gov.br/ccivil_03/leis/lcp/lcp123.htm#art3" w:anchor="art3" w:history="1">
        <w:r>
          <w:rPr>
            <w:rStyle w:val="875"/>
            <w:rFonts w:ascii="Cambria" w:hAnsi="Cambria" w:cs="Cambria"/>
            <w:i w:val="0"/>
            <w:iCs w:val="0"/>
            <w:color w:val="auto"/>
            <w:sz w:val="18"/>
            <w:szCs w:val="18"/>
          </w:rPr>
          <w:t xml:space="preserve">artigo 3° da Lei Complementar nº 123, de 2006</w:t>
        </w:r>
      </w:hyperlink>
      <w:r>
        <w:rPr>
          <w:rFonts w:ascii="Cambria" w:hAnsi="Cambria" w:cs="Cambria"/>
          <w:i w:val="0"/>
          <w:iCs w:val="0"/>
          <w:color w:val="auto"/>
          <w:sz w:val="18"/>
          <w:szCs w:val="18"/>
        </w:rPr>
        <w:t xml:space="preserve">, estando apto a </w:t>
      </w:r>
      <w:r>
        <w:rPr>
          <w:rFonts w:ascii="Cambria" w:hAnsi="Cambria" w:cs="Cambria"/>
          <w:i w:val="0"/>
          <w:iCs w:val="0"/>
          <w:color w:val="auto"/>
          <w:sz w:val="18"/>
          <w:szCs w:val="18"/>
        </w:rPr>
        <w:t xml:space="preserve">usufruir do tratamento favorecido estabelecido em seus </w:t>
      </w:r>
      <w:bookmarkEnd w:id="20"/>
      <w:r>
        <w:rPr>
          <w:rFonts w:ascii="Cambria" w:hAnsi="Cambria" w:cs="Cambria"/>
          <w:sz w:val="16"/>
          <w:szCs w:val="16"/>
        </w:rPr>
        <w:fldChar w:fldCharType="begin"/>
      </w:r>
      <w:r>
        <w:rPr>
          <w:rFonts w:ascii="Cambria" w:hAnsi="Cambria" w:cs="Cambria"/>
          <w:sz w:val="18"/>
          <w:szCs w:val="18"/>
        </w:rPr>
        <w:instrText xml:space="preserve">HYPERLINK "https://www.planalto.gov.br/ccivil_03/leis/lcp/lcp123.htm" \l "art42"</w:instrText>
      </w:r>
      <w:r>
        <w:rPr>
          <w:rFonts w:ascii="Cambria" w:hAnsi="Cambria" w:cs="Cambria"/>
          <w:sz w:val="16"/>
          <w:szCs w:val="16"/>
        </w:rPr>
        <w:fldChar w:fldCharType="separate"/>
      </w:r>
      <w:r>
        <w:rPr>
          <w:rStyle w:val="875"/>
          <w:rFonts w:ascii="Cambria" w:hAnsi="Cambria" w:cs="Cambria"/>
          <w:sz w:val="18"/>
          <w:szCs w:val="18"/>
        </w:rPr>
        <w:t xml:space="preserve">arts. 42 a 49</w:t>
      </w:r>
      <w:r>
        <w:rPr>
          <w:rStyle w:val="875"/>
          <w:rFonts w:ascii="Cambria" w:hAnsi="Cambria" w:cs="Cambria"/>
          <w:sz w:val="18"/>
          <w:szCs w:val="18"/>
        </w:rPr>
        <w:fldChar w:fldCharType="end"/>
      </w:r>
      <w:r>
        <w:rPr>
          <w:rFonts w:ascii="Cambria" w:hAnsi="Cambria" w:cs="Cambria"/>
          <w:i w:val="0"/>
          <w:iCs w:val="0"/>
          <w:color w:val="auto"/>
          <w:sz w:val="18"/>
          <w:szCs w:val="18"/>
        </w:rPr>
        <w:t xml:space="preserve">, observado o disposto nos </w:t>
      </w:r>
      <w:hyperlink r:id="rId24" w:tooltip="http://www.planalto.gov.br/ccivil_03/_ato2019-2022/2021/lei/L14133.htm#art4§1" w:anchor="art4§1" w:history="1">
        <w:r>
          <w:rPr>
            <w:rStyle w:val="875"/>
            <w:rFonts w:ascii="Cambria" w:hAnsi="Cambria" w:cs="Cambria"/>
            <w:i w:val="0"/>
            <w:iCs w:val="0"/>
            <w:color w:val="auto"/>
            <w:sz w:val="18"/>
            <w:szCs w:val="18"/>
          </w:rPr>
          <w:t xml:space="preserve">§§ 1º ao 3º do art. 4º, da Lei n.º 14.133, de 2021.</w:t>
        </w:r>
      </w:hyperlink>
      <w:r>
        <w:rPr>
          <w:rFonts w:ascii="Cambria" w:hAnsi="Cambria" w:cs="Cambria"/>
          <w:sz w:val="16"/>
          <w:szCs w:val="16"/>
        </w:rPr>
      </w:r>
      <w:r/>
    </w:p>
    <w:p>
      <w:pPr>
        <w:pStyle w:val="1123"/>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A falsidade da declaração de que trata os itens 4.2 sujeitará o licitante às sanções previstas na </w:t>
      </w:r>
      <w:hyperlink r:id="rId25" w:tooltip="http://www.planalto.gov.br/ccivil_03/_ato2019-2022/2021/lei/L14133.htm" w:history="1">
        <w:r>
          <w:rPr>
            <w:rStyle w:val="875"/>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e neste Edital.</w:t>
      </w:r>
      <w:r>
        <w:rPr>
          <w:rFonts w:ascii="Cambria" w:hAnsi="Cambria" w:cs="Cambria"/>
          <w:sz w:val="16"/>
          <w:szCs w:val="16"/>
        </w:rPr>
      </w:r>
      <w:r/>
    </w:p>
    <w:p>
      <w:pPr>
        <w:pStyle w:val="1123"/>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Os licitante</w:t>
      </w:r>
      <w:r>
        <w:rPr>
          <w:rFonts w:ascii="Cambria" w:hAnsi="Cambria" w:cs="Cambria"/>
          <w:i w:val="0"/>
          <w:iCs w:val="0"/>
          <w:color w:val="000000" w:themeColor="text1"/>
          <w:sz w:val="18"/>
          <w:szCs w:val="18"/>
        </w:rPr>
        <w:t xml:space="preserve">s poderão retirar ou substituir a proposta ou, na hipótese de a fase de habilitação anteceder as fases de apresentação de propostas e lances e de julgamento, os documentos de habilitação anteriormente inseridos no sistema, até a abertura da sessão pública.</w:t>
      </w:r>
      <w:r>
        <w:rPr>
          <w:rFonts w:ascii="Cambria" w:hAnsi="Cambria" w:cs="Cambria"/>
          <w:sz w:val="16"/>
          <w:szCs w:val="16"/>
        </w:rPr>
      </w:r>
      <w:r/>
    </w:p>
    <w:p>
      <w:pPr>
        <w:pStyle w:val="1123"/>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t xml:space="preserve">Não haverá ordem de classificação na etapa de apresentação da proposta e dos documentos de habilitação pelo licitante, o que ocorrerá somente após os procedimentos de abertura da sessão pública e da fase de envio de lances.</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Serão disponibilizados para acesso público os documentos que compõem a proposta dos licitantes convocados para apresentação de propostas, após a fase de envio de lances.</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1" w:name="_Ref116992247"/>
      <w:r>
        <w:rPr>
          <w:rFonts w:ascii="Cambria" w:hAnsi="Cambria" w:cs="Cambria"/>
          <w:i w:val="0"/>
          <w:iCs w:val="0"/>
          <w:color w:val="000000" w:themeColor="text1"/>
          <w:sz w:val="18"/>
          <w:szCs w:val="18"/>
        </w:rPr>
        <w:t xml:space="preserve">Desde que disponibilizada a funcionalidade no sistema, o licitante poderá parametrizar o seu valor final mínimo ou o seu percentual de desconto máximo quando do cadastramento da proposta e obedecerá às seguintes regras:</w:t>
      </w:r>
      <w:bookmarkEnd w:id="21"/>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aplicação do intervalo mínimo de diferença de valores entre os lances, que incidirá tanto em relação aos lances intermediários quanto em relação ao lance que cobrir a melhor oferta; </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lances serão de envio automático pelo sistema, respeitado o valor final mínimo, caso estabelecido, e o intervalo de que trata o subitem acima.</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no sistema poderá ser alterado pelo fornecedor durante a fase de disputa, sendo vedado: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superior a lance já registrado pelo fornecedor no sistema, quando adotado o critério de julgamento por menor preço; e</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valor final mínimo parametrizado na forma do item possuirá caráter sigiloso para os demais fornecedores e para o órgão ou entidade promotora da licitação, podendo ser disponibilizado estrita e permanentemente aos órgãos de controle externo e interno.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Caberá ao licitante interessado em participar da licitação </w:t>
      </w:r>
      <w:r>
        <w:rPr>
          <w:rFonts w:ascii="Cambria" w:hAnsi="Cambria" w:cs="Cambria"/>
          <w:i w:val="0"/>
          <w:iCs w:val="0"/>
          <w:color w:val="000000" w:themeColor="text1"/>
          <w:sz w:val="18"/>
          <w:szCs w:val="18"/>
        </w:rPr>
        <w:t xml:space="preserve">acompanhar as operações no sistema eletrônico durante o processo licitatório e se responsabilizar pelo ônus decorrente da perda de negócios diante da inobservância de mensagens emitidas pela Administração ou de sua desconexão.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eastAsia="Times New Roman" w:cs="Cambria"/>
          <w:i w:val="0"/>
          <w:iCs w:val="0"/>
          <w:color w:val="000000" w:themeColor="text1"/>
          <w:sz w:val="18"/>
          <w:szCs w:val="18"/>
        </w:rPr>
        <w:t xml:space="preserve">O licitante deverá </w:t>
      </w:r>
      <w:r>
        <w:rPr>
          <w:rFonts w:ascii="Cambria" w:hAnsi="Cambria" w:cs="Cambria"/>
          <w:i w:val="0"/>
          <w:iCs w:val="0"/>
          <w:color w:val="000000" w:themeColor="text1"/>
          <w:sz w:val="18"/>
          <w:szCs w:val="18"/>
        </w:rPr>
        <w:t xml:space="preserve">comunicar imediatamente ao provedor do sistema qualquer acontecimento que possa comprometer o sigilo ou a segurança, para imediato bloqueio de acesso.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t xml:space="preserve">A licitante deverá ser observar os requisitos de habilitação e regras de contratação previstas no anexo I – TERMO DE REFERENCIA.</w:t>
      </w:r>
      <w:r>
        <w:rPr>
          <w:rFonts w:ascii="Cambria" w:hAnsi="Cambria" w:cs="Cambria"/>
          <w:sz w:val="16"/>
          <w:szCs w:val="16"/>
        </w:rPr>
      </w:r>
      <w:r/>
    </w:p>
    <w:p>
      <w:pPr>
        <w:pStyle w:val="1123"/>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23"/>
        <w:numPr>
          <w:ilvl w:val="0"/>
          <w:numId w:val="2"/>
        </w:numPr>
        <w:ind w:left="992" w:right="0" w:hanging="425"/>
        <w:jc w:val="both"/>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2" w:name="_Toc135469227"/>
      <w:r>
        <w:rPr>
          <w:rFonts w:ascii="Cambria" w:hAnsi="Cambria" w:cs="Cambria"/>
          <w:b/>
          <w:bCs/>
          <w:i w:val="0"/>
          <w:iCs w:val="0"/>
          <w:color w:val="000000" w:themeColor="text1"/>
          <w:sz w:val="18"/>
          <w:szCs w:val="18"/>
        </w:rPr>
        <w:t xml:space="preserve">DO PREENCHIMENTO DA PROPOSTA</w:t>
      </w:r>
      <w:bookmarkEnd w:id="22"/>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deverá enviar sua proposta mediante o preenchimento, no sistema eletrônico, dos seguintes campos: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Valor unitário e total do item;</w:t>
      </w:r>
      <w:r>
        <w:rPr>
          <w:rFonts w:ascii="Cambria" w:hAnsi="Cambria" w:cs="Cambria"/>
          <w:sz w:val="16"/>
          <w:szCs w:val="16"/>
        </w:rPr>
      </w:r>
      <w:r/>
    </w:p>
    <w:p>
      <w:pPr>
        <w:pStyle w:val="1123"/>
        <w:numPr>
          <w:ilvl w:val="2"/>
          <w:numId w:val="2"/>
        </w:numPr>
        <w:spacing w:before="0" w:after="0" w:line="240" w:lineRule="auto"/>
        <w:rPr>
          <w:rStyle w:val="1069"/>
          <w:rFonts w:ascii="Cambria" w:hAnsi="Cambria" w:cs="Cambria"/>
          <w:i w:val="0"/>
          <w:color w:val="000000" w:themeColor="text1"/>
          <w:sz w:val="18"/>
          <w:szCs w:val="18"/>
          <w:u w:val="single"/>
        </w:rPr>
      </w:pPr>
      <w:r>
        <w:rPr>
          <w:rStyle w:val="1069"/>
          <w:rFonts w:ascii="Cambria" w:hAnsi="Cambria" w:cs="Cambria"/>
          <w:i w:val="0"/>
          <w:iCs w:val="0"/>
          <w:color w:val="000000" w:themeColor="text1"/>
          <w:sz w:val="18"/>
          <w:szCs w:val="18"/>
          <w:u w:val="none"/>
          <w:shd w:val="clear" w:color="ffffff" w:themeColor="background1" w:fill="ffffff" w:themeFill="background1"/>
        </w:rPr>
        <w:t xml:space="preserve">Quantidade total </w:t>
      </w:r>
      <w:r>
        <w:rPr>
          <w:rFonts w:ascii="Cambria" w:hAnsi="Cambria" w:cs="Cambria"/>
          <w:i w:val="0"/>
          <w:iCs w:val="0"/>
          <w:color w:val="000000" w:themeColor="text1"/>
          <w:sz w:val="18"/>
          <w:szCs w:val="18"/>
          <w:u w:val="none"/>
        </w:rPr>
        <w:t xml:space="preserve">do item.</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Todas as especificações do objeto contidas na proposta vinculam o licitante.</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Nos valores propostos estarão inclusos todos os custos operacionais, encargos previdenciários, trabalhistas, tributários, comerciais e quaisquer outros que incidam direta ou indiretamente na execução do objeto.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preços ofertados, tanto na proposta inicial, quanto na etapa de lances, serão de exclusiva responsabilidade do licitante, não lhe assistindo o direito de pleitear qualquer alteração, sob alegação de erro, omissão ou qualquer outro pretexto.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Se o regime tributário da empresa implicar o recolhimento de tributos em percentuais variáveis, a cotação adequada será a que corresponde à média dos efetivos recolhimentos da empresa nos últimos doze meses. </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Independentemente do percentual de tributo inserido na planilha, no pagamento serão retidos na fonte os percentuais estabelecidos na legislação vigente</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Na presente licitação, a Microempresa e a Empresa de Pequeno Porte não poderão se beneficiar do regime de tributação pelo </w:t>
      </w:r>
      <w:r>
        <w:rPr>
          <w:rFonts w:ascii="Cambria" w:hAnsi="Cambria" w:cs="Cambria"/>
          <w:i w:val="0"/>
          <w:iCs w:val="0"/>
          <w:color w:val="000000" w:themeColor="text1"/>
          <w:sz w:val="18"/>
          <w:szCs w:val="18"/>
        </w:rPr>
        <w:t xml:space="preserve">Simples Nacional, visto que os serviços serão prestados com disponibilização de trabalhadores em dedicação exclusiva de mão de obra, o que configura cessão de mão de obra para fins tributários, conforme art. 17, inciso XII, da Lei Complementar no 123/2006.</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apresentação das propostas implica obrigatoriedade do cumprimento das disposições nelas contidas, em conformidade com o que dispõe o Termo de Referência, assumindo o proponente o comprom</w:t>
      </w:r>
      <w:r>
        <w:rPr>
          <w:rFonts w:ascii="Cambria" w:hAnsi="Cambria" w:cs="Cambria"/>
          <w:i w:val="0"/>
          <w:iCs w:val="0"/>
          <w:color w:val="000000" w:themeColor="text1"/>
          <w:sz w:val="18"/>
          <w:szCs w:val="18"/>
        </w:rPr>
        <w:t xml:space="preserve">isso de executar o objeto licitado nos seus termos, bem como de fornecer os materiais, equipamentos, ferramentas e utensílios necessários, em quantidades e qualidades adequadas à perfeita execução contratual, promovendo, quando requerido, sua substituição.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color w:val="000000" w:themeColor="text1"/>
          <w:sz w:val="18"/>
          <w:szCs w:val="18"/>
        </w:rPr>
        <w:t xml:space="preserve">O</w:t>
      </w:r>
      <w:r>
        <w:rPr>
          <w:rFonts w:ascii="Cambria" w:hAnsi="Cambria" w:cs="Cambria"/>
          <w:i w:val="0"/>
          <w:iCs w:val="0"/>
          <w:color w:val="000000" w:themeColor="text1"/>
          <w:sz w:val="18"/>
          <w:szCs w:val="18"/>
        </w:rPr>
        <w:t xml:space="preserve"> prazo de validade da proposta não será inferior a </w:t>
      </w:r>
      <w:r>
        <w:rPr>
          <w:rFonts w:ascii="Cambria" w:hAnsi="Cambria" w:cs="Cambria"/>
          <w:b/>
          <w:bCs/>
          <w:i w:val="0"/>
          <w:iCs w:val="0"/>
          <w:color w:val="000000" w:themeColor="text1"/>
          <w:sz w:val="18"/>
          <w:szCs w:val="18"/>
        </w:rPr>
        <w:t xml:space="preserve">60 (sessenta)</w:t>
      </w:r>
      <w:r>
        <w:rPr>
          <w:rFonts w:ascii="Cambria" w:hAnsi="Cambria" w:cs="Cambria"/>
          <w:i w:val="0"/>
          <w:iCs w:val="0"/>
          <w:color w:val="000000" w:themeColor="text1"/>
          <w:sz w:val="18"/>
          <w:szCs w:val="18"/>
        </w:rPr>
        <w:t xml:space="preserve"> dias</w:t>
      </w:r>
      <w:r>
        <w:rPr>
          <w:rFonts w:ascii="Cambria" w:hAnsi="Cambria" w:cs="Cambria"/>
          <w:b/>
          <w:bCs/>
          <w:i w:val="0"/>
          <w:iCs w:val="0"/>
          <w:color w:val="000000" w:themeColor="text1"/>
          <w:sz w:val="18"/>
          <w:szCs w:val="18"/>
        </w:rPr>
        <w:t xml:space="preserve">,</w:t>
      </w:r>
      <w:r>
        <w:rPr>
          <w:rFonts w:ascii="Cambria" w:hAnsi="Cambria" w:cs="Cambria"/>
          <w:i w:val="0"/>
          <w:iCs w:val="0"/>
          <w:color w:val="000000" w:themeColor="text1"/>
          <w:sz w:val="18"/>
          <w:szCs w:val="18"/>
        </w:rPr>
        <w:t xml:space="preserve"> a contar da data de sua apresentação.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devem respeitar os preços máximos estabelecidos nas normas de regência de contratações públicas federais, quando participarem de licitações públicas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descumprimento das regras supramencionadas pela Administração por </w:t>
      </w:r>
      <w:r>
        <w:rPr>
          <w:rFonts w:ascii="Cambria" w:hAnsi="Cambria" w:cs="Cambria"/>
          <w:i w:val="0"/>
          <w:iCs w:val="0"/>
          <w:color w:val="000000" w:themeColor="text1"/>
          <w:sz w:val="18"/>
          <w:szCs w:val="18"/>
        </w:rPr>
        <w:t xml:space="preserve">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6" w:tooltip="https://www.planalto.gov.br/ccivil_03/constituicao/constituicaocompilado.htm" w:history="1">
        <w:r>
          <w:rPr>
            <w:rStyle w:val="875"/>
            <w:rFonts w:ascii="Cambria" w:hAnsi="Cambria" w:cs="Cambria"/>
            <w:i w:val="0"/>
            <w:iCs w:val="0"/>
            <w:color w:val="000000" w:themeColor="text1"/>
            <w:sz w:val="18"/>
            <w:szCs w:val="18"/>
          </w:rPr>
          <w:t xml:space="preserve">art. 71, inciso IX, da Constituição</w:t>
        </w:r>
      </w:hyperlink>
      <w:r>
        <w:rPr>
          <w:rFonts w:ascii="Cambria" w:hAnsi="Cambria" w:cs="Cambria"/>
          <w:i w:val="0"/>
          <w:iCs w:val="0"/>
          <w:color w:val="000000" w:themeColor="text1"/>
          <w:sz w:val="18"/>
          <w:szCs w:val="18"/>
        </w:rPr>
        <w:t xml:space="preserve">; ou condenação dos agentes públicos responsáveis e da empresa contratada ao pagamento dos prejuízos ao erário, caso verificada a ocorrência de superfaturamento por sobrepreço na execução do contrato.</w:t>
      </w:r>
      <w:r>
        <w:rPr>
          <w:rFonts w:ascii="Cambria" w:hAnsi="Cambria" w:cs="Cambria"/>
          <w:sz w:val="16"/>
          <w:szCs w:val="16"/>
        </w:rPr>
      </w:r>
      <w:r/>
    </w:p>
    <w:p>
      <w:pPr>
        <w:pStyle w:val="1123"/>
        <w:numPr>
          <w:ilvl w:val="0"/>
          <w:numId w:val="0"/>
        </w:numPr>
        <w:ind w:left="360"/>
        <w:spacing w:before="0" w:after="0" w:line="240" w:lineRule="auto"/>
        <w:rPr>
          <w:rFonts w:ascii="Cambria" w:hAnsi="Cambria" w:cs="Cambria"/>
          <w:i w:val="0"/>
          <w:color w:val="000000" w:themeColor="text1"/>
          <w:sz w:val="18"/>
          <w:szCs w:val="18"/>
        </w:rPr>
      </w:pPr>
      <w:r>
        <w:rPr>
          <w:rFonts w:ascii="Cambria" w:hAnsi="Cambria" w:cs="Cambria"/>
          <w:i w:val="0"/>
          <w:color w:val="000000" w:themeColor="text1"/>
          <w:sz w:val="18"/>
          <w:szCs w:val="18"/>
        </w:rPr>
      </w:r>
      <w:r>
        <w:rPr>
          <w:rFonts w:ascii="Cambria" w:hAnsi="Cambria" w:cs="Cambria"/>
          <w:sz w:val="16"/>
          <w:szCs w:val="16"/>
        </w:rPr>
      </w:r>
      <w:r/>
    </w:p>
    <w:p>
      <w:pPr>
        <w:pStyle w:val="1123"/>
        <w:numPr>
          <w:ilvl w:val="0"/>
          <w:numId w:val="2"/>
        </w:numPr>
        <w:ind w:left="992" w:right="0" w:hanging="425"/>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3" w:name="_Toc135469228"/>
      <w:r>
        <w:rPr>
          <w:rFonts w:ascii="Cambria" w:hAnsi="Cambria" w:cs="Cambria"/>
          <w:b/>
          <w:bCs/>
          <w:i w:val="0"/>
          <w:iCs w:val="0"/>
          <w:color w:val="000000" w:themeColor="text1"/>
          <w:sz w:val="18"/>
          <w:szCs w:val="18"/>
        </w:rPr>
        <w:t xml:space="preserve">DA ABERTURA DA SESSÃO, CLASSIFICAÇÃO DAS PROPOSTAS E FORMULAÇÃO DE LANCES</w:t>
      </w:r>
      <w:bookmarkEnd w:id="23"/>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4" w:name="_Hlk114646655"/>
      <w:r>
        <w:rPr>
          <w:rFonts w:ascii="Cambria" w:hAnsi="Cambria" w:cs="Cambria"/>
          <w:i w:val="0"/>
          <w:iCs w:val="0"/>
          <w:color w:val="000000" w:themeColor="text1"/>
          <w:sz w:val="18"/>
          <w:szCs w:val="18"/>
        </w:rPr>
        <w:t xml:space="preserve">A abertura da presente licitação dar-se-á automaticamente em sessão pública, por meio de sistema eletrônico, na data, horário e local indicados neste Edital.</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retirar ou substituir a proposta ou os documentos de habilitação, quando for o caso, anteriormente inseridos no sistema, até a abertura da sessão pública.</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sistema disponibilizará campo próprio para troca de mensagens entre o Pregoeiro e os licitantes.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Iniciada a etapa competitiva, os licitantes deverão encaminhar lances exclusivamente por meio de sistema eletrônico, sendo imediatamente informados do seu recebimento e do valor consignado no registro. </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lance deverá ser ofertado pelo valor unitário do item</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Os licitantes poderão oferecer lances sucessivos, observando o horário fixado para abertura da sessão e as regras estabelecidas no Edital.</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somente poderá oferecer lance de valor inferior  ao último por ele ofertado e registrado pelo sistema. </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intervalo mínimo de diferença de valores ou percentuais entre os lances, que incidirá tanto em relação aos lances intermediários quanto em relação à proposta que cobrir a melhor oferta deverá ser de R$ 0,01.</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licitante poderá, uma única vez, excluir seu último lance ofertado, no intervalo de quinze segundos após o registro no sistema, na hipótese de lance inconsistente ou inexequível.</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O procedimento seguirá de acordo com o modo de disputa adotado.</w:t>
      </w:r>
      <w:r>
        <w:rPr>
          <w:rFonts w:ascii="Cambria" w:hAnsi="Cambria" w:cs="Cambria"/>
          <w:sz w:val="16"/>
          <w:szCs w:val="16"/>
        </w:rPr>
      </w:r>
      <w:r/>
    </w:p>
    <w:p>
      <w:pPr>
        <w:pStyle w:val="1123"/>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5" w:name="_Hlk113697759"/>
      <w:r>
        <w:rPr>
          <w:rFonts w:ascii="Cambria" w:hAnsi="Cambria" w:cs="Cambria"/>
          <w:i w:val="0"/>
          <w:iCs w:val="0"/>
          <w:color w:val="000000" w:themeColor="text1"/>
          <w:sz w:val="18"/>
          <w:szCs w:val="18"/>
        </w:rPr>
        <w:t xml:space="preserve">Caso seja adotado para o envio de lances no pregão eletrônico o modo de disputa “aberto”, os licitantes apresentarão lances públicos e sucessivos, com prorrogações.</w:t>
      </w:r>
      <w:bookmarkEnd w:id="25"/>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6" w:name="_Hlk113697816"/>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23"/>
        <w:numPr>
          <w:ilvl w:val="3"/>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w:t>
      </w:r>
      <w:r>
        <w:rPr>
          <w:rFonts w:ascii="Cambria" w:hAnsi="Cambria" w:cs="Cambria"/>
          <w:i w:val="0"/>
          <w:iCs w:val="0"/>
          <w:color w:val="000000" w:themeColor="text1"/>
          <w:sz w:val="18"/>
          <w:szCs w:val="18"/>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w:t>
      </w:r>
      <w:r>
        <w:rPr>
          <w:rFonts w:ascii="Cambria" w:hAnsi="Cambria" w:cs="Cambria"/>
          <w:sz w:val="16"/>
          <w:szCs w:val="16"/>
        </w:rPr>
      </w:r>
      <w:r/>
    </w:p>
    <w:p>
      <w:pPr>
        <w:pStyle w:val="1123"/>
        <w:numPr>
          <w:ilvl w:val="3"/>
          <w:numId w:val="2"/>
        </w:numPr>
        <w:spacing w:before="0" w:after="0" w:line="240" w:lineRule="auto"/>
        <w:rPr>
          <w:rFonts w:ascii="Cambria" w:hAnsi="Cambria" w:cs="Cambria"/>
          <w:b/>
          <w:i w:val="0"/>
          <w:color w:val="000000" w:themeColor="text1"/>
          <w:sz w:val="18"/>
          <w:szCs w:val="18"/>
        </w:rPr>
      </w:pPr>
      <w:r>
        <w:rPr>
          <w:rFonts w:ascii="Cambria" w:hAnsi="Cambria" w:cs="Cambria"/>
          <w:i w:val="0"/>
          <w:iCs w:val="0"/>
          <w:color w:val="000000" w:themeColor="text1"/>
          <w:sz w:val="18"/>
          <w:szCs w:val="18"/>
        </w:rPr>
        <w:t xml:space="preserve">Após o reinício previsto no item supra, os licitantes serão convocados para apresentar lances intermediários.</w:t>
      </w:r>
      <w:bookmarkStart w:id="27" w:name="_Hlk113631522"/>
      <w:r>
        <w:rPr>
          <w:rFonts w:ascii="Cambria" w:hAnsi="Cambria" w:cs="Cambria"/>
          <w:sz w:val="16"/>
          <w:szCs w:val="16"/>
        </w:rPr>
      </w:r>
      <w:bookmarkEnd w:id="26"/>
      <w:r>
        <w:rPr>
          <w:rFonts w:ascii="Cambria" w:hAnsi="Cambria" w:cs="Cambria"/>
          <w:sz w:val="16"/>
          <w:szCs w:val="16"/>
        </w:rPr>
      </w:r>
      <w:bookmarkEnd w:id="27"/>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w:t>
      </w:r>
      <w:r>
        <w:rPr>
          <w:rFonts w:ascii="Cambria" w:hAnsi="Cambria" w:cs="Cambria"/>
          <w:i w:val="0"/>
          <w:iCs w:val="0"/>
          <w:color w:val="000000" w:themeColor="text1"/>
          <w:sz w:val="18"/>
          <w:szCs w:val="18"/>
        </w:rPr>
        <w:t xml:space="preserve">o inicial de quinze minutos. Após esse prazo, o sistema encaminhará aviso de fechamento iminente dos lances, após o que transcorrerá o período de até dez minutos, aleatoriamente determinado, findo o qual será automaticamente encerrada a recepção de lances.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Encerrado o prazo previsto no subitem anterior, o sis</w:t>
      </w:r>
      <w:r>
        <w:rPr>
          <w:rFonts w:ascii="Cambria" w:hAnsi="Cambria" w:cs="Cambria"/>
          <w:i w:val="0"/>
          <w:iCs w:val="0"/>
          <w:color w:val="000000" w:themeColor="text1"/>
          <w:sz w:val="18"/>
          <w:szCs w:val="18"/>
        </w:rPr>
        <w:t xml:space="preserve">tema abrirá oportunidade para que o autor da oferta de valor mais baixo e os das ofertas com preços até 10% (dez por cento) superiores àquela possam ofertar um lance final e fechado em até cinco minutos, o qual será sigiloso até o encerramento deste prazo.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procedimento de que trata o subitem supra, o licitante poderá optar por manter o seu último lance da etapa aberta, ou por ofertar melhor lance.</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trê</w:t>
      </w:r>
      <w:r>
        <w:rPr>
          <w:rFonts w:ascii="Cambria" w:hAnsi="Cambria" w:cs="Cambria"/>
          <w:i w:val="0"/>
          <w:iCs w:val="0"/>
          <w:color w:val="000000" w:themeColor="text1"/>
          <w:sz w:val="18"/>
          <w:szCs w:val="18"/>
        </w:rPr>
        <w:t xml:space="preserve">s ofertas nas condições definidas neste item, poderão os autores dos melhores lances subsequentes, na ordem de classificação, até o máximo de três, oferecer um lance final e fechado em até cinco minutos, o qual será sigiloso até o encerramento deste prazo.</w:t>
      </w:r>
      <w:r>
        <w:rPr>
          <w:rFonts w:ascii="Cambria" w:hAnsi="Cambria" w:cs="Cambria"/>
          <w:sz w:val="16"/>
          <w:szCs w:val="16"/>
        </w:rPr>
      </w:r>
      <w:r/>
    </w:p>
    <w:p>
      <w:pPr>
        <w:pStyle w:val="1123"/>
        <w:numPr>
          <w:ilvl w:val="2"/>
          <w:numId w:val="2"/>
        </w:numPr>
        <w:spacing w:before="0" w:after="0" w:line="240" w:lineRule="auto"/>
        <w:rPr>
          <w:rFonts w:ascii="Cambria" w:hAnsi="Cambria" w:cs="Cambria"/>
          <w:b/>
          <w:i w:val="0"/>
          <w:color w:val="000000" w:themeColor="text1"/>
          <w:sz w:val="18"/>
          <w:szCs w:val="18"/>
        </w:rPr>
      </w:pPr>
      <w:r>
        <w:rPr>
          <w:rFonts w:ascii="Cambria" w:hAnsi="Cambria" w:cs="Cambria"/>
          <w:sz w:val="16"/>
          <w:szCs w:val="16"/>
        </w:rPr>
      </w:r>
      <w:bookmarkStart w:id="28" w:name="_Hlk113698144"/>
      <w:r>
        <w:rPr>
          <w:rFonts w:ascii="Cambria" w:hAnsi="Cambria" w:cs="Cambria"/>
          <w:i w:val="0"/>
          <w:iCs w:val="0"/>
          <w:color w:val="000000" w:themeColor="text1"/>
          <w:sz w:val="18"/>
          <w:szCs w:val="18"/>
        </w:rPr>
        <w:t xml:space="preserve">Após o término dos prazos estabelecidos nos itens anteriores, o sistema ordenará e divulgará os lances segundo a ordem crescente de valores.</w:t>
      </w:r>
      <w:bookmarkEnd w:id="28"/>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pelo menos 3 (três) propostas nas condições definidas no item 6.2.16, poderão os licitantes que apresentaram as três melhores propostas, consideradas as empatadas, oferecer novos lances sucessivos.</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etapa de lances da sessão pública terá duração de dez minutos e, após isso, será prorrogada automaticamente pelo sistema quando houver lance ofertado nos últimos dois minutos do período de duração da sessão pública.</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prorrogação automática da etapa de lances, de que trata o subitem anterior, será de dois minutos e ocorrerá sucessivamente sempre que houver lances enviados nesse período de prorrogação, inclusive no caso de lances intermediários.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havendo novos lances na forma estabelecida nos itens anteriores, a sessão pública encerrar-se-á automaticamente, e o sistema ordenará e divulgará os lances conforme a ordem final de classificação.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Definida a melhor proposta, se a diferença em relação à proposta classificada em segundo lugar for de pelo menos 5% (cinco por cento), o pregoeiro, auxiliado pela </w:t>
      </w:r>
      <w:r>
        <w:rPr>
          <w:rFonts w:ascii="Cambria" w:hAnsi="Cambria" w:cs="Cambria"/>
          <w:i w:val="0"/>
          <w:iCs w:val="0"/>
          <w:color w:val="000000" w:themeColor="text1"/>
          <w:sz w:val="18"/>
          <w:szCs w:val="18"/>
        </w:rPr>
        <w:t xml:space="preserve">equipe de apoio, poderá admitir o reinício da disputa aberta, para a definição das demais colocações.</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reinício previsto no subitem supra, os licitantes serão convocados para apresentar lances intermediários.  </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Após o término dos prazos estabelecidos nos subitens anteriores, o sistema ordenará e divulgará os lances segundo a ordem crescente de valores.</w:t>
      </w:r>
      <w:r>
        <w:rPr>
          <w:rFonts w:ascii="Cambria" w:hAnsi="Cambria" w:cs="Cambria"/>
          <w:sz w:val="16"/>
          <w:szCs w:val="16"/>
        </w:rPr>
      </w:r>
      <w:r/>
    </w:p>
    <w:p>
      <w:pPr>
        <w:pStyle w:val="1123"/>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Não serão aceitos dois ou mais lances de mesmo valor, prevalecendo aquele que for recebido e registrado em primeiro lugar. </w:t>
      </w:r>
      <w:r>
        <w:rPr>
          <w:rFonts w:ascii="Cambria" w:hAnsi="Cambria" w:cs="Cambria"/>
          <w:sz w:val="16"/>
          <w:szCs w:val="16"/>
        </w:rPr>
      </w:r>
      <w:r/>
    </w:p>
    <w:p>
      <w:pPr>
        <w:pStyle w:val="1123"/>
        <w:numPr>
          <w:ilvl w:val="4"/>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Durante o transcurso da sessão pública, os licitantes serão informados, em tempo real, do valor do menor lance registrado, vedada a identificação do licitante. </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desconexão com o Pregoeiro, no decorrer da etapa competitiva do Pregão, o sistema eletrônico poderá permanecer acessível aos licitantes para a recepção dos lances. </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Quando a desconexão do sistema eletrôni</w:t>
      </w:r>
      <w:r>
        <w:rPr>
          <w:rFonts w:ascii="Cambria" w:hAnsi="Cambria" w:cs="Cambria"/>
          <w:i w:val="0"/>
          <w:iCs w:val="0"/>
          <w:color w:val="000000" w:themeColor="text1"/>
          <w:sz w:val="18"/>
          <w:szCs w:val="18"/>
        </w:rPr>
        <w:t xml:space="preserve">co para o pregoeiro persistir por tempo superior a dez minutos, a sessão pública será suspensa e reiniciada somente após decorridas vinte e quatro horas da comunicação do fato pelo Pregoeiro aos participantes, no sítio eletrônico utilizado para divulgação.</w:t>
      </w:r>
      <w:r>
        <w:rPr>
          <w:rFonts w:ascii="Cambria" w:hAnsi="Cambria" w:cs="Cambria"/>
          <w:sz w:val="16"/>
          <w:szCs w:val="16"/>
        </w:rPr>
      </w:r>
      <w:r/>
    </w:p>
    <w:p>
      <w:pPr>
        <w:pStyle w:val="1123"/>
        <w:numPr>
          <w:ilvl w:val="2"/>
          <w:numId w:val="2"/>
        </w:numPr>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o licitante não apresente lances, concorrerá com o valor de sua proposta.</w:t>
      </w:r>
      <w:r>
        <w:rPr>
          <w:rFonts w:ascii="Cambria" w:hAnsi="Cambria" w:cs="Cambria"/>
          <w:sz w:val="16"/>
          <w:szCs w:val="16"/>
        </w:rPr>
      </w:r>
      <w:r/>
    </w:p>
    <w:p>
      <w:pPr>
        <w:pStyle w:val="1123"/>
        <w:numPr>
          <w:ilvl w:val="2"/>
          <w:numId w:val="2"/>
        </w:numPr>
        <w:spacing w:before="0" w:after="0" w:line="240" w:lineRule="auto"/>
        <w:rPr>
          <w:rStyle w:val="875"/>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Em relação a itens não exclusivos para participação de microempresas e empresas de pequeno porte, uma vez encerrada a etapa de lances</w:t>
      </w:r>
      <w:r>
        <w:rPr>
          <w:rFonts w:ascii="Cambria" w:hAnsi="Cambria" w:eastAsia="Zurich BT" w:cs="Cambria"/>
          <w:i w:val="0"/>
          <w:iCs w:val="0"/>
          <w:color w:val="000000" w:themeColor="text1"/>
          <w:sz w:val="18"/>
          <w:szCs w:val="18"/>
        </w:rPr>
        <w:t xml:space="preserve">, será efetivada a verificação automática, junto à Receita Federal, do porte da entidade empresarial. O sistema identificará em coluna própria as microempresas e empresas de pequeno porte </w:t>
      </w:r>
      <w:r>
        <w:rPr>
          <w:rFonts w:ascii="Cambria" w:hAnsi="Cambria" w:cs="Cambria"/>
          <w:i w:val="0"/>
          <w:iCs w:val="0"/>
          <w:color w:val="000000" w:themeColor="text1"/>
          <w:sz w:val="18"/>
          <w:szCs w:val="18"/>
        </w:rPr>
        <w:t xml:space="preserve">participantes</w:t>
      </w:r>
      <w:r>
        <w:rPr>
          <w:rFonts w:ascii="Cambria" w:hAnsi="Cambria" w:eastAsia="Zurich BT" w:cs="Cambria"/>
          <w:i w:val="0"/>
          <w:iCs w:val="0"/>
          <w:color w:val="000000" w:themeColor="text1"/>
          <w:sz w:val="18"/>
          <w:szCs w:val="18"/>
        </w:rPr>
        <w:t xml:space="preserve">, procedendo à comparação com os valores da primeira colocada, se esta for empresa de maior porte, assim como das demais classificadas, para o fim de aplicar-se o disposto nos </w:t>
      </w:r>
      <w:hyperlink r:id="rId27" w:tooltip="https://www.planalto.gov.br/ccivil_03/leis/lcp/lcp123.htm#art44" w:anchor="art44" w:history="1">
        <w:r>
          <w:rPr>
            <w:rStyle w:val="875"/>
            <w:rFonts w:ascii="Cambria" w:hAnsi="Cambria" w:eastAsia="Zurich BT" w:cs="Cambria"/>
            <w:i w:val="0"/>
            <w:iCs w:val="0"/>
            <w:color w:val="000000" w:themeColor="text1"/>
            <w:sz w:val="18"/>
            <w:szCs w:val="18"/>
          </w:rPr>
          <w:t xml:space="preserve">arts. 44 e 45 da Lei Complementar nº 123, de 2006</w:t>
        </w:r>
      </w:hyperlink>
      <w:r>
        <w:rPr>
          <w:rStyle w:val="875"/>
          <w:rFonts w:ascii="Cambria" w:hAnsi="Cambria" w:eastAsia="Zurich BT" w:cs="Cambria"/>
          <w:i w:val="0"/>
          <w:iCs w:val="0"/>
          <w:color w:val="000000" w:themeColor="text1"/>
          <w:sz w:val="18"/>
          <w:szCs w:val="18"/>
        </w:rPr>
        <w:t xml:space="preserve">.</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Nessas condições, as propostas de </w:t>
      </w:r>
      <w:r>
        <w:rPr>
          <w:rFonts w:ascii="Cambria" w:hAnsi="Cambria" w:eastAsia="Zurich BT" w:cs="Cambria"/>
          <w:i w:val="0"/>
          <w:iCs w:val="0"/>
          <w:color w:val="000000" w:themeColor="text1"/>
          <w:sz w:val="18"/>
          <w:szCs w:val="18"/>
        </w:rPr>
        <w:t xml:space="preserve">microempresas e empresas de pequeno porte </w:t>
      </w:r>
      <w:r>
        <w:rPr>
          <w:rFonts w:ascii="Cambria" w:hAnsi="Cambria" w:cs="Cambria"/>
          <w:i w:val="0"/>
          <w:iCs w:val="0"/>
          <w:color w:val="000000" w:themeColor="text1"/>
          <w:sz w:val="18"/>
          <w:szCs w:val="18"/>
        </w:rPr>
        <w:t xml:space="preserve">que se encontrarem na faixa de até 5% (cinco por cento) acima da melhor proposta ou melhor lance serão consideradas empatadas com a primeira colocada.</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 melhor classificada nos </w:t>
      </w:r>
      <w:r>
        <w:rPr>
          <w:rFonts w:ascii="Cambria" w:hAnsi="Cambria" w:cs="Cambria"/>
          <w:i w:val="0"/>
          <w:iCs w:val="0"/>
          <w:color w:val="000000" w:themeColor="text1"/>
          <w:sz w:val="18"/>
          <w:szCs w:val="18"/>
        </w:rPr>
        <w:t xml:space="preserve">termos do subitem anterior terá o direito de encaminhar uma última oferta para desempate, obrigatoriamente em valor inferior ao da primeira colocada, no prazo de 5 (cinco) minutos controlados pelo sistema, contados após a comunicação automática para tanto.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Caso a </w:t>
      </w:r>
      <w:r>
        <w:rPr>
          <w:rFonts w:ascii="Cambria" w:hAnsi="Cambria" w:eastAsia="Zurich BT" w:cs="Cambria"/>
          <w:i w:val="0"/>
          <w:iCs w:val="0"/>
          <w:color w:val="000000" w:themeColor="text1"/>
          <w:sz w:val="18"/>
          <w:szCs w:val="18"/>
        </w:rPr>
        <w:t xml:space="preserve">microempresa ou a empresa de pequeno porte</w:t>
      </w:r>
      <w:r>
        <w:rPr>
          <w:rFonts w:ascii="Cambria" w:hAnsi="Cambria" w:cs="Cambria"/>
          <w:i w:val="0"/>
          <w:iCs w:val="0"/>
          <w:color w:val="000000" w:themeColor="text1"/>
          <w:sz w:val="18"/>
          <w:szCs w:val="18"/>
        </w:rPr>
        <w:t xml:space="preserve"> melhor classificada desista ou não se manifeste no prazo estabelecido, serão convocadas as demais licitantes </w:t>
      </w:r>
      <w:r>
        <w:rPr>
          <w:rFonts w:ascii="Cambria" w:hAnsi="Cambria" w:eastAsia="Zurich BT" w:cs="Cambria"/>
          <w:i w:val="0"/>
          <w:iCs w:val="0"/>
          <w:color w:val="000000" w:themeColor="text1"/>
          <w:sz w:val="18"/>
          <w:szCs w:val="18"/>
        </w:rPr>
        <w:t xml:space="preserve">microempresa e empresa de pequeno porte</w:t>
      </w:r>
      <w:r>
        <w:rPr>
          <w:rFonts w:ascii="Cambria" w:hAnsi="Cambria" w:cs="Cambria"/>
          <w:i w:val="0"/>
          <w:iCs w:val="0"/>
          <w:color w:val="000000" w:themeColor="text1"/>
          <w:sz w:val="18"/>
          <w:szCs w:val="18"/>
        </w:rPr>
        <w:t xml:space="preserve"> que se encontrem naquele intervalo de 5% (cinco por cento), na ordem de classificação, para o exercício do mesmo direito, no prazo estabelecido no subitem anterior.</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No caso de equivalênci</w:t>
      </w:r>
      <w:r>
        <w:rPr>
          <w:rFonts w:ascii="Cambria" w:hAnsi="Cambria" w:cs="Cambria"/>
          <w:i w:val="0"/>
          <w:iCs w:val="0"/>
          <w:color w:val="000000" w:themeColor="text1"/>
          <w:sz w:val="18"/>
          <w:szCs w:val="18"/>
        </w:rPr>
        <w:t xml:space="preserve">a dos valores apresentados pelas microempresas e empresas de pequeno porte que se encontrem nos intervalos estabelecidos nos subitens anteriores, será realizado sorteio entre elas para que se identifique aquela que primeiro poderá apresentar melhor oferta.</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Só poderá haver empate entre propostas iguais (não seguidas de lances), ou entre lances finais da fase fechada do modo de disputa aberto e fechado. </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Havendo eventual empate entre propostas ou lances, o critério de desempate será aquele previsto no </w:t>
      </w:r>
      <w:hyperlink r:id="rId28" w:tooltip="http://www.planalto.gov.br/ccivil_03/_ato2019-2022/2021/lei/L14133.htm#art60" w:anchor="art60" w:history="1">
        <w:r>
          <w:rPr>
            <w:rStyle w:val="875"/>
            <w:rFonts w:ascii="Cambria" w:hAnsi="Cambria" w:eastAsia="Arial" w:cs="Cambria"/>
            <w:i w:val="0"/>
            <w:iCs w:val="0"/>
            <w:color w:val="000000" w:themeColor="text1"/>
            <w:sz w:val="18"/>
            <w:szCs w:val="18"/>
          </w:rPr>
          <w:t xml:space="preserve">art</w:t>
        </w:r>
        <w:r>
          <w:rPr>
            <w:rStyle w:val="875"/>
            <w:rFonts w:ascii="Cambria" w:hAnsi="Cambria" w:cs="Cambria"/>
            <w:i w:val="0"/>
            <w:iCs w:val="0"/>
            <w:color w:val="000000" w:themeColor="text1"/>
            <w:sz w:val="18"/>
            <w:szCs w:val="18"/>
          </w:rPr>
          <w:t xml:space="preserve">. 60 da Lei nº 14.133, de 2021</w:t>
        </w:r>
      </w:hyperlink>
      <w:r>
        <w:rPr>
          <w:rFonts w:ascii="Cambria" w:hAnsi="Cambria" w:cs="Cambria"/>
          <w:i w:val="0"/>
          <w:iCs w:val="0"/>
          <w:color w:val="000000" w:themeColor="text1"/>
          <w:sz w:val="18"/>
          <w:szCs w:val="18"/>
        </w:rPr>
        <w:t xml:space="preserve">, nesta ordem:</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disputa final, hipótese em que os licitantes empatados poderão apresentar nova proposta em ato contínuo à classificação;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avaliação do desempenho contratual prévio dos licitantes, para a qual deverão preferencialmente ser utilizados registros cadastrais para efeito de atesto de cumprimento de obrigações previstos nesta Lei;</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ações de equidade entre homens e mulheres no ambiente de trabalho, conforme regulamento;</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desenvolvimento pelo licitante de programa de integridade, conforme orientações dos órgãos de controle.</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i w:val="0"/>
          <w:iCs w:val="0"/>
          <w:color w:val="000000" w:themeColor="text1"/>
          <w:sz w:val="18"/>
          <w:szCs w:val="18"/>
        </w:rPr>
        <w:t xml:space="preserve">Persistindo o empate, será assegurada preferência, sucessivamente, aos bens e serviços produzidos ou prestados por:</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29" w:name="art60§1i"/>
      <w:r>
        <w:rPr>
          <w:rFonts w:ascii="Cambria" w:hAnsi="Cambria" w:cs="Cambria"/>
          <w:sz w:val="16"/>
          <w:szCs w:val="16"/>
        </w:rPr>
      </w:r>
      <w:bookmarkEnd w:id="29"/>
      <w:r>
        <w:rPr>
          <w:rFonts w:ascii="Cambria" w:hAnsi="Cambria" w:cs="Cambria"/>
          <w:i w:val="0"/>
          <w:iCs w:val="0"/>
          <w:color w:val="000000" w:themeColor="text1"/>
          <w:sz w:val="18"/>
          <w:szCs w:val="18"/>
        </w:rPr>
        <w:t xml:space="preserve">empresas es</w:t>
      </w:r>
      <w:r>
        <w:rPr>
          <w:rFonts w:ascii="Cambria" w:hAnsi="Cambria" w:cs="Cambria"/>
          <w:i w:val="0"/>
          <w:iCs w:val="0"/>
          <w:color w:val="000000" w:themeColor="text1"/>
          <w:sz w:val="18"/>
          <w:szCs w:val="18"/>
        </w:rPr>
        <w:t xml:space="preserve">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0" w:name="art60§1ii"/>
      <w:r>
        <w:rPr>
          <w:rFonts w:ascii="Cambria" w:hAnsi="Cambria" w:cs="Cambria"/>
          <w:sz w:val="16"/>
          <w:szCs w:val="16"/>
        </w:rPr>
      </w:r>
      <w:bookmarkEnd w:id="30"/>
      <w:r>
        <w:rPr>
          <w:rFonts w:ascii="Cambria" w:hAnsi="Cambria" w:cs="Cambria"/>
          <w:i w:val="0"/>
          <w:iCs w:val="0"/>
          <w:color w:val="000000" w:themeColor="text1"/>
          <w:sz w:val="18"/>
          <w:szCs w:val="18"/>
        </w:rPr>
        <w:t xml:space="preserve">empresas brasileiras;</w:t>
      </w:r>
      <w:r>
        <w:rPr>
          <w:rFonts w:ascii="Cambria" w:hAnsi="Cambria" w:cs="Cambria"/>
          <w:sz w:val="16"/>
          <w:szCs w:val="16"/>
        </w:rPr>
      </w:r>
      <w:r/>
    </w:p>
    <w:p>
      <w:pPr>
        <w:pStyle w:val="1123"/>
        <w:ind w:left="999" w:hanging="432"/>
        <w:spacing w:before="0" w:after="0" w:line="240" w:lineRule="auto"/>
        <w:rPr>
          <w:rFonts w:ascii="Cambria" w:hAnsi="Cambria" w:cs="Cambria"/>
          <w:i w:val="0"/>
          <w:color w:val="000000" w:themeColor="text1"/>
          <w:sz w:val="18"/>
          <w:szCs w:val="18"/>
        </w:rPr>
      </w:pPr>
      <w:r>
        <w:rPr>
          <w:rFonts w:ascii="Cambria" w:hAnsi="Cambria" w:cs="Cambria"/>
          <w:sz w:val="16"/>
          <w:szCs w:val="16"/>
        </w:rPr>
      </w:r>
      <w:bookmarkStart w:id="31" w:name="art60§1iii"/>
      <w:r>
        <w:rPr>
          <w:rFonts w:ascii="Cambria" w:hAnsi="Cambria" w:cs="Cambria"/>
          <w:sz w:val="16"/>
          <w:szCs w:val="16"/>
        </w:rPr>
      </w:r>
      <w:bookmarkEnd w:id="31"/>
      <w:r>
        <w:rPr>
          <w:rFonts w:ascii="Cambria" w:hAnsi="Cambria" w:cs="Cambria"/>
          <w:i w:val="0"/>
          <w:iCs w:val="0"/>
          <w:color w:val="000000" w:themeColor="text1"/>
          <w:sz w:val="18"/>
          <w:szCs w:val="18"/>
        </w:rPr>
        <w:t xml:space="preserve">empresas que invistam em pesquisa e no desenvolvimento de tecnologia no País;</w:t>
      </w:r>
      <w:r>
        <w:rPr>
          <w:rFonts w:ascii="Cambria" w:hAnsi="Cambria" w:cs="Cambria"/>
          <w:sz w:val="16"/>
          <w:szCs w:val="16"/>
        </w:rPr>
      </w:r>
      <w:r/>
    </w:p>
    <w:p>
      <w:pPr>
        <w:pStyle w:val="1123"/>
        <w:ind w:left="999" w:hanging="432"/>
        <w:spacing w:before="0" w:after="0" w:line="240" w:lineRule="auto"/>
        <w:rPr>
          <w:rFonts w:ascii="Cambria" w:hAnsi="Cambria" w:cs="Cambria"/>
          <w:bCs w:val="0"/>
          <w:i w:val="0"/>
          <w:color w:val="000000" w:themeColor="text1"/>
          <w:sz w:val="18"/>
          <w:szCs w:val="18"/>
        </w:rPr>
      </w:pPr>
      <w:r>
        <w:rPr>
          <w:rFonts w:ascii="Cambria" w:hAnsi="Cambria" w:cs="Cambria"/>
          <w:sz w:val="16"/>
          <w:szCs w:val="16"/>
        </w:rPr>
      </w:r>
      <w:bookmarkStart w:id="32" w:name="art60§1iv"/>
      <w:r>
        <w:rPr>
          <w:rFonts w:ascii="Cambria" w:hAnsi="Cambria" w:cs="Cambria"/>
          <w:sz w:val="16"/>
          <w:szCs w:val="16"/>
        </w:rPr>
      </w:r>
      <w:bookmarkEnd w:id="32"/>
      <w:r>
        <w:rPr>
          <w:rFonts w:ascii="Cambria" w:hAnsi="Cambria" w:cs="Cambria"/>
          <w:i w:val="0"/>
          <w:iCs w:val="0"/>
          <w:color w:val="000000" w:themeColor="text1"/>
          <w:sz w:val="18"/>
          <w:szCs w:val="18"/>
        </w:rPr>
        <w:t xml:space="preserve">empresas que comprovem a prática de mitigação, nos termos da </w:t>
      </w:r>
      <w:hyperlink r:id="rId29" w:tooltip="https://www.planalto.gov.br/ccivil_03/_ato2007-2010/2009/lei/l12187.htm#:~:text=LEI%20N%C2%BA%2012.187%2C%20DE%2029%20DE%20DEZEMBRO%20DE%202009.&amp;text=Institui%20a%20Pol%C3%ADtica%20Nacional%20sobre,PNMC%20e%20d%C3%A1%20outras%20provid%C3%AAncias." w:anchor=":~:text=LEI%20N%C2%BA%2012.187%2C%20DE%2029%20DE%20DEZEMBRO%20DE%202009.&amp;text=Institui%20a%20Pol%C3%ADtica%20Nacional%20sobre,PNMC%20e%20d%C3%A1%20outras%20provid%C3%AAncias." w:history="1">
        <w:r>
          <w:rPr>
            <w:rStyle w:val="875"/>
            <w:rFonts w:ascii="Cambria" w:hAnsi="Cambria" w:cs="Cambria"/>
            <w:i w:val="0"/>
            <w:iCs w:val="0"/>
            <w:color w:val="000000" w:themeColor="text1"/>
            <w:sz w:val="18"/>
            <w:szCs w:val="18"/>
          </w:rPr>
          <w:t xml:space="preserve">Lei nº 12.187, de 29 de dezembro de 2009</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Encerrada a etapa de envio</w:t>
      </w:r>
      <w:r>
        <w:rPr>
          <w:rFonts w:ascii="Cambria" w:hAnsi="Cambria" w:cs="Cambria"/>
          <w:i w:val="0"/>
          <w:iCs w:val="0"/>
          <w:color w:val="000000" w:themeColor="text1"/>
          <w:sz w:val="18"/>
          <w:szCs w:val="18"/>
        </w:rPr>
        <w:t xml:space="preserve"> de lances da sessão pública, na hipótese da proposta do primeiro colocado permanecer acima do preço máximo ou inferior ao desconto definido para a contratação, o pregoeiro poderá negociar condições mais vantajosas, após definido o resultado do julgamento.</w:t>
      </w:r>
      <w:r>
        <w:rPr>
          <w:rFonts w:ascii="Cambria" w:hAnsi="Cambria" w:cs="Cambria"/>
          <w:sz w:val="16"/>
          <w:szCs w:val="16"/>
        </w:rPr>
      </w:r>
      <w:r/>
    </w:p>
    <w:p>
      <w:pPr>
        <w:pStyle w:val="1123"/>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negociação poderá</w:t>
      </w:r>
      <w:r>
        <w:rPr>
          <w:rFonts w:ascii="Cambria" w:hAnsi="Cambria" w:cs="Cambria"/>
          <w:i w:val="0"/>
          <w:iCs w:val="0"/>
          <w:color w:val="000000" w:themeColor="text1"/>
          <w:sz w:val="18"/>
          <w:szCs w:val="18"/>
        </w:rPr>
        <w:t xml:space="preserve"> ser feita com os demais licitantes, segundo a ordem de classificação inicialmente estabelecida, quando o primeiro colocado, mesmo após a negociação, for desclassificado em razão de sua proposta permanecer acima do preço máximo definido pela Administração.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eastAsia="Times New Roman"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negociação será realizada por meio do sistema, podendo ser acompanhada pelos demais licitantes.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resultado da negociação será divulgado a todos os licitantes e anexado aos autos do processo licitatório.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pregoeiro solicitará ao licitante mais bem classificado que, no prazo de </w:t>
      </w:r>
      <w:r>
        <w:rPr>
          <w:rFonts w:ascii="Cambria" w:hAnsi="Cambria" w:cs="Cambria"/>
          <w:i w:val="0"/>
          <w:iCs w:val="0"/>
          <w:color w:val="000000" w:themeColor="text1"/>
          <w:sz w:val="18"/>
          <w:szCs w:val="18"/>
        </w:rPr>
        <w:t xml:space="preserve">2 (duas) horas,</w:t>
      </w:r>
      <w:r>
        <w:rPr>
          <w:rFonts w:ascii="Cambria" w:hAnsi="Cambria" w:cs="Cambria"/>
          <w:i w:val="0"/>
          <w:iCs w:val="0"/>
          <w:color w:val="000000" w:themeColor="text1"/>
          <w:sz w:val="18"/>
          <w:szCs w:val="18"/>
        </w:rPr>
        <w:t xml:space="preserve"> envie a proposta adequada ao último lance ofertado após a negociação realizada, acompanhada, se for o caso, dos documentos complementares, quando necessários à confirmação daqueles exigidos neste Edital e já apresentados.</w:t>
      </w:r>
      <w:bookmarkStart w:id="33" w:name="_Hlk117016948"/>
      <w:r>
        <w:rPr>
          <w:rFonts w:ascii="Cambria" w:hAnsi="Cambria" w:cs="Cambria"/>
          <w:i w:val="0"/>
          <w:iCs w:val="0"/>
          <w:color w:val="000000" w:themeColor="text1"/>
          <w:sz w:val="16"/>
          <w:szCs w:val="16"/>
        </w:rPr>
      </w:r>
      <w:bookmarkEnd w:id="33"/>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É facultado ao pregoeiro prorrogar o prazo estabelecido, a partir de solicitação fundamentada feita no chat pelo licitante, antes de findo o prazo.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Após a negociação do preço, o Pregoeiro iniciará a fase de aceitação e julgamento da proposta.</w:t>
      </w:r>
      <w:bookmarkEnd w:id="24"/>
      <w:r>
        <w:rPr>
          <w:rFonts w:ascii="Cambria" w:hAnsi="Cambria" w:cs="Cambria"/>
          <w:sz w:val="16"/>
          <w:szCs w:val="16"/>
        </w:rPr>
      </w:r>
      <w:r/>
    </w:p>
    <w:p>
      <w:pPr>
        <w:pStyle w:val="1123"/>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34" w:name="_Toc135469229"/>
      <w:r>
        <w:rPr>
          <w:rFonts w:ascii="Cambria" w:hAnsi="Cambria" w:cs="Cambria"/>
          <w:b/>
          <w:bCs/>
          <w:i w:val="0"/>
          <w:iCs w:val="0"/>
          <w:color w:val="000000" w:themeColor="text1"/>
          <w:sz w:val="18"/>
          <w:szCs w:val="18"/>
        </w:rPr>
        <w:t xml:space="preserve">DA FASE DE JULGAMENTO</w:t>
      </w:r>
      <w:bookmarkEnd w:id="34"/>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6"/>
          <w:szCs w:val="16"/>
        </w:rPr>
      </w:r>
      <w:bookmarkStart w:id="35" w:name="_Ref117019424"/>
      <w:r>
        <w:rPr>
          <w:rFonts w:ascii="Cambria" w:hAnsi="Cambria" w:cs="Cambria"/>
          <w:i w:val="0"/>
          <w:iCs w:val="0"/>
          <w:color w:val="000000" w:themeColor="text1"/>
          <w:sz w:val="18"/>
          <w:szCs w:val="18"/>
        </w:rPr>
        <w:t xml:space="preserve">Encerrada a etapa de negociação, o pregoeiro verificará se o licitante provisoriamente classificado em primeiro lugar atende às condições de participação no certame, conforme previsto no </w:t>
      </w:r>
      <w:hyperlink r:id="rId30" w:tooltip="http://www.planalto.gov.br/ccivil_03/_ato2019-2022/2021/lei/L14133.htm#art14" w:anchor="art14" w:history="1">
        <w:r>
          <w:rPr>
            <w:rStyle w:val="875"/>
            <w:rFonts w:ascii="Cambria" w:hAnsi="Cambria" w:cs="Cambria"/>
            <w:i w:val="0"/>
            <w:iCs w:val="0"/>
            <w:color w:val="000000" w:themeColor="text1"/>
            <w:sz w:val="18"/>
            <w:szCs w:val="18"/>
          </w:rPr>
          <w:t xml:space="preserve">art. 14 da Lei nº 14.133/2021</w:t>
        </w:r>
      </w:hyperlink>
      <w:r>
        <w:rPr>
          <w:rFonts w:ascii="Cambria" w:hAnsi="Cambria" w:cs="Cambria"/>
          <w:i w:val="0"/>
          <w:iCs w:val="0"/>
          <w:color w:val="000000" w:themeColor="text1"/>
          <w:sz w:val="18"/>
          <w:szCs w:val="18"/>
        </w:rPr>
        <w:t xml:space="preserve">, legislação correlata e no item 3.6 do edital, </w:t>
      </w:r>
      <w:bookmarkEnd w:id="35"/>
      <w:r>
        <w:rPr>
          <w:rFonts w:ascii="Cambria" w:hAnsi="Cambria" w:cs="Cambria"/>
          <w:i w:val="0"/>
          <w:iCs w:val="0"/>
          <w:color w:val="000000" w:themeColor="text1"/>
          <w:sz w:val="18"/>
          <w:szCs w:val="18"/>
          <w:lang w:eastAsia="ar-SA"/>
        </w:rPr>
        <w:t xml:space="preserve">especialmente quanto à existência de sanção que impeça a participação no certame ou a futura contratação,</w:t>
      </w:r>
      <w:r>
        <w:rPr>
          <w:rFonts w:ascii="Cambria" w:hAnsi="Cambria" w:cs="Cambria"/>
          <w:i w:val="0"/>
          <w:iCs w:val="0"/>
          <w:color w:val="000000" w:themeColor="text1"/>
          <w:sz w:val="18"/>
          <w:szCs w:val="18"/>
          <w:lang w:eastAsia="ar-SA"/>
        </w:rPr>
        <w:t xml:space="preserve"> mediante a consulta aos seguintes cadastros: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Inidôneas e Suspensas - CEIS, mantido pela Controladoria-Geral da União (</w:t>
      </w:r>
      <w:hyperlink r:id="rId31" w:tooltip="https://www.portaltransparencia.gov.br/sancoes/ceis" w:history="1">
        <w:r>
          <w:rPr>
            <w:rStyle w:val="875"/>
            <w:rFonts w:ascii="Cambria" w:hAnsi="Cambria" w:cs="Cambria"/>
            <w:i w:val="0"/>
            <w:iCs w:val="0"/>
            <w:color w:val="000000" w:themeColor="text1"/>
            <w:sz w:val="18"/>
            <w:szCs w:val="18"/>
            <w:lang w:eastAsia="ar-SA"/>
          </w:rPr>
          <w:t xml:space="preserve">https://www.portaltransparencia.gov.br/sancoes/ceis</w:t>
        </w:r>
      </w:hyperlink>
      <w:r>
        <w:rPr>
          <w:rFonts w:ascii="Cambria" w:hAnsi="Cambria" w:cs="Cambria"/>
          <w:i w:val="0"/>
          <w:iCs w:val="0"/>
          <w:color w:val="000000" w:themeColor="text1"/>
          <w:sz w:val="18"/>
          <w:szCs w:val="18"/>
          <w:lang w:eastAsia="ar-SA"/>
        </w:rPr>
        <w:t xml:space="preserve">); e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lang w:eastAsia="ar-SA"/>
        </w:rPr>
        <w:t xml:space="preserve">Cadastro Nacional de Empresas Punidas – CNEP, mantido pela Controladoria-Geral da União (</w:t>
      </w:r>
      <w:hyperlink r:id="rId32" w:tooltip="https://www.portaltransparencia.gov.br/sancoes/cnep" w:history="1">
        <w:r>
          <w:rPr>
            <w:rStyle w:val="875"/>
            <w:rFonts w:ascii="Cambria" w:hAnsi="Cambria" w:cs="Cambria"/>
            <w:i w:val="0"/>
            <w:iCs w:val="0"/>
            <w:color w:val="000000" w:themeColor="text1"/>
            <w:sz w:val="18"/>
            <w:szCs w:val="18"/>
            <w:lang w:eastAsia="ar-SA"/>
          </w:rPr>
          <w:t xml:space="preserve">https://www.portaltransparencia.gov.br/sancoes/cnep</w:t>
        </w:r>
      </w:hyperlink>
      <w:r>
        <w:rPr>
          <w:rFonts w:ascii="Cambria" w:hAnsi="Cambria" w:cs="Cambria"/>
          <w:i w:val="0"/>
          <w:iCs w:val="0"/>
          <w:color w:val="000000" w:themeColor="text1"/>
          <w:sz w:val="18"/>
          <w:szCs w:val="18"/>
          <w:lang w:eastAsia="ar-SA"/>
        </w:rPr>
        <w:t xml:space="preserv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lang w:eastAsia="ar-SA"/>
        </w:rPr>
      </w:r>
      <w:r>
        <w:rPr>
          <w:rFonts w:ascii="Cambria" w:hAnsi="Cambria" w:cs="Cambria"/>
          <w:i w:val="0"/>
          <w:iCs w:val="0"/>
          <w:color w:val="000000" w:themeColor="text1"/>
          <w:sz w:val="18"/>
          <w:szCs w:val="18"/>
        </w:rPr>
        <w:t xml:space="preserve">A consulta aos cadastros será realizada em nome da empresa licitante e também de seu sócio majoritário, por força da vedação de que trata o </w:t>
      </w:r>
      <w:hyperlink r:id="rId33" w:tooltip="https://www.planalto.gov.br/ccivil_03/leis/l8429.htm#:~:text=%C3%A0s%20seguintes%20comina%C3%A7%C3%B5es%3A-,Art.,n%C2%BA%2012.120%2C%20de%202009)." w:anchor=":~:text=%C3%A0s%20seguintes%20comina%C3%A7%C3%B5es%3A-,Art.,n%C2%BA%2012.120%2C%20de%202009)." w:history="1">
        <w:r>
          <w:rPr>
            <w:rStyle w:val="875"/>
            <w:rFonts w:ascii="Cambria" w:hAnsi="Cambria" w:cs="Cambria"/>
            <w:i w:val="0"/>
            <w:iCs w:val="0"/>
            <w:color w:val="000000" w:themeColor="text1"/>
            <w:sz w:val="18"/>
            <w:szCs w:val="18"/>
          </w:rPr>
          <w:t xml:space="preserve">artigo 12 da Lei n° 8.429, de 1992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conste na Consulta de Situação do l</w:t>
      </w:r>
      <w:r>
        <w:rPr>
          <w:rFonts w:ascii="Cambria" w:hAnsi="Cambria" w:cs="Cambria"/>
          <w:i w:val="0"/>
          <w:iCs w:val="0"/>
          <w:color w:val="000000" w:themeColor="text1"/>
          <w:sz w:val="18"/>
          <w:szCs w:val="18"/>
        </w:rPr>
        <w:t xml:space="preserve">icitante </w:t>
      </w:r>
      <w:r>
        <w:rPr>
          <w:rFonts w:ascii="Cambria" w:hAnsi="Cambria" w:cs="Cambria"/>
          <w:i w:val="0"/>
          <w:iCs w:val="0"/>
          <w:color w:val="000000" w:themeColor="text1"/>
          <w:sz w:val="18"/>
          <w:szCs w:val="18"/>
        </w:rPr>
        <w:t xml:space="preserve">a existência de Ocorrências Impeditivas Indiretas, o </w:t>
      </w:r>
      <w:r>
        <w:rPr>
          <w:rFonts w:ascii="Cambria" w:hAnsi="Cambria" w:cs="Cambria"/>
          <w:i w:val="0"/>
          <w:iCs w:val="0"/>
          <w:color w:val="000000" w:themeColor="text1"/>
          <w:sz w:val="18"/>
          <w:szCs w:val="18"/>
        </w:rPr>
        <w:t xml:space="preserve">Pregoeiro diligenciará para v</w:t>
      </w:r>
      <w:r>
        <w:rPr>
          <w:rFonts w:ascii="Cambria" w:hAnsi="Cambria" w:cs="Cambria"/>
          <w:i w:val="0"/>
          <w:iCs w:val="0"/>
          <w:color w:val="000000" w:themeColor="text1"/>
          <w:sz w:val="18"/>
          <w:szCs w:val="18"/>
        </w:rPr>
        <w:t xml:space="preserve">erificar se houve fraude por parte das empresas apontadas no Relatório de Ocorrências Impeditivas Indiretas. (</w:t>
      </w:r>
      <w:hyperlink r:id="rId34" w:tooltip="https://www.gov.br/compras/pt-br/acesso-a-informacao/legislacao/instrucoes-normativas/instrucao-normativa-no-3-de-26-de-abril-de-2018#art29" w:anchor="art29" w:history="1">
        <w:r>
          <w:rPr>
            <w:rStyle w:val="875"/>
            <w:rFonts w:ascii="Cambria" w:hAnsi="Cambria" w:cs="Cambria"/>
            <w:i w:val="0"/>
            <w:iCs w:val="0"/>
            <w:color w:val="000000" w:themeColor="text1"/>
            <w:sz w:val="18"/>
            <w:szCs w:val="18"/>
          </w:rPr>
          <w:t xml:space="preserve">IN nº 3/2018, art. 29, </w:t>
        </w:r>
        <w:r>
          <w:rPr>
            <w:rStyle w:val="875"/>
            <w:rFonts w:ascii="Cambria" w:hAnsi="Cambria" w:cs="Cambria"/>
            <w:i w:val="0"/>
            <w:iCs w:val="0"/>
            <w:color w:val="000000" w:themeColor="text1"/>
            <w:sz w:val="18"/>
            <w:szCs w:val="18"/>
          </w:rPr>
          <w:t xml:space="preserve">caput</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tentativa de burla será verificada por meio dos vínculos societários, linhas de fornecimento similares, dentre outros. (</w:t>
      </w:r>
      <w:hyperlink r:id="rId35" w:tooltip="https://www.gov.br/compras/pt-br/acesso-a-informacao/legislacao/instrucoes-normativas/instrucao-normativa-no-3-de-26-de-abril-de-2018" w:history="1">
        <w:r>
          <w:rPr>
            <w:rStyle w:val="875"/>
            <w:rFonts w:ascii="Cambria" w:hAnsi="Cambria" w:cs="Cambria"/>
            <w:i w:val="0"/>
            <w:iCs w:val="0"/>
            <w:color w:val="000000" w:themeColor="text1"/>
            <w:sz w:val="18"/>
            <w:szCs w:val="18"/>
          </w:rPr>
          <w:t xml:space="preserve">IN nº 3/2018, art. 29, §1º</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será convocado para manifestação previamente a uma eventual desclassificação. (</w:t>
      </w:r>
      <w:hyperlink r:id="rId36" w:tooltip="https://www.gov.br/compras/pt-br/acesso-a-informacao/legislacao/instrucoes-normativas/instrucao-normativa-no-3-de-26-de-abril-de-2018" w:history="1">
        <w:r>
          <w:rPr>
            <w:rStyle w:val="875"/>
            <w:rFonts w:ascii="Cambria" w:hAnsi="Cambria" w:cs="Cambria"/>
            <w:i w:val="0"/>
            <w:iCs w:val="0"/>
            <w:color w:val="000000" w:themeColor="text1"/>
            <w:sz w:val="18"/>
            <w:szCs w:val="18"/>
          </w:rPr>
          <w:t xml:space="preserve">IN nº 3/2018, art. 29, §2º</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Constatada a existência de sanção, o licitante será reputado inabilitado, por falta de condição de participação.</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6" w:name="_Hlk135317550"/>
      <w:r>
        <w:rPr>
          <w:rFonts w:ascii="Cambria" w:hAnsi="Cambria" w:cs="Cambria"/>
          <w:i w:val="0"/>
          <w:iCs w:val="0"/>
          <w:color w:val="000000" w:themeColor="text1"/>
          <w:sz w:val="18"/>
          <w:szCs w:val="18"/>
        </w:rPr>
        <w:t xml:space="preserve">Na hipótese de inversão das fases de habilitação e julgamento, caso atendidas as condições de participação, será iniciado o procedimento de habilitação.</w:t>
      </w:r>
      <w:bookmarkEnd w:id="36"/>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Caso o licitante provisoriamente classificado em primeiro lugar tenha se utilizado de algum tratamento favorecido às ME/EPPs, o pregoeiro verificará se faz jus ao benefício, em conformidade com 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_Ref117015508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3.5.1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_Ref117000019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4.6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deste edital.</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Verificadas as condições de participação e de utiliza</w:t>
      </w:r>
      <w:r>
        <w:rPr>
          <w:rFonts w:ascii="Cambria" w:hAnsi="Cambria" w:cs="Cambria"/>
          <w:i w:val="0"/>
          <w:iCs w:val="0"/>
          <w:color w:val="000000" w:themeColor="text1"/>
          <w:sz w:val="18"/>
          <w:szCs w:val="18"/>
        </w:rPr>
        <w:t xml:space="preserve">ção do tratamento favorecido, o pregoeiro examinará a proposta classificada em primeiro lugar quanto à adequação ao objeto </w:t>
      </w:r>
      <w:r>
        <w:rPr>
          <w:rFonts w:ascii="Cambria" w:hAnsi="Cambria" w:cs="Cambria"/>
          <w:i w:val="0"/>
          <w:iCs w:val="0"/>
          <w:color w:val="000000" w:themeColor="text1"/>
          <w:sz w:val="18"/>
          <w:szCs w:val="18"/>
        </w:rPr>
        <w:t xml:space="preserve">e à compatibilidade do preço em relação ao máximo estipulado para contratação neste Edital e em seus anexos, observado o disposto no </w:t>
      </w:r>
      <w:hyperlink r:id="rId37" w:tooltip="https://www.gov.br/compras/pt-br/acesso-a-informacao/legislacao/instrucoes-normativas/instrucao-normativa-seges-me-no-73-de-30-de-setembro-de-2022#art29" w:anchor="art29" w:history="1">
        <w:r>
          <w:rPr>
            <w:rStyle w:val="875"/>
            <w:rFonts w:ascii="Cambria" w:hAnsi="Cambria" w:cs="Cambria"/>
            <w:i w:val="0"/>
            <w:iCs w:val="0"/>
            <w:color w:val="000000" w:themeColor="text1"/>
            <w:sz w:val="18"/>
            <w:szCs w:val="18"/>
          </w:rPr>
          <w:t xml:space="preserve">artigo 29 a 35 da IN SEGES nº 73, de 30 de setembro de 2022</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desclassificada a proposta vencedora que: </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Contiver vícios insanáveis;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obedecer às especificações técnicas contidas no Termo de Referência;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preços inexequíveis ou permanecerem acima do preço máximo definido para a contratação;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tiverem sua exequibilidade demonstrada, quando exigido pela Administração;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desconformidade com quaisquer outras exigências deste Edital ou seus anexos, desde que insanável</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No caso de bens e serviços em geral, é indício de inexequibilidade das propostas valores inferiores a 50% (cinquenta por cento) do valor orçado pela Administração.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inexequibilidade, na hipótese de que trata o caput, só será considerada após diligência do pregoeiro, que comprove:</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Que o custo do licitante ultrapassa o valor da proposta; e</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Inexistirem custos de oportunidade capazes de justificar o vulto da oferta.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houver indícios de inexequibilidade da proposta de preço, ou em caso da necessidade de esclarecimentos complementares, poderão ser efetuadas diligências, para que a empresa comprove a exequibilidade da proposta.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Caso o custo global estimado do objeto licitado tenha sido decomposto em seus respectivos custos unitários por meio de Planilha de Custos e Fo</w:t>
      </w:r>
      <w:r>
        <w:rPr>
          <w:rFonts w:ascii="Cambria" w:hAnsi="Cambria" w:cs="Cambria"/>
          <w:i w:val="0"/>
          <w:iCs w:val="0"/>
          <w:color w:val="000000" w:themeColor="text1"/>
          <w:sz w:val="18"/>
          <w:szCs w:val="18"/>
        </w:rPr>
        <w:t xml:space="preserve">rmação de Preços elaborada pela Administração, o licitante classificado em primeiro lugar será convocado para apresentar Planilha por ele elaborada, com os respectivos valores adequados ao valor final da sua proposta, sob pena de não aceitação da proposta.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7" w:name="_Hlk126568356"/>
      <w:r>
        <w:rPr>
          <w:rFonts w:ascii="Cambria" w:hAnsi="Cambria" w:cs="Cambria"/>
          <w:i w:val="0"/>
          <w:iCs w:val="0"/>
          <w:color w:val="000000" w:themeColor="text1"/>
          <w:sz w:val="18"/>
          <w:szCs w:val="18"/>
        </w:rPr>
        <w:t xml:space="preserve">Em se tratando de serviços de engenharia, o licitante vencedor será convocado a apresentar à Administração, por meio eletrônico, as planilhas com indicação dos quantitativos e dos custos unitários</w:t>
      </w:r>
      <w:bookmarkEnd w:id="37"/>
      <w:r>
        <w:rPr>
          <w:rFonts w:ascii="Cambria" w:hAnsi="Cambria" w:cs="Cambria"/>
          <w:i w:val="0"/>
          <w:iCs w:val="0"/>
          <w:color w:val="000000" w:themeColor="text1"/>
          <w:sz w:val="18"/>
          <w:szCs w:val="18"/>
        </w:rPr>
        <w:t xml:space="preserve">, seguindo o mode</w:t>
      </w:r>
      <w:r>
        <w:rPr>
          <w:rFonts w:ascii="Cambria" w:hAnsi="Cambria" w:cs="Cambria"/>
          <w:i w:val="0"/>
          <w:iCs w:val="0"/>
          <w:color w:val="000000" w:themeColor="text1"/>
          <w:sz w:val="18"/>
          <w:szCs w:val="18"/>
        </w:rPr>
        <w:t xml:space="preserve">lo elaborado pela Administração, bem como com detalhamento das Bonificações e Despesas Indiretas (BDI) e dos Encargos Sociais (ES), com os respectivos valores adequados ao valor final da proposta vencedora, admitida a utilização dos preços unitários, no ca</w:t>
      </w:r>
      <w:r>
        <w:rPr>
          <w:rFonts w:ascii="Cambria" w:hAnsi="Cambria" w:cs="Cambria"/>
          <w:i w:val="0"/>
          <w:iCs w:val="0"/>
          <w:color w:val="000000" w:themeColor="text1"/>
          <w:sz w:val="18"/>
          <w:szCs w:val="18"/>
        </w:rPr>
        <w:t xml:space="preserve">so de empreitada por preço global, empreitada integral, contratação semi-integrada e contratação integrada, exclusivamente para eventuais adequações indispensáveis no cronograma físico-financeiro e para balizar excepcional aditamento posterior do contrato.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Erros no preenchimento da planilha não con</w:t>
      </w:r>
      <w:r>
        <w:rPr>
          <w:rFonts w:ascii="Cambria" w:hAnsi="Cambria" w:cs="Cambria"/>
          <w:i w:val="0"/>
          <w:iCs w:val="0"/>
          <w:color w:val="000000" w:themeColor="text1"/>
          <w:sz w:val="18"/>
          <w:szCs w:val="18"/>
        </w:rPr>
        <w:t xml:space="preserve">stituem motivo para a desclassificação da proposta. A planilha poderá ser ajustada pelo fornecedor, no prazo indicado pelo sistema, desde que não haja majoração do preço e que se comprove que este é o bastante para arcar com todos os custos da contratação;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ajuste de que trata este dispositivo se limita a sanar erros ou falhas que não alterem a substância das propostas;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Considera-se erro no preenchimento da planilha passível de correção a indicação de recolhimento de impostos e contribuições na forma do Simples Nacional, quando não cabível esse regime.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lang w:eastAsia="en-US"/>
        </w:rPr>
        <w:t xml:space="preserve">Para </w:t>
      </w:r>
      <w:r>
        <w:rPr>
          <w:rFonts w:ascii="Cambria" w:hAnsi="Cambria" w:cs="Cambria"/>
          <w:i w:val="0"/>
          <w:iCs w:val="0"/>
          <w:color w:val="000000" w:themeColor="text1"/>
          <w:sz w:val="18"/>
          <w:szCs w:val="18"/>
        </w:rPr>
        <w:t xml:space="preserve">fins</w:t>
      </w:r>
      <w:r>
        <w:rPr>
          <w:rFonts w:ascii="Cambria" w:hAnsi="Cambria" w:cs="Cambria"/>
          <w:i w:val="0"/>
          <w:iCs w:val="0"/>
          <w:color w:val="000000" w:themeColor="text1"/>
          <w:sz w:val="18"/>
          <w:szCs w:val="18"/>
          <w:lang w:eastAsia="en-US"/>
        </w:rPr>
        <w:t xml:space="preserve"> de análise da proposta quanto ao cumprimento </w:t>
      </w:r>
      <w:r>
        <w:rPr>
          <w:rFonts w:ascii="Cambria" w:hAnsi="Cambria" w:cs="Cambria"/>
          <w:i w:val="0"/>
          <w:iCs w:val="0"/>
          <w:color w:val="000000" w:themeColor="text1"/>
          <w:sz w:val="18"/>
          <w:szCs w:val="18"/>
        </w:rPr>
        <w:t xml:space="preserve">das</w:t>
      </w:r>
      <w:r>
        <w:rPr>
          <w:rFonts w:ascii="Cambria" w:hAnsi="Cambria" w:cs="Cambria"/>
          <w:i w:val="0"/>
          <w:iCs w:val="0"/>
          <w:color w:val="000000" w:themeColor="text1"/>
          <w:sz w:val="18"/>
          <w:szCs w:val="18"/>
          <w:lang w:eastAsia="en-US"/>
        </w:rPr>
        <w:t xml:space="preserve"> especificações do objeto, poderá ser colhida a </w:t>
      </w:r>
      <w:r>
        <w:rPr>
          <w:rFonts w:ascii="Cambria" w:hAnsi="Cambria" w:cs="Cambria"/>
          <w:i w:val="0"/>
          <w:iCs w:val="0"/>
          <w:color w:val="000000" w:themeColor="text1"/>
          <w:sz w:val="18"/>
          <w:szCs w:val="18"/>
        </w:rPr>
        <w:t xml:space="preserve">manifestação</w:t>
      </w:r>
      <w:r>
        <w:rPr>
          <w:rFonts w:ascii="Cambria" w:hAnsi="Cambria" w:cs="Cambria"/>
          <w:i w:val="0"/>
          <w:iCs w:val="0"/>
          <w:color w:val="000000" w:themeColor="text1"/>
          <w:sz w:val="18"/>
          <w:szCs w:val="18"/>
          <w:lang w:eastAsia="en-US"/>
        </w:rPr>
        <w:t xml:space="preserve"> escrita do setor requisitante do serviço ou da área especializada no objeto.</w:t>
      </w:r>
      <w:r>
        <w:rPr>
          <w:rFonts w:ascii="Cambria" w:hAnsi="Cambria" w:cs="Cambria"/>
          <w:sz w:val="16"/>
          <w:szCs w:val="16"/>
        </w:rPr>
      </w:r>
      <w:r/>
    </w:p>
    <w:p>
      <w:pPr>
        <w:pStyle w:val="1123"/>
        <w:numPr>
          <w:ilvl w:val="0"/>
          <w:numId w:val="0"/>
        </w:numPr>
        <w:ind w:left="999" w:firstLine="0"/>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lang w:eastAsia="en-US"/>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lang w:eastAsia="en-US"/>
        </w:rPr>
      </w:r>
      <w:bookmarkStart w:id="38" w:name="_Toc135469230"/>
      <w:r>
        <w:rPr>
          <w:rFonts w:ascii="Cambria" w:hAnsi="Cambria" w:cs="Cambria"/>
          <w:b/>
          <w:bCs/>
          <w:i w:val="0"/>
          <w:iCs w:val="0"/>
          <w:color w:val="000000" w:themeColor="text1"/>
          <w:sz w:val="18"/>
          <w:szCs w:val="18"/>
        </w:rPr>
        <w:t xml:space="preserve">DA FASE DE HABILITAÇÃO</w:t>
      </w:r>
      <w:bookmarkEnd w:id="38"/>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Os documentos previstos no Termo de Referência, necessários e suficientes para demonstrar a capacidade do licitante de realizar o objeto da licitação, serão exigidos para fins de habilitação, nos termos dos </w:t>
      </w:r>
      <w:hyperlink r:id="rId38" w:tooltip="http://www.planalto.gov.br/ccivil_03/_ato2019-2022/2021/lei/L14133.htm#art62" w:anchor="art62" w:history="1">
        <w:r>
          <w:rPr>
            <w:rStyle w:val="875"/>
            <w:rFonts w:ascii="Cambria" w:hAnsi="Cambria" w:cs="Cambria"/>
            <w:i w:val="0"/>
            <w:iCs w:val="0"/>
            <w:color w:val="000000" w:themeColor="text1"/>
            <w:sz w:val="18"/>
            <w:szCs w:val="18"/>
          </w:rPr>
          <w:t xml:space="preserve">arts. 62 a 70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w:t>
      </w:r>
      <w:r>
        <w:rPr>
          <w:rFonts w:ascii="Cambria" w:hAnsi="Cambria" w:cs="Cambria"/>
          <w:i w:val="0"/>
          <w:iCs w:val="0"/>
          <w:color w:val="000000" w:themeColor="text1"/>
          <w:sz w:val="18"/>
          <w:szCs w:val="18"/>
        </w:rPr>
        <w:t xml:space="preserve">permitida</w:t>
      </w:r>
      <w:r>
        <w:rPr>
          <w:rFonts w:ascii="Cambria" w:hAnsi="Cambria" w:cs="Cambria"/>
          <w:i w:val="0"/>
          <w:iCs w:val="0"/>
          <w:color w:val="000000" w:themeColor="text1"/>
          <w:sz w:val="18"/>
          <w:szCs w:val="18"/>
        </w:rPr>
        <w:t xml:space="preserve"> a </w:t>
      </w:r>
      <w:r>
        <w:rPr>
          <w:rFonts w:ascii="Cambria" w:hAnsi="Cambria" w:cs="Cambria"/>
          <w:i w:val="0"/>
          <w:iCs w:val="0"/>
          <w:color w:val="000000" w:themeColor="text1"/>
          <w:sz w:val="18"/>
          <w:szCs w:val="18"/>
        </w:rPr>
        <w:t xml:space="preserve">participação de empresas estrangeiras que não funcionem no País, as exigências de habilitação serão atendidas mediante documentos equivalentes, inicialmente apresentados em tradução livre.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licitante ven</w:t>
      </w:r>
      <w:r>
        <w:rPr>
          <w:rFonts w:ascii="Cambria" w:hAnsi="Cambria" w:cs="Cambria"/>
          <w:i w:val="0"/>
          <w:iCs w:val="0"/>
          <w:color w:val="000000" w:themeColor="text1"/>
          <w:sz w:val="18"/>
          <w:szCs w:val="18"/>
        </w:rPr>
        <w:t xml:space="preserve">cedor ser empresa estrangeira que não funcione no País, para ﬁns de assinatura do contrato ou da ata de registro de preços, os documentos exigidos para a habilitação serão traduzidos por tradutor juramentado no País e apostilados nos termos do disposto no </w:t>
      </w:r>
      <w:r>
        <w:rPr>
          <w:rFonts w:ascii="Cambria" w:hAnsi="Cambria" w:cs="Cambria"/>
          <w:i w:val="0"/>
          <w:iCs w:val="0"/>
          <w:color w:val="000000" w:themeColor="text1"/>
          <w:sz w:val="18"/>
          <w:szCs w:val="18"/>
        </w:rPr>
        <w:t xml:space="preserve">Decreto nº 8.660, de 29 de janeiro de 2016</w:t>
      </w:r>
      <w:r>
        <w:rPr>
          <w:rFonts w:ascii="Cambria" w:hAnsi="Cambria" w:cs="Cambria"/>
          <w:i w:val="0"/>
          <w:iCs w:val="0"/>
          <w:color w:val="000000" w:themeColor="text1"/>
          <w:sz w:val="18"/>
          <w:szCs w:val="18"/>
        </w:rPr>
        <w:t xml:space="preserve">, ou de outro que venha a substituí-lo, ou consularizados pelos respectivos consulados ou embaixadas.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permitida a participação de cons</w:t>
      </w:r>
      <w:r>
        <w:rPr>
          <w:rFonts w:ascii="Cambria" w:hAnsi="Cambria" w:cs="Cambria"/>
          <w:i w:val="0"/>
          <w:iCs w:val="0"/>
          <w:color w:val="000000" w:themeColor="text1"/>
          <w:sz w:val="18"/>
          <w:szCs w:val="18"/>
        </w:rPr>
        <w:t xml:space="preserve">órcio de empresas, a habilitação técnica, quando exigida, será feita por meio do somatório dos quantitativos de cada consorciado e, para efeito de habilitação econômico-financeira, quando exigida, será observado o somatório dos valores de cada consorciado.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 o consórcio não for formado integralmente por microempresas ou empresas de pequeno porte e o termo de referência exigir requisitos de habilitação econômico-financeira, haverá um acréscimo </w:t>
      </w:r>
      <w:r>
        <w:rPr>
          <w:rFonts w:ascii="Cambria" w:hAnsi="Cambria" w:cs="Cambria"/>
          <w:i w:val="0"/>
          <w:iCs w:val="0"/>
          <w:color w:val="000000" w:themeColor="text1"/>
          <w:sz w:val="18"/>
          <w:szCs w:val="18"/>
        </w:rPr>
        <w:t xml:space="preserve">de 30 % </w:t>
      </w:r>
      <w:r>
        <w:rPr>
          <w:rFonts w:ascii="Cambria" w:hAnsi="Cambria" w:cs="Cambria"/>
          <w:i w:val="0"/>
          <w:iCs w:val="0"/>
          <w:color w:val="000000" w:themeColor="text1"/>
          <w:sz w:val="18"/>
          <w:szCs w:val="18"/>
        </w:rPr>
        <w:t xml:space="preserve">para o consórcio em relação ao valor exigido para os licitantes individuais.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exigidos para fins de habilitação poderão ser apresentados em original, por cópia.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 verificado se o licitante apresentou declaração de que atende aos requisitos de habilitação, e o declarante responderá pela veracidade das informações prestadas, na forma da lei (</w:t>
      </w:r>
      <w:hyperlink r:id="rId39" w:tooltip="http://www.planalto.gov.br/ccivil_03/_ato2019-2022/2021/lei/L14133.htm#art63" w:anchor="art63" w:history="1">
        <w:r>
          <w:rPr>
            <w:rStyle w:val="875"/>
            <w:rFonts w:ascii="Cambria" w:hAnsi="Cambria" w:cs="Cambria"/>
            <w:i w:val="0"/>
            <w:iCs w:val="0"/>
            <w:color w:val="000000" w:themeColor="text1"/>
            <w:sz w:val="18"/>
            <w:szCs w:val="18"/>
          </w:rPr>
          <w:t xml:space="preserve">art. 63, I,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Será</w:t>
      </w:r>
      <w:r>
        <w:rPr>
          <w:rFonts w:ascii="Cambria" w:hAnsi="Cambria" w:cs="Cambria"/>
          <w:i w:val="0"/>
          <w:iCs w:val="0"/>
          <w:color w:val="000000" w:themeColor="text1"/>
          <w:sz w:val="18"/>
          <w:szCs w:val="18"/>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licitante deverá apresentar, sob pena de desclassificação, declaração de que suas propostas econômicas compreendem a integralidade </w:t>
      </w:r>
      <w:r>
        <w:rPr>
          <w:rFonts w:ascii="Cambria" w:hAnsi="Cambria" w:cs="Cambria"/>
          <w:i w:val="0"/>
          <w:iCs w:val="0"/>
          <w:color w:val="000000" w:themeColor="text1"/>
          <w:sz w:val="18"/>
          <w:szCs w:val="18"/>
        </w:rPr>
        <w:t xml:space="preserve">dos custos para atendimento dos direitos trabalhistas assegurados na Constituição Federal, nas leis trabalhistas, nas normas infralegais, nas convenções coletivas de trabalho e nos termos de ajustamento de conduta vigentes na data de entrega das propostas.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w:t>
      </w:r>
      <w:r>
        <w:rPr>
          <w:rFonts w:ascii="Cambria" w:hAnsi="Cambria" w:cs="Cambria"/>
          <w:i w:val="0"/>
          <w:iCs w:val="0"/>
          <w:color w:val="000000" w:themeColor="text1"/>
          <w:sz w:val="18"/>
          <w:szCs w:val="18"/>
        </w:rPr>
        <w:t xml:space="preserve">omente haverá a necessidade de comprovação do preenchimento de requisitos mediante apresentação dos documentos de habilitação originais não-digitais quando houver dúvida em relação à integridade do documento digital ou quando a lei expressamente o exigir.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É de responsabilidade do licitante co</w:t>
      </w:r>
      <w:r>
        <w:rPr>
          <w:rFonts w:ascii="Cambria" w:hAnsi="Cambria" w:cs="Cambria"/>
          <w:i w:val="0"/>
          <w:iCs w:val="0"/>
          <w:color w:val="000000" w:themeColor="text1"/>
          <w:sz w:val="18"/>
          <w:szCs w:val="18"/>
        </w:rPr>
        <w:t xml:space="preserve">nferir a exatidão dos seus dados cadastrais e mantê-los atualizados junto aos órgãos responsáveis pela informação, devendo proceder, imediatamente, à correção ou à alteração dos registros tão logo identifique incorreção ou aqueles se tornem desatualizados.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não observância do disposto no item anterior poderá ensejar desclassificação no momento da habilitação.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pelo pregoeiro, em sítios eletrônicos oficiais de órgãos e entidades emissores de certidões constitui meio legal de prova, para fins de habilitação.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39" w:name="_Ref114663151"/>
      <w:r>
        <w:rPr>
          <w:rFonts w:ascii="Cambria" w:hAnsi="Cambria" w:cs="Cambria"/>
          <w:i w:val="0"/>
          <w:iCs w:val="0"/>
          <w:color w:val="000000" w:themeColor="text1"/>
          <w:sz w:val="18"/>
          <w:szCs w:val="18"/>
        </w:rPr>
        <w:t xml:space="preserve">Os documentos exigidos para habilitação serão enviados por meio do sistema, em formato digital, no prazo</w:t>
      </w:r>
      <w:r>
        <w:rPr>
          <w:rFonts w:ascii="Cambria" w:hAnsi="Cambria" w:cs="Cambria"/>
          <w:b/>
          <w:bCs/>
          <w:i w:val="0"/>
          <w:iCs w:val="0"/>
          <w:color w:val="000000" w:themeColor="text1"/>
          <w:sz w:val="18"/>
          <w:szCs w:val="18"/>
        </w:rPr>
        <w:t xml:space="preserve"> de duas horas</w:t>
      </w:r>
      <w:r>
        <w:rPr>
          <w:rFonts w:ascii="Cambria" w:hAnsi="Cambria" w:cs="Cambria"/>
          <w:i w:val="0"/>
          <w:iCs w:val="0"/>
          <w:color w:val="000000" w:themeColor="text1"/>
          <w:sz w:val="18"/>
          <w:szCs w:val="18"/>
        </w:rPr>
        <w:t xml:space="preserve">, prorrogável por igual período, contado da solicitação do pregoeiro.</w:t>
      </w:r>
      <w:bookmarkEnd w:id="39"/>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Na hipótese de a fase de habilitação anteceder a fase de apresentação de propostas e lances, os licitantes encaminharão, por meio do sistema, simultaneamente os documentos de habilitação e a proposta com o preço ou o percentual de desconto.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verificação da habilitação somente será feita em relação ao licitante vencedor.</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documentos relativos à regularidade fiscal que constem do Termo de Referência somente serão exigidos, em qualquer caso, em momento posterior ao julgamento das propostas, e apenas do licitante mais bem classificado.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Respeitada</w:t>
      </w:r>
      <w:r>
        <w:rPr>
          <w:rFonts w:ascii="Cambria" w:hAnsi="Cambria" w:cs="Cambria"/>
          <w:b w:val="0"/>
          <w:bCs w:val="0"/>
          <w:i w:val="0"/>
          <w:iCs w:val="0"/>
          <w:color w:val="000000" w:themeColor="text1"/>
          <w:sz w:val="18"/>
          <w:szCs w:val="18"/>
        </w:rPr>
        <w:t xml:space="preserve">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Após a entrega dos documentos para habilitação, não será permitida a substituição ou a apresentação de novos documentos, salvo em sede de diligência, para (</w:t>
      </w:r>
      <w:hyperlink r:id="rId40" w:tooltip="http://www.planalto.gov.br/ccivil_03/_ato2019-2022/2021/lei/L14133.htm#art64" w:anchor="art64" w:history="1">
        <w:r>
          <w:rPr>
            <w:rStyle w:val="875"/>
            <w:rFonts w:ascii="Cambria" w:hAnsi="Cambria" w:cs="Cambria"/>
            <w:b w:val="0"/>
            <w:bCs w:val="0"/>
            <w:i w:val="0"/>
            <w:iCs w:val="0"/>
            <w:color w:val="000000" w:themeColor="text1"/>
            <w:sz w:val="18"/>
            <w:szCs w:val="18"/>
          </w:rPr>
          <w:t xml:space="preserve">Lei 14.133/21, art. 64</w:t>
        </w:r>
      </w:hyperlink>
      <w:r>
        <w:rPr>
          <w:rStyle w:val="875"/>
          <w:rFonts w:ascii="Cambria" w:hAnsi="Cambria" w:cs="Cambria"/>
          <w:b w:val="0"/>
          <w:bCs w:val="0"/>
          <w:i w:val="0"/>
          <w:iCs w:val="0"/>
          <w:color w:val="000000" w:themeColor="text1"/>
          <w:sz w:val="18"/>
          <w:szCs w:val="18"/>
        </w:rPr>
        <w:t xml:space="preserve">)</w:t>
      </w:r>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Complementação de informações acerca dos documentos já apresentados pelos licitantes e desde que necessária para apurar fatos existentes à época da abertura do certame; 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atualização de documentos cuja validade tenha expirado após a data de recebimento das propostas;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0" w:name="_Ref114670319"/>
      <w:r>
        <w:rPr>
          <w:rFonts w:ascii="Cambria" w:hAnsi="Cambria" w:cs="Cambria"/>
          <w:b w:val="0"/>
          <w:bCs w:val="0"/>
          <w:i w:val="0"/>
          <w:iCs w:val="0"/>
          <w:color w:val="000000" w:themeColor="text1"/>
          <w:sz w:val="18"/>
          <w:szCs w:val="18"/>
        </w:rPr>
        <w:t xml:space="preserve">Na análise dos documentos de habilitação, a co</w:t>
      </w:r>
      <w:r>
        <w:rPr>
          <w:rFonts w:ascii="Cambria" w:hAnsi="Cambria" w:cs="Cambria"/>
          <w:b w:val="0"/>
          <w:bCs w:val="0"/>
          <w:i w:val="0"/>
          <w:iCs w:val="0"/>
          <w:color w:val="000000" w:themeColor="text1"/>
          <w:sz w:val="18"/>
          <w:szCs w:val="18"/>
        </w:rPr>
        <w:t xml:space="preserve">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1" w:name="_Ref114665528"/>
      <w:r>
        <w:rPr>
          <w:rFonts w:ascii="Cambria" w:hAnsi="Cambria" w:cs="Cambria"/>
          <w:b w:val="0"/>
          <w:bCs w:val="0"/>
          <w:i w:val="0"/>
          <w:iCs w:val="0"/>
          <w:color w:val="000000" w:themeColor="text1"/>
          <w:sz w:val="18"/>
          <w:szCs w:val="18"/>
        </w:rPr>
        <w:t xml:space="preserve">Na hipótese</w:t>
      </w:r>
      <w:r>
        <w:rPr>
          <w:rFonts w:ascii="Cambria" w:hAnsi="Cambria" w:cs="Cambria"/>
          <w:b w:val="0"/>
          <w:bCs w:val="0"/>
          <w:i w:val="0"/>
          <w:iCs w:val="0"/>
          <w:color w:val="000000" w:themeColor="text1"/>
          <w:sz w:val="18"/>
          <w:szCs w:val="18"/>
        </w:rPr>
        <w:t xml:space="preserve"> de o licitante não atender às exigências para habilitação, o pregoeiro examinará a proposta subsequente e assim sucessivamente, na ordem de classificação, até a apuração de uma proposta que atenda ao presente edital, observado o prazo disposto no subitem </w:t>
      </w:r>
      <w:r>
        <w:rPr>
          <w:rFonts w:ascii="Cambria" w:hAnsi="Cambria" w:cs="Cambria"/>
          <w:b w:val="0"/>
          <w:bCs w:val="0"/>
          <w:i w:val="0"/>
          <w:iCs w:val="0"/>
          <w:color w:val="000000" w:themeColor="text1"/>
          <w:sz w:val="18"/>
          <w:szCs w:val="18"/>
        </w:rPr>
        <w:fldChar w:fldCharType="begin"/>
      </w:r>
      <w:r>
        <w:rPr>
          <w:rFonts w:ascii="Cambria" w:hAnsi="Cambria" w:cs="Cambria"/>
          <w:b w:val="0"/>
          <w:bCs w:val="0"/>
          <w:i w:val="0"/>
          <w:iCs w:val="0"/>
          <w:color w:val="000000" w:themeColor="text1"/>
          <w:sz w:val="18"/>
          <w:szCs w:val="18"/>
        </w:rPr>
        <w:instrText xml:space="preserve"> REF _Ref114663151 \r \h  \* MERGEFORMAT </w:instrText>
      </w:r>
      <w:r>
        <w:rPr>
          <w:rFonts w:ascii="Cambria" w:hAnsi="Cambria" w:cs="Cambria"/>
          <w:b w:val="0"/>
          <w:bCs w:val="0"/>
          <w:i w:val="0"/>
          <w:iCs w:val="0"/>
          <w:color w:val="000000" w:themeColor="text1"/>
          <w:sz w:val="18"/>
          <w:szCs w:val="18"/>
        </w:rPr>
        <w:fldChar w:fldCharType="separate"/>
      </w:r>
      <w:r>
        <w:rPr>
          <w:rFonts w:ascii="Cambria" w:hAnsi="Cambria" w:cs="Cambria"/>
          <w:b w:val="0"/>
          <w:bCs w:val="0"/>
          <w:i w:val="0"/>
          <w:iCs w:val="0"/>
          <w:color w:val="000000" w:themeColor="text1"/>
          <w:sz w:val="18"/>
          <w:szCs w:val="18"/>
        </w:rPr>
        <w:t xml:space="preserve">8.13.1</w:t>
      </w:r>
      <w:r>
        <w:rPr>
          <w:rFonts w:ascii="Cambria" w:hAnsi="Cambria" w:cs="Cambria"/>
          <w:b w:val="0"/>
          <w:bCs w:val="0"/>
          <w:i w:val="0"/>
          <w:iCs w:val="0"/>
          <w:color w:val="000000" w:themeColor="text1"/>
          <w:sz w:val="18"/>
          <w:szCs w:val="18"/>
        </w:rPr>
        <w:fldChar w:fldCharType="end"/>
      </w:r>
      <w:r>
        <w:rPr>
          <w:rFonts w:ascii="Cambria" w:hAnsi="Cambria" w:cs="Cambria"/>
          <w:b w:val="0"/>
          <w:bCs w:val="0"/>
          <w:i w:val="0"/>
          <w:iCs w:val="0"/>
          <w:color w:val="000000" w:themeColor="text1"/>
          <w:sz w:val="18"/>
          <w:szCs w:val="18"/>
        </w:rPr>
        <w:t xml:space="preserve">.</w:t>
      </w:r>
      <w:bookmarkEnd w:id="41"/>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6"/>
          <w:szCs w:val="16"/>
        </w:rPr>
      </w:r>
      <w:bookmarkStart w:id="42" w:name="_Ref114665515"/>
      <w:r>
        <w:rPr>
          <w:rFonts w:ascii="Cambria" w:hAnsi="Cambria" w:cs="Cambria"/>
          <w:b w:val="0"/>
          <w:bCs w:val="0"/>
          <w:i w:val="0"/>
          <w:iCs w:val="0"/>
          <w:color w:val="000000" w:themeColor="text1"/>
          <w:sz w:val="18"/>
          <w:szCs w:val="18"/>
        </w:rPr>
        <w:t xml:space="preserve">Somente serão disponibilizados para acesso público os documentos de habilitação do licitante cuja proposta atenda ao edital de licitação, após concluídos os procedimentos de que trata o subitem anterior</w:t>
      </w:r>
      <w:bookmarkEnd w:id="42"/>
      <w:r>
        <w:rPr>
          <w:rFonts w:ascii="Cambria" w:hAnsi="Cambria" w:cs="Cambria"/>
          <w:b w:val="0"/>
          <w:bCs w:val="0"/>
          <w:i w:val="0"/>
          <w:iCs w:val="0"/>
          <w:color w:val="000000" w:themeColor="text1"/>
          <w:sz w:val="18"/>
          <w:szCs w:val="18"/>
        </w:rPr>
        <w:t xml:space="preserv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t xml:space="preserve">A comprovação de regularidade fiscal e trabalhista das microempresas e das empresas de pequeno porte somente será exigida para efeito de contratação, e não como condição para participação na licitação.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rPr>
      </w:r>
      <w:r>
        <w:rPr>
          <w:rFonts w:ascii="Cambria" w:hAnsi="Cambria" w:cs="Cambria"/>
          <w:b w:val="0"/>
          <w:bCs w:val="0"/>
          <w:i w:val="0"/>
          <w:iCs w:val="0"/>
          <w:color w:val="000000" w:themeColor="text1"/>
          <w:sz w:val="18"/>
          <w:szCs w:val="18"/>
        </w:rPr>
        <w:t xml:space="preserve">Quando a fase de habilitação anteceder a de julgamento e já tiver sido encerrada, não caberá exclusão de licitante por motivo relacionado à habilitação, salvo em razão de fatos supervenientes ou só conhecidos após o julgamento.</w:t>
      </w:r>
      <w:r>
        <w:rPr>
          <w:rFonts w:ascii="Cambria" w:hAnsi="Cambria" w:cs="Cambria"/>
          <w:sz w:val="16"/>
          <w:szCs w:val="16"/>
        </w:rPr>
      </w:r>
      <w:r/>
    </w:p>
    <w:p>
      <w:pPr>
        <w:pStyle w:val="1123"/>
        <w:numPr>
          <w:ilvl w:val="0"/>
          <w:numId w:val="0"/>
        </w:numPr>
        <w:ind w:left="999" w:firstLine="0"/>
        <w:spacing w:before="0" w:after="0" w:line="240" w:lineRule="auto"/>
        <w:rPr>
          <w:rFonts w:ascii="Cambria" w:hAnsi="Cambria" w:cs="Cambria"/>
          <w:b w:val="0"/>
          <w:bCs w:val="0"/>
          <w:i w:val="0"/>
          <w:color w:val="000000" w:themeColor="text1"/>
          <w:sz w:val="18"/>
          <w:szCs w:val="18"/>
        </w:rPr>
      </w:pPr>
      <w:r>
        <w:rPr>
          <w:rFonts w:ascii="Cambria" w:hAnsi="Cambria" w:cs="Cambria"/>
          <w:b w:val="0"/>
          <w:bCs w:val="0"/>
          <w:i w:val="0"/>
          <w:iCs w:val="0"/>
          <w:color w:val="000000" w:themeColor="text1"/>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43" w:name="_Toc135469231"/>
      <w:r>
        <w:rPr>
          <w:rFonts w:ascii="Cambria" w:hAnsi="Cambria" w:cs="Cambria"/>
          <w:b/>
          <w:bCs/>
          <w:i w:val="0"/>
          <w:iCs w:val="0"/>
          <w:color w:val="000000" w:themeColor="text1"/>
          <w:sz w:val="18"/>
          <w:szCs w:val="18"/>
        </w:rPr>
        <w:t xml:space="preserve">DA ATA DE REGISTRO DE PREÇOS</w:t>
      </w:r>
      <w:bookmarkEnd w:id="43"/>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Homologado o resultado da licitação, o licitante mais bem classificado terá o prazo de 05 (cin</w:t>
      </w:r>
      <w:r>
        <w:rPr>
          <w:rFonts w:ascii="Cambria" w:hAnsi="Cambria" w:cs="Cambria"/>
          <w:i w:val="0"/>
          <w:iCs w:val="0"/>
          <w:color w:val="000000" w:themeColor="text1"/>
          <w:sz w:val="18"/>
          <w:szCs w:val="18"/>
        </w:rPr>
        <w:t xml:space="preserve">co) dias, contados a partir da data de sua convocação, para assinar a Ata de Registro de Preços, cujo prazo de validade encontra-se nela fixado, sob pena de decadência do direito à contratação, sem prejuízo das sanções previstas na Lei nº 14.133, de 2021.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de convocação poderá ser prorrogado uma vez, por igual período, mediante solicitação do licitante mais bem classificado ou do fornecedor convocado, desde que:</w:t>
      </w:r>
      <w:r>
        <w:rPr>
          <w:rFonts w:ascii="Cambria" w:hAnsi="Cambria" w:cs="Cambria"/>
          <w:sz w:val="16"/>
          <w:szCs w:val="16"/>
        </w:rPr>
      </w:r>
      <w:r/>
    </w:p>
    <w:p>
      <w:pPr>
        <w:pStyle w:val="1076"/>
        <w:numPr>
          <w:ilvl w:val="1"/>
          <w:numId w:val="0"/>
        </w:numPr>
        <w:ind w:left="2126"/>
        <w:spacing w:before="0" w:after="0" w:line="240" w:lineRule="auto"/>
        <w:rPr>
          <w:rFonts w:ascii="Cambria" w:hAnsi="Cambria" w:cs="Cambria"/>
          <w:bCs w:val="0"/>
          <w:i w:val="0"/>
          <w:color w:val="000000" w:themeColor="text1"/>
          <w:sz w:val="16"/>
          <w:szCs w:val="16"/>
        </w:rPr>
      </w:pPr>
      <w:r>
        <w:rPr>
          <w:rFonts w:ascii="Cambria" w:hAnsi="Cambria" w:cs="Cambria"/>
          <w:i w:val="0"/>
          <w:iCs w:val="0"/>
          <w:color w:val="000000" w:themeColor="text1"/>
          <w:sz w:val="18"/>
          <w:szCs w:val="18"/>
        </w:rPr>
        <w:t xml:space="preserve">(a) a solicitação seja devidamente justificada e apresentada dentro do prazo; e</w:t>
      </w:r>
      <w:r>
        <w:rPr>
          <w:rFonts w:ascii="Cambria" w:hAnsi="Cambria" w:cs="Cambria"/>
          <w:sz w:val="16"/>
          <w:szCs w:val="16"/>
        </w:rPr>
      </w:r>
      <w:r/>
    </w:p>
    <w:p>
      <w:pPr>
        <w:pStyle w:val="1076"/>
        <w:numPr>
          <w:ilvl w:val="1"/>
          <w:numId w:val="0"/>
        </w:numPr>
        <w:ind w:left="2126"/>
        <w:spacing w:before="0" w:after="0" w:line="240" w:lineRule="auto"/>
        <w:rPr>
          <w:rFonts w:ascii="Cambria" w:hAnsi="Cambria" w:cs="Cambria"/>
          <w:bCs w:val="0"/>
          <w:i w:val="0"/>
          <w:color w:val="000000" w:themeColor="text1"/>
          <w:sz w:val="16"/>
          <w:szCs w:val="16"/>
        </w:rPr>
      </w:pPr>
      <w:r>
        <w:rPr>
          <w:rFonts w:ascii="Cambria" w:hAnsi="Cambria" w:cs="Cambria"/>
          <w:i w:val="0"/>
          <w:iCs w:val="0"/>
          <w:color w:val="000000" w:themeColor="text1"/>
          <w:sz w:val="18"/>
          <w:szCs w:val="18"/>
        </w:rPr>
        <w:t xml:space="preserve">(b) a justificativa apresentada seja aceita pela Administração.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ata de registro de preços será assinada por meio de assinatura digital e disponibilizada no sistema de registro de preços.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Serão formalizadas tantas</w:t>
      </w:r>
      <w:r>
        <w:rPr>
          <w:rFonts w:ascii="Cambria" w:hAnsi="Cambria" w:cs="Cambria"/>
          <w:i w:val="0"/>
          <w:iCs w:val="0"/>
          <w:color w:val="000000" w:themeColor="text1"/>
          <w:sz w:val="18"/>
          <w:szCs w:val="18"/>
        </w:rPr>
        <w:t xml:space="preserve"> Atas de Registro de Preços quantas forem necessárias para o registro de todos os itens constantes no Termo de Referência, com a indicação do licitante vencedor, a descrição do(s) item(ns), as respectivas quantidades, preços registrados e demais condições.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preço registrado, com a indicação dos fornecedores, será divulgado no PNCP e disponibilizado durante a vigência da ata de registro de preços.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w:t>
      </w:r>
      <w:r>
        <w:rPr>
          <w:rFonts w:ascii="Cambria" w:hAnsi="Cambria" w:cs="Cambria"/>
          <w:i w:val="0"/>
          <w:iCs w:val="0"/>
          <w:color w:val="000000" w:themeColor="text1"/>
          <w:sz w:val="18"/>
          <w:szCs w:val="18"/>
        </w:rPr>
        <w:t xml:space="preserve">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o convocado não assinar a ata de registro de preços no prazo e nas condições estabelecidas, fica facultado à Administração convocar os licitantes remanescentes do </w:t>
      </w:r>
      <w:r>
        <w:rPr>
          <w:rFonts w:ascii="Cambria" w:hAnsi="Cambria" w:cs="Cambria"/>
          <w:i w:val="0"/>
          <w:iCs w:val="0"/>
          <w:color w:val="000000" w:themeColor="text1"/>
          <w:sz w:val="18"/>
          <w:szCs w:val="18"/>
        </w:rPr>
        <w:t xml:space="preserve">cadastro </w:t>
      </w:r>
      <w:r>
        <w:rPr>
          <w:rFonts w:ascii="Cambria" w:hAnsi="Cambria" w:cs="Cambria"/>
          <w:i w:val="0"/>
          <w:iCs w:val="0"/>
          <w:color w:val="000000" w:themeColor="text1"/>
          <w:sz w:val="18"/>
          <w:szCs w:val="18"/>
        </w:rPr>
        <w:t xml:space="preserve">de </w:t>
      </w:r>
      <w:r>
        <w:rPr>
          <w:rFonts w:ascii="Cambria" w:hAnsi="Cambria" w:cs="Cambria"/>
          <w:i w:val="0"/>
          <w:iCs w:val="0"/>
          <w:color w:val="000000" w:themeColor="text1"/>
          <w:sz w:val="18"/>
          <w:szCs w:val="18"/>
        </w:rPr>
        <w:t xml:space="preserve">reserva, na ordem de classificação, para fazê-lo em igual prazo e nas condições propostas pelo primeiro classificado.</w:t>
      </w:r>
      <w:r>
        <w:rPr>
          <w:rFonts w:ascii="Cambria" w:hAnsi="Cambria" w:cs="Cambria"/>
          <w:sz w:val="16"/>
          <w:szCs w:val="16"/>
        </w:rPr>
      </w:r>
      <w:r/>
    </w:p>
    <w:p>
      <w:pPr>
        <w:pStyle w:val="1123"/>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44" w:name="_Toc135469232"/>
      <w:r>
        <w:rPr>
          <w:rFonts w:ascii="Cambria" w:hAnsi="Cambria" w:cs="Cambria"/>
          <w:b/>
          <w:bCs/>
          <w:i w:val="0"/>
          <w:iCs w:val="0"/>
          <w:color w:val="000000" w:themeColor="text1"/>
          <w:sz w:val="18"/>
          <w:szCs w:val="18"/>
        </w:rPr>
        <w:t xml:space="preserve">DA FORMAÇÃO DO CADASTRO DE RESERVA</w:t>
      </w:r>
      <w:bookmarkEnd w:id="44"/>
      <w:r>
        <w:rPr>
          <w:rFonts w:ascii="Cambria" w:hAnsi="Cambria" w:cs="Cambria"/>
          <w:b/>
          <w:bCs/>
          <w:i w:val="0"/>
          <w:iCs w:val="0"/>
          <w:color w:val="000000" w:themeColor="text1"/>
          <w:sz w:val="18"/>
          <w:szCs w:val="18"/>
        </w:rPr>
        <w:t xml:space="preserve">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Após a homologação da licitação, será incluído na ata, na forma de anexo, o registro:.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dos licitantes </w:t>
      </w:r>
      <w:bookmarkStart w:id="45" w:name="_Hlk132991372"/>
      <w:r>
        <w:rPr>
          <w:rFonts w:ascii="Cambria" w:hAnsi="Cambria" w:cs="Cambria"/>
          <w:i w:val="0"/>
          <w:iCs w:val="0"/>
          <w:color w:val="000000" w:themeColor="text1"/>
          <w:sz w:val="18"/>
          <w:szCs w:val="18"/>
        </w:rPr>
        <w:t xml:space="preserve">que </w:t>
      </w:r>
      <w:bookmarkStart w:id="46" w:name="_Hlk132989696"/>
      <w:r>
        <w:rPr>
          <w:rFonts w:ascii="Cambria" w:hAnsi="Cambria" w:cs="Cambria"/>
          <w:i w:val="0"/>
          <w:iCs w:val="0"/>
          <w:color w:val="000000" w:themeColor="text1"/>
          <w:sz w:val="18"/>
          <w:szCs w:val="18"/>
        </w:rPr>
        <w:t xml:space="preserve">aceitarem cotar o objeto com preço igual ao do adjudicatári</w:t>
      </w:r>
      <w:bookmarkEnd w:id="45"/>
      <w:r>
        <w:rPr>
          <w:rFonts w:ascii="Cambria" w:hAnsi="Cambria" w:cs="Cambria"/>
          <w:i w:val="0"/>
          <w:iCs w:val="0"/>
          <w:color w:val="000000" w:themeColor="text1"/>
          <w:sz w:val="18"/>
          <w:szCs w:val="18"/>
        </w:rPr>
        <w:t xml:space="preserve">o</w:t>
      </w:r>
      <w:bookmarkEnd w:id="46"/>
      <w:r>
        <w:rPr>
          <w:rFonts w:ascii="Cambria" w:hAnsi="Cambria" w:cs="Cambria"/>
          <w:i w:val="0"/>
          <w:iCs w:val="0"/>
          <w:color w:val="000000" w:themeColor="text1"/>
          <w:sz w:val="18"/>
          <w:szCs w:val="18"/>
        </w:rPr>
        <w:t xml:space="preserve">, observada a classificação na licitação; e </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dos licitantes que mantiverem sua proposta original</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Será respeitada, nas contratações, a ordem de classificação dos licitantes ou fornecedores registrados na ata.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apresentação de novas propostas na forma deste item não prejudicará o resultado do certame em relação ao licitante mais bem classificado.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Para fins da ordem de classificação, os licitantes ou fornecedores que aceitarem cotar o objeto com preço igual ao do adjudicatário antecederão aqueles que mantiverem sua proposta original.</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A habilitação dos licitantes que comporão o cadastro de reserva será efetuada quando houver necessidade de contratação dos licitantes remanescentes, nas seguintes hipóteses: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quando o licitante vencedor não assinar a ata de registro de preços no prazo e nas condições estabelecidos no edital; ou</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houver o cancelamento do registro do fornecedor ou do registro de preços, nas hipóteses previstas nos art. 28 e art. 29 do Decreto nº 11.462/23.</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nenhum dos licitantes que aceitaram cotar o objet</w:t>
      </w:r>
      <w:r>
        <w:rPr>
          <w:rFonts w:ascii="Cambria" w:hAnsi="Cambria" w:cs="Cambria"/>
          <w:i w:val="0"/>
          <w:iCs w:val="0"/>
          <w:color w:val="000000" w:themeColor="text1"/>
          <w:sz w:val="18"/>
          <w:szCs w:val="18"/>
        </w:rPr>
        <w:t xml:space="preserve">o com preço igual ao do adjudicatário concordar com a contratação nos termos em igual prazo e nas condições propostas pelo primeiro classificado, a Administração, observados o valor estimado e a sua eventual atualização na forma prevista no edital, poderá:</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convocar os licitantes que mantiveram sua proposta original para negociação, na ordem de classificação, com vistas à obtenção de preço melhor, mesmo que acima do preço do adjudicatário; ou</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adjudicar e firmar o contrato nas condições ofertadas pelos licitantes remanescentes, observada a ordem de classificação, quando frustrada a negociação de melhor condição</w:t>
      </w:r>
      <w:r>
        <w:rPr>
          <w:rFonts w:ascii="Cambria" w:hAnsi="Cambria" w:cs="Cambria"/>
          <w:sz w:val="18"/>
          <w:szCs w:val="18"/>
        </w:rPr>
        <w:t xml:space="preserve">.</w:t>
      </w:r>
      <w:r>
        <w:rPr>
          <w:rFonts w:ascii="Cambria" w:hAnsi="Cambria" w:cs="Cambria"/>
          <w:sz w:val="16"/>
          <w:szCs w:val="16"/>
        </w:rPr>
      </w:r>
      <w:r/>
    </w:p>
    <w:p>
      <w:pPr>
        <w:pStyle w:val="1123"/>
        <w:numPr>
          <w:ilvl w:val="0"/>
          <w:numId w:val="0"/>
        </w:numPr>
        <w:ind w:left="999"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sz w:val="18"/>
          <w:szCs w:val="18"/>
        </w:rPr>
      </w:r>
      <w:bookmarkStart w:id="47" w:name="_Toc135469233"/>
      <w:r>
        <w:rPr>
          <w:rFonts w:ascii="Cambria" w:hAnsi="Cambria" w:cs="Cambria"/>
          <w:b/>
          <w:bCs/>
          <w:i w:val="0"/>
          <w:iCs w:val="0"/>
          <w:color w:val="000000" w:themeColor="text1"/>
          <w:sz w:val="18"/>
          <w:szCs w:val="18"/>
        </w:rPr>
        <w:t xml:space="preserve">DOS RECURSOS</w:t>
      </w:r>
      <w:bookmarkEnd w:id="47"/>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 interposição de recurso referente ao julgamento das propostas, à habilitação ou inabilitação de licitantes, à anulação ou revogação da licitação, observará o disposto no </w:t>
      </w:r>
      <w:hyperlink r:id="rId41" w:tooltip="http://www.planalto.gov.br/ccivil_03/_ato2019-2022/2021/lei/L14133.htm#art165" w:anchor="art165" w:history="1">
        <w:r>
          <w:rPr>
            <w:rStyle w:val="875"/>
            <w:rFonts w:ascii="Cambria" w:hAnsi="Cambria" w:cs="Cambria"/>
            <w:i w:val="0"/>
            <w:iCs w:val="0"/>
            <w:color w:val="000000" w:themeColor="text1"/>
            <w:sz w:val="18"/>
            <w:szCs w:val="18"/>
            <w:u w:val="none"/>
          </w:rPr>
          <w:t xml:space="preserve">art. 165 da Lei nº 14.133, de 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recursal é de 3 (três) dias úteis, contados da data de intimação ou de lavratura da ata.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Quando o recurso apresentado impugnar o julgamento das propostas ou o ato de habilitação ou inabilitação do licitante: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intenção de recorrer deverá ser manifestada imediatamente, sob pena de preclusão;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48" w:name="_Hlk135315794"/>
      <w:r>
        <w:rPr>
          <w:rFonts w:ascii="Cambria" w:hAnsi="Cambria" w:cs="Cambria"/>
          <w:i w:val="0"/>
          <w:iCs w:val="0"/>
          <w:color w:val="000000" w:themeColor="text1"/>
          <w:sz w:val="16"/>
          <w:szCs w:val="16"/>
        </w:rPr>
      </w:r>
      <w:bookmarkStart w:id="49" w:name="_Hlk135318381"/>
      <w:r>
        <w:rPr>
          <w:rFonts w:ascii="Cambria" w:hAnsi="Cambria" w:cs="Cambria"/>
          <w:i w:val="0"/>
          <w:iCs w:val="0"/>
          <w:color w:val="000000" w:themeColor="text1"/>
          <w:sz w:val="18"/>
          <w:szCs w:val="18"/>
        </w:rPr>
        <w:t xml:space="preserve">o prazo para a manifestação da intenção de recorrer não será inferior a 60 (sessenta) minutos.</w:t>
      </w:r>
      <w:bookmarkEnd w:id="48"/>
      <w:r>
        <w:rPr>
          <w:rFonts w:ascii="Cambria" w:hAnsi="Cambria" w:cs="Cambria"/>
          <w:i w:val="0"/>
          <w:iCs w:val="0"/>
          <w:color w:val="000000" w:themeColor="text1"/>
          <w:sz w:val="16"/>
          <w:szCs w:val="16"/>
        </w:rPr>
      </w:r>
      <w:bookmarkEnd w:id="49"/>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O prazo para apresentação das razões recursais será iniciado na data de intimação ou de lavratura da ata de habilitação ou inabilitação;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hipótese de adoção da inversão de fases prevista no </w:t>
      </w:r>
      <w:hyperlink r:id="rId42" w:tooltip="http://www.planalto.gov.br/ccivil_03/_ato2019-2022/2021/lei/L14133.htm#art17§1" w:anchor="art17§1" w:history="1">
        <w:r>
          <w:rPr>
            <w:rStyle w:val="875"/>
            <w:rFonts w:ascii="Cambria" w:hAnsi="Cambria" w:cs="Cambria"/>
            <w:i w:val="0"/>
            <w:iCs w:val="0"/>
            <w:color w:val="000000" w:themeColor="text1"/>
            <w:sz w:val="18"/>
            <w:szCs w:val="18"/>
            <w:u w:val="none"/>
          </w:rPr>
          <w:t xml:space="preserve">§ 1º do art. 17 da Lei nº 14.133, de 2021</w:t>
        </w:r>
      </w:hyperlink>
      <w:r>
        <w:rPr>
          <w:rFonts w:ascii="Cambria" w:hAnsi="Cambria" w:cs="Cambria"/>
          <w:i w:val="0"/>
          <w:iCs w:val="0"/>
          <w:color w:val="000000" w:themeColor="text1"/>
          <w:sz w:val="18"/>
          <w:szCs w:val="18"/>
        </w:rPr>
        <w:t xml:space="preserve">, o prazo para apresentação das razões recursais será iniciado na data de intimação da ata de julgamento.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deverão ser encaminhados exclusivamente em campo próprio do sistema.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será dirigido à autoridade que tiver editado o ato ou proferido a decisão</w:t>
      </w:r>
      <w:r>
        <w:rPr>
          <w:rFonts w:ascii="Cambria" w:hAnsi="Cambria" w:cs="Cambria"/>
          <w:i w:val="0"/>
          <w:iCs w:val="0"/>
          <w:color w:val="000000" w:themeColor="text1"/>
          <w:sz w:val="18"/>
          <w:szCs w:val="18"/>
        </w:rPr>
        <w:t xml:space="preserve"> recorrida, a qual poderá reconsiderar sua decisão no prazo de 03 (três) dias úteis, ou, nesse mesmo prazo, encaminhar recurso para a autoridade superior, a qual deverá proferir sua decisão no </w:t>
      </w:r>
      <w:r>
        <w:rPr>
          <w:rFonts w:ascii="Cambria" w:hAnsi="Cambria" w:cs="Cambria"/>
          <w:i w:val="0"/>
          <w:iCs w:val="0"/>
          <w:color w:val="000000" w:themeColor="text1"/>
          <w:sz w:val="18"/>
          <w:szCs w:val="18"/>
        </w:rPr>
        <w:t xml:space="preserve">prazo de 10 (dez) dias úteis, contado do recebimento dos autos.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recursos interpostos fora do prazo não serão conhecidos.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prazo para apresen</w:t>
      </w:r>
      <w:r>
        <w:rPr>
          <w:rFonts w:ascii="Cambria" w:hAnsi="Cambria" w:cs="Cambria"/>
          <w:i w:val="0"/>
          <w:iCs w:val="0"/>
          <w:color w:val="000000" w:themeColor="text1"/>
          <w:sz w:val="18"/>
          <w:szCs w:val="18"/>
        </w:rPr>
        <w:t xml:space="preserve">tação de contrarrazões ao recurso pelos demais licitantes será de 03 (três) dias úteis, contados da data da intimação pessoal ou da divulgação da interposição do recurso, assegurada a vista imediata dos elementos indispensáveis à defesa de seus interesses.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acolhimento do recurso invalida tão somente os atos insuscetíveis de aproveitamento.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autos do processo permanecerão com vista franqueada aos interessados no sítio eletrônico </w:t>
      </w:r>
      <w:r>
        <w:rPr>
          <w:rFonts w:ascii="Cambria" w:hAnsi="Cambria" w:cs="Cambria"/>
          <w:i w:val="0"/>
          <w:iCs w:val="0"/>
          <w:color w:val="000000" w:themeColor="text1"/>
          <w:sz w:val="18"/>
          <w:szCs w:val="18"/>
        </w:rPr>
        <w:t xml:space="preserve">www.santabarbaradosul.rs.gov.br.</w:t>
      </w:r>
      <w:r>
        <w:rPr>
          <w:rFonts w:ascii="Cambria" w:hAnsi="Cambria" w:cs="Cambria"/>
          <w:sz w:val="16"/>
          <w:szCs w:val="16"/>
        </w:rPr>
      </w:r>
      <w:r/>
    </w:p>
    <w:p>
      <w:pPr>
        <w:pStyle w:val="1123"/>
        <w:numPr>
          <w:ilvl w:val="0"/>
          <w:numId w:val="0"/>
        </w:numPr>
        <w:ind w:left="999"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50" w:name="_Toc135469234"/>
      <w:r>
        <w:rPr>
          <w:rFonts w:ascii="Cambria" w:hAnsi="Cambria" w:cs="Cambria"/>
          <w:b/>
          <w:bCs/>
          <w:i w:val="0"/>
          <w:iCs w:val="0"/>
          <w:color w:val="000000" w:themeColor="text1"/>
          <w:sz w:val="18"/>
          <w:szCs w:val="18"/>
        </w:rPr>
        <w:t xml:space="preserve">DAS INFRAÇÕES ADMINISTRATIVAS E SANÇÕES</w:t>
      </w:r>
      <w:bookmarkEnd w:id="50"/>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Comete infração administrativa, nos termos da lei, o licitante que, com dolo ou culpa: </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1" w:name="_Ref114668085"/>
      <w:r>
        <w:rPr>
          <w:rFonts w:ascii="Cambria" w:hAnsi="Cambria" w:cs="Cambria"/>
          <w:i w:val="0"/>
          <w:iCs w:val="0"/>
          <w:color w:val="000000" w:themeColor="text1"/>
          <w:sz w:val="16"/>
          <w:szCs w:val="16"/>
        </w:rPr>
      </w:r>
      <w:bookmarkStart w:id="52" w:name="_Hlk114652595"/>
      <w:r>
        <w:rPr>
          <w:rFonts w:ascii="Cambria" w:hAnsi="Cambria" w:cs="Cambria"/>
          <w:i w:val="0"/>
          <w:iCs w:val="0"/>
          <w:color w:val="000000" w:themeColor="text1"/>
          <w:sz w:val="18"/>
          <w:szCs w:val="18"/>
        </w:rPr>
        <w:t xml:space="preserve">deixar de entregar a documentação exigida para o certame ou não entregar qualquer documento que tenha sido solicitado pelo/a pregoeiro/a durante o certame;</w:t>
      </w:r>
      <w:bookmarkEnd w:id="51"/>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3" w:name="_Ref114668108"/>
      <w:r>
        <w:rPr>
          <w:rFonts w:ascii="Cambria" w:hAnsi="Cambria" w:cs="Cambria"/>
          <w:i w:val="0"/>
          <w:iCs w:val="0"/>
          <w:color w:val="000000" w:themeColor="text1"/>
          <w:sz w:val="18"/>
          <w:szCs w:val="18"/>
        </w:rPr>
        <w:t xml:space="preserve">Salvo em decorrência de fato superveniente devidamente justificado, não mantiver a proposta em especial quando:</w:t>
      </w:r>
      <w:bookmarkEnd w:id="53"/>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Não enviar a proposta adequada ao último lance ofertado ou após a negociação;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Recusar-se a enviar o detalhamento da proposta quando exigível;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Pedir para ser desclassificado quando encerrada a etapa competitiva; ou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Deixar de apresentar amostra;</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Apresentar proposta ou amostra em desacordo com as especificações do edital; </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4" w:name="_Ref114668139"/>
      <w:r>
        <w:rPr>
          <w:rFonts w:ascii="Cambria" w:hAnsi="Cambria" w:cs="Cambria"/>
          <w:i w:val="0"/>
          <w:iCs w:val="0"/>
          <w:color w:val="000000" w:themeColor="text1"/>
          <w:sz w:val="18"/>
          <w:szCs w:val="18"/>
        </w:rPr>
        <w:t xml:space="preserve">Não celebrar o contrato ou não entregar a documentação exigida para a contratação, quando convocado dentro do prazo de validade de sua proposta;</w:t>
      </w:r>
      <w:bookmarkEnd w:id="54"/>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Recusar-se, sem justificativa, a assinar o contrato ou a ata de registro de preço, ou a aceitar ou retirar o instrumento equivalente no prazo estabelecido pela Administração;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5" w:name="_Ref114668249"/>
      <w:r>
        <w:rPr>
          <w:rFonts w:ascii="Cambria" w:hAnsi="Cambria" w:cs="Cambria"/>
          <w:i w:val="0"/>
          <w:iCs w:val="0"/>
          <w:color w:val="000000" w:themeColor="text1"/>
          <w:sz w:val="18"/>
          <w:szCs w:val="18"/>
        </w:rPr>
        <w:t xml:space="preserve">Apresentar declaração ou documentação falsa exigida para o certame ou prestar declaração falsa durante a licitação</w:t>
      </w:r>
      <w:bookmarkEnd w:id="55"/>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6" w:name="_Ref114668245"/>
      <w:r>
        <w:rPr>
          <w:rFonts w:ascii="Cambria" w:hAnsi="Cambria" w:cs="Cambria"/>
          <w:i w:val="0"/>
          <w:iCs w:val="0"/>
          <w:color w:val="000000" w:themeColor="text1"/>
          <w:sz w:val="18"/>
          <w:szCs w:val="18"/>
        </w:rPr>
        <w:t xml:space="preserve">Fraudar a licitação</w:t>
      </w:r>
      <w:bookmarkEnd w:id="56"/>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7" w:name="_Ref114668247"/>
      <w:r>
        <w:rPr>
          <w:rFonts w:ascii="Cambria" w:hAnsi="Cambria" w:cs="Cambria"/>
          <w:i w:val="0"/>
          <w:iCs w:val="0"/>
          <w:color w:val="000000" w:themeColor="text1"/>
          <w:sz w:val="18"/>
          <w:szCs w:val="18"/>
        </w:rPr>
        <w:t xml:space="preserve">Comportar-se de modo inidôneo ou cometer fraude de qualquer natureza, em especial quando:</w:t>
      </w:r>
      <w:bookmarkEnd w:id="57"/>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Agir em conluio ou em desconformidade com a lei;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Induzir deliberadamente a erro no julgamento;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   Apresentar amostra falsificada ou deteriorada; </w:t>
      </w:r>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58" w:name="_Ref114668251"/>
      <w:r>
        <w:rPr>
          <w:rFonts w:ascii="Cambria" w:hAnsi="Cambria" w:cs="Cambria"/>
          <w:i w:val="0"/>
          <w:iCs w:val="0"/>
          <w:color w:val="000000" w:themeColor="text1"/>
          <w:sz w:val="18"/>
          <w:szCs w:val="18"/>
        </w:rPr>
        <w:t xml:space="preserve">Praticar atos ilícitos com vistas a frustrar os objetivos da licitação</w:t>
      </w:r>
      <w:bookmarkEnd w:id="58"/>
      <w:r>
        <w:rPr>
          <w:rFonts w:ascii="Cambria" w:hAnsi="Cambria" w:cs="Cambria"/>
          <w:sz w:val="16"/>
          <w:szCs w:val="16"/>
        </w:rPr>
      </w:r>
      <w:r/>
    </w:p>
    <w:p>
      <w:pPr>
        <w:pStyle w:val="1123"/>
        <w:numPr>
          <w:ilvl w:val="3"/>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6"/>
          <w:szCs w:val="16"/>
        </w:rPr>
      </w:r>
      <w:bookmarkStart w:id="59" w:name="_Ref114668252"/>
      <w:r>
        <w:rPr>
          <w:rFonts w:ascii="Cambria" w:hAnsi="Cambria" w:cs="Cambria"/>
          <w:i w:val="0"/>
          <w:iCs w:val="0"/>
          <w:color w:val="000000" w:themeColor="text1"/>
          <w:sz w:val="18"/>
          <w:szCs w:val="18"/>
        </w:rPr>
        <w:t xml:space="preserve">Praticar ato lesivo previsto no </w:t>
      </w:r>
      <w:hyperlink r:id="rId43" w:tooltip="https://www.planalto.gov.br/ccivil_03/_ato2011-2014/2013/lei/l12846.htm#art5" w:anchor="art5" w:history="1">
        <w:r>
          <w:rPr>
            <w:rStyle w:val="875"/>
            <w:rFonts w:ascii="Cambria" w:hAnsi="Cambria" w:cs="Cambria"/>
            <w:i w:val="0"/>
            <w:iCs w:val="0"/>
            <w:color w:val="000000" w:themeColor="text1"/>
            <w:sz w:val="18"/>
            <w:szCs w:val="18"/>
            <w:u w:val="none"/>
          </w:rPr>
          <w:t xml:space="preserve">art. 5º da Lei n.º 12.846, de 2013</w:t>
        </w:r>
      </w:hyperlink>
      <w:r>
        <w:rPr>
          <w:rFonts w:ascii="Cambria" w:hAnsi="Cambria" w:cs="Cambria"/>
          <w:i w:val="0"/>
          <w:iCs w:val="0"/>
          <w:color w:val="000000" w:themeColor="text1"/>
          <w:sz w:val="18"/>
          <w:szCs w:val="18"/>
        </w:rPr>
        <w:t xml:space="preserve">.</w:t>
      </w:r>
      <w:bookmarkEnd w:id="52"/>
      <w:r>
        <w:rPr>
          <w:rFonts w:ascii="Cambria" w:hAnsi="Cambria" w:cs="Cambria"/>
          <w:i w:val="0"/>
          <w:iCs w:val="0"/>
          <w:color w:val="000000" w:themeColor="text1"/>
          <w:sz w:val="16"/>
          <w:szCs w:val="16"/>
        </w:rPr>
      </w:r>
      <w:bookmarkEnd w:id="59"/>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Com fulcro na </w:t>
      </w:r>
      <w:hyperlink r:id="rId44" w:tooltip="http://www.planalto.gov.br/ccivil_03/_ato2019-2022/2021/lei/L14133.htm" w:history="1">
        <w:r>
          <w:rPr>
            <w:rStyle w:val="875"/>
            <w:rFonts w:ascii="Cambria" w:hAnsi="Cambria" w:cs="Cambria"/>
            <w:i w:val="0"/>
            <w:iCs w:val="0"/>
            <w:color w:val="000000" w:themeColor="text1"/>
            <w:sz w:val="18"/>
            <w:szCs w:val="18"/>
          </w:rPr>
          <w:t xml:space="preserve">Lei nº 14.133, de 2021</w:t>
        </w:r>
      </w:hyperlink>
      <w:r>
        <w:rPr>
          <w:rFonts w:ascii="Cambria" w:hAnsi="Cambria" w:cs="Cambria"/>
          <w:i w:val="0"/>
          <w:iCs w:val="0"/>
          <w:color w:val="000000" w:themeColor="text1"/>
          <w:sz w:val="18"/>
          <w:szCs w:val="18"/>
        </w:rPr>
        <w:t xml:space="preserve">, a Administração poderá, garantida a prévia defesa, aplicar aos licitantes e/ou adjudicatários as seguintes sanções, sem prejuízo das responsabilidades civil e criminal: </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Advertência;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Multa;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Impedimento de licitar e contratar 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Declaração de inidoneidade para licitar ou contratar, enquanto perdurarem os motivos determinantes da punição ou até que seja promovida sua reabilitação perante a própria autoridade que aplicou a penalidade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das sanções serão considerados: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natureza e a gravidade da infração cometida.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peculiaridades do caso concreto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circunstâncias agravantes ou atenuantes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danos que dela provierem para a Administração Pública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implantação ou o aperfeiçoamento de programa de integridade, conforme normas e orientações dos órgãos de controle.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multa será recolhida em percentual de 30% incidente sobre o valor do contrato licitado, recolhida no prazo máximo de 05 (dias)</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úteis, a contar da comunicação oficial. </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6"/>
          <w:szCs w:val="16"/>
        </w:rPr>
      </w:r>
      <w:bookmarkStart w:id="60" w:name="_Hlk113876035"/>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w:t>
      </w:r>
      <w:r>
        <w:rPr>
          <w:rFonts w:ascii="Cambria" w:hAnsi="Cambria" w:cs="Cambria"/>
          <w:i w:val="0"/>
          <w:iCs w:val="0"/>
          <w:color w:val="000000" w:themeColor="text1"/>
          <w:sz w:val="18"/>
          <w:szCs w:val="18"/>
        </w:rPr>
        <w:t xml:space="preserve">e 15%</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bookmarkEnd w:id="60"/>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Para as infrações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a multa será de </w:t>
      </w:r>
      <w:r>
        <w:rPr>
          <w:rFonts w:ascii="Cambria" w:hAnsi="Cambria" w:cs="Cambria"/>
          <w:i w:val="0"/>
          <w:iCs w:val="0"/>
          <w:color w:val="000000" w:themeColor="text1"/>
          <w:sz w:val="18"/>
          <w:szCs w:val="18"/>
        </w:rPr>
        <w:t xml:space="preserve">30%</w:t>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do valor do contrato licitado.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sanções de advertência, impedimento de licitar e contratar e declaração de inidoneidade para licitar ou contratar poderão ser aplicadas, cumulativamente ou não, à penalidade de multa</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aplicação da sanção de multa será facultada a defesa do interessado no prazo de 15 (quinze) dias úteis, contado da data de sua intimação.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sanção de impedimento de licitar e contratar será aplicada ao responsável em decorrência das infrações administrativas relacionadas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t xml:space="preserve">quando não se justificar a imposição de penalidade mais grave, e impedirá o responsável de licitar e contratar no âmbito da Administração Pública direta e indireta do ente federativo a qual pertencer o órgão ou entidade, pelo prazo máximo de 3 (três) anos.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Poderá ser aplicada ao responsável a sanção de declaração de inidoneidade para licitar ou contratar, em decorrência da prática das infrações dispostas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12.1.4</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12.1.5</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_Ref114668247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12.1.6</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_Ref114668251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12.1.7</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_Ref114668252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12.1.8</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bem como pelas infrações administrativas previstas nos itens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_Ref114668085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12.1.1</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_Ref114668108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12.1.2</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e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que justifiquem a imposição de penalidade mais grave que a sanção de impedimento de licitar e contratar, cuja duração observará o prazo previsto no </w:t>
      </w:r>
      <w:hyperlink r:id="rId45" w:tooltip="http://www.planalto.gov.br/ccivil_03/_ato2019-2022/2021/lei/L14133.htm#art156§5" w:anchor="art156§5" w:history="1">
        <w:r>
          <w:rPr>
            <w:rStyle w:val="875"/>
            <w:rFonts w:ascii="Cambria" w:hAnsi="Cambria" w:cs="Cambria"/>
            <w:i w:val="0"/>
            <w:iCs w:val="0"/>
            <w:color w:val="000000" w:themeColor="text1"/>
            <w:sz w:val="18"/>
            <w:szCs w:val="18"/>
            <w:u w:val="none"/>
          </w:rPr>
          <w:t xml:space="preserve">art. 156, §5º, da Lei n.º 14.133/2021</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recusa injustificada do adjudicatário em assinar o contrato ou a ata de registro de preço, ou em aceitar ou retirar o instrumento equivalente no prazo estabelecido pela Administração, descrita no item </w:t>
      </w:r>
      <w:r>
        <w:rPr>
          <w:rFonts w:ascii="Cambria" w:hAnsi="Cambria" w:cs="Cambria"/>
          <w:i w:val="0"/>
          <w:iCs w:val="0"/>
          <w:color w:val="000000" w:themeColor="text1"/>
          <w:sz w:val="18"/>
          <w:szCs w:val="18"/>
        </w:rPr>
        <w:fldChar w:fldCharType="begin"/>
      </w:r>
      <w:r>
        <w:rPr>
          <w:rFonts w:ascii="Cambria" w:hAnsi="Cambria" w:cs="Cambria"/>
          <w:i w:val="0"/>
          <w:iCs w:val="0"/>
          <w:color w:val="000000" w:themeColor="text1"/>
          <w:sz w:val="18"/>
          <w:szCs w:val="18"/>
        </w:rPr>
        <w:instrText xml:space="preserve"> REF _Ref114668139 \r \h  \* MERGEFORMAT </w:instrText>
      </w:r>
      <w:r>
        <w:rPr>
          <w:rFonts w:ascii="Cambria" w:hAnsi="Cambria" w:cs="Cambria"/>
          <w:i w:val="0"/>
          <w:iCs w:val="0"/>
          <w:color w:val="000000" w:themeColor="text1"/>
          <w:sz w:val="18"/>
          <w:szCs w:val="18"/>
        </w:rPr>
        <w:fldChar w:fldCharType="separate"/>
      </w:r>
      <w:r>
        <w:rPr>
          <w:rFonts w:ascii="Cambria" w:hAnsi="Cambria" w:cs="Cambria"/>
          <w:i w:val="0"/>
          <w:iCs w:val="0"/>
          <w:color w:val="000000" w:themeColor="text1"/>
          <w:sz w:val="18"/>
          <w:szCs w:val="18"/>
        </w:rPr>
        <w:t xml:space="preserve">12.1.3</w:t>
      </w:r>
      <w:r>
        <w:rPr>
          <w:rFonts w:ascii="Cambria" w:hAnsi="Cambria" w:cs="Cambria"/>
          <w:i w:val="0"/>
          <w:iCs w:val="0"/>
          <w:color w:val="000000" w:themeColor="text1"/>
          <w:sz w:val="18"/>
          <w:szCs w:val="18"/>
        </w:rPr>
        <w:fldChar w:fldCharType="end"/>
      </w:r>
      <w:r>
        <w:rPr>
          <w:rFonts w:ascii="Cambria" w:hAnsi="Cambria" w:cs="Cambria"/>
          <w:i w:val="0"/>
          <w:iCs w:val="0"/>
          <w:color w:val="000000" w:themeColor="text1"/>
          <w:sz w:val="18"/>
          <w:szCs w:val="18"/>
        </w:rPr>
        <w:t xml:space="preserve">, caracterizará o descumprimento total da obrigação assumida e o sujeitará às penalidades e à imediata perda da garantia de proposta em favor do órgão ou entidade promotora da licitação.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apuração de </w:t>
      </w:r>
      <w:r>
        <w:rPr>
          <w:rFonts w:ascii="Cambria" w:hAnsi="Cambria" w:cs="Cambria"/>
          <w:i w:val="0"/>
          <w:iCs w:val="0"/>
          <w:color w:val="000000" w:themeColor="text1"/>
          <w:sz w:val="18"/>
          <w:szCs w:val="18"/>
        </w:rPr>
        <w:t xml:space="preserve">responsabilidade relacionadas às sanções de impedimento de licitar e contratar e de declaração de inidoneidade para licitar ou contratar demandará a instauração de processo de responsabilização a ser conduzido por comissão composta por 2 (dois) ou mais ser</w:t>
      </w:r>
      <w:r>
        <w:rPr>
          <w:rFonts w:ascii="Cambria" w:hAnsi="Cambria" w:cs="Cambria"/>
          <w:i w:val="0"/>
          <w:iCs w:val="0"/>
          <w:color w:val="000000" w:themeColor="text1"/>
          <w:sz w:val="18"/>
          <w:szCs w:val="18"/>
        </w:rPr>
        <w:t xml:space="preserve">vidores estáveis, que avaliará fatos e circunstâncias conhecidos e intimará o licitante ou o adjudicatário para, no prazo de 15 (quinze) dias úteis, contado da data de sua intimação, apresentar defesa escrita e especificar as provas que pretenda produzir.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recurso no prazo de 15 (quinze) dias úteis da aplicação das sanções de advertência, multa e impedimento de licitar e contratar, contado da data da intimação, o qual será dirigido à autoridade que tiver profer</w:t>
      </w:r>
      <w:r>
        <w:rPr>
          <w:rFonts w:ascii="Cambria" w:hAnsi="Cambria" w:cs="Cambria"/>
          <w:i w:val="0"/>
          <w:iCs w:val="0"/>
          <w:color w:val="000000" w:themeColor="text1"/>
          <w:sz w:val="18"/>
          <w:szCs w:val="18"/>
        </w:rPr>
        <w:t xml:space="preserve">ido a decisão recorrida, que, se não a reconsiderar no prazo de 5 (cinco) dias úteis, encaminhará o recurso com sua motivação à autoridade superior, que deverá proferir sua decisão no prazo máximo de 20 (vinte) dias úteis, contado do recebimento dos autos.</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Caberá a apresentaç</w:t>
      </w:r>
      <w:r>
        <w:rPr>
          <w:rFonts w:ascii="Cambria" w:hAnsi="Cambria" w:cs="Cambria"/>
          <w:i w:val="0"/>
          <w:iCs w:val="0"/>
          <w:color w:val="000000" w:themeColor="text1"/>
          <w:sz w:val="18"/>
          <w:szCs w:val="18"/>
        </w:rPr>
        <w:t xml:space="preserve">ão de pedido de reconsideração da aplicação da sanção de declaração de inidoneidade para licitar ou contratar no prazo de 15 (quinze) dias úteis, contado da data da intimação, e decidido no prazo máximo de 20 (vinte) dias úteis, contado do seu recebimento.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recurso e o pedido de reconsideração terão efeito suspensivo do ato ou da decisão recorrida até que sobrevenha decisão final da autoridade competente.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aplicação das sanções previstas neste edital não exclui, em hipótese alguma, a obrigação de reparação integral dos danos causados</w:t>
      </w:r>
      <w:r>
        <w:rPr>
          <w:rFonts w:ascii="Cambria" w:hAnsi="Cambria" w:cs="Cambria"/>
          <w:sz w:val="18"/>
          <w:szCs w:val="18"/>
        </w:rPr>
        <w:t xml:space="preserve">.</w:t>
      </w:r>
      <w:r>
        <w:rPr>
          <w:rFonts w:ascii="Cambria" w:hAnsi="Cambria" w:cs="Cambria"/>
          <w:sz w:val="16"/>
          <w:szCs w:val="16"/>
        </w:rPr>
      </w:r>
      <w:r/>
    </w:p>
    <w:p>
      <w:pPr>
        <w:pStyle w:val="1123"/>
        <w:numPr>
          <w:ilvl w:val="0"/>
          <w:numId w:val="0"/>
        </w:numPr>
        <w:ind w:left="0" w:firstLine="0"/>
        <w:spacing w:before="0" w:after="0" w:line="240" w:lineRule="auto"/>
        <w:rPr>
          <w:rFonts w:ascii="Cambria" w:hAnsi="Cambria" w:cs="Cambria"/>
          <w:sz w:val="18"/>
          <w:szCs w:val="18"/>
        </w:rPr>
      </w:pPr>
      <w:r>
        <w:rPr>
          <w:rFonts w:ascii="Cambria" w:hAnsi="Cambria" w:cs="Cambria"/>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b/>
          <w:bCs/>
          <w:i w:val="0"/>
          <w:iCs w:val="0"/>
          <w:color w:val="000000" w:themeColor="text1"/>
          <w:sz w:val="16"/>
          <w:szCs w:val="16"/>
        </w:rPr>
      </w:r>
      <w:bookmarkStart w:id="61" w:name="_Toc135469235"/>
      <w:r>
        <w:rPr>
          <w:rFonts w:ascii="Cambria" w:hAnsi="Cambria" w:cs="Cambria"/>
          <w:b/>
          <w:bCs/>
          <w:i w:val="0"/>
          <w:iCs w:val="0"/>
          <w:color w:val="000000" w:themeColor="text1"/>
          <w:sz w:val="18"/>
          <w:szCs w:val="18"/>
        </w:rPr>
        <w:t xml:space="preserve">DA IMPUGNAÇÃO AO EDITAL E DO PEDIDO DE ESCLARECIMENTO</w:t>
      </w:r>
      <w:bookmarkEnd w:id="61"/>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i w:val="0"/>
          <w:iCs w:val="0"/>
          <w:color w:val="000000" w:themeColor="text1"/>
          <w:sz w:val="18"/>
          <w:szCs w:val="18"/>
        </w:rPr>
      </w:r>
      <w:r>
        <w:rPr>
          <w:rFonts w:ascii="Cambria" w:hAnsi="Cambria" w:cs="Cambria"/>
          <w:i w:val="0"/>
          <w:iCs w:val="0"/>
          <w:color w:val="000000" w:themeColor="text1"/>
          <w:sz w:val="18"/>
          <w:szCs w:val="18"/>
        </w:rPr>
        <w:t xml:space="preserve">Qualquer pessoa é parte legítima para impugnar este Edital por irregularidade na aplicação da </w:t>
      </w:r>
      <w:hyperlink r:id="rId46" w:tooltip="http://www.planalto.gov.br/ccivil_03/_ato2019-2022/2021/lei/L14133.htm" w:history="1">
        <w:r>
          <w:rPr>
            <w:rStyle w:val="875"/>
            <w:rFonts w:ascii="Cambria" w:hAnsi="Cambria" w:cs="Cambria"/>
            <w:i w:val="0"/>
            <w:iCs w:val="0"/>
            <w:color w:val="000000" w:themeColor="text1"/>
            <w:sz w:val="18"/>
            <w:szCs w:val="18"/>
            <w:u w:val="none"/>
          </w:rPr>
          <w:t xml:space="preserve">Lei nº 14.133, de 2021</w:t>
        </w:r>
      </w:hyperlink>
      <w:r>
        <w:rPr>
          <w:rFonts w:ascii="Cambria" w:hAnsi="Cambria" w:cs="Cambria"/>
          <w:i w:val="0"/>
          <w:iCs w:val="0"/>
          <w:color w:val="000000" w:themeColor="text1"/>
          <w:sz w:val="18"/>
          <w:szCs w:val="18"/>
        </w:rPr>
        <w:t xml:space="preserve">, devendo protocolar o pedido até 3 (três) dias úteis antes da data da abertura do certame.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resposta à impugnação ou ao pedido de esclarecimento será divulgado em sítio eletrônico oficial no prazo de até 3 (três) dias úteis, limitado ao último dia útil anterior à data da abertura do certame.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impugnação e o pedido de esclarecimento poderão ser realizados por forma eletrônica, </w:t>
      </w:r>
      <w:r>
        <w:rPr>
          <w:rFonts w:ascii="Cambria" w:hAnsi="Cambria" w:cs="Cambria"/>
          <w:i w:val="0"/>
          <w:iCs w:val="0"/>
          <w:color w:val="000000" w:themeColor="text1"/>
          <w:sz w:val="18"/>
          <w:szCs w:val="18"/>
        </w:rPr>
        <w:t xml:space="preserve">pelos seguintes meios</w:t>
      </w:r>
      <w:r>
        <w:rPr>
          <w:rFonts w:ascii="Cambria" w:hAnsi="Cambria" w:cs="Cambria"/>
          <w:i w:val="0"/>
          <w:iCs w:val="0"/>
          <w:color w:val="000000" w:themeColor="text1"/>
          <w:sz w:val="18"/>
          <w:szCs w:val="18"/>
        </w:rPr>
        <w:t xml:space="preserve">: </w:t>
      </w:r>
      <w:hyperlink r:id="rId47" w:tooltip="http://licita@santabarbaradosul.rs.gov.br" w:history="1">
        <w:r>
          <w:rPr>
            <w:rStyle w:val="875"/>
            <w:rFonts w:ascii="Cambria" w:hAnsi="Cambria" w:cs="Cambria"/>
            <w:i w:val="0"/>
            <w:iCs w:val="0"/>
            <w:color w:val="000000" w:themeColor="text1"/>
            <w:sz w:val="18"/>
            <w:szCs w:val="18"/>
          </w:rPr>
          <w:t xml:space="preserve">licita@santabarbaradosul.rs.gov.br</w:t>
        </w:r>
      </w:hyperlink>
      <w:r>
        <w:rPr>
          <w:rFonts w:ascii="Cambria" w:hAnsi="Cambria" w:cs="Cambria"/>
          <w:i w:val="0"/>
          <w:iCs w:val="0"/>
          <w:color w:val="000000" w:themeColor="text1"/>
          <w:sz w:val="18"/>
          <w:szCs w:val="18"/>
        </w:rPr>
        <w:t xml:space="preserve"> ou https://pregaobanrisul.com.br/.</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impugnações e pedidos de esclarecimentos não suspendem os prazos previstos no certame.</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concessão de efeito suspensivo à impugnação é medida excepcional e deverá ser motivada pelo agente de contratação, nos autos do processo de licitação.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Acolhida a impugnação, será definida e publicada nova data para a realização do certame.</w:t>
      </w:r>
      <w:r>
        <w:rPr>
          <w:rFonts w:ascii="Cambria" w:hAnsi="Cambria" w:cs="Cambria"/>
          <w:sz w:val="16"/>
          <w:szCs w:val="16"/>
        </w:rPr>
      </w:r>
      <w:r/>
    </w:p>
    <w:p>
      <w:pPr>
        <w:pStyle w:val="1123"/>
        <w:numPr>
          <w:ilvl w:val="0"/>
          <w:numId w:val="0"/>
        </w:numPr>
        <w:ind w:left="0" w:firstLine="0"/>
        <w:spacing w:before="0" w:after="0" w:line="240" w:lineRule="auto"/>
        <w:rPr>
          <w:rFonts w:ascii="Cambria" w:hAnsi="Cambria" w:cs="Cambria"/>
          <w:b/>
          <w:bCs w:val="0"/>
          <w:i w:val="0"/>
          <w:color w:val="000000" w:themeColor="text1"/>
          <w:sz w:val="18"/>
          <w:szCs w:val="18"/>
        </w:rPr>
      </w:pPr>
      <w:r>
        <w:rPr>
          <w:rFonts w:ascii="Cambria" w:hAnsi="Cambria" w:cs="Cambria"/>
          <w:b/>
          <w:bCs w:val="0"/>
          <w:i w:val="0"/>
          <w:color w:val="000000" w:themeColor="text1"/>
          <w:sz w:val="18"/>
          <w:szCs w:val="18"/>
          <w:highlight w:val="none"/>
        </w:rPr>
      </w:r>
      <w:r>
        <w:rPr>
          <w:rFonts w:ascii="Cambria" w:hAnsi="Cambria" w:cs="Cambria"/>
          <w:sz w:val="16"/>
          <w:szCs w:val="16"/>
        </w:rPr>
      </w:r>
      <w:r/>
    </w:p>
    <w:p>
      <w:pPr>
        <w:pStyle w:val="1123"/>
        <w:numPr>
          <w:ilvl w:val="0"/>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bookmarkStart w:id="62" w:name="_Toc135469236"/>
      <w:r>
        <w:rPr>
          <w:rFonts w:ascii="Cambria" w:hAnsi="Cambria" w:cs="Cambria"/>
          <w:b/>
          <w:bCs/>
          <w:i w:val="0"/>
          <w:iCs w:val="0"/>
          <w:color w:val="000000" w:themeColor="text1"/>
          <w:sz w:val="18"/>
          <w:szCs w:val="18"/>
        </w:rPr>
        <w:t xml:space="preserve">DAS DISPOSIÇÕES GERAIS</w:t>
      </w:r>
      <w:bookmarkEnd w:id="62"/>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b/>
          <w:bCs w:val="0"/>
          <w:i w:val="0"/>
          <w:iCs w:val="0"/>
          <w:color w:val="000000" w:themeColor="text1"/>
          <w:sz w:val="18"/>
          <w:szCs w:val="18"/>
        </w:rPr>
      </w:r>
      <w:r>
        <w:rPr>
          <w:rFonts w:ascii="Cambria" w:hAnsi="Cambria" w:cs="Cambria"/>
          <w:i w:val="0"/>
          <w:iCs w:val="0"/>
          <w:color w:val="000000" w:themeColor="text1"/>
          <w:sz w:val="18"/>
          <w:szCs w:val="18"/>
        </w:rPr>
        <w:t xml:space="preserve">Será divulgada ata da sessão pública no sistema eletrônico.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Não havendo expediente ou ocorrendo qualquer </w:t>
      </w:r>
      <w:r>
        <w:rPr>
          <w:rFonts w:ascii="Cambria" w:hAnsi="Cambria" w:cs="Cambria"/>
          <w:i w:val="0"/>
          <w:iCs w:val="0"/>
          <w:color w:val="000000" w:themeColor="text1"/>
          <w:sz w:val="18"/>
          <w:szCs w:val="18"/>
        </w:rPr>
        <w:t xml:space="preserve">fato superveniente que impeça a realização do certame na data marcada, a sessão será automaticamente transferida para o primeiro dia útil subsequente, no mesmo horário anteriormente estabelecido, desde que não haja comunicação em contrário, pelo Pregoeiro.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Todas as referências de tempo no Edital, no aviso e durante a sessão pública observarão o horário de Brasília/ DF.</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 homologação do resultado desta licitação não implicará direito à contratação.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Os licitantes assumem todos os custos de preparação e apresentação de suas propostas e a Administração não será, em nenhum caso, responsável por esses custos, independentemente da condução ou do resultado do processo licitatório.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Na contagem dos prazos estabelecidos neste Edital e seus Anexos, excluir-se-á o dia do início e incluir-se-á o do vencimento. Só se iniciam e vencem os prazos em dias de expediente na Administração.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desatendimento de exigências formais não essenciais não importará o afastamento do licitante, desde que seja possível o aproveitamento do ato, observados os princípios da isonomia e do interesse público.</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Em caso de divergência entre disposições deste Edital e de seus anexos ou demais peças que compõem o processo, prevalecerá as deste Edital.</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O Edital e seus anexos estão disponíveis, na íntegra, no Portal Nacional de Contratações Públicas (PNCP) e endereço eletrônico </w:t>
      </w:r>
      <w:hyperlink r:id="rId48" w:tooltip="http://www.santabarbaradosul.rs.gov.br" w:history="1">
        <w:r>
          <w:rPr>
            <w:rStyle w:val="875"/>
            <w:rFonts w:ascii="Cambria" w:hAnsi="Cambria" w:cs="Cambria"/>
            <w:i w:val="0"/>
            <w:iCs w:val="0"/>
            <w:color w:val="000000" w:themeColor="text1"/>
            <w:sz w:val="18"/>
            <w:szCs w:val="18"/>
          </w:rPr>
          <w:t xml:space="preserve">www.santabarbaradosul.rs.gov.br</w:t>
        </w:r>
      </w:hyperlink>
      <w:r>
        <w:rPr>
          <w:rFonts w:ascii="Cambria" w:hAnsi="Cambria" w:cs="Cambria"/>
          <w:i w:val="0"/>
          <w:iCs w:val="0"/>
          <w:color w:val="000000" w:themeColor="text1"/>
          <w:sz w:val="18"/>
          <w:szCs w:val="18"/>
        </w:rPr>
        <w:t xml:space="preserve">.</w:t>
      </w:r>
      <w:r>
        <w:rPr>
          <w:rFonts w:ascii="Cambria" w:hAnsi="Cambria" w:cs="Cambria"/>
          <w:sz w:val="16"/>
          <w:szCs w:val="16"/>
        </w:rPr>
      </w:r>
      <w:r/>
    </w:p>
    <w:p>
      <w:pPr>
        <w:pStyle w:val="1123"/>
        <w:numPr>
          <w:ilvl w:val="1"/>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Integram este Edital, para todos os fins e efeitos, os seguintes anexos:</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 - Termo de Referência.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Apêndice do Anexo I – Estudo Técnico Preliminar.</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highlight w:val="none"/>
        </w:rPr>
        <w:t xml:space="preserve">ANEXO II – Modelo Proposta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III – Minuta de Ata de Registro de Preço</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IV – Minuta Cadastro Reserva</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 – Extrato de Aviso de Edital</w:t>
      </w:r>
      <w:r>
        <w:rPr>
          <w:rFonts w:ascii="Cambria" w:hAnsi="Cambria" w:cs="Cambria"/>
          <w:sz w:val="16"/>
          <w:szCs w:val="16"/>
        </w:rPr>
      </w:r>
      <w:r/>
    </w:p>
    <w:p>
      <w:pPr>
        <w:pStyle w:val="1123"/>
        <w:numPr>
          <w:ilvl w:val="2"/>
          <w:numId w:val="2"/>
        </w:numPr>
        <w:ind w:left="999" w:hanging="432"/>
        <w:spacing w:before="0" w:after="0" w:line="240" w:lineRule="auto"/>
        <w:rPr>
          <w:rFonts w:ascii="Cambria" w:hAnsi="Cambria" w:cs="Cambria"/>
          <w:b/>
          <w:bCs w:val="0"/>
          <w:i w:val="0"/>
          <w:color w:val="000000" w:themeColor="text1"/>
          <w:sz w:val="18"/>
          <w:szCs w:val="18"/>
        </w:rPr>
      </w:pPr>
      <w:r>
        <w:rPr>
          <w:rFonts w:ascii="Cambria" w:hAnsi="Cambria" w:cs="Cambria"/>
          <w:i w:val="0"/>
          <w:iCs w:val="0"/>
          <w:color w:val="000000" w:themeColor="text1"/>
          <w:sz w:val="18"/>
          <w:szCs w:val="18"/>
        </w:rPr>
      </w:r>
      <w:r>
        <w:rPr>
          <w:rFonts w:ascii="Cambria" w:hAnsi="Cambria" w:cs="Cambria"/>
          <w:i w:val="0"/>
          <w:iCs w:val="0"/>
          <w:color w:val="000000" w:themeColor="text1"/>
          <w:sz w:val="18"/>
          <w:szCs w:val="18"/>
        </w:rPr>
        <w:t xml:space="preserve">ANEXO VI – Autorização Autoridade Competente</w:t>
      </w:r>
      <w:r>
        <w:rPr>
          <w:rFonts w:ascii="Cambria" w:hAnsi="Cambria" w:cs="Cambria"/>
          <w:sz w:val="16"/>
          <w:szCs w:val="16"/>
        </w:rPr>
      </w:r>
      <w:r/>
    </w:p>
    <w:p>
      <w:pPr>
        <w:jc w:val="both"/>
        <w:tabs>
          <w:tab w:val="left" w:pos="992" w:leader="none"/>
        </w:tabs>
        <w:rPr>
          <w:rFonts w:ascii="Cambria" w:hAnsi="Cambria" w:cs="Cambria"/>
          <w:sz w:val="18"/>
          <w:szCs w:val="18"/>
          <w:highlight w:val="cyan"/>
        </w:rPr>
      </w:pPr>
      <w:r>
        <w:rPr>
          <w:rFonts w:ascii="Cambria" w:hAnsi="Cambria" w:cs="Cambria"/>
          <w:sz w:val="18"/>
          <w:szCs w:val="18"/>
          <w:highlight w:val="cyan"/>
        </w:rPr>
      </w:r>
      <w:r>
        <w:rPr>
          <w:rFonts w:ascii="Cambria" w:hAnsi="Cambria" w:cs="Cambria"/>
          <w:sz w:val="20"/>
          <w:szCs w:val="20"/>
        </w:rPr>
      </w:r>
      <w:r/>
    </w:p>
    <w:p>
      <w:pPr>
        <w:jc w:val="center"/>
        <w:rPr>
          <w:rFonts w:ascii="Cambria" w:hAnsi="Cambria" w:cs="Cambria"/>
          <w:color w:val="000000"/>
          <w:sz w:val="18"/>
          <w:szCs w:val="18"/>
        </w:rPr>
      </w:pPr>
      <w:r>
        <w:rPr>
          <w:rFonts w:ascii="Cambria" w:hAnsi="Cambria" w:eastAsia="MS Mincho" w:cs="Cambria"/>
          <w:color w:val="000000"/>
          <w:sz w:val="18"/>
          <w:szCs w:val="18"/>
        </w:rPr>
        <w:t xml:space="preserve">.</w:t>
      </w:r>
      <w:r>
        <w:rPr>
          <w:rFonts w:ascii="Cambria" w:hAnsi="Cambria" w:cs="Cambria"/>
          <w:sz w:val="20"/>
          <w:szCs w:val="20"/>
        </w:rPr>
      </w:r>
      <w:r/>
    </w:p>
    <w:p>
      <w:pPr>
        <w:jc w:val="center"/>
        <w:rPr>
          <w:rFonts w:ascii="Cambria" w:hAnsi="Cambria" w:cs="Cambria"/>
          <w:sz w:val="18"/>
          <w:szCs w:val="18"/>
        </w:rPr>
      </w:pPr>
      <w:r>
        <w:rPr>
          <w:rFonts w:ascii="Cambria" w:hAnsi="Cambria" w:cs="Cambria"/>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right"/>
        <w:rPr>
          <w:rFonts w:ascii="Cambria" w:hAnsi="Cambria" w:cs="Cambria"/>
          <w:color w:val="000000"/>
          <w:sz w:val="18"/>
          <w:szCs w:val="18"/>
        </w:rPr>
      </w:pPr>
      <w:r>
        <w:rPr>
          <w:rFonts w:ascii="Cambria" w:hAnsi="Cambria" w:eastAsia="MS Mincho" w:cs="Cambria"/>
          <w:color w:val="000000"/>
          <w:sz w:val="18"/>
          <w:szCs w:val="18"/>
        </w:rPr>
        <w:t xml:space="preserve">Santa Bárbara do Sul, RS, 23 de fevereiro de 2024.</w:t>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ind w:firstLine="567"/>
        <w:jc w:val="center"/>
        <w:rPr>
          <w:rFonts w:ascii="Cambria" w:hAnsi="Cambria" w:cs="Cambria"/>
          <w:color w:val="000000"/>
          <w:sz w:val="18"/>
          <w:szCs w:val="18"/>
        </w:rPr>
      </w:pPr>
      <w:r>
        <w:rPr>
          <w:rFonts w:ascii="Cambria" w:hAnsi="Cambria" w:cs="Cambria"/>
          <w:color w:val="000000"/>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Mário Roberto Utzig Filho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t xml:space="preserve">Prefeito</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Eroni Barbosa</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eastAsia="MS Mincho" w:cs="Cambria"/>
          <w:color w:val="000000" w:themeColor="text1"/>
          <w:sz w:val="18"/>
          <w:szCs w:val="18"/>
        </w:rPr>
        <w:t xml:space="preserve">Assessora de Compras, Licitações e Contratos</w: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spacing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pStyle w:val="889"/>
        <w:jc w:val="center"/>
        <w:spacing w:line="312" w:lineRule="auto"/>
        <w:rPr>
          <w:rFonts w:ascii="Cambria" w:hAnsi="Cambria" w:cs="Cambria"/>
          <w:b/>
          <w:bCs/>
          <w:sz w:val="20"/>
          <w:szCs w:val="20"/>
        </w:rPr>
      </w:pPr>
      <w:r>
        <w:rPr>
          <w:rFonts w:ascii="Cambria" w:hAnsi="Cambria" w:cs="Cambria"/>
          <w:b/>
          <w:bCs/>
          <w:sz w:val="20"/>
          <w:szCs w:val="20"/>
        </w:rPr>
        <w:t xml:space="preserve">ANEXO I</w:t>
      </w:r>
      <w:r>
        <w:rPr>
          <w:rFonts w:ascii="Cambria" w:hAnsi="Cambria" w:cs="Cambria"/>
          <w:sz w:val="20"/>
          <w:szCs w:val="20"/>
        </w:rPr>
      </w:r>
      <w:r/>
    </w:p>
    <w:p>
      <w:pPr>
        <w:pStyle w:val="889"/>
        <w:jc w:val="center"/>
        <w:spacing w:line="312" w:lineRule="auto"/>
        <w:rPr>
          <w:rFonts w:ascii="Cambria" w:hAnsi="Cambria" w:cs="Cambria"/>
          <w:sz w:val="20"/>
          <w:szCs w:val="20"/>
        </w:rPr>
      </w:pPr>
      <w:r>
        <w:rPr>
          <w:rFonts w:ascii="Cambria" w:hAnsi="Cambria" w:cs="Cambria"/>
          <w:b/>
          <w:bCs/>
          <w:sz w:val="18"/>
          <w:szCs w:val="18"/>
        </w:rPr>
        <w:t xml:space="preserve">TERMO DE REFERÊNCIA</w:t>
      </w:r>
      <w:r>
        <w:rPr>
          <w:rFonts w:ascii="Cambria" w:hAnsi="Cambria" w:cs="Cambria"/>
          <w:sz w:val="20"/>
          <w:szCs w:val="20"/>
        </w:rPr>
      </w:r>
      <w:r/>
    </w:p>
    <w:p>
      <w:pPr>
        <w:pStyle w:val="889"/>
        <w:jc w:val="center"/>
        <w:spacing w:line="312" w:lineRule="auto"/>
        <w:rPr>
          <w:rFonts w:ascii="Cambria" w:hAnsi="Cambria" w:cs="Cambria"/>
          <w:sz w:val="20"/>
          <w:szCs w:val="20"/>
        </w:rPr>
      </w:pPr>
      <w:r>
        <w:rPr>
          <w:rFonts w:ascii="Cambria" w:hAnsi="Cambria" w:cs="Cambria"/>
          <w:b/>
          <w:bCs/>
          <w:sz w:val="18"/>
          <w:szCs w:val="18"/>
        </w:rPr>
      </w:r>
      <w:r>
        <w:rPr>
          <w:rFonts w:ascii="Cambria" w:hAnsi="Cambria" w:cs="Cambria"/>
          <w:b/>
          <w:sz w:val="18"/>
          <w:szCs w:val="18"/>
        </w:rPr>
        <w:t xml:space="preserve">AQUISIÇÃO DE FRALDAS E MATERIAIS DE HIGIENE PESSOAL</w:t>
      </w:r>
      <w:r>
        <w:rPr>
          <w:rFonts w:ascii="Cambria" w:hAnsi="Cambria" w:cs="Cambria"/>
          <w:sz w:val="20"/>
          <w:szCs w:val="20"/>
        </w:rPr>
      </w:r>
      <w:r/>
    </w:p>
    <w:p>
      <w:pPr>
        <w:jc w:val="center"/>
        <w:spacing w:line="312" w:lineRule="auto"/>
        <w:rPr>
          <w:rFonts w:ascii="Cambria" w:hAnsi="Cambria" w:cs="Cambria"/>
          <w:sz w:val="20"/>
          <w:szCs w:val="20"/>
        </w:rPr>
      </w:pPr>
      <w:r>
        <w:rPr>
          <w:rFonts w:ascii="Cambria" w:hAnsi="Cambria" w:cs="Cambria"/>
          <w:b/>
          <w:bCs/>
          <w:color w:val="000000"/>
          <w:sz w:val="18"/>
          <w:szCs w:val="18"/>
        </w:rPr>
        <w:t xml:space="preserve">(Processo Administrativo n°22/2024)</w:t>
      </w:r>
      <w:r>
        <w:rPr>
          <w:rFonts w:ascii="Cambria" w:hAnsi="Cambria" w:cs="Cambria"/>
          <w:sz w:val="20"/>
          <w:szCs w:val="20"/>
        </w:rPr>
      </w:r>
      <w:r/>
    </w:p>
    <w:p>
      <w:pPr>
        <w:pStyle w:val="1059"/>
        <w:numPr>
          <w:ilvl w:val="0"/>
          <w:numId w:val="0"/>
        </w:numPr>
        <w:spacing w:before="0" w:after="0"/>
        <w:rPr>
          <w:rFonts w:ascii="Cambria" w:hAnsi="Cambria" w:cs="Cambria"/>
          <w:sz w:val="16"/>
          <w:szCs w:val="16"/>
        </w:rPr>
      </w:pPr>
      <w:r>
        <w:rPr>
          <w:rFonts w:ascii="Cambria" w:hAnsi="Cambria" w:cs="Cambria"/>
          <w:sz w:val="18"/>
          <w:szCs w:val="18"/>
        </w:rPr>
        <w:t xml:space="preserve">1 - CONDIÇÕES GERAIS DA CONTRATAÇÃO</w:t>
      </w:r>
      <w:r>
        <w:rPr>
          <w:rFonts w:ascii="Cambria" w:hAnsi="Cambria" w:cs="Cambria"/>
          <w:sz w:val="16"/>
          <w:szCs w:val="16"/>
        </w:rPr>
      </w:r>
      <w:r/>
    </w:p>
    <w:p>
      <w:pPr>
        <w:pStyle w:val="889"/>
        <w:jc w:val="center"/>
        <w:spacing w:line="312" w:lineRule="auto"/>
        <w:rPr>
          <w:rFonts w:ascii="Cambria" w:hAnsi="Cambria" w:cs="Cambria"/>
          <w:sz w:val="20"/>
          <w:szCs w:val="20"/>
        </w:rPr>
      </w:pPr>
      <w:r>
        <w:rPr>
          <w:rFonts w:ascii="Cambria" w:hAnsi="Cambria" w:cs="Cambria"/>
          <w:sz w:val="18"/>
          <w:szCs w:val="18"/>
        </w:rPr>
        <w:t xml:space="preserve">1.1 – O objeto do presente termo é o </w:t>
      </w:r>
      <w:r>
        <w:rPr>
          <w:rFonts w:ascii="Cambria" w:hAnsi="Cambria" w:cs="Cambria"/>
          <w:b/>
          <w:sz w:val="18"/>
          <w:szCs w:val="18"/>
        </w:rPr>
        <w:t xml:space="preserve">REGISTRO DE PREÇOS PARA AQUISIÇÃO DE FRALDAS E MATERIAIS DE HIGIENE PESSOAL</w:t>
      </w:r>
      <w:r>
        <w:rPr>
          <w:rFonts w:ascii="Cambria" w:hAnsi="Cambria" w:cs="Cambria"/>
          <w:sz w:val="18"/>
          <w:szCs w:val="18"/>
        </w:rPr>
        <w:t xml:space="preserve">, nos termos da tabela abaixo, conforme condições e exigências estabelecidas neste instrumento.</w:t>
      </w:r>
      <w:r>
        <w:rPr>
          <w:rFonts w:ascii="Cambria" w:hAnsi="Cambria" w:cs="Cambria"/>
          <w:sz w:val="20"/>
          <w:szCs w:val="20"/>
        </w:rPr>
      </w:r>
      <w:r/>
    </w:p>
    <w:tbl>
      <w:tblPr>
        <w:tblStyle w:val="899"/>
        <w:tblW w:w="0" w:type="auto"/>
        <w:tblLayout w:type="fixed"/>
        <w:tblLook w:val="04A0" w:firstRow="1" w:lastRow="0" w:firstColumn="1" w:lastColumn="0" w:noHBand="0" w:noVBand="1"/>
      </w:tblPr>
      <w:tblGrid>
        <w:gridCol w:w="1143"/>
        <w:gridCol w:w="1154"/>
        <w:gridCol w:w="1955"/>
        <w:gridCol w:w="1701"/>
        <w:gridCol w:w="3685"/>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bottom"/>
            <w:textDirection w:val="lrTb"/>
            <w:noWrap w:val="false"/>
          </w:tcPr>
          <w:p>
            <w:pPr>
              <w:jc w:val="center"/>
              <w:rPr>
                <w:rFonts w:ascii="Cambria" w:hAnsi="Cambria" w:cs="Cambria"/>
                <w:b/>
                <w:bCs w:val="0"/>
                <w:i w:val="0"/>
                <w:strike w:val="0"/>
                <w:color w:val="000000"/>
                <w:sz w:val="12"/>
                <w:szCs w:val="12"/>
                <w:u w:val="none"/>
                <w:vertAlign w:val="baseline"/>
              </w:rPr>
            </w:pPr>
            <w:r>
              <w:rPr>
                <w:rFonts w:ascii="Cambria" w:hAnsi="Cambria" w:cs="Cambria"/>
                <w:b/>
                <w:bCs/>
                <w:i w:val="0"/>
                <w:iCs w:val="0"/>
                <w:strike w:val="0"/>
                <w:color w:val="000000"/>
                <w:sz w:val="12"/>
                <w:szCs w:val="12"/>
                <w:u w:val="none"/>
                <w:vertAlign w:val="baseline"/>
              </w:rPr>
              <w:t xml:space="preserve">Item</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textDirection w:val="lrTb"/>
            <w:noWrap w:val="false"/>
          </w:tcPr>
          <w:p>
            <w:pPr>
              <w:jc w:val="center"/>
              <w:rPr>
                <w:rFonts w:ascii="Cambria" w:hAnsi="Cambria" w:cs="Cambria"/>
                <w:sz w:val="12"/>
                <w:szCs w:val="12"/>
              </w:rPr>
            </w:pPr>
            <w:r>
              <w:rPr>
                <w:rFonts w:ascii="Cambria" w:hAnsi="Cambria" w:cs="Cambria"/>
                <w:sz w:val="12"/>
                <w:szCs w:val="12"/>
              </w:rPr>
              <w:t xml:space="preserve">Unid. Med.</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textDirection w:val="lrTb"/>
            <w:noWrap w:val="false"/>
          </w:tcPr>
          <w:p>
            <w:pPr>
              <w:jc w:val="center"/>
              <w:rPr>
                <w:rFonts w:ascii="Cambria" w:hAnsi="Cambria" w:cs="Cambria"/>
                <w:sz w:val="12"/>
                <w:szCs w:val="12"/>
              </w:rPr>
            </w:pPr>
            <w:r>
              <w:rPr>
                <w:rFonts w:ascii="Cambria" w:hAnsi="Cambria" w:cs="Cambria"/>
                <w:sz w:val="12"/>
                <w:szCs w:val="12"/>
              </w:rPr>
              <w:t xml:space="preserve">Valor Refêrencia</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textDirection w:val="lrTb"/>
            <w:noWrap w:val="false"/>
          </w:tcPr>
          <w:p>
            <w:pPr>
              <w:jc w:val="center"/>
              <w:rPr>
                <w:rFonts w:ascii="Cambria" w:hAnsi="Cambria" w:cs="Cambria"/>
                <w:sz w:val="12"/>
                <w:szCs w:val="12"/>
              </w:rPr>
            </w:pPr>
            <w:r>
              <w:rPr>
                <w:rFonts w:ascii="Cambria" w:hAnsi="Cambria" w:cs="Cambria"/>
                <w:sz w:val="12"/>
                <w:szCs w:val="12"/>
              </w:rPr>
              <w:t xml:space="preserve">Quantidade</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textDirection w:val="lrTb"/>
            <w:noWrap w:val="false"/>
          </w:tcPr>
          <w:p>
            <w:pPr>
              <w:jc w:val="center"/>
              <w:rPr>
                <w:rFonts w:ascii="Cambria" w:hAnsi="Cambria" w:cs="Cambria"/>
                <w:sz w:val="12"/>
                <w:szCs w:val="12"/>
              </w:rPr>
            </w:pPr>
            <w:r>
              <w:rPr>
                <w:rFonts w:ascii="Cambria" w:hAnsi="Cambria" w:cs="Cambria"/>
                <w:sz w:val="12"/>
                <w:szCs w:val="12"/>
              </w:rPr>
              <w:t xml:space="preserve">Descrição</w:t>
            </w:r>
            <w:r>
              <w:rPr>
                <w:rFonts w:ascii="Cambria" w:hAnsi="Cambria" w:cs="Cambria"/>
                <w:sz w:val="20"/>
                <w:szCs w:val="20"/>
              </w:rPr>
            </w:r>
            <w:r/>
          </w:p>
        </w:tc>
      </w:tr>
      <w:tr>
        <w:trPr>
          <w:trHeight w:val="399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R$1,30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1.900,00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spacing w:line="266" w:lineRule="exact"/>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DESCARTAVEL GERIATRICA TAM P</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line="266" w:lineRule="exact"/>
              <w:rPr>
                <w:rFonts w:ascii="Cambria" w:hAnsi="Cambria" w:cs="Cambria"/>
                <w:sz w:val="12"/>
                <w:szCs w:val="12"/>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R$1,29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5.500,00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FRALDAS GERIÁTRICAS TAMANHO M</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R$1,24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46.800,00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FRALDAS GERIÁTRICAS TAMANHO 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R$1,35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50.400,00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GERIÁTRICA TAMANHO EG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R$0,90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7.700,00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val="0"/>
                <w:bCs w:val="0"/>
                <w:i w:val="0"/>
                <w:strike w:val="0"/>
                <w:color w:val="000000"/>
                <w:sz w:val="12"/>
                <w:szCs w:val="12"/>
                <w:highlight w:val="none"/>
                <w:u w:val="none"/>
                <w:vertAlign w:val="baseline"/>
              </w:rPr>
            </w:pPr>
            <w:r>
              <w:rPr>
                <w:rFonts w:ascii="Cambria" w:hAnsi="Cambria" w:cs="Cambria"/>
                <w:b/>
                <w:bCs/>
                <w:sz w:val="12"/>
                <w:szCs w:val="12"/>
              </w:rPr>
              <w:t xml:space="preserve">FRALDA DESCARTÁVEL INFANTIL XXG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R$0,66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2.200,00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DESCARTÁVEL INFANTIL  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R$0,71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50,00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INFANTIL TAMANHO P</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R$0,67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150,00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DESCARTÁVEL INFANTIL TAMANHO M</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09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R$0,72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400,00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INFANTIL TAMANHO GG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PAC</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R$12,26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2.000,00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BICO DE MAMADEIRA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EMBALAGEM COM 02 UNID</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SENDO BICO DE SILICONE</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R$19,99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val="0"/>
                <w:bCs w:val="0"/>
                <w:i w:val="0"/>
                <w:strike w:val="0"/>
                <w:color w:val="000000"/>
                <w:sz w:val="12"/>
                <w:szCs w:val="12"/>
                <w:highlight w:val="none"/>
                <w:u w:val="none"/>
                <w:vertAlign w:val="baseline"/>
              </w:rPr>
            </w:pPr>
            <w:r>
              <w:rPr>
                <w:rFonts w:ascii="Cambria" w:hAnsi="Cambria" w:cs="Cambria"/>
                <w:sz w:val="12"/>
                <w:szCs w:val="12"/>
              </w:rPr>
              <w:t xml:space="preserve">MAMADEIRA 240ML BICO SILICONE</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r>
            <w:r>
              <w:rPr>
                <w:rFonts w:ascii="Cambria" w:hAnsi="Cambria" w:eastAsia="Calibri" w:cs="Cambria"/>
                <w:b w:val="0"/>
                <w:i w:val="0"/>
                <w:strike w:val="0"/>
                <w:color w:val="000000"/>
                <w:sz w:val="12"/>
                <w:szCs w:val="12"/>
                <w:highlight w:val="none"/>
                <w:u w:val="none"/>
                <w:vertAlign w:val="baseline"/>
              </w:rPr>
              <w:t xml:space="preserve">Mamadeira  250ml Bico De Silicone Lolly -cores variadas</w:t>
            </w:r>
            <w:r>
              <w:rPr>
                <w:rFonts w:ascii="Cambria" w:hAnsi="Cambria" w:cs="Cambria"/>
                <w:sz w:val="20"/>
                <w:szCs w:val="20"/>
              </w:rPr>
            </w:r>
            <w:r/>
          </w:p>
        </w:tc>
      </w:tr>
      <w:tr>
        <w:trPr>
          <w:trHeight w:val="115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R$19,00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90,00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ESCOVA PARA LIMPAR MAMADEIRAS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Escova para mamadeira .</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Composição: Cabo e cerdas 100% Polipropileno (PP); Base: 100% Aço. Livre de BPA Tamanho: Escova maior 24cm;  lavar com água e sabão neutro Alérgicos: produto não possui contra indicações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R$115,63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ESTERILIZADORES DE MAMADEIRAS</w:t>
            </w:r>
            <w:r>
              <w:rPr>
                <w:rFonts w:ascii="Cambria" w:hAnsi="Cambria" w:cs="Cambria"/>
                <w:sz w:val="20"/>
                <w:szCs w:val="20"/>
              </w:rPr>
            </w:r>
            <w:r/>
          </w:p>
          <w:p>
            <w:pPr>
              <w:jc w:val="center"/>
              <w:rPr>
                <w:rFonts w:ascii="Cambria" w:hAnsi="Cambria" w:cs="Cambria"/>
                <w:b w:val="0"/>
                <w:bCs w:val="0"/>
                <w:i w:val="0"/>
                <w:strike w:val="0"/>
                <w:color w:val="000000"/>
                <w:sz w:val="12"/>
                <w:szCs w:val="12"/>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Capacidade Mínima: 04 mamadeiras</w:t>
            </w:r>
            <w:r>
              <w:rPr>
                <w:rFonts w:ascii="Cambria" w:hAnsi="Cambria" w:cs="Cambria"/>
                <w:sz w:val="20"/>
                <w:szCs w:val="20"/>
              </w:rPr>
            </w:r>
            <w:r/>
          </w:p>
          <w:p>
            <w:pPr>
              <w:jc w:val="center"/>
              <w:rPr>
                <w:rFonts w:ascii="Cambria" w:hAnsi="Cambria" w:cs="Cambria"/>
                <w:b w:val="0"/>
                <w:bCs w:val="0"/>
                <w:i w:val="0"/>
                <w:strike w:val="0"/>
                <w:color w:val="000000"/>
                <w:sz w:val="12"/>
                <w:szCs w:val="12"/>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Para microondas</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A vapor, </w:t>
            </w:r>
            <w:r>
              <w:rPr>
                <w:rFonts w:ascii="Cambria" w:hAnsi="Cambria" w:eastAsia="Calibri" w:cs="Cambria"/>
                <w:b w:val="0"/>
                <w:i w:val="0"/>
                <w:strike w:val="0"/>
                <w:color w:val="000000"/>
                <w:sz w:val="12"/>
                <w:szCs w:val="12"/>
                <w:highlight w:val="none"/>
                <w:u w:val="none"/>
                <w:vertAlign w:val="baseline"/>
              </w:rPr>
              <w:t xml:space="preserve">A duração exata do ciclo dependerá do consumo de energia em watts do microondas: mínimo 2 min a 1.100-1.850 watts, 4 min a 850-1.000 watts, 6 min a 500-850 watts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R$2,75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SABONETE EM BARRA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TESTADO DERMATOLOGICAMENTE TIPO: POM POM 80GR</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PH NEUTRO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HIPOALERGÊNICO</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EMBALAGEM EM CAIXA ENTRE 75G E 80G</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R$11,19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75,00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SABONETE LIQUIDO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200 ML TIPO: PROTEX BABY</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DERMATOLOGICAMENTE TESTADO</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HIPOALERGENICO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FR</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R$7,60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75,00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SHAMPOO  INFANTIL</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r>
            <w:r>
              <w:rPr>
                <w:rFonts w:ascii="Cambria" w:hAnsi="Cambria" w:eastAsia="Calibri" w:cs="Cambria"/>
                <w:b w:val="0"/>
                <w:i w:val="0"/>
                <w:strike w:val="0"/>
                <w:color w:val="000000"/>
                <w:sz w:val="12"/>
                <w:szCs w:val="12"/>
                <w:highlight w:val="none"/>
                <w:u w:val="none"/>
                <w:vertAlign w:val="baseline"/>
              </w:rPr>
              <w:t xml:space="preserve">Shampoo extra suave com aproximadamente 200 ml para criança - testado dermatologicamente e oftalmologicamente.</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R$10,58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525,00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LENÇOS UMEDECIDOS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Lenço umidecido, alta absorção, folhas duplas. Tampa flip-top.</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 Hipoalergênico Sem Álcool com 50 unidades. Lenços macios, flexíveis e resistentes. Limpam suavemente, hidratam e acalmam a pele.</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R$8,83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65,00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val="0"/>
                <w:bCs w:val="0"/>
                <w:i w:val="0"/>
                <w:strike w:val="0"/>
                <w:color w:val="000000"/>
                <w:sz w:val="12"/>
                <w:szCs w:val="12"/>
                <w:highlight w:val="none"/>
                <w:u w:val="none"/>
                <w:vertAlign w:val="baseline"/>
              </w:rPr>
            </w:pPr>
            <w:r>
              <w:rPr>
                <w:rFonts w:ascii="Cambria" w:hAnsi="Cambria" w:cs="Cambria"/>
                <w:b/>
                <w:bCs/>
                <w:sz w:val="12"/>
                <w:szCs w:val="12"/>
              </w:rPr>
              <w:t xml:space="preserve">CREME PREVENTIVO PARA ASSADURAS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Referência:  Bepantol</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Pomada Bepantol Baby 60g — Creme para prevenção de assaduras Bepantol Baby 60g</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19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R$35,78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POMADA HIRUDOID</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40 G</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HIRUDOID GEL está indicado para processos inflamatórios localizados como: Manchas roxas (hematomas) que aparecem após traumas ou contusões.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R$18,21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PANO DE BOCA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PANO DE BOCA COM 3 UNIDADES.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 40X35 CM</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TECIDO DUPLO - EXTRA ABSORVENTE - ESTAMPAS DIVERSAS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R$32,34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50,00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bCs/>
                <w:sz w:val="12"/>
                <w:szCs w:val="12"/>
              </w:rPr>
              <w:t xml:space="preserve">JOGO DE LENÇOL INFANTIL</w:t>
            </w:r>
            <w:r>
              <w:rPr>
                <w:rFonts w:ascii="Cambria" w:hAnsi="Cambria" w:eastAsia="Calibri" w:cs="Cambria"/>
                <w:b w:val="0"/>
                <w:i w:val="0"/>
                <w:strike w:val="0"/>
                <w:color w:val="000000"/>
                <w:sz w:val="12"/>
                <w:szCs w:val="12"/>
                <w:u w:val="none"/>
                <w:vertAlign w:val="baseline"/>
              </w:rPr>
              <w:t xml:space="preserve"> </w:t>
            </w:r>
            <w:r>
              <w:rPr>
                <w:rFonts w:ascii="Cambria" w:hAnsi="Cambria" w:cs="Cambria"/>
                <w:sz w:val="20"/>
                <w:szCs w:val="20"/>
              </w:rPr>
            </w:r>
            <w:r/>
          </w:p>
          <w:p>
            <w:pPr>
              <w:jc w:val="center"/>
              <w:rPr>
                <w:rFonts w:ascii="Cambria" w:hAnsi="Cambria" w:cs="Cambria"/>
                <w:b w:val="0"/>
                <w:bCs w:val="0"/>
                <w:i w:val="0"/>
                <w:strike w:val="0"/>
                <w:color w:val="000000"/>
                <w:sz w:val="12"/>
                <w:szCs w:val="12"/>
                <w:highlight w:val="none"/>
                <w:u w:val="none"/>
                <w:vertAlign w:val="baseline"/>
              </w:rPr>
            </w:pPr>
            <w:r>
              <w:rPr>
                <w:rFonts w:ascii="Cambria" w:hAnsi="Cambria" w:eastAsia="Calibri" w:cs="Cambria"/>
                <w:b w:val="0"/>
                <w:i w:val="0"/>
                <w:strike w:val="0"/>
                <w:color w:val="000000"/>
                <w:sz w:val="12"/>
                <w:szCs w:val="12"/>
                <w:u w:val="none"/>
                <w:vertAlign w:val="baseline"/>
              </w:rPr>
              <w:t xml:space="preserve">2 PEÇAS EM MALHA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CONTENDO 01 FRONHA - 30X40CM</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01 LENÇOL  INFERIOR COM ELÁSTICO 1,37 X 76 X 9 CM  PARA COLCHÃO BERÇO ATÉ 70  X 1,30 X 12 CM</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                      CORES DIVERSAS EM MALHA.</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R$30,40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85,00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val="0"/>
                <w:bCs w:val="0"/>
                <w:i w:val="0"/>
                <w:strike w:val="0"/>
                <w:color w:val="000000"/>
                <w:sz w:val="12"/>
                <w:szCs w:val="12"/>
                <w:highlight w:val="none"/>
                <w:u w:val="none"/>
                <w:vertAlign w:val="baseline"/>
              </w:rPr>
            </w:pPr>
            <w:r>
              <w:rPr>
                <w:rFonts w:ascii="Cambria" w:hAnsi="Cambria" w:cs="Cambria"/>
                <w:b/>
                <w:bCs/>
                <w:sz w:val="12"/>
                <w:szCs w:val="12"/>
              </w:rPr>
              <w:t xml:space="preserve">TOALHA COM CAPUZ</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TOALHA INFANTIL COM CAPUZ</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FORRO DE FRALDA - 100% ALGODÃO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ESTAMPADA</w:t>
            </w:r>
            <w:r>
              <w:rPr>
                <w:rFonts w:ascii="Cambria" w:hAnsi="Cambria" w:cs="Cambria"/>
                <w:sz w:val="20"/>
                <w:szCs w:val="20"/>
              </w:rPr>
            </w:r>
            <w:r/>
          </w:p>
          <w:p>
            <w:pPr>
              <w:jc w:val="center"/>
              <w:rPr>
                <w:rFonts w:ascii="Cambria" w:hAnsi="Cambria" w:cs="Cambria"/>
                <w:b w:val="0"/>
                <w:bCs w:val="0"/>
                <w:i w:val="0"/>
                <w:strike w:val="0"/>
                <w:color w:val="000000"/>
                <w:sz w:val="12"/>
                <w:szCs w:val="12"/>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TAM. REFERENCIA: 70 CM X 90 CM</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R$17,83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175,00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BODY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Body infantil manga longa  e curta - 100% algodão tamanhos: P, M ,G  e GG  - liso (logo a combinar)</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Algodão e poliester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R$27,43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MANTA COBERTOR DE BEBE ESTAMPADA</w:t>
            </w:r>
            <w:r>
              <w:rPr>
                <w:rFonts w:ascii="Cambria" w:hAnsi="Cambria" w:cs="Cambria"/>
                <w:sz w:val="20"/>
                <w:szCs w:val="20"/>
              </w:rPr>
            </w:r>
            <w:r/>
          </w:p>
          <w:p>
            <w:pPr>
              <w:jc w:val="center"/>
              <w:rPr>
                <w:rFonts w:ascii="Cambria" w:hAnsi="Cambria" w:cs="Cambria"/>
                <w:b w:val="0"/>
                <w:bCs w:val="0"/>
                <w:i w:val="0"/>
                <w:strike w:val="0"/>
                <w:color w:val="000000"/>
                <w:sz w:val="12"/>
                <w:szCs w:val="12"/>
                <w:highlight w:val="none"/>
                <w:u w:val="none"/>
                <w:vertAlign w:val="baseline"/>
              </w:rPr>
            </w:pPr>
            <w:r>
              <w:rPr>
                <w:rFonts w:ascii="Cambria" w:hAnsi="Cambria" w:eastAsia="Calibri" w:cs="Cambria"/>
                <w:b w:val="0"/>
                <w:i w:val="0"/>
                <w:strike w:val="0"/>
                <w:color w:val="000000"/>
                <w:sz w:val="12"/>
                <w:szCs w:val="12"/>
                <w:highlight w:val="none"/>
                <w:u w:val="none"/>
                <w:vertAlign w:val="baseline"/>
              </w:rPr>
            </w:r>
            <w:r>
              <w:rPr>
                <w:rFonts w:ascii="Cambria" w:hAnsi="Cambria" w:eastAsia="Calibri" w:cs="Cambria"/>
                <w:b w:val="0"/>
                <w:i w:val="0"/>
                <w:strike w:val="0"/>
                <w:color w:val="000000"/>
                <w:sz w:val="12"/>
                <w:szCs w:val="12"/>
                <w:highlight w:val="none"/>
                <w:u w:val="none"/>
                <w:vertAlign w:val="baseline"/>
              </w:rPr>
              <w:t xml:space="preserve">1,10 x 1,00m Menina e Menino Cobertinha de Berço - ESTAMPAS DIVERSAS, microfibra , antialérgico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R$34,59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MANTA MICROFIBRA SOLTEIRO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Microfibra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Toque macio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Composição: 100% poliéster</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Fácil lavagem</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 w:val="0"/>
                <w:bCs w:val="0"/>
                <w:i w:val="0"/>
                <w:strike w:val="0"/>
                <w:color w:val="000000"/>
                <w:sz w:val="12"/>
                <w:szCs w:val="12"/>
                <w:u w:val="none"/>
                <w:vertAlign w:val="baseline"/>
              </w:rPr>
            </w:pPr>
            <w:r>
              <w:rPr>
                <w:rFonts w:ascii="Cambria" w:hAnsi="Cambria" w:cs="Cambria"/>
                <w:b w:val="0"/>
                <w:bCs w:val="0"/>
                <w:i w:val="0"/>
                <w:iCs w:val="0"/>
                <w:strike w:val="0"/>
                <w:color w:val="000000"/>
                <w:sz w:val="12"/>
                <w:szCs w:val="12"/>
                <w:u w:val="none"/>
                <w:vertAlign w:val="baseline"/>
              </w:rPr>
              <w:t xml:space="preserve">26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R$32,34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JOGO DE LENÇOL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Jogo lençol para berço com 2 itens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Em malha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Tamanho de referência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01 Fronha 40cm x 30cm</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01 Lencol c/ Elastico 1,30m x 70cm x 12cm (alt)</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Cores diversas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CX</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R$30,03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FRALDA BRANCA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Fralda Luxo Branca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Caixa com 5 unidades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Tecido duplo, 100% algodão, alta absorção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Tamanho de referência: 70cm x 70cm</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70 x 70 cm</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R$11,78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CALCA INFANTIL BEBE</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Calça Infantil – Bebê</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Algodão e poliéster</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Liso ou estampado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Cores diversas</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Tamanhos P, M e G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R$34,30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MACACAO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Macacão Infantil – Bebê</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Manga longa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Estilo Tip Top</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Algodão e Poliester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CX</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R$4,79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HASTES FLEXÍVEIS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Caixa de Hastes Flexiveis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Embalagem com 150 unidades</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Com pontas de algodão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L</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R$3,52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100,00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ALCOOL LIQUIDO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Álcool Líquido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70%</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Embalagens de 50ml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R$29,40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CREME CORPORAL ANTI ESTRIAS 250GR</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Creme corporal anti estrias, dermatologicamente testado com fragrância.</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Embalagem com 250 gramas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R$21,70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COLONIA INFANTIL 200ML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Colônia infantil, dermatologicamente testado, livre de irritabilidade.</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Embalagem de 200 ml</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KIT</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R$27,42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KIT LIMPEZA E HIGIENE PESSOAL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Kit Higiene </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Contendo, no mínimo: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Tesoura com ponta arredondada e capa protetora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Cortador de unha com capa protetora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Escova com cerdas macias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Pente com pontas arredondadas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Composição: Escova e Pente: Parte Branca: 100% Polipropileno (PP), Parte Colorida: 100% Borracha Termoplástica (TPR), Base da Tesoura e Lixa: 100% Poliestireno (PS), Cortador, Tesoura e Lixa: 100% Aço Inoxidável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Dimensões da embalagem: 14cm x 5cm x 2,5cm</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Conteúdo da embalagem: 01 escova de cabelos, 01 pente, 01 cortador de unha, 01 tesoura e 1 lixa</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Referência: Buba</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35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R$17,60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12"/>
                <w:szCs w:val="12"/>
              </w:rPr>
            </w:pPr>
            <w:r>
              <w:rPr>
                <w:rFonts w:ascii="Cambria" w:hAnsi="Cambria" w:cs="Cambria"/>
                <w:sz w:val="12"/>
                <w:szCs w:val="12"/>
              </w:rPr>
              <w:t xml:space="preserve">200,00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685" w:type="dxa"/>
            <w:vAlign w:val="center"/>
            <w:textDirection w:val="lrTb"/>
            <w:noWrap w:val="false"/>
          </w:tcPr>
          <w:p>
            <w:pPr>
              <w:jc w:val="center"/>
              <w:rPr>
                <w:rFonts w:ascii="Cambria" w:hAnsi="Cambria" w:cs="Cambria"/>
                <w:b/>
                <w:bCs/>
                <w:i w:val="0"/>
                <w:strike w:val="0"/>
                <w:color w:val="000000"/>
                <w:sz w:val="12"/>
                <w:szCs w:val="12"/>
                <w:highlight w:val="none"/>
                <w:u w:val="none"/>
                <w:vertAlign w:val="baseline"/>
              </w:rPr>
            </w:pPr>
            <w:r>
              <w:rPr>
                <w:rFonts w:ascii="Cambria" w:hAnsi="Cambria" w:cs="Cambria"/>
                <w:b/>
                <w:bCs/>
                <w:sz w:val="12"/>
                <w:szCs w:val="12"/>
              </w:rPr>
              <w:t xml:space="preserve">LIVROS DE BANHO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Livros de Banho  – plastificado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Livro de espuma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Número de páginas: 6.</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Dimensões: 150 mm largura x 150 mm altura.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Peso: 48 gramas</w:t>
            </w:r>
            <w:r>
              <w:rPr>
                <w:rFonts w:ascii="Cambria" w:hAnsi="Cambria" w:cs="Cambria"/>
                <w:sz w:val="20"/>
                <w:szCs w:val="20"/>
              </w:rPr>
            </w:r>
            <w:r/>
          </w:p>
          <w:p>
            <w:pPr>
              <w:jc w:val="center"/>
              <w:rPr>
                <w:rFonts w:ascii="Cambria" w:hAnsi="Cambria" w:cs="Cambria"/>
                <w:sz w:val="12"/>
                <w:szCs w:val="12"/>
              </w:rPr>
            </w:pPr>
            <w:r>
              <w:rPr>
                <w:rFonts w:ascii="Cambria" w:hAnsi="Cambria" w:eastAsia="Calibri" w:cs="Cambria"/>
                <w:b w:val="0"/>
                <w:i w:val="0"/>
                <w:strike w:val="0"/>
                <w:color w:val="000000"/>
                <w:sz w:val="12"/>
                <w:szCs w:val="12"/>
                <w:highlight w:val="none"/>
                <w:u w:val="none"/>
                <w:vertAlign w:val="baseline"/>
              </w:rPr>
              <w:t xml:space="preserve">Temas Diversos</w:t>
            </w:r>
            <w:r>
              <w:rPr>
                <w:rFonts w:ascii="Cambria" w:hAnsi="Cambria" w:cs="Cambria"/>
                <w:sz w:val="20"/>
                <w:szCs w:val="20"/>
              </w:rPr>
            </w:r>
            <w:r/>
          </w:p>
        </w:tc>
      </w:tr>
    </w:tbl>
    <w:p>
      <w:pPr>
        <w:pStyle w:val="1076"/>
        <w:numPr>
          <w:ilvl w:val="0"/>
          <w:numId w:val="0"/>
        </w:numPr>
        <w:ind w:left="0" w:firstLine="0"/>
        <w:spacing w:before="0" w:after="0" w:line="312" w:lineRule="auto"/>
        <w:rPr>
          <w:rFonts w:ascii="Cambria" w:hAnsi="Cambria" w:cs="Cambria"/>
          <w:sz w:val="16"/>
          <w:szCs w:val="16"/>
        </w:rPr>
      </w:pPr>
      <w:r>
        <w:rPr>
          <w:rFonts w:ascii="Cambria" w:hAnsi="Cambria" w:cs="Cambria"/>
          <w:sz w:val="16"/>
          <w:szCs w:val="16"/>
          <w:highlight w:val="none"/>
        </w:rPr>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1.2 - O objeto desta contratação não se enquadra como sendo de bem de luxo, conforme Decreto Municipal nº 5.452, de 05 de setembro de 2023.</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1.3 - Os bens objeto desta contratação são caracterizados como comuns, nos termos do art. 6º, inciso XIII, da Lei nº 14.133/2021.</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76"/>
        <w:numPr>
          <w:ilvl w:val="0"/>
          <w:numId w:val="0"/>
        </w:numPr>
        <w:spacing w:before="0" w:after="0" w:line="312" w:lineRule="auto"/>
        <w:rPr>
          <w:rFonts w:ascii="Cambria" w:hAnsi="Cambria" w:cs="Cambria"/>
          <w:b/>
          <w:sz w:val="18"/>
          <w:szCs w:val="18"/>
        </w:rPr>
      </w:pPr>
      <w:r>
        <w:rPr>
          <w:rFonts w:ascii="Cambria" w:hAnsi="Cambria" w:cs="Cambria"/>
          <w:b/>
          <w:sz w:val="18"/>
          <w:szCs w:val="18"/>
        </w:rPr>
        <w:t xml:space="preserve">2 - PRAZO DE VIGÊNCIA</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2.1 - O prazo de vigência da Ata é de 12 (doze) meses contados da data de sua assinatura, podendo ser prorrogada, nos termos da Lei nº 14.133/2021.</w:t>
      </w:r>
      <w:r>
        <w:rPr>
          <w:rFonts w:ascii="Cambria" w:hAnsi="Cambria" w:cs="Cambria"/>
          <w:sz w:val="16"/>
          <w:szCs w:val="16"/>
        </w:rPr>
      </w:r>
      <w:r/>
    </w:p>
    <w:p>
      <w:pPr>
        <w:pStyle w:val="1123"/>
        <w:numPr>
          <w:ilvl w:val="0"/>
          <w:numId w:val="0"/>
        </w:numPr>
        <w:spacing w:before="0" w:after="0" w:line="312" w:lineRule="auto"/>
        <w:shd w:val="clear" w:color="ffffff" w:themeColor="background1" w:fill="ffffff" w:themeFill="background1"/>
        <w:rPr>
          <w:rFonts w:ascii="Cambria" w:hAnsi="Cambria" w:cs="Cambria"/>
          <w:iCs w:val="0"/>
          <w:sz w:val="16"/>
          <w:szCs w:val="16"/>
          <w:highlight w:val="none"/>
        </w:rPr>
      </w:pPr>
      <w:r>
        <w:rPr>
          <w:rFonts w:ascii="Cambria" w:hAnsi="Cambria" w:cs="Cambria"/>
          <w:i w:val="0"/>
          <w:iCs w:val="0"/>
          <w:color w:val="auto"/>
          <w:sz w:val="18"/>
          <w:szCs w:val="18"/>
        </w:rPr>
        <w:t xml:space="preserve">2.2 - </w:t>
      </w:r>
      <w:r>
        <w:rPr>
          <w:rFonts w:ascii="Cambria" w:hAnsi="Cambria" w:cs="Cambria"/>
          <w:i w:val="0"/>
          <w:iCs w:val="0"/>
          <w:color w:val="auto"/>
          <w:sz w:val="18"/>
          <w:szCs w:val="18"/>
          <w:highlight w:val="white"/>
        </w:rPr>
        <w:t xml:space="preserve">O prazo de vigência dos contratos originados através da Ata de Registro de Preços até 31/12/2024, na forma do artigo 105 da Lei n° 14.133, de 2021.</w:t>
      </w:r>
      <w:r>
        <w:rPr>
          <w:rFonts w:ascii="Cambria" w:hAnsi="Cambria" w:cs="Cambria"/>
          <w:sz w:val="16"/>
          <w:szCs w:val="16"/>
        </w:rPr>
      </w:r>
      <w:r/>
    </w:p>
    <w:p>
      <w:pPr>
        <w:pStyle w:val="1123"/>
        <w:numPr>
          <w:ilvl w:val="0"/>
          <w:numId w:val="0"/>
        </w:numPr>
        <w:spacing w:before="0" w:after="0" w:line="312" w:lineRule="auto"/>
        <w:shd w:val="clear" w:color="ffffff" w:themeColor="background1" w:fill="ffffff" w:themeFill="background1"/>
        <w:rPr>
          <w:rFonts w:ascii="Cambria" w:hAnsi="Cambria" w:cs="Cambria"/>
          <w:bCs w:val="0"/>
          <w:i w:val="0"/>
          <w:color w:val="auto"/>
          <w:sz w:val="18"/>
          <w:szCs w:val="18"/>
          <w:highlight w:val="white"/>
        </w:rPr>
      </w:pPr>
      <w:r>
        <w:rPr>
          <w:rFonts w:ascii="Cambria" w:hAnsi="Cambria" w:cs="Cambria"/>
          <w:sz w:val="16"/>
          <w:szCs w:val="16"/>
          <w:highlight w:val="none"/>
        </w:rPr>
      </w:r>
      <w:r>
        <w:rPr>
          <w:rFonts w:ascii="Cambria" w:hAnsi="Cambria" w:cs="Cambria"/>
          <w:sz w:val="16"/>
          <w:szCs w:val="16"/>
        </w:rPr>
      </w:r>
      <w:r/>
    </w:p>
    <w:p>
      <w:pPr>
        <w:pStyle w:val="1059"/>
        <w:numPr>
          <w:ilvl w:val="0"/>
          <w:numId w:val="0"/>
        </w:numPr>
        <w:spacing w:before="0"/>
        <w:tabs>
          <w:tab w:val="left" w:pos="426" w:leader="none"/>
          <w:tab w:val="clear" w:pos="567" w:leader="none"/>
        </w:tabs>
        <w:rPr>
          <w:rFonts w:ascii="Cambria" w:hAnsi="Cambria" w:cs="Cambria"/>
          <w:sz w:val="18"/>
          <w:szCs w:val="18"/>
        </w:rPr>
      </w:pPr>
      <w:r>
        <w:rPr>
          <w:rFonts w:ascii="Cambria" w:hAnsi="Cambria" w:cs="Cambria"/>
          <w:sz w:val="18"/>
          <w:szCs w:val="18"/>
        </w:rPr>
        <w:t xml:space="preserve">3 - FUNDAMENTAÇÃO E DESCRIÇÃO DA NECESSIDADE DA CONTRATAÇÃO</w:t>
      </w:r>
      <w:r>
        <w:rPr>
          <w:rFonts w:ascii="Cambria" w:hAnsi="Cambria" w:cs="Cambria"/>
          <w:sz w:val="16"/>
          <w:szCs w:val="16"/>
        </w:rPr>
      </w:r>
      <w:r/>
    </w:p>
    <w:p>
      <w:pPr>
        <w:pStyle w:val="1076"/>
        <w:numPr>
          <w:ilvl w:val="0"/>
          <w:numId w:val="0"/>
        </w:numPr>
        <w:spacing w:before="0" w:after="0" w:line="312" w:lineRule="auto"/>
        <w:tabs>
          <w:tab w:val="left" w:pos="426" w:leader="none"/>
        </w:tabs>
        <w:rPr>
          <w:rFonts w:ascii="Cambria" w:hAnsi="Cambria" w:cs="Cambria"/>
          <w:sz w:val="18"/>
          <w:szCs w:val="18"/>
        </w:rPr>
      </w:pPr>
      <w:r>
        <w:rPr>
          <w:rFonts w:ascii="Cambria" w:hAnsi="Cambria" w:cs="Cambria"/>
          <w:sz w:val="18"/>
          <w:szCs w:val="18"/>
        </w:rPr>
        <w:t xml:space="preserve">3.1 - A Fundamentação da Contratação e de seus quantitativos encontra-se pormenorizada em Tópico específico do ETP - Estudo Técnico Preliminar, </w:t>
      </w:r>
      <w:r>
        <w:rPr>
          <w:rFonts w:ascii="Cambria" w:hAnsi="Cambria" w:cs="Cambria"/>
          <w:sz w:val="18"/>
          <w:szCs w:val="18"/>
        </w:rPr>
        <w:t xml:space="preserve">anexo a esse edital</w:t>
      </w:r>
      <w:r>
        <w:rPr>
          <w:rFonts w:ascii="Cambria" w:hAnsi="Cambria" w:cs="Cambria"/>
          <w:sz w:val="16"/>
          <w:szCs w:val="16"/>
        </w:rPr>
      </w:r>
      <w:r/>
    </w:p>
    <w:p>
      <w:pPr>
        <w:pStyle w:val="1078"/>
        <w:numPr>
          <w:ilvl w:val="0"/>
          <w:numId w:val="0"/>
        </w:numPr>
        <w:contextualSpacing/>
        <w:spacing w:before="0" w:after="0"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59"/>
        <w:numPr>
          <w:ilvl w:val="0"/>
          <w:numId w:val="0"/>
        </w:numPr>
        <w:spacing w:before="0"/>
        <w:rPr>
          <w:rFonts w:ascii="Cambria" w:hAnsi="Cambria" w:cs="Cambria"/>
          <w:sz w:val="18"/>
          <w:szCs w:val="18"/>
        </w:rPr>
      </w:pPr>
      <w:r>
        <w:rPr>
          <w:rFonts w:ascii="Cambria" w:hAnsi="Cambria" w:cs="Cambria"/>
          <w:sz w:val="18"/>
          <w:szCs w:val="18"/>
        </w:rPr>
        <w:t xml:space="preserve">4 - DESCRIÇÃO DA SOLUÇÃO COMO UM TODO CONSIDERADO O CICLO DE VIDA DO OBJETO E ESPECIFICAÇÃO DO PRODUTO</w:t>
      </w:r>
      <w:r>
        <w:rPr>
          <w:rFonts w:ascii="Cambria" w:hAnsi="Cambria" w:cs="Cambria"/>
          <w:sz w:val="16"/>
          <w:szCs w:val="16"/>
        </w:rPr>
      </w:r>
      <w:r/>
    </w:p>
    <w:p>
      <w:pPr>
        <w:pStyle w:val="1123"/>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4.1 - A descrição da solução como um todo encontra-se pormenorizada em tópico específico do ETP - Estudo Técnico Preliminar, </w:t>
      </w:r>
      <w:r>
        <w:rPr>
          <w:rFonts w:ascii="Cambria" w:hAnsi="Cambria" w:cs="Cambria"/>
          <w:i w:val="0"/>
          <w:iCs w:val="0"/>
          <w:color w:val="auto"/>
          <w:sz w:val="18"/>
          <w:szCs w:val="18"/>
        </w:rPr>
        <w:t xml:space="preserve">anexo a esse edital.</w:t>
      </w:r>
      <w:r>
        <w:rPr>
          <w:rFonts w:ascii="Cambria" w:hAnsi="Cambria" w:cs="Cambria"/>
          <w:sz w:val="16"/>
          <w:szCs w:val="16"/>
        </w:rPr>
      </w:r>
      <w:r/>
    </w:p>
    <w:p>
      <w:pPr>
        <w:pStyle w:val="1123"/>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r>
      <w:r>
        <w:rPr>
          <w:rFonts w:ascii="Cambria" w:hAnsi="Cambria" w:cs="Cambria"/>
          <w:sz w:val="16"/>
          <w:szCs w:val="16"/>
        </w:rPr>
      </w:r>
      <w:r/>
    </w:p>
    <w:p>
      <w:pPr>
        <w:pStyle w:val="1059"/>
        <w:numPr>
          <w:ilvl w:val="0"/>
          <w:numId w:val="0"/>
        </w:numPr>
        <w:spacing w:before="0" w:after="0"/>
        <w:rPr>
          <w:rFonts w:ascii="Cambria" w:hAnsi="Cambria" w:cs="Cambria"/>
          <w:sz w:val="18"/>
          <w:szCs w:val="18"/>
        </w:rPr>
      </w:pPr>
      <w:r>
        <w:rPr>
          <w:rFonts w:ascii="Cambria" w:hAnsi="Cambria" w:cs="Cambria"/>
          <w:sz w:val="18"/>
          <w:szCs w:val="18"/>
        </w:rPr>
        <w:t xml:space="preserve">5 - </w:t>
      </w:r>
      <w:r>
        <w:rPr>
          <w:rFonts w:ascii="Cambria" w:hAnsi="Cambria" w:cs="Cambria"/>
          <w:sz w:val="18"/>
          <w:szCs w:val="18"/>
        </w:rPr>
        <w:t xml:space="preserve">REQUISITOS DA CONTRATAÇÃO</w:t>
      </w:r>
      <w:r>
        <w:rPr>
          <w:rFonts w:ascii="Cambria" w:hAnsi="Cambria" w:cs="Cambria"/>
          <w:sz w:val="16"/>
          <w:szCs w:val="16"/>
        </w:rPr>
      </w:r>
      <w:r/>
    </w:p>
    <w:p>
      <w:pPr>
        <w:jc w:val="both"/>
        <w:spacing w:line="312" w:lineRule="auto"/>
        <w:tabs>
          <w:tab w:val="left" w:pos="284" w:leader="none"/>
          <w:tab w:val="left" w:pos="426" w:leader="none"/>
          <w:tab w:val="left" w:pos="567" w:leader="none"/>
          <w:tab w:val="left" w:pos="851" w:leader="none"/>
        </w:tabs>
        <w:rPr>
          <w:rFonts w:ascii="Cambria" w:hAnsi="Cambria" w:cs="Cambria"/>
          <w:iCs/>
          <w:sz w:val="18"/>
          <w:szCs w:val="18"/>
        </w:rPr>
      </w:pPr>
      <w:r>
        <w:rPr>
          <w:rFonts w:ascii="Cambria" w:hAnsi="Cambria" w:cs="Cambria"/>
          <w:sz w:val="18"/>
          <w:szCs w:val="18"/>
        </w:rPr>
        <w:t xml:space="preserve">5.1 - A contratação deverá observar os seguintes requisitos:</w:t>
      </w:r>
      <w:r>
        <w:rPr>
          <w:rFonts w:ascii="Cambria" w:hAnsi="Cambria" w:cs="Cambria"/>
          <w:sz w:val="20"/>
          <w:szCs w:val="20"/>
        </w:rPr>
      </w:r>
      <w:r/>
    </w:p>
    <w:p>
      <w:pPr>
        <w:ind w:left="567"/>
        <w:jc w:val="both"/>
        <w:keepLines/>
        <w:keepNext/>
        <w:spacing w:line="312" w:lineRule="auto"/>
        <w:tabs>
          <w:tab w:val="left" w:pos="567" w:leader="none"/>
        </w:tabs>
        <w:rPr>
          <w:rFonts w:ascii="Cambria" w:hAnsi="Cambria" w:cs="Cambria"/>
          <w:bCs/>
          <w:sz w:val="18"/>
          <w:szCs w:val="18"/>
        </w:rPr>
        <w:outlineLvl w:val="1"/>
      </w:pPr>
      <w:r>
        <w:rPr>
          <w:rFonts w:ascii="Cambria" w:hAnsi="Cambria" w:eastAsia="MS Gothic" w:cs="Cambria"/>
          <w:bCs/>
          <w:sz w:val="18"/>
          <w:szCs w:val="18"/>
        </w:rPr>
        <w:t xml:space="preserve">5.1.3 - DA EXIGÊNCIA DE AMOSTRA</w:t>
      </w:r>
      <w:r>
        <w:rPr>
          <w:rFonts w:ascii="Cambria" w:hAnsi="Cambria" w:cs="Cambria"/>
          <w:sz w:val="20"/>
          <w:szCs w:val="20"/>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5.1.3.1 - Havendo o aceite da proposta quanto ao valor, o interessado classificado provisoriamente em primeiro lugar deverá apresentar amostra, que terá data, local e horário de </w:t>
      </w:r>
      <w:r>
        <w:rPr>
          <w:rFonts w:ascii="Cambria" w:hAnsi="Cambria" w:cs="Cambria"/>
          <w:color w:val="auto"/>
          <w:sz w:val="18"/>
          <w:szCs w:val="18"/>
        </w:rPr>
        <w:t xml:space="preserve">sua realização divulgados por mensagem no sistema, cuja presença será facultada a todos os interessados, incluindo os demais fornecedores interessados.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5.1.3.2 - Serão exigid</w:t>
      </w:r>
      <w:r>
        <w:rPr>
          <w:rFonts w:ascii="Cambria" w:hAnsi="Cambria" w:cs="Cambria"/>
          <w:color w:val="auto"/>
          <w:sz w:val="18"/>
          <w:szCs w:val="18"/>
        </w:rPr>
        <w:t xml:space="preserve">as amostras para todos os itens.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highlight w:val="none"/>
        </w:rPr>
      </w:pPr>
      <w:r>
        <w:rPr>
          <w:rFonts w:ascii="Cambria" w:hAnsi="Cambria" w:cs="Cambria"/>
          <w:color w:val="auto"/>
          <w:sz w:val="18"/>
          <w:szCs w:val="18"/>
        </w:rPr>
        <w:t xml:space="preserve">5.1.3.3 - As amostras </w:t>
      </w:r>
      <w:r>
        <w:rPr>
          <w:rFonts w:ascii="Cambria" w:hAnsi="Cambria" w:cs="Cambria"/>
          <w:color w:val="auto"/>
          <w:sz w:val="18"/>
          <w:szCs w:val="18"/>
        </w:rPr>
        <w:t xml:space="preserve">deverão ser entregues no endereço abaixo relacionado, </w:t>
      </w:r>
      <w:r>
        <w:rPr>
          <w:rFonts w:ascii="Cambria" w:hAnsi="Cambria" w:cs="Cambria"/>
          <w:color w:val="auto"/>
          <w:sz w:val="18"/>
          <w:szCs w:val="18"/>
        </w:rPr>
        <w:t xml:space="preserve">no prazo limite de </w:t>
      </w:r>
      <w:r>
        <w:rPr>
          <w:rFonts w:ascii="Cambria" w:hAnsi="Cambria" w:cs="Cambria"/>
          <w:color w:val="auto"/>
          <w:sz w:val="18"/>
          <w:szCs w:val="18"/>
        </w:rPr>
        <w:t xml:space="preserve">02 dias úteis após a declaração do detentor da melhor proposta</w:t>
      </w:r>
      <w:r>
        <w:rPr>
          <w:rFonts w:ascii="Cambria" w:hAnsi="Cambria" w:cs="Cambria"/>
          <w:color w:val="auto"/>
          <w:sz w:val="18"/>
          <w:szCs w:val="18"/>
        </w:rPr>
        <w:t xml:space="preserve"> sendo que a empresa assume total responsabilidade pelo envio e por eventua</w:t>
      </w:r>
      <w:r>
        <w:rPr>
          <w:rFonts w:ascii="Cambria" w:hAnsi="Cambria" w:cs="Cambria"/>
          <w:color w:val="auto"/>
          <w:sz w:val="18"/>
          <w:szCs w:val="18"/>
        </w:rPr>
        <w:t xml:space="preserve">l atraso na entrega: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highlight w:val="none"/>
        </w:rPr>
      </w:r>
      <w:r>
        <w:rPr>
          <w:rFonts w:ascii="Cambria" w:hAnsi="Cambria" w:cs="Cambria"/>
          <w:sz w:val="16"/>
          <w:szCs w:val="16"/>
        </w:rPr>
      </w:r>
      <w:r/>
    </w:p>
    <w:p>
      <w:pPr>
        <w:pStyle w:val="1076"/>
        <w:numPr>
          <w:ilvl w:val="0"/>
          <w:numId w:val="0"/>
        </w:numPr>
        <w:ind w:left="708"/>
        <w:spacing w:before="0" w:after="0" w:line="312" w:lineRule="auto"/>
        <w:rPr>
          <w:rFonts w:ascii="Cambria" w:hAnsi="Cambria" w:cs="Cambria"/>
          <w:b/>
          <w:i/>
          <w:color w:val="auto"/>
          <w:sz w:val="16"/>
          <w:szCs w:val="18"/>
        </w:rPr>
      </w:pPr>
      <w:r>
        <w:rPr>
          <w:rFonts w:ascii="Cambria" w:hAnsi="Cambria" w:cs="Cambria"/>
          <w:b/>
          <w:i/>
          <w:color w:val="auto"/>
          <w:sz w:val="16"/>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370156</wp:posOffset>
                </wp:positionH>
                <wp:positionV relativeFrom="paragraph">
                  <wp:posOffset>13823</wp:posOffset>
                </wp:positionV>
                <wp:extent cx="2913185" cy="754131"/>
                <wp:effectExtent l="4762" t="4762" r="4762" b="4762"/>
                <wp:wrapNone/>
                <wp:docPr id="5" name="Retângulo 5"/>
                <wp:cNvGraphicFramePr/>
                <a:graphic xmlns:a="http://schemas.openxmlformats.org/drawingml/2006/main">
                  <a:graphicData uri="http://schemas.microsoft.com/office/word/2010/wordprocessingShape">
                    <wps:wsp>
                      <wps:cNvPr id="0" name=""/>
                      <wps:cNvSpPr/>
                      <wps:spPr bwMode="auto">
                        <a:xfrm flipH="0" flipV="0">
                          <a:off x="0" y="0"/>
                          <a:ext cx="2913184" cy="75413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bodyPr rot="0">
                        <a:prstTxWarp prst="textNoShape">
                          <a:avLst/>
                        </a:prstTxWarp>
                        <a:noAutofit/>
                      </wps:bodyPr>
                    </wps:wsp>
                  </a:graphicData>
                </a:graphic>
              </wp:anchor>
            </w:drawing>
          </mc:Choice>
          <mc:Fallback>
            <w:pict>
              <v:shape id="shape 4" o:spid="_x0000_s4" o:spt="1" type="#_x0000_t1" style="position:absolute;z-index:251661312;o:allowoverlap:true;o:allowincell:true;mso-position-horizontal-relative:text;margin-left:29.1pt;mso-position-horizontal:absolute;mso-position-vertical-relative:text;margin-top:1.1pt;mso-position-vertical:absolute;width:229.4pt;height:59.4pt;mso-wrap-distance-left:9.0pt;mso-wrap-distance-top:0.0pt;mso-wrap-distance-right:9.0pt;mso-wrap-distance-bottom:0.0pt;visibility:visible;" filled="f" strokecolor="#000000" strokeweight="0.75pt">
                <v:stroke dashstyle="solid"/>
              </v:shape>
            </w:pict>
          </mc:Fallback>
        </mc:AlternateContent>
      </w:r>
      <w:r>
        <w:rPr>
          <w:rFonts w:ascii="Cambria" w:hAnsi="Cambria" w:cs="Cambria"/>
          <w:b/>
          <w:i/>
          <w:color w:val="auto"/>
          <w:sz w:val="16"/>
          <w:szCs w:val="18"/>
        </w:rPr>
        <w:t xml:space="preserve">Avenida Eduardo de Brito, 101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b/>
          <w:i/>
          <w:color w:val="auto"/>
          <w:sz w:val="16"/>
          <w:szCs w:val="18"/>
        </w:rPr>
      </w:pPr>
      <w:r>
        <w:rPr>
          <w:rFonts w:ascii="Cambria" w:hAnsi="Cambria" w:cs="Cambria"/>
          <w:b/>
          <w:i/>
          <w:color w:val="auto"/>
          <w:sz w:val="16"/>
          <w:szCs w:val="18"/>
        </w:rPr>
        <w:t xml:space="preserve"> Prefeitura Municipal de Santa Bárbara do Sul</w:t>
      </w:r>
      <w:r>
        <w:rPr>
          <w:rFonts w:ascii="Cambria" w:hAnsi="Cambria" w:cs="Cambria"/>
          <w:sz w:val="16"/>
          <w:szCs w:val="16"/>
        </w:rPr>
      </w:r>
      <w:r/>
    </w:p>
    <w:p>
      <w:pPr>
        <w:pStyle w:val="1076"/>
        <w:numPr>
          <w:ilvl w:val="0"/>
          <w:numId w:val="0"/>
        </w:numPr>
        <w:ind w:left="708"/>
        <w:spacing w:before="0" w:after="0" w:line="312" w:lineRule="auto"/>
        <w:rPr>
          <w:rFonts w:ascii="Cambria" w:hAnsi="Cambria" w:cs="Cambria"/>
          <w:b/>
          <w:i/>
          <w:color w:val="auto"/>
          <w:sz w:val="16"/>
          <w:szCs w:val="18"/>
        </w:rPr>
      </w:pPr>
      <w:r>
        <w:rPr>
          <w:rFonts w:ascii="Cambria" w:hAnsi="Cambria" w:cs="Cambria"/>
          <w:b/>
          <w:i/>
          <w:color w:val="auto"/>
          <w:sz w:val="16"/>
          <w:szCs w:val="18"/>
        </w:rPr>
        <w:t xml:space="preserve">Centro Administrativo – Setor de Licitações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b/>
          <w:i/>
          <w:color w:val="auto"/>
          <w:sz w:val="16"/>
          <w:szCs w:val="18"/>
        </w:rPr>
      </w:pPr>
      <w:r>
        <w:rPr>
          <w:rFonts w:ascii="Cambria" w:hAnsi="Cambria" w:cs="Cambria"/>
          <w:b/>
          <w:i/>
          <w:color w:val="auto"/>
          <w:sz w:val="16"/>
          <w:szCs w:val="18"/>
        </w:rPr>
        <w:t xml:space="preserve">98.240-000 – Santa Bárbara do Sul /RS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5.1.3.4 - É facultada a prorrogação do prazo estabelecido, a partir de solicitação devidamente fundamentada, por escrito ou no e-mail</w:t>
      </w:r>
      <w:r>
        <w:rPr>
          <w:rFonts w:ascii="Cambria" w:hAnsi="Cambria" w:cs="Cambria"/>
          <w:color w:val="auto"/>
          <w:sz w:val="18"/>
          <w:szCs w:val="18"/>
        </w:rPr>
        <w:t xml:space="preserve"> </w:t>
      </w:r>
      <w:hyperlink r:id="rId49" w:tooltip="mailto:licita@santabarbaradosul.rs.gov.br" w:history="1">
        <w:r>
          <w:rPr>
            <w:rStyle w:val="875"/>
            <w:rFonts w:ascii="Cambria" w:hAnsi="Cambria" w:cs="Cambria"/>
            <w:sz w:val="18"/>
            <w:szCs w:val="18"/>
          </w:rPr>
          <w:t xml:space="preserve">licita@santabarbaradosul.rs.gov.br</w:t>
        </w:r>
      </w:hyperlink>
      <w:r>
        <w:rPr>
          <w:rFonts w:ascii="Cambria" w:hAnsi="Cambria" w:cs="Cambria"/>
          <w:color w:val="auto"/>
          <w:sz w:val="18"/>
          <w:szCs w:val="18"/>
        </w:rPr>
        <w:t xml:space="preserve"> </w:t>
      </w:r>
      <w:r>
        <w:rPr>
          <w:rFonts w:ascii="Cambria" w:hAnsi="Cambria" w:cs="Cambria"/>
          <w:color w:val="auto"/>
          <w:sz w:val="18"/>
          <w:szCs w:val="18"/>
        </w:rPr>
        <w:t xml:space="preserve">, pelo interessado, antes de findo o prazo.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5.1.3.5 - No caso de não haver entrega da amostra ou ocorrer atraso na entrega, sem justificativa aceita, ou havendo entrega de amostra fora das especificações previ</w:t>
      </w:r>
      <w:r>
        <w:rPr>
          <w:rFonts w:ascii="Cambria" w:hAnsi="Cambria" w:cs="Cambria"/>
          <w:color w:val="auto"/>
          <w:sz w:val="18"/>
          <w:szCs w:val="18"/>
        </w:rPr>
        <w:t xml:space="preserve">stas, a proposta será recusada.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highlight w:val="magenta"/>
        </w:rPr>
      </w:pPr>
      <w:r>
        <w:rPr>
          <w:rFonts w:ascii="Cambria" w:hAnsi="Cambria" w:cs="Cambria"/>
          <w:color w:val="auto"/>
          <w:sz w:val="18"/>
          <w:szCs w:val="18"/>
          <w:highlight w:val="white"/>
        </w:rPr>
        <w:t xml:space="preserve">5.1.3.6 - Serão avaliados os seguintes aspectos e padrões mínimos de aceitabilidade</w:t>
      </w:r>
      <w:r>
        <w:rPr>
          <w:rFonts w:ascii="Cambria" w:hAnsi="Cambria" w:cs="Cambria"/>
          <w:color w:val="auto"/>
          <w:sz w:val="18"/>
          <w:szCs w:val="18"/>
          <w:highlight w:val="white"/>
        </w:rPr>
        <w:t xml:space="preserve"> para todos os itens</w:t>
      </w:r>
      <w:r>
        <w:rPr>
          <w:rFonts w:ascii="Cambria" w:hAnsi="Cambria" w:cs="Cambria"/>
          <w:color w:val="auto"/>
          <w:sz w:val="18"/>
          <w:szCs w:val="18"/>
          <w:highlight w:val="none"/>
        </w:rPr>
        <w:t xml:space="preserve">.</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5.1.3.7 - Os resultados das avaliações serão divulgados por meio de mensagem no sistema.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5.1.3.8 - Se a(s) amostra(s) apresentada(s) pelo primeiro classificado não for(em) aceita(s), se</w:t>
      </w:r>
      <w:r>
        <w:rPr>
          <w:rFonts w:ascii="Cambria" w:hAnsi="Cambria" w:cs="Cambria"/>
          <w:color w:val="auto"/>
          <w:sz w:val="18"/>
          <w:szCs w:val="18"/>
        </w:rPr>
        <w:t xml:space="preserve">rá analisada a aceitabilidade da proposta ou lance ofertado pelo segundo classificado. Seguir-se-á com a verificação da(s) amostra(s) e, assim, sucessivamente, até a verificação de uma que atenda às especificações constantes neste TR - Termo de Referência.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5.1.3.9 - Os exemplares colocados à disposição da Administração serão tratados como protótipos,  </w:t>
      </w:r>
      <w:r>
        <w:rPr>
          <w:rFonts w:ascii="Cambria" w:hAnsi="Cambria" w:cs="Cambria"/>
          <w:color w:val="auto"/>
          <w:sz w:val="18"/>
          <w:szCs w:val="18"/>
        </w:rPr>
        <w:t xml:space="preserve">podendo ser manuseados livremente </w:t>
      </w:r>
      <w:r>
        <w:rPr>
          <w:rFonts w:ascii="Cambria" w:hAnsi="Cambria" w:cs="Cambria"/>
          <w:color w:val="auto"/>
          <w:sz w:val="18"/>
          <w:szCs w:val="18"/>
        </w:rPr>
        <w:t xml:space="preserve">pela equipe responsável pela análise, não gerando direito a ressarcimento.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5.1.3.10 - Após a divulgação do resultado final do certame, as amostras entregues deverão ser recolhidas pelos fornecedores no prazo de </w:t>
      </w:r>
      <w:r>
        <w:rPr>
          <w:rFonts w:ascii="Cambria" w:hAnsi="Cambria" w:cs="Cambria"/>
          <w:color w:val="auto"/>
          <w:sz w:val="18"/>
          <w:szCs w:val="18"/>
        </w:rPr>
        <w:t xml:space="preserve">02</w:t>
      </w:r>
      <w:r>
        <w:rPr>
          <w:rFonts w:ascii="Cambria" w:hAnsi="Cambria" w:cs="Cambria"/>
          <w:color w:val="auto"/>
          <w:sz w:val="18"/>
          <w:szCs w:val="18"/>
        </w:rPr>
        <w:t xml:space="preserve"> dias</w:t>
      </w:r>
      <w:r>
        <w:rPr>
          <w:rFonts w:ascii="Cambria" w:hAnsi="Cambria" w:cs="Cambria"/>
          <w:color w:val="auto"/>
          <w:sz w:val="18"/>
          <w:szCs w:val="18"/>
        </w:rPr>
        <w:t xml:space="preserve"> útesi</w:t>
      </w:r>
      <w:r>
        <w:rPr>
          <w:rFonts w:ascii="Cambria" w:hAnsi="Cambria" w:cs="Cambria"/>
          <w:color w:val="auto"/>
          <w:sz w:val="18"/>
          <w:szCs w:val="18"/>
        </w:rPr>
        <w:t xml:space="preserve">, após o qual poderão ser descartadas pela Administração, sem direito a ressarcimento.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5.1.3.11 - Os interessados deverão colocar à disposição da Administração todas as condições indispensáveis à realização de testes e fornecer, sem ônus, os manuais impressos em língua portuguesa, necessários ao seu perfeito manuseio, quando for o caso.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r>
      <w:r>
        <w:rPr>
          <w:rFonts w:ascii="Cambria" w:hAnsi="Cambria" w:cs="Cambria"/>
          <w:sz w:val="16"/>
          <w:szCs w:val="16"/>
        </w:rPr>
      </w:r>
      <w:r/>
    </w:p>
    <w:p>
      <w:pPr>
        <w:pStyle w:val="1129"/>
        <w:spacing w:before="0" w:after="0"/>
        <w:rPr>
          <w:rFonts w:ascii="Cambria" w:hAnsi="Cambria" w:cs="Cambria"/>
          <w:b w:val="0"/>
          <w:color w:val="auto"/>
          <w:sz w:val="18"/>
          <w:szCs w:val="18"/>
        </w:rPr>
      </w:pPr>
      <w:r>
        <w:rPr>
          <w:rFonts w:ascii="Cambria" w:hAnsi="Cambria" w:cs="Cambria"/>
          <w:b w:val="0"/>
          <w:color w:val="auto"/>
          <w:sz w:val="18"/>
          <w:szCs w:val="18"/>
        </w:rPr>
        <w:t xml:space="preserve">5.1.4</w:t>
      </w:r>
      <w:r>
        <w:rPr>
          <w:rFonts w:ascii="Cambria" w:hAnsi="Cambria" w:cs="Cambria"/>
          <w:b w:val="0"/>
          <w:color w:val="auto"/>
          <w:sz w:val="18"/>
          <w:szCs w:val="18"/>
        </w:rPr>
        <w:t xml:space="preserve"> - SUBCONTRATAÇÃO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5.1.4</w:t>
      </w:r>
      <w:r>
        <w:rPr>
          <w:rFonts w:ascii="Cambria" w:hAnsi="Cambria" w:cs="Cambria"/>
          <w:color w:val="auto"/>
          <w:sz w:val="18"/>
          <w:szCs w:val="18"/>
        </w:rPr>
        <w:t xml:space="preserve">.1 - </w:t>
      </w:r>
      <w:r>
        <w:rPr>
          <w:rFonts w:ascii="Cambria" w:hAnsi="Cambria" w:cs="Cambria"/>
          <w:color w:val="auto"/>
          <w:sz w:val="18"/>
          <w:szCs w:val="18"/>
        </w:rPr>
        <w:t xml:space="preserve">Não é admitida a subcontratação do objeto contratual.</w:t>
      </w:r>
      <w:r>
        <w:rPr>
          <w:rFonts w:ascii="Cambria" w:hAnsi="Cambria" w:cs="Cambria"/>
          <w:color w:val="auto"/>
          <w:sz w:val="18"/>
          <w:szCs w:val="18"/>
        </w:rPr>
      </w:r>
      <w:r/>
    </w:p>
    <w:p>
      <w:pPr>
        <w:pStyle w:val="1129"/>
        <w:spacing w:before="0" w:after="0"/>
        <w:rPr>
          <w:rFonts w:ascii="Cambria" w:hAnsi="Cambria" w:cs="Cambria"/>
          <w:b w:val="0"/>
          <w:color w:val="auto"/>
          <w:sz w:val="18"/>
          <w:szCs w:val="18"/>
        </w:rPr>
      </w:pPr>
      <w:r>
        <w:rPr>
          <w:rFonts w:ascii="Cambria" w:hAnsi="Cambria" w:cs="Cambria"/>
          <w:b w:val="0"/>
          <w:color w:val="auto"/>
          <w:sz w:val="18"/>
          <w:szCs w:val="18"/>
        </w:rPr>
        <w:t xml:space="preserve">5.1.6 - GARANTIA DA CONTRATAÇÃO</w:t>
      </w:r>
      <w:commentRangeStart w:id="0"/>
      <w:r>
        <w:rPr>
          <w:rFonts w:ascii="Cambria" w:hAnsi="Cambria" w:cs="Cambria"/>
          <w:sz w:val="16"/>
          <w:szCs w:val="16"/>
        </w:rPr>
      </w:r>
      <w:commentRangeEnd w:id="0"/>
      <w:r>
        <w:commentReference w:id="0"/>
      </w:r>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5.1.6.1 - Não haverá exigência da garantia da contratação dos artigos 96 e segui</w:t>
      </w:r>
      <w:r>
        <w:rPr>
          <w:rFonts w:ascii="Cambria" w:hAnsi="Cambria" w:cs="Cambria"/>
          <w:i w:val="0"/>
          <w:iCs w:val="0"/>
          <w:color w:val="auto"/>
          <w:sz w:val="18"/>
          <w:szCs w:val="18"/>
        </w:rPr>
        <w:t xml:space="preserve">ntes da Lei nº 14.133, de 2021.</w:t>
      </w:r>
      <w:r>
        <w:rPr>
          <w:rFonts w:ascii="Cambria" w:hAnsi="Cambria" w:cs="Cambria"/>
          <w:sz w:val="16"/>
          <w:szCs w:val="16"/>
        </w:rPr>
      </w:r>
      <w:r/>
    </w:p>
    <w:p>
      <w:pPr>
        <w:pStyle w:val="1076"/>
        <w:numPr>
          <w:ilvl w:val="0"/>
          <w:numId w:val="0"/>
        </w:numPr>
        <w:ind w:left="709"/>
        <w:spacing w:before="0" w:after="0" w:line="312" w:lineRule="auto"/>
        <w:rPr>
          <w:rFonts w:ascii="Cambria" w:hAnsi="Cambria" w:cs="Cambria"/>
          <w:i/>
          <w:iCs/>
          <w:color w:val="ff0000"/>
          <w:sz w:val="18"/>
          <w:szCs w:val="18"/>
        </w:rPr>
      </w:pPr>
      <w:r>
        <w:rPr>
          <w:rFonts w:ascii="Cambria" w:hAnsi="Cambria" w:cs="Cambria"/>
          <w:i/>
          <w:iCs/>
          <w:color w:val="ff0000"/>
          <w:sz w:val="18"/>
          <w:szCs w:val="18"/>
        </w:rPr>
      </w:r>
      <w:r>
        <w:rPr>
          <w:rFonts w:ascii="Cambria" w:hAnsi="Cambria" w:cs="Cambria"/>
          <w:sz w:val="16"/>
          <w:szCs w:val="16"/>
        </w:rPr>
      </w:r>
      <w:r/>
    </w:p>
    <w:p>
      <w:pPr>
        <w:pStyle w:val="1059"/>
        <w:numPr>
          <w:ilvl w:val="0"/>
          <w:numId w:val="0"/>
        </w:numPr>
        <w:spacing w:before="0"/>
        <w:rPr>
          <w:rFonts w:ascii="Cambria" w:hAnsi="Cambria" w:cs="Cambria"/>
          <w:sz w:val="18"/>
          <w:szCs w:val="18"/>
        </w:rPr>
      </w:pPr>
      <w:r>
        <w:rPr>
          <w:rFonts w:ascii="Cambria" w:hAnsi="Cambria" w:cs="Cambria"/>
          <w:sz w:val="18"/>
          <w:szCs w:val="18"/>
        </w:rPr>
        <w:t xml:space="preserve">6 – </w:t>
      </w:r>
      <w:r>
        <w:rPr>
          <w:rFonts w:ascii="Cambria" w:hAnsi="Cambria" w:eastAsia="Calibri" w:cs="Cambria"/>
          <w:sz w:val="18"/>
          <w:szCs w:val="18"/>
        </w:rPr>
        <w:t xml:space="preserve">MODELO DE EXECUÇÃO DO OBJETO</w:t>
      </w:r>
      <w:r>
        <w:rPr>
          <w:rFonts w:ascii="Cambria" w:hAnsi="Cambria" w:cs="Cambria"/>
          <w:sz w:val="16"/>
          <w:szCs w:val="16"/>
        </w:rPr>
      </w:r>
      <w:r/>
    </w:p>
    <w:p>
      <w:pPr>
        <w:jc w:val="both"/>
        <w:spacing w:line="312" w:lineRule="auto"/>
        <w:widowControl w:val="off"/>
        <w:rPr>
          <w:rFonts w:ascii="Cambria" w:hAnsi="Cambria" w:cs="Cambria"/>
          <w:bCs/>
          <w:sz w:val="18"/>
          <w:szCs w:val="18"/>
        </w:rPr>
      </w:pPr>
      <w:r>
        <w:rPr>
          <w:rFonts w:ascii="Cambria" w:hAnsi="Cambria" w:eastAsia="Calibri" w:cs="Cambria"/>
          <w:bCs/>
          <w:sz w:val="18"/>
          <w:szCs w:val="18"/>
        </w:rPr>
        <w:t xml:space="preserve">6.1 - PRAZO DE ENTREGA</w:t>
      </w:r>
      <w:r>
        <w:rPr>
          <w:rFonts w:ascii="Cambria" w:hAnsi="Cambria" w:cs="Cambria"/>
          <w:sz w:val="20"/>
          <w:szCs w:val="20"/>
        </w:rPr>
      </w:r>
      <w:r/>
    </w:p>
    <w:p>
      <w:pPr>
        <w:pStyle w:val="1123"/>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6.1.1 - O prazo de entrega dos bens é de </w:t>
      </w:r>
      <w:r>
        <w:rPr>
          <w:rFonts w:ascii="Cambria" w:hAnsi="Cambria" w:cs="Cambria"/>
          <w:i w:val="0"/>
          <w:iCs w:val="0"/>
          <w:color w:val="auto"/>
          <w:sz w:val="18"/>
          <w:szCs w:val="18"/>
        </w:rPr>
        <w:t xml:space="preserve">15 dias, contados da emissão da nota de empenho</w:t>
      </w:r>
      <w:r>
        <w:rPr>
          <w:rFonts w:ascii="Cambria" w:hAnsi="Cambria" w:cs="Cambria"/>
          <w:i w:val="0"/>
          <w:iCs w:val="0"/>
          <w:color w:val="auto"/>
          <w:sz w:val="18"/>
          <w:szCs w:val="18"/>
        </w:rPr>
        <w:t xml:space="preserve"> em </w:t>
      </w:r>
      <w:r>
        <w:rPr>
          <w:rFonts w:ascii="Cambria" w:hAnsi="Cambria" w:cs="Cambria"/>
          <w:i w:val="0"/>
          <w:iCs w:val="0"/>
          <w:color w:val="auto"/>
          <w:sz w:val="18"/>
          <w:szCs w:val="18"/>
        </w:rPr>
        <w:t xml:space="preserve">quantidades a serem informadas pela secretaria solicitante.</w:t>
      </w:r>
      <w:r>
        <w:rPr>
          <w:rFonts w:ascii="Cambria" w:hAnsi="Cambria" w:cs="Cambria"/>
          <w:sz w:val="16"/>
          <w:szCs w:val="16"/>
        </w:rPr>
      </w:r>
      <w:r/>
    </w:p>
    <w:p>
      <w:pPr>
        <w:pStyle w:val="1123"/>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6.1.2 - Caso não seja possível a entrega na data assinalada, a empresa deverá comunicar as razões respectivas com pelo menos </w:t>
      </w:r>
      <w:r>
        <w:rPr>
          <w:rFonts w:ascii="Cambria" w:hAnsi="Cambria" w:cs="Cambria"/>
          <w:i w:val="0"/>
          <w:iCs w:val="0"/>
          <w:color w:val="auto"/>
          <w:sz w:val="18"/>
          <w:szCs w:val="18"/>
        </w:rPr>
        <w:t xml:space="preserve">02</w:t>
      </w:r>
      <w:r>
        <w:rPr>
          <w:rFonts w:ascii="Cambria" w:hAnsi="Cambria" w:cs="Cambria"/>
          <w:i w:val="0"/>
          <w:iCs w:val="0"/>
          <w:color w:val="auto"/>
          <w:sz w:val="18"/>
          <w:szCs w:val="18"/>
        </w:rPr>
        <w:t xml:space="preserve">dias de antecedência para que qualquer pleito de prorrogação de prazo seja analisado, ressalvadas situações de caso fortuito e força maior.</w:t>
      </w:r>
      <w:r>
        <w:rPr>
          <w:rFonts w:ascii="Cambria" w:hAnsi="Cambria" w:cs="Cambria"/>
          <w:i w:val="0"/>
          <w:iCs w:val="0"/>
          <w:color w:val="auto"/>
          <w:sz w:val="18"/>
          <w:szCs w:val="18"/>
        </w:rPr>
      </w:r>
      <w:r/>
    </w:p>
    <w:p>
      <w:pPr>
        <w:jc w:val="both"/>
        <w:spacing w:line="312" w:lineRule="auto"/>
        <w:widowControl w:val="off"/>
        <w:tabs>
          <w:tab w:val="left" w:pos="851" w:leader="none"/>
        </w:tabs>
        <w:rPr>
          <w:rFonts w:ascii="Cambria" w:hAnsi="Cambria" w:cs="Cambria"/>
          <w:sz w:val="18"/>
          <w:szCs w:val="18"/>
        </w:rPr>
      </w:pPr>
      <w:r>
        <w:rPr>
          <w:rFonts w:ascii="Cambria" w:hAnsi="Cambria" w:eastAsia="Calibri" w:cs="Cambria"/>
          <w:sz w:val="18"/>
          <w:szCs w:val="18"/>
        </w:rPr>
        <w:t xml:space="preserve">6.2 - LOCAL DE ENTREGA</w:t>
      </w:r>
      <w:r>
        <w:rPr>
          <w:rFonts w:ascii="Cambria" w:hAnsi="Cambria" w:cs="Cambria"/>
          <w:sz w:val="20"/>
          <w:szCs w:val="20"/>
        </w:rPr>
      </w:r>
      <w:r/>
    </w:p>
    <w:p>
      <w:pPr>
        <w:pStyle w:val="1123"/>
        <w:numPr>
          <w:ilvl w:val="0"/>
          <w:numId w:val="0"/>
        </w:numPr>
        <w:spacing w:before="0" w:after="0" w:line="312" w:lineRule="auto"/>
        <w:rPr>
          <w:rFonts w:ascii="Cambria" w:hAnsi="Cambria" w:cs="Cambria"/>
          <w:i w:val="0"/>
          <w:color w:val="auto"/>
          <w:sz w:val="18"/>
          <w:szCs w:val="18"/>
          <w:highlight w:val="white"/>
        </w:rPr>
      </w:pPr>
      <w:r>
        <w:rPr>
          <w:rFonts w:ascii="Cambria" w:hAnsi="Cambria" w:cs="Cambria"/>
          <w:i w:val="0"/>
          <w:color w:val="auto"/>
          <w:sz w:val="18"/>
          <w:szCs w:val="18"/>
        </w:rPr>
        <w:t xml:space="preserve">6.2.1 - </w:t>
      </w:r>
      <w:r>
        <w:rPr>
          <w:rFonts w:ascii="Cambria" w:hAnsi="Cambria" w:eastAsia="Calibri" w:cs="Cambria"/>
          <w:i w:val="0"/>
          <w:color w:val="auto"/>
          <w:sz w:val="18"/>
          <w:szCs w:val="18"/>
          <w:highlight w:val="white"/>
        </w:rPr>
        <w:t xml:space="preserve">Os bens dever</w:t>
      </w:r>
      <w:r>
        <w:rPr>
          <w:rFonts w:ascii="Cambria" w:hAnsi="Cambria" w:eastAsia="Calibri" w:cs="Cambria"/>
          <w:i w:val="0"/>
          <w:color w:val="auto"/>
          <w:sz w:val="18"/>
          <w:szCs w:val="18"/>
          <w:highlight w:val="white"/>
        </w:rPr>
        <w:t xml:space="preserve">ão ser entregues diretamente nas secretarias solicitantes (Educação e Saúde </w:t>
      </w:r>
      <w:r>
        <w:rPr>
          <w:rFonts w:ascii="Cambria" w:hAnsi="Cambria" w:eastAsia="Calibri" w:cs="Cambria"/>
          <w:i w:val="0"/>
          <w:color w:val="auto"/>
          <w:sz w:val="18"/>
          <w:szCs w:val="18"/>
          <w:highlight w:val="white"/>
        </w:rPr>
        <w:t xml:space="preserve"> em dias úteis, das </w:t>
      </w:r>
      <w:r>
        <w:rPr>
          <w:rFonts w:ascii="Cambria" w:hAnsi="Cambria" w:eastAsia="Calibri" w:cs="Cambria"/>
          <w:i w:val="0"/>
          <w:color w:val="auto"/>
          <w:sz w:val="18"/>
          <w:szCs w:val="18"/>
          <w:highlight w:val="white"/>
        </w:rPr>
        <w:t xml:space="preserve">07 </w:t>
      </w:r>
      <w:r>
        <w:rPr>
          <w:rFonts w:ascii="Cambria" w:hAnsi="Cambria" w:eastAsia="Calibri" w:cs="Cambria"/>
          <w:i w:val="0"/>
          <w:color w:val="auto"/>
          <w:sz w:val="18"/>
          <w:szCs w:val="18"/>
          <w:highlight w:val="white"/>
        </w:rPr>
        <w:t xml:space="preserve">às </w:t>
      </w:r>
      <w:r>
        <w:rPr>
          <w:rFonts w:ascii="Cambria" w:hAnsi="Cambria" w:eastAsia="Calibri" w:cs="Cambria"/>
          <w:i w:val="0"/>
          <w:color w:val="auto"/>
          <w:sz w:val="18"/>
          <w:szCs w:val="18"/>
          <w:highlight w:val="white"/>
        </w:rPr>
        <w:t xml:space="preserve">13hs.</w:t>
      </w:r>
      <w:r>
        <w:rPr>
          <w:rFonts w:ascii="Cambria" w:hAnsi="Cambria" w:cs="Cambria"/>
          <w:sz w:val="16"/>
          <w:szCs w:val="16"/>
        </w:rPr>
      </w:r>
      <w:r/>
    </w:p>
    <w:p>
      <w:pPr>
        <w:jc w:val="both"/>
        <w:spacing w:line="312" w:lineRule="auto"/>
        <w:widowControl w:val="off"/>
        <w:tabs>
          <w:tab w:val="left" w:pos="426" w:leader="none"/>
          <w:tab w:val="left" w:pos="851" w:leader="none"/>
        </w:tabs>
        <w:rPr>
          <w:rFonts w:ascii="Cambria" w:hAnsi="Cambria" w:cs="Cambria"/>
          <w:sz w:val="18"/>
          <w:szCs w:val="18"/>
        </w:rPr>
      </w:pPr>
      <w:r>
        <w:rPr>
          <w:rFonts w:ascii="Cambria" w:hAnsi="Cambria" w:eastAsia="Calibri" w:cs="Cambria"/>
          <w:sz w:val="18"/>
          <w:szCs w:val="18"/>
        </w:rPr>
        <w:t xml:space="preserve">6.3 – DO RECEBIMENTO</w:t>
      </w:r>
      <w:r>
        <w:rPr>
          <w:rFonts w:ascii="Cambria" w:hAnsi="Cambria" w:cs="Cambria"/>
          <w:sz w:val="20"/>
          <w:szCs w:val="20"/>
        </w:rPr>
      </w:r>
      <w:r/>
    </w:p>
    <w:p>
      <w:pPr>
        <w:pStyle w:val="1076"/>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6.3.1 - Os bens serão recebidos provis</w:t>
      </w:r>
      <w:r>
        <w:rPr>
          <w:rFonts w:ascii="Cambria" w:hAnsi="Cambria" w:cs="Cambria"/>
          <w:bCs/>
          <w:color w:val="auto"/>
          <w:sz w:val="18"/>
          <w:szCs w:val="18"/>
        </w:rPr>
        <w:t xml:space="preserve">oriamente, de forma sumária, no prazo de 10 (dez) dias, pelo responsável pelo acompanhamento e fiscalização do contrato, para efeito de posterior verificação de sua conformidade com as especificações constantes neste TR - Termo de Referência e na proposta.</w:t>
      </w:r>
      <w:r>
        <w:rPr>
          <w:rFonts w:ascii="Cambria" w:hAnsi="Cambria" w:cs="Cambria"/>
          <w:sz w:val="16"/>
          <w:szCs w:val="16"/>
        </w:rPr>
      </w:r>
      <w:r/>
    </w:p>
    <w:p>
      <w:pPr>
        <w:pStyle w:val="1076"/>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6.3.2 - Os bens poderão ser rejeitados, no todo ou em</w:t>
      </w:r>
      <w:r>
        <w:rPr>
          <w:rFonts w:ascii="Cambria" w:hAnsi="Cambria" w:cs="Cambria"/>
          <w:bCs/>
          <w:color w:val="auto"/>
          <w:sz w:val="18"/>
          <w:szCs w:val="18"/>
        </w:rPr>
        <w:t xml:space="preserve"> p</w:t>
      </w:r>
      <w:r>
        <w:rPr>
          <w:rFonts w:ascii="Cambria" w:hAnsi="Cambria" w:cs="Cambria"/>
          <w:bCs/>
          <w:color w:val="auto"/>
          <w:sz w:val="18"/>
          <w:szCs w:val="18"/>
        </w:rPr>
        <w:t xml:space="preserve">arte, quando em desacordo com as especificações constantes neste TR - Termo de Referência e na proposta, devendo ser substituídos no prazo de 15 (quinze)dias, a contar da notificação da contratada, às suas custas, sem prejuízo da aplicação das penalidades.</w:t>
      </w:r>
      <w:r>
        <w:rPr>
          <w:rFonts w:ascii="Cambria" w:hAnsi="Cambria" w:cs="Cambria"/>
          <w:sz w:val="16"/>
          <w:szCs w:val="16"/>
        </w:rPr>
      </w:r>
      <w:r/>
    </w:p>
    <w:p>
      <w:pPr>
        <w:pStyle w:val="1076"/>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6.3.3 - Os bens serão recebidos definitivamente no prazo de 10 (dez) dias, contados do recebimento provisório, após a verificação da qualidade e quantidade do material e consequente aceitação mediante termo detalhado.</w:t>
      </w:r>
      <w:r>
        <w:rPr>
          <w:rFonts w:ascii="Cambria" w:hAnsi="Cambria" w:cs="Cambria"/>
          <w:sz w:val="16"/>
          <w:szCs w:val="16"/>
        </w:rPr>
      </w:r>
      <w:r/>
    </w:p>
    <w:p>
      <w:pPr>
        <w:pStyle w:val="1076"/>
        <w:numPr>
          <w:ilvl w:val="0"/>
          <w:numId w:val="0"/>
        </w:numPr>
        <w:spacing w:before="0" w:after="0" w:line="312" w:lineRule="auto"/>
        <w:tabs>
          <w:tab w:val="left" w:pos="284" w:leader="none"/>
          <w:tab w:val="left" w:pos="426" w:leader="none"/>
          <w:tab w:val="left" w:pos="567" w:leader="none"/>
          <w:tab w:val="left" w:pos="851" w:leader="none"/>
        </w:tabs>
        <w:rPr>
          <w:rFonts w:ascii="Cambria" w:hAnsi="Cambria" w:cs="Cambria"/>
          <w:bCs/>
          <w:color w:val="auto"/>
          <w:sz w:val="18"/>
          <w:szCs w:val="18"/>
        </w:rPr>
      </w:pPr>
      <w:r>
        <w:rPr>
          <w:rFonts w:ascii="Cambria" w:hAnsi="Cambria" w:cs="Cambria"/>
          <w:bCs/>
          <w:color w:val="auto"/>
          <w:sz w:val="18"/>
          <w:szCs w:val="18"/>
        </w:rPr>
        <w:t xml:space="preserve">6.3.4 - Na hipótese de a verificação a que se refere o subitem anterior não ser procedida dentro do prazo fixado, reputar-se-á como realizada, consumando-se o recebimento definitivo no dia do esgotamento do prazo.</w:t>
      </w:r>
      <w:r>
        <w:rPr>
          <w:rFonts w:ascii="Cambria" w:hAnsi="Cambria" w:cs="Cambria"/>
          <w:sz w:val="16"/>
          <w:szCs w:val="16"/>
        </w:rPr>
      </w:r>
      <w:r/>
    </w:p>
    <w:p>
      <w:pPr>
        <w:pStyle w:val="1123"/>
        <w:numPr>
          <w:ilvl w:val="0"/>
          <w:numId w:val="0"/>
        </w:numPr>
        <w:spacing w:before="0" w:after="0" w:line="312" w:lineRule="auto"/>
        <w:rPr>
          <w:rFonts w:ascii="Cambria" w:hAnsi="Cambria" w:cs="Cambria"/>
          <w:bCs w:val="0"/>
          <w:i w:val="0"/>
          <w:color w:val="auto"/>
          <w:sz w:val="18"/>
          <w:szCs w:val="18"/>
          <w:highlight w:val="none"/>
        </w:rPr>
      </w:pPr>
      <w:r>
        <w:rPr>
          <w:rFonts w:ascii="Cambria" w:hAnsi="Cambria" w:cs="Cambria"/>
          <w:bCs/>
          <w:i w:val="0"/>
          <w:color w:val="auto"/>
          <w:sz w:val="18"/>
          <w:szCs w:val="18"/>
        </w:rPr>
        <w:t xml:space="preserve">6.3.5 - O recebimento provisório ou definitivo não excluirá a responsabilidade civil pela solidez e pela segurança do serviço nem a responsabilidade ético-profissional pela perfeita execução do contrato.</w:t>
      </w:r>
      <w:r>
        <w:rPr>
          <w:rFonts w:ascii="Cambria" w:hAnsi="Cambria" w:cs="Cambria"/>
          <w:i w:val="0"/>
          <w:color w:val="auto"/>
          <w:sz w:val="18"/>
          <w:szCs w:val="18"/>
        </w:rPr>
      </w:r>
      <w:r/>
    </w:p>
    <w:p>
      <w:pPr>
        <w:pStyle w:val="1123"/>
        <w:numPr>
          <w:ilvl w:val="0"/>
          <w:numId w:val="0"/>
        </w:numPr>
        <w:spacing w:before="0" w:after="0" w:line="312" w:lineRule="auto"/>
        <w:rPr>
          <w:rFonts w:ascii="Cambria" w:hAnsi="Cambria" w:cs="Cambria"/>
          <w:bCs w:val="0"/>
          <w:i w:val="0"/>
          <w:color w:val="auto"/>
          <w:sz w:val="18"/>
          <w:szCs w:val="18"/>
        </w:rPr>
      </w:pPr>
      <w:r>
        <w:rPr>
          <w:rFonts w:ascii="Cambria" w:hAnsi="Cambria" w:cs="Cambria"/>
          <w:bCs/>
          <w:i w:val="0"/>
          <w:color w:val="auto"/>
          <w:sz w:val="18"/>
          <w:szCs w:val="18"/>
          <w:highlight w:val="none"/>
        </w:rPr>
      </w:r>
      <w:r>
        <w:rPr>
          <w:rFonts w:ascii="Cambria" w:hAnsi="Cambria" w:cs="Cambria"/>
          <w:bCs/>
          <w:i w:val="0"/>
          <w:color w:val="auto"/>
          <w:sz w:val="18"/>
          <w:szCs w:val="18"/>
          <w:highlight w:val="none"/>
        </w:rPr>
      </w:r>
      <w:r/>
    </w:p>
    <w:p>
      <w:pPr>
        <w:pStyle w:val="1059"/>
        <w:numPr>
          <w:ilvl w:val="0"/>
          <w:numId w:val="0"/>
        </w:numPr>
        <w:spacing w:before="0"/>
        <w:rPr>
          <w:rFonts w:ascii="Cambria" w:hAnsi="Cambria" w:cs="Cambria"/>
          <w:sz w:val="18"/>
          <w:szCs w:val="18"/>
        </w:rPr>
      </w:pPr>
      <w:r>
        <w:rPr>
          <w:rFonts w:ascii="Cambria" w:hAnsi="Cambria" w:cs="Cambria"/>
          <w:sz w:val="18"/>
          <w:szCs w:val="18"/>
        </w:rPr>
        <w:t xml:space="preserve">7 - OBRIGAÇÕES DO CONTRATANTE (art. 92, incisos X, XI e XIV, da Lei nº 14.133/2021).</w:t>
      </w:r>
      <w:r>
        <w:rPr>
          <w:rFonts w:ascii="Cambria" w:hAnsi="Cambria" w:cs="Cambria"/>
          <w:sz w:val="16"/>
          <w:szCs w:val="16"/>
        </w:rPr>
      </w:r>
      <w:r/>
    </w:p>
    <w:p>
      <w:pPr>
        <w:pStyle w:val="1076"/>
        <w:numPr>
          <w:ilvl w:val="0"/>
          <w:numId w:val="0"/>
        </w:numPr>
        <w:spacing w:before="0" w:after="0" w:line="312" w:lineRule="auto"/>
        <w:rPr>
          <w:rFonts w:ascii="Cambria" w:hAnsi="Cambria" w:cs="Cambria"/>
          <w:b/>
          <w:bCs/>
          <w:color w:val="auto"/>
          <w:sz w:val="18"/>
          <w:szCs w:val="18"/>
        </w:rPr>
      </w:pPr>
      <w:r>
        <w:rPr>
          <w:rFonts w:ascii="Cambria" w:hAnsi="Cambria" w:cs="Cambria"/>
          <w:color w:val="auto"/>
          <w:sz w:val="18"/>
          <w:szCs w:val="18"/>
        </w:rPr>
        <w:t xml:space="preserve">7.1 São obrigações do Contratante:</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7.1.1 - Exigir o cumprimento de todas as obrigações assumidas pelo Contratado, de acordo com o contrato e seus anexos;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7.1.2 - Receber o objeto no prazo e condições estabelecidas no TR - Termo de Referência;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7.1.3 - Notificar o Contratado, por escrito, sobre vícios, defeitos ou incorreções verificadas no objeto fornecido, para que seja por ele substituído, reparado ou corrigido, no total ou em parte, às suas expensas;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7.1.4 - Acompanhar e fiscalizar a execução do contrato e o cumprimento das obrigações pelo Contratado;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bCs/>
          <w:color w:val="auto"/>
          <w:sz w:val="18"/>
          <w:szCs w:val="18"/>
        </w:rPr>
      </w:pPr>
      <w:r>
        <w:rPr>
          <w:rFonts w:ascii="Cambria" w:hAnsi="Cambria" w:cs="Cambria"/>
          <w:color w:val="auto"/>
          <w:sz w:val="18"/>
          <w:szCs w:val="18"/>
        </w:rPr>
        <w:t xml:space="preserve">7.1.5 - Comunicar a empresa para </w:t>
      </w:r>
      <w:r>
        <w:rPr>
          <w:rFonts w:ascii="Cambria" w:hAnsi="Cambria" w:cs="Cambria"/>
          <w:bCs/>
          <w:color w:val="auto"/>
          <w:sz w:val="18"/>
          <w:szCs w:val="18"/>
        </w:rPr>
        <w:t xml:space="preserve">emissão de NF - N</w:t>
      </w:r>
      <w:r>
        <w:rPr>
          <w:rFonts w:ascii="Cambria" w:hAnsi="Cambria" w:cs="Cambria"/>
          <w:bCs/>
          <w:color w:val="auto"/>
          <w:sz w:val="18"/>
          <w:szCs w:val="18"/>
        </w:rPr>
        <w:t xml:space="preserve">ota Fiscal no que pertine à parcela incontroversa da execução do objeto, para efeito de liquidação e pagamento, quando houver controvérsia sobre a execução do objeto, quanto à dimensão, qualidade e quantidade, conforme o art. 143 da Lei nº 14.133, de 2021;</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7.1.6 - Efetuar o pagamento ao Contratado do valor correspondente ao fornecimento do objeto, no prazo, forma e condições estabelecidos no Contrato;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7.1.7 - Aplicar ao Contratado as sanções previstas na lei e no Contrato;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7.1.8 - Cientificar o órgão de representação judicial da Prefeitura Municipal de Santa Bárbara do Sul/RS, para adoção das medidas cabíveis quando do descumprimento de obrigações pelo Contratado, quando esgotadas as vias administrativas.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7.1.9 </w:t>
      </w:r>
      <w:r>
        <w:rPr>
          <w:rFonts w:ascii="Cambria" w:hAnsi="Cambria" w:cs="Cambria"/>
          <w:color w:val="auto"/>
          <w:sz w:val="18"/>
          <w:szCs w:val="18"/>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7.1.10 - Responder eventuais pedidos de restabelecimento do equilíbrio econômico-financeiro feitos pelo contratado.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7.1.11 - A Administração nã</w:t>
      </w:r>
      <w:r>
        <w:rPr>
          <w:rFonts w:ascii="Cambria" w:hAnsi="Cambria" w:cs="Cambria"/>
          <w:color w:val="auto"/>
          <w:sz w:val="18"/>
          <w:szCs w:val="18"/>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rFonts w:ascii="Cambria" w:hAnsi="Cambria" w:cs="Cambria"/>
          <w:sz w:val="16"/>
          <w:szCs w:val="16"/>
        </w:rPr>
      </w:r>
      <w:r/>
    </w:p>
    <w:p>
      <w:pPr>
        <w:pStyle w:val="1076"/>
        <w:numPr>
          <w:ilvl w:val="0"/>
          <w:numId w:val="0"/>
        </w:numPr>
        <w:ind w:left="567"/>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59"/>
        <w:numPr>
          <w:ilvl w:val="0"/>
          <w:numId w:val="0"/>
        </w:numPr>
        <w:spacing w:before="0" w:after="0"/>
        <w:rPr>
          <w:rFonts w:ascii="Cambria" w:hAnsi="Cambria" w:cs="Cambria"/>
          <w:sz w:val="18"/>
          <w:szCs w:val="18"/>
        </w:rPr>
      </w:pPr>
      <w:r>
        <w:rPr>
          <w:rFonts w:ascii="Cambria" w:hAnsi="Cambria" w:cs="Cambria"/>
          <w:sz w:val="18"/>
          <w:szCs w:val="18"/>
        </w:rPr>
        <w:t xml:space="preserve">8 - </w:t>
      </w:r>
      <w:r>
        <w:rPr>
          <w:rFonts w:ascii="Cambria" w:hAnsi="Cambria" w:cs="Cambria"/>
          <w:sz w:val="18"/>
          <w:szCs w:val="18"/>
        </w:rPr>
        <w:t xml:space="preserve">OBRIGAÇÕES DO CONTRATADO (art. 92, incisos XIV, XVI e XVII, da Lei nº 14.133/2021)</w:t>
      </w:r>
      <w:r>
        <w:rPr>
          <w:rFonts w:ascii="Cambria" w:hAnsi="Cambria" w:cs="Cambria"/>
          <w:sz w:val="18"/>
          <w:szCs w:val="18"/>
        </w:rPr>
        <w:t xml:space="preserve">.</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8.1 - O Contratado deve cumprir todas as obrigações constantes do Contrato e em seus anexos, assumindo como exclusivamente seus os riscos e as despesas decorrentes da boa e perfeita execução do objeto, observando, ainda, as obrigações a seguir dispostas:</w:t>
      </w:r>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color w:val="auto"/>
          <w:sz w:val="18"/>
          <w:szCs w:val="18"/>
        </w:rPr>
      </w:pPr>
      <w:r>
        <w:rPr>
          <w:rFonts w:ascii="Cambria" w:hAnsi="Cambria" w:cs="Cambria"/>
          <w:i w:val="0"/>
          <w:color w:val="auto"/>
          <w:sz w:val="18"/>
          <w:szCs w:val="18"/>
        </w:rPr>
        <w:t xml:space="preserve">8.1.1 - Entregar o objeto acompanhado do manual do usuário, com uma versão em português, e da relação da rede de assistência técnica autorizada;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8.1.2 - Responsabilizar-se pelos vícios e danos decorrentes do objeto, de acordo com o Código de Defesa do Consumidor (Lei nº 8.078, de 1990);</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8.1.3 - Comunicar ao contratante, no prazo máximo de 24 (vinte e quatro) horas que antecede a data da entrega, os motivos que impossibilitem o cumprimento do prazo previsto, com a devida comprovação;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8.1.4 - Atender às determinações regulares emitidas pelo fiscal ou gestor do contrato ou autoridade superior (art. 137, II, da Lei n.º 14.133, de 2021) e prestar todo esclarecimento ou informação por eles solicitados;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8.1.5 - </w:t>
      </w:r>
      <w:r>
        <w:rPr>
          <w:rFonts w:ascii="Cambria" w:hAnsi="Cambria" w:cs="Cambria"/>
          <w:color w:val="auto"/>
          <w:sz w:val="18"/>
          <w:szCs w:val="18"/>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8.1.6 - Responsabilizar-se pelos vícios e danos decorrentes da execução do objeto, bem como por todo e qualquer dano causado à Administração</w:t>
      </w:r>
      <w:r>
        <w:rPr>
          <w:rFonts w:ascii="Cambria" w:hAnsi="Cambria" w:cs="Cambria"/>
          <w:color w:val="auto"/>
          <w:sz w:val="18"/>
          <w:szCs w:val="18"/>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8.1.7 - O contratado deverá entregar ao setor responsável pela fiscalização do contrato, junto com a NF - Nota Fiscal para fins de pagamento, os seguintes documentos: </w:t>
      </w:r>
      <w:r>
        <w:rPr>
          <w:rFonts w:ascii="Cambria" w:hAnsi="Cambria" w:cs="Cambria"/>
          <w:sz w:val="16"/>
          <w:szCs w:val="16"/>
        </w:rPr>
      </w:r>
      <w:r/>
    </w:p>
    <w:p>
      <w:pPr>
        <w:pStyle w:val="1076"/>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prova de regularidade relativa à Seguridade Social; </w:t>
      </w:r>
      <w:r>
        <w:rPr>
          <w:rFonts w:ascii="Cambria" w:hAnsi="Cambria" w:cs="Cambria"/>
          <w:sz w:val="16"/>
          <w:szCs w:val="16"/>
        </w:rPr>
      </w:r>
      <w:r/>
    </w:p>
    <w:p>
      <w:pPr>
        <w:pStyle w:val="1076"/>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conjunta relativa aos tributos federais e à Dívida Ativa da União; </w:t>
      </w:r>
      <w:r>
        <w:rPr>
          <w:rFonts w:ascii="Cambria" w:hAnsi="Cambria" w:cs="Cambria"/>
          <w:sz w:val="16"/>
          <w:szCs w:val="16"/>
        </w:rPr>
      </w:r>
      <w:r/>
    </w:p>
    <w:p>
      <w:pPr>
        <w:pStyle w:val="1076"/>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certidões que comprovem a regularidade perante a Fazenda Estadual ou Distrital do domicílio ou sede do contratado; </w:t>
      </w:r>
      <w:r>
        <w:rPr>
          <w:rFonts w:ascii="Cambria" w:hAnsi="Cambria" w:cs="Cambria"/>
          <w:sz w:val="16"/>
          <w:szCs w:val="16"/>
        </w:rPr>
      </w:r>
      <w:r/>
    </w:p>
    <w:p>
      <w:pPr>
        <w:pStyle w:val="1076"/>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de Regularidade do FGTS – CRF; </w:t>
      </w:r>
      <w:r>
        <w:rPr>
          <w:rFonts w:ascii="Cambria" w:hAnsi="Cambria" w:cs="Cambria"/>
          <w:sz w:val="16"/>
          <w:szCs w:val="16"/>
        </w:rPr>
      </w:r>
      <w:r/>
    </w:p>
    <w:p>
      <w:pPr>
        <w:pStyle w:val="1076"/>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Trabalhistas – CNDT; </w:t>
      </w:r>
      <w:r>
        <w:rPr>
          <w:rFonts w:ascii="Cambria" w:hAnsi="Cambria" w:cs="Cambria"/>
          <w:sz w:val="16"/>
          <w:szCs w:val="16"/>
        </w:rPr>
      </w:r>
      <w:r/>
    </w:p>
    <w:p>
      <w:pPr>
        <w:pStyle w:val="1076"/>
        <w:numPr>
          <w:ilvl w:val="1"/>
          <w:numId w:val="31"/>
        </w:numPr>
        <w:spacing w:before="0" w:after="0" w:line="312" w:lineRule="auto"/>
        <w:rPr>
          <w:rFonts w:ascii="Cambria" w:hAnsi="Cambria" w:cs="Cambria"/>
          <w:color w:val="auto"/>
          <w:sz w:val="18"/>
          <w:szCs w:val="18"/>
        </w:rPr>
      </w:pPr>
      <w:r>
        <w:rPr>
          <w:rFonts w:ascii="Cambria" w:hAnsi="Cambria" w:cs="Cambria"/>
          <w:color w:val="auto"/>
          <w:sz w:val="18"/>
          <w:szCs w:val="18"/>
        </w:rPr>
        <w:t xml:space="preserve">Certidão Negativa de Débitos Municipais.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8.1.8 - Responsabi</w:t>
      </w:r>
      <w:r>
        <w:rPr>
          <w:rFonts w:ascii="Cambria" w:hAnsi="Cambria" w:cs="Cambria"/>
          <w:color w:val="auto"/>
          <w:sz w:val="18"/>
          <w:szCs w:val="18"/>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8.1.9 - Comunicar ao Fiscal do contrato, no prazo de 24 (vinte e quatro) horas, qualquer ocorrência anormal ou acidente que se verifique no local da</w:t>
      </w:r>
      <w:r>
        <w:rPr>
          <w:rFonts w:ascii="Cambria" w:hAnsi="Cambria" w:cs="Cambria"/>
          <w:color w:val="auto"/>
          <w:sz w:val="18"/>
          <w:szCs w:val="18"/>
        </w:rPr>
        <w:t xml:space="preserve"> execução do objeto contratual.</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8.1.10 - Paralisar, por determinação do contratante, qualquer atividade que não esteja sendo executada de acordo com a boa técnica ou que ponha em risco a segurança de pessoas ou bens de terceiros.</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8.1.11 - Manter durante toda a vigência do contrato, em compatibilidade com as obrigações assumidas, todas as condições exigidas para habilitação na licitação;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8.1.12 - Guardar sigilo sobre todas as informações obtidas em decorrência do cumprimento do contrato;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8.1.13 - Ar</w:t>
      </w:r>
      <w:r>
        <w:rPr>
          <w:rFonts w:ascii="Cambria" w:hAnsi="Cambria" w:cs="Cambria"/>
          <w:color w:val="auto"/>
          <w:sz w:val="18"/>
          <w:szCs w:val="18"/>
        </w:rPr>
        <w:t xml:space="preserve">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Cambria" w:hAnsi="Cambria" w:cs="Cambria"/>
          <w:color w:val="auto"/>
          <w:sz w:val="18"/>
          <w:szCs w:val="18"/>
        </w:rPr>
        <w:t xml:space="preserve">seja satisfatório para o atendimento do objeto da contratação, exceto quando ocorrer algum dos eventos arrolados no art. 124, inciso II, alínea ‘d’, da Lei nº 14.133, de 2021.</w:t>
      </w:r>
      <w:r>
        <w:rPr>
          <w:rFonts w:ascii="Cambria" w:hAnsi="Cambria" w:cs="Cambria"/>
          <w:sz w:val="16"/>
          <w:szCs w:val="16"/>
        </w:rPr>
      </w:r>
      <w:r/>
    </w:p>
    <w:p>
      <w:pPr>
        <w:pStyle w:val="1076"/>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8.1.14 - Cumprir, além dos postulados legais vigentes de âmbito federal, estadual ou municipal, as normas de segurança do contratante;</w:t>
      </w:r>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4" w:name="_Ref118293001"/>
      <w:r>
        <w:rPr>
          <w:rFonts w:ascii="Cambria" w:hAnsi="Cambria" w:cs="Cambria"/>
          <w:i w:val="0"/>
          <w:iCs w:val="0"/>
          <w:color w:val="auto"/>
          <w:sz w:val="18"/>
          <w:szCs w:val="18"/>
        </w:rPr>
        <w:t xml:space="preserve">8.1.15 - </w:t>
      </w:r>
      <w:r>
        <w:rPr>
          <w:rFonts w:ascii="Cambria" w:hAnsi="Cambria" w:cs="Cambria"/>
          <w:i w:val="0"/>
          <w:iCs w:val="0"/>
          <w:color w:val="auto"/>
          <w:sz w:val="18"/>
          <w:szCs w:val="18"/>
        </w:rPr>
        <w:t xml:space="preserve">Alocar os empregados necessários, com habilitação e conhecimento </w:t>
      </w:r>
      <w:r>
        <w:rPr>
          <w:rFonts w:ascii="Cambria" w:hAnsi="Cambria" w:cs="Cambria"/>
          <w:i w:val="0"/>
          <w:iCs w:val="0"/>
          <w:color w:val="auto"/>
          <w:sz w:val="18"/>
          <w:szCs w:val="18"/>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74"/>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8.1.16 - Orientar e treinar seus empregados sobre os deveres previstos na Lei nº 13.709, de 14 de agosto de 2018, adotando medidas eficazes para proteção de dados pessoais a que tenha acesso por força da execução deste contrato;</w:t>
      </w:r>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8.1.17 - Conduzir os trabalhos com estrita observância às normas da legislação pertinente, cumprindo as determinações dos Poderes Públicos, mantendo sempre limpo o local d</w:t>
      </w:r>
      <w:r>
        <w:rPr>
          <w:rFonts w:ascii="Cambria" w:hAnsi="Cambria" w:cs="Cambria"/>
          <w:i w:val="0"/>
          <w:iCs w:val="0"/>
          <w:color w:val="auto"/>
          <w:sz w:val="18"/>
          <w:szCs w:val="18"/>
          <w:lang w:eastAsia="en-US"/>
        </w:rPr>
        <w:t xml:space="preserve">e execução do objeto</w:t>
      </w:r>
      <w:r>
        <w:rPr>
          <w:rFonts w:ascii="Cambria" w:hAnsi="Cambria" w:cs="Cambria"/>
          <w:i w:val="0"/>
          <w:iCs w:val="0"/>
          <w:color w:val="auto"/>
          <w:sz w:val="18"/>
          <w:szCs w:val="18"/>
        </w:rPr>
        <w:t xml:space="preserve"> e nas melhores condições de segurança, higiene e disciplina.</w:t>
      </w:r>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8.1.18 - Submeter previamente, por escrito, ao contratante, para análise e aprovação, quaisquer mudanças nos métodos executivos que fujam às especificações do memorial descritivo ou instrumento congênere.</w:t>
      </w:r>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sz w:val="16"/>
          <w:szCs w:val="16"/>
        </w:rPr>
      </w:r>
      <w:bookmarkStart w:id="76" w:name="_Ref118293030"/>
      <w:r>
        <w:rPr>
          <w:rFonts w:ascii="Cambria" w:hAnsi="Cambria" w:cs="Cambria"/>
          <w:i w:val="0"/>
          <w:iCs w:val="0"/>
          <w:color w:val="auto"/>
          <w:sz w:val="18"/>
          <w:szCs w:val="18"/>
        </w:rPr>
        <w:t xml:space="preserve">8.1.19 - Não p</w:t>
      </w:r>
      <w:r>
        <w:rPr>
          <w:rFonts w:ascii="Cambria" w:hAnsi="Cambria" w:cs="Cambria"/>
          <w:i w:val="0"/>
          <w:iCs w:val="0"/>
          <w:color w:val="auto"/>
          <w:sz w:val="18"/>
          <w:szCs w:val="18"/>
        </w:rPr>
        <w:t xml:space="preserve">ermitir a utilização de qualquer trabalho do menor de 16 (dezesseis) anos, exceto na condição de aprendiz para os maiores de 14 (quatorze) anos, nem permitir a utilização do trabalho do menor de 18 (dezoito) anos em trabalho noturno, perigoso ou insalubre.</w:t>
      </w:r>
      <w:bookmarkEnd w:id="76"/>
      <w:r>
        <w:rPr>
          <w:rFonts w:ascii="Cambria" w:hAnsi="Cambria" w:cs="Cambria"/>
          <w:sz w:val="16"/>
          <w:szCs w:val="16"/>
        </w:rPr>
      </w:r>
      <w:r/>
    </w:p>
    <w:p>
      <w:pPr>
        <w:pStyle w:val="1123"/>
        <w:numPr>
          <w:ilvl w:val="0"/>
          <w:numId w:val="0"/>
        </w:numPr>
        <w:ind w:left="708"/>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r>
      <w:r>
        <w:rPr>
          <w:rFonts w:ascii="Cambria" w:hAnsi="Cambria" w:cs="Cambria"/>
          <w:sz w:val="16"/>
          <w:szCs w:val="16"/>
        </w:rPr>
      </w:r>
      <w:r/>
    </w:p>
    <w:p>
      <w:pPr>
        <w:pStyle w:val="1059"/>
        <w:numPr>
          <w:ilvl w:val="0"/>
          <w:numId w:val="0"/>
        </w:numPr>
        <w:spacing w:before="0" w:after="0"/>
        <w:rPr>
          <w:rFonts w:ascii="Cambria" w:hAnsi="Cambria" w:cs="Cambria"/>
          <w:sz w:val="18"/>
          <w:szCs w:val="18"/>
        </w:rPr>
      </w:pPr>
      <w:r>
        <w:rPr>
          <w:rFonts w:ascii="Cambria" w:hAnsi="Cambria" w:cs="Cambria"/>
          <w:sz w:val="18"/>
          <w:szCs w:val="18"/>
        </w:rPr>
        <w:t xml:space="preserve">9 - MODELO DE GESTÃO E FISCALIZAÇÃO DA ATA DE REGISTRO DE PREÇOS OU CONTRATO</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9.1 - A gestão da Ata de Registro de Preços será de responsabilidade </w:t>
      </w:r>
      <w:r>
        <w:rPr>
          <w:rFonts w:ascii="Cambria" w:hAnsi="Cambria" w:cs="Cambria"/>
          <w:color w:val="auto"/>
          <w:sz w:val="18"/>
          <w:szCs w:val="18"/>
        </w:rPr>
        <w:t xml:space="preserve">do Setor de Compras.</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9.2 - </w:t>
      </w:r>
      <w:r>
        <w:rPr>
          <w:rFonts w:ascii="Cambria" w:hAnsi="Cambria" w:eastAsia="Calibri" w:cs="Cambria"/>
          <w:sz w:val="18"/>
          <w:szCs w:val="18"/>
          <w:lang w:eastAsia="en-US"/>
        </w:rPr>
        <w:t xml:space="preserve">A gestão dos contratos oriundos da Ata de Registro de Preços será de responsabilidade dos Secretários Municipais, os quais terão seus fiscais designados no ato da assinatura do contrato.</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9.3 - O contrato deverá ser executado fielmente pelas partes, de acordo com as cláusulas avençadas e as normas da Lei nº 14.133, de 2021, e cada parte responderá pelas consequências de sua inexecução total ou parcial.</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9.4 - Em caso de impedimento, ordem de paralisação ou suspensão do contrato, o cronograma de execução será prorrogado automaticamente pelo tempo correspondente, anotadas tais circunstâncias mediante simples apostila.</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9.5 - </w:t>
      </w:r>
      <w:r>
        <w:rPr>
          <w:rFonts w:ascii="Cambria" w:hAnsi="Cambria" w:cs="Cambria"/>
          <w:sz w:val="18"/>
          <w:szCs w:val="18"/>
        </w:rPr>
        <w:t xml:space="preserve">As comunicações entre o órgão ou entidade e a contratada devem ser realizadas por escrito sempre que o ato exigir tal formalidade, admitindo-se o uso de mensagem eletrônica para esse fim.</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9.6 - O órgão ou entidade poderá convocar representante da empresa para adoção de providências que d</w:t>
      </w:r>
      <w:r>
        <w:rPr>
          <w:rFonts w:ascii="Cambria" w:hAnsi="Cambria" w:cs="Cambria"/>
          <w:sz w:val="18"/>
          <w:szCs w:val="18"/>
        </w:rPr>
        <w:t xml:space="preserve">evam ser cumpridas de imediato.</w:t>
      </w:r>
      <w:r>
        <w:rPr>
          <w:rFonts w:ascii="Cambria" w:hAnsi="Cambria" w:cs="Cambria"/>
          <w:sz w:val="16"/>
          <w:szCs w:val="16"/>
        </w:rPr>
      </w:r>
      <w:r/>
    </w:p>
    <w:p>
      <w:pPr>
        <w:pStyle w:val="1123"/>
        <w:numPr>
          <w:ilvl w:val="0"/>
          <w:numId w:val="0"/>
        </w:numPr>
        <w:spacing w:before="0" w:after="0" w:line="312" w:lineRule="auto"/>
        <w:rPr>
          <w:rFonts w:ascii="Cambria" w:hAnsi="Cambria" w:cs="Cambria"/>
          <w:i w:val="0"/>
          <w:iCs w:val="0"/>
          <w:color w:val="auto"/>
          <w:sz w:val="18"/>
          <w:szCs w:val="18"/>
        </w:rPr>
      </w:pPr>
      <w:r>
        <w:rPr>
          <w:rFonts w:ascii="Cambria" w:hAnsi="Cambria" w:cs="Cambria"/>
          <w:i w:val="0"/>
          <w:iCs w:val="0"/>
          <w:color w:val="auto"/>
          <w:sz w:val="18"/>
          <w:szCs w:val="18"/>
        </w:rPr>
        <w:t xml:space="preserve">9.7 - Após a assinatura do contrato ou instrumento equivalente, o órgão ou entidade poderá convocar o representante da empresa contratada para reunião inicial para apresentação do plano de fiscalização, que conterá infor</w:t>
      </w:r>
      <w:r>
        <w:rPr>
          <w:rFonts w:ascii="Cambria" w:hAnsi="Cambria" w:cs="Cambria"/>
          <w:i w:val="0"/>
          <w:iCs w:val="0"/>
          <w:color w:val="auto"/>
          <w:sz w:val="18"/>
          <w:szCs w:val="18"/>
        </w:rPr>
        <w:t xml:space="preserve">mações acerca das obrigações contratuais, dos mecanismos de fiscalização, das estratégias para execução do objeto, do plano complementar de execução da contratada, quando houver, do método de aferição dos resultados e das sanções aplicáveis, dentre outros.</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9.8 – As competências dos Fiscais Administrativos, Fiscais Técnicos e Gestor dos contratos estão estabelecidas no Decreto Municipal nº 4.781/23, de 10 de outubro de 2023.</w:t>
      </w:r>
      <w:r>
        <w:rPr>
          <w:rFonts w:ascii="Cambria" w:hAnsi="Cambria" w:cs="Cambria"/>
          <w:sz w:val="16"/>
          <w:szCs w:val="16"/>
        </w:rPr>
      </w:r>
      <w:r/>
    </w:p>
    <w:p>
      <w:pPr>
        <w:pStyle w:val="1124"/>
        <w:numPr>
          <w:ilvl w:val="0"/>
          <w:numId w:val="0"/>
        </w:numPr>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60"/>
        <w:numPr>
          <w:ilvl w:val="0"/>
          <w:numId w:val="0"/>
        </w:numPr>
        <w:spacing w:before="0" w:after="0"/>
        <w:tabs>
          <w:tab w:val="left" w:pos="284" w:leader="none"/>
          <w:tab w:val="clear" w:pos="567" w:leader="none"/>
        </w:tabs>
        <w:rPr>
          <w:rFonts w:ascii="Cambria" w:hAnsi="Cambria" w:cs="Cambria"/>
          <w:color w:val="auto"/>
          <w:sz w:val="18"/>
          <w:szCs w:val="18"/>
        </w:rPr>
      </w:pPr>
      <w:r>
        <w:rPr>
          <w:rFonts w:ascii="Cambria" w:hAnsi="Cambria" w:cs="Cambria"/>
          <w:color w:val="auto"/>
          <w:sz w:val="18"/>
          <w:szCs w:val="18"/>
        </w:rPr>
        <w:t xml:space="preserve">10 – CRITÉRIOS DE MEDIÇÃO E PAGAMENTO (art. 92, incisos V e VI, da Lei nº 14.133/2021).</w:t>
      </w:r>
      <w:r>
        <w:rPr>
          <w:rFonts w:ascii="Cambria" w:hAnsi="Cambria" w:cs="Cambria"/>
          <w:sz w:val="44"/>
          <w:szCs w:val="44"/>
        </w:rPr>
      </w:r>
      <w:r/>
    </w:p>
    <w:p>
      <w:pPr>
        <w:jc w:val="both"/>
        <w:spacing w:line="312" w:lineRule="auto"/>
        <w:rPr>
          <w:rFonts w:ascii="Cambria" w:hAnsi="Cambria" w:cs="Cambria"/>
          <w:sz w:val="18"/>
          <w:szCs w:val="18"/>
        </w:rPr>
      </w:pPr>
      <w:r>
        <w:rPr>
          <w:rFonts w:ascii="Cambria" w:hAnsi="Cambria" w:cs="Cambria"/>
          <w:sz w:val="18"/>
          <w:szCs w:val="18"/>
        </w:rPr>
        <w:t xml:space="preserve">10.1 - FORMA DE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10.1.1 - O pagamento será realizado através de ordem bancária, para crédito em banco, agência e conta corrente, a serem devidamente indicados pelo contratado.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10.1.2 - Será considerada data do pagamento o dia em que constar como emitida a ordem bancária para pagamento.</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10.2 - PRAZO DE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10.2.1 - O pagamento será efetuado no prazo máximo de</w:t>
      </w:r>
      <w:r>
        <w:rPr>
          <w:rFonts w:ascii="Cambria" w:hAnsi="Cambria" w:eastAsia="Arial" w:cs="Cambria"/>
          <w:sz w:val="18"/>
          <w:szCs w:val="18"/>
        </w:rPr>
        <w:t xml:space="preserve"> até 30 (trinta) </w:t>
      </w:r>
      <w:r>
        <w:rPr>
          <w:rFonts w:ascii="Cambria" w:hAnsi="Cambria" w:cs="Cambria"/>
          <w:sz w:val="18"/>
          <w:szCs w:val="18"/>
        </w:rPr>
        <w:t xml:space="preserve">dias, contados do recebimento definitivo da NF - Nota Fiscal/Fatura.</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10.2.2 - Considera-se ocorrido o recebimento da nota fiscal ou fatura quando o órgão contratante atestar a execução do objeto do contrato.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10.2.3 - </w:t>
      </w:r>
      <w:r>
        <w:rPr>
          <w:rFonts w:ascii="Cambria" w:hAnsi="Cambria" w:cs="Cambria"/>
          <w:sz w:val="18"/>
          <w:szCs w:val="18"/>
        </w:rPr>
        <w:t xml:space="preserve">No caso de atraso pelo Contr</w:t>
      </w:r>
      <w:r>
        <w:rPr>
          <w:rFonts w:ascii="Cambria" w:hAnsi="Cambria" w:cs="Cambria"/>
          <w:sz w:val="18"/>
          <w:szCs w:val="18"/>
        </w:rPr>
        <w:t xml:space="preserve">atante, os valores devidos ao contratado serão atualizados monetariamente entre o termo final do prazo de pagamento até a data de sua efetiva realização, mediante aplicação do Índice Nacional de Preços ao Consumidor Amplo - IPCA/IBGE de correção monetária.</w:t>
      </w:r>
      <w:r>
        <w:rPr>
          <w:rFonts w:ascii="Cambria" w:hAnsi="Cambria" w:cs="Cambria"/>
          <w:sz w:val="20"/>
          <w:szCs w:val="20"/>
        </w:rPr>
      </w:r>
      <w:r/>
    </w:p>
    <w:p>
      <w:pPr>
        <w:ind w:left="1416"/>
        <w:jc w:val="both"/>
        <w:spacing w:line="312" w:lineRule="auto"/>
        <w:rPr>
          <w:rFonts w:ascii="Cambria" w:hAnsi="Cambria" w:cs="Cambria"/>
          <w:sz w:val="18"/>
          <w:szCs w:val="18"/>
        </w:rPr>
      </w:pPr>
      <w:r>
        <w:rPr>
          <w:rFonts w:ascii="Cambria" w:hAnsi="Cambria" w:cs="Cambria"/>
          <w:sz w:val="18"/>
          <w:szCs w:val="18"/>
        </w:rPr>
        <w:t xml:space="preserve">10.2.3.1 - </w:t>
      </w:r>
      <w:r>
        <w:rPr>
          <w:rFonts w:ascii="Cambria" w:hAnsi="Cambria" w:cs="Cambria"/>
          <w:iCs/>
          <w:sz w:val="18"/>
          <w:szCs w:val="18"/>
        </w:rPr>
        <w:t xml:space="preserve">A compensação financeira prevista nesta condição será incluída, a requerimento do interessado, na fatura do mês seguinte ao da ocorrência.</w:t>
      </w:r>
      <w:r>
        <w:rPr>
          <w:rFonts w:ascii="Cambria" w:hAnsi="Cambria" w:cs="Cambria"/>
          <w:sz w:val="20"/>
          <w:szCs w:val="20"/>
        </w:rPr>
      </w:r>
      <w:r/>
    </w:p>
    <w:p>
      <w:pPr>
        <w:jc w:val="both"/>
        <w:spacing w:line="312" w:lineRule="auto"/>
        <w:rPr>
          <w:rFonts w:ascii="Cambria" w:hAnsi="Cambria" w:cs="Cambria"/>
          <w:sz w:val="18"/>
          <w:szCs w:val="18"/>
        </w:rPr>
      </w:pPr>
      <w:r>
        <w:rPr>
          <w:rFonts w:ascii="Cambria" w:hAnsi="Cambria" w:cs="Cambria"/>
          <w:sz w:val="18"/>
          <w:szCs w:val="18"/>
        </w:rPr>
        <w:t xml:space="preserve">10.3 - A NF - Nota Fiscal/Fatura deve conter todos os elementos exigidos em lei, tais como: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10.3.1 - Identific</w:t>
      </w:r>
      <w:r>
        <w:rPr>
          <w:rFonts w:ascii="Cambria" w:hAnsi="Cambria" w:cs="Cambria"/>
          <w:sz w:val="18"/>
          <w:szCs w:val="18"/>
        </w:rPr>
        <w:t xml:space="preserve">ação completa da Contratada: CNPJ (o mesmo constante da documentação fiscal, exceto se for emitida por filial/matriz que contenha o mesmo CNPJ base, com sequencial específico da filial/matriz) da contratada, endereço, inscrição estadual ou municipal, etc.;</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10.3.2 – Prazo de validade;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10.3.3 – Data da emissão;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10.3.4 – Dados do contrato e do órgão contratante;</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10.3.5 - Descrição de forma clara do objeto executado;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10.3.6 - Valores unitários e totais e período com as informações referentes aos itens do objeto efetivamente entregues;</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10.3.7 - Número do processo que originou a contratação, bem como o número do empenho.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10.3.8 - Informações bancárias para pagamento.</w:t>
      </w:r>
      <w:r>
        <w:rPr>
          <w:rFonts w:ascii="Cambria" w:hAnsi="Cambria" w:cs="Cambria"/>
          <w:sz w:val="20"/>
          <w:szCs w:val="20"/>
        </w:rPr>
      </w:r>
      <w:r/>
    </w:p>
    <w:p>
      <w:pPr>
        <w:ind w:left="708"/>
        <w:jc w:val="both"/>
        <w:spacing w:line="312" w:lineRule="auto"/>
        <w:rPr>
          <w:rFonts w:ascii="Cambria" w:hAnsi="Cambria" w:cs="Cambria"/>
          <w:sz w:val="18"/>
          <w:szCs w:val="18"/>
        </w:rPr>
      </w:pPr>
      <w:r>
        <w:rPr>
          <w:rFonts w:ascii="Cambria" w:hAnsi="Cambria" w:cs="Cambria"/>
          <w:sz w:val="18"/>
          <w:szCs w:val="18"/>
        </w:rPr>
        <w:t xml:space="preserve">10.3.9 - Eventual destaque do valor de retenções tributárias cabíveis.</w:t>
      </w:r>
      <w:r>
        <w:rPr>
          <w:rFonts w:ascii="Cambria" w:hAnsi="Cambria" w:cs="Cambria"/>
          <w:sz w:val="20"/>
          <w:szCs w:val="20"/>
        </w:rPr>
      </w:r>
      <w:r/>
    </w:p>
    <w:p>
      <w:pPr>
        <w:ind w:left="0" w:right="0" w:firstLine="0"/>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10.4 - Havendo erro </w:t>
      </w:r>
      <w:r>
        <w:rPr>
          <w:rFonts w:ascii="Cambria" w:hAnsi="Cambria" w:cs="Cambria"/>
          <w:sz w:val="18"/>
          <w:szCs w:val="18"/>
        </w:rPr>
        <w:t xml:space="preserve">na</w:t>
      </w:r>
      <w:r>
        <w:rPr>
          <w:rFonts w:ascii="Cambria" w:hAnsi="Cambria" w:cs="Cambria"/>
          <w:iCs/>
          <w:sz w:val="18"/>
          <w:szCs w:val="18"/>
        </w:rPr>
        <w:t xml:space="preserve"> apresentação da NF - Nota Fiscal/Fatura, ou circunstância que impeça a liquidação da </w:t>
      </w:r>
      <w:r>
        <w:rPr>
          <w:rFonts w:ascii="Cambria" w:hAnsi="Cambria" w:cs="Cambria"/>
          <w:sz w:val="18"/>
          <w:szCs w:val="18"/>
        </w:rPr>
        <w:t xml:space="preserve">despesa</w:t>
      </w:r>
      <w:r>
        <w:rPr>
          <w:rFonts w:ascii="Cambria" w:hAnsi="Cambria" w:cs="Cambria"/>
          <w:iCs/>
          <w:sz w:val="18"/>
          <w:szCs w:val="18"/>
        </w:rPr>
        <w:t xml:space="preserve">, o pagamento ficará sobrestado até que o contratado providencie as medidas saneadoras. Nessa hipótese, o prazo para pagamento iniciar-se-á após a comprovação da regularização da situação, não acarretando qualquer ônus para o contratante;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10.5 - Os pagamentos serão condicionados à apresentação da NF - Nota Fiscal dos produtos/serviços contratados e entregues/executados devidamente atestados pelo setor competente.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10.6 - Deverá a contratada apresentar ainda as provas de regularidade fiscal e trabalhista com prazo de validade vigente, descritas abaixo: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10.6.1 - Prova de Regularidade referente aos Tributos Federais e Dívida Ativa da União (Certidão Conjunta PGFN e RFB);</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10.6.2 - Prova de Regularidade com a Fazenda Pública do Estado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10.6.3 - Prova de Regularidade com a Fazenda Pública do Município onde for sediada a empresa;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10.6.4 - Prova de Regularidade com a Fazenda Pública do Município de Viana;</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10.6.5 - Prova de Regularidade com a Fazenda do Estado do Espírito Santo;</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10.6.6 - Prova de Regularidade junto ao Fundo de Garantia por Tempo de Serviço - FGTS;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10.6.7 - Prova de Regularidade junto à Justiça do Trabalho, através da Certidão Negativa de Débitos Trabalhistas;</w:t>
      </w:r>
      <w:r>
        <w:rPr>
          <w:rFonts w:ascii="Cambria" w:hAnsi="Cambria" w:cs="Cambria"/>
          <w:sz w:val="20"/>
          <w:szCs w:val="20"/>
        </w:rPr>
      </w:r>
      <w:r/>
    </w:p>
    <w:p>
      <w:pPr>
        <w:ind w:left="426"/>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10.6.8 - Prova de Regularidade de Falência e Concordata.</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10.7 - O atraso superior a 60 (sessenta) dias dos pagamentos devidos pela Administração decorrentes dos serviços já prestad</w:t>
      </w:r>
      <w:r>
        <w:rPr>
          <w:rFonts w:ascii="Cambria" w:hAnsi="Cambria" w:cs="Cambria"/>
          <w:iCs/>
          <w:sz w:val="18"/>
          <w:szCs w:val="18"/>
        </w:rPr>
        <w:t xml:space="preserve">os, salvo em caso de calamidade pública, grave perturbação da ordem interna ou guerra, assegura à Contratada o direito de optar pela suspensão do cumprimento de suas obrigações até que seja normalizada a situação e a pronta quitação das parcelas em aberto.</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highlight w:val="white"/>
        </w:rPr>
      </w:pPr>
      <w:r>
        <w:rPr>
          <w:rFonts w:ascii="Cambria" w:hAnsi="Cambria" w:cs="Cambria"/>
          <w:iCs/>
          <w:sz w:val="18"/>
          <w:szCs w:val="18"/>
        </w:rPr>
        <w:t xml:space="preserve">10.8</w:t>
      </w:r>
      <w:r>
        <w:rPr>
          <w:rFonts w:ascii="Cambria" w:hAnsi="Cambria" w:cs="Cambria"/>
          <w:iCs/>
          <w:sz w:val="18"/>
          <w:szCs w:val="18"/>
          <w:highlight w:val="white"/>
        </w:rPr>
        <w:t xml:space="preserve"> - </w:t>
      </w:r>
      <w:r>
        <w:rPr>
          <w:rFonts w:ascii="Cambria" w:hAnsi="Cambria" w:cs="Cambria"/>
          <w:sz w:val="18"/>
          <w:szCs w:val="18"/>
          <w:highlight w:val="white"/>
        </w:rPr>
        <w:t xml:space="preserve">O contratado regularmente optante pelo Simples Nacional, nos termos da Lei Complementar nº 123, de 2006, não sofrerá a retenção tributária quan</w:t>
      </w:r>
      <w:r>
        <w:rPr>
          <w:rFonts w:ascii="Cambria" w:hAnsi="Cambria" w:cs="Cambria"/>
          <w:sz w:val="18"/>
          <w:szCs w:val="18"/>
          <w:highlight w:val="white"/>
        </w:rPr>
        <w:t xml:space="preserve">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mbria" w:hAnsi="Cambria" w:cs="Cambria"/>
          <w:iCs/>
          <w:sz w:val="18"/>
          <w:szCs w:val="18"/>
          <w:highlight w:val="white"/>
        </w:rPr>
        <w:t xml:space="preserve">.</w:t>
      </w:r>
      <w:r>
        <w:rPr>
          <w:rFonts w:ascii="Cambria" w:hAnsi="Cambria" w:cs="Cambria"/>
          <w:sz w:val="20"/>
          <w:szCs w:val="20"/>
        </w:rPr>
      </w:r>
      <w:r/>
    </w:p>
    <w:p>
      <w:pPr>
        <w:jc w:val="both"/>
        <w:spacing w:line="312" w:lineRule="auto"/>
        <w:tabs>
          <w:tab w:val="left" w:pos="426" w:leader="none"/>
        </w:tabs>
        <w:rPr>
          <w:rFonts w:ascii="Cambria" w:hAnsi="Cambria" w:cs="Cambria"/>
          <w:iCs/>
          <w:sz w:val="18"/>
          <w:szCs w:val="18"/>
        </w:rPr>
      </w:pPr>
      <w:r>
        <w:rPr>
          <w:rFonts w:ascii="Cambria" w:hAnsi="Cambria" w:cs="Cambria"/>
          <w:iCs/>
          <w:sz w:val="18"/>
          <w:szCs w:val="18"/>
        </w:rPr>
        <w:t xml:space="preserve">10.9</w:t>
      </w:r>
      <w:r>
        <w:rPr>
          <w:rFonts w:ascii="Cambria" w:hAnsi="Cambria" w:cs="Cambria"/>
          <w:iCs/>
          <w:sz w:val="18"/>
          <w:szCs w:val="18"/>
        </w:rPr>
        <w:t xml:space="preserve"> - Dados para emissão da Nota Fiscal:</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PREFEITURA MUNICIPAL DE SANTA BÁRBARA DO SUL/RS</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CNPJ nº: 88.496.468/0001-60</w:t>
      </w:r>
      <w:r>
        <w:rPr>
          <w:rFonts w:ascii="Cambria" w:hAnsi="Cambria" w:cs="Cambria"/>
          <w:sz w:val="20"/>
          <w:szCs w:val="20"/>
        </w:rPr>
      </w:r>
      <w:r/>
    </w:p>
    <w:p>
      <w:pPr>
        <w:jc w:val="both"/>
        <w:widowControl w:val="off"/>
        <w:rPr>
          <w:rFonts w:ascii="Cambria" w:hAnsi="Cambria" w:cs="Cambria"/>
          <w:bCs/>
          <w:i/>
          <w:sz w:val="18"/>
          <w:szCs w:val="18"/>
        </w:rPr>
      </w:pPr>
      <w:r>
        <w:rPr>
          <w:rFonts w:ascii="Cambria" w:hAnsi="Cambria" w:cs="Cambria"/>
          <w:i/>
          <w:iCs/>
          <w:color w:val="000000" w:themeColor="text1"/>
          <w:sz w:val="18"/>
          <w:szCs w:val="18"/>
        </w:rPr>
        <w:t xml:space="preserve">ENDEREÇO: Avenida Eduardo de Britto, nº 101, Bairro Cerutti.</w:t>
      </w:r>
      <w:r>
        <w:rPr>
          <w:rFonts w:ascii="Cambria" w:hAnsi="Cambria" w:cs="Cambria"/>
          <w:sz w:val="20"/>
          <w:szCs w:val="20"/>
        </w:rPr>
      </w:r>
      <w:r/>
    </w:p>
    <w:p>
      <w:pPr>
        <w:jc w:val="both"/>
        <w:widowControl w:val="off"/>
        <w:rPr>
          <w:rFonts w:ascii="Cambria" w:hAnsi="Cambria" w:cs="Cambria"/>
          <w:i/>
          <w:iCs/>
          <w:color w:val="000000" w:themeColor="text1"/>
          <w:sz w:val="18"/>
          <w:szCs w:val="18"/>
        </w:rPr>
      </w:pPr>
      <w:r>
        <w:rPr>
          <w:rFonts w:ascii="Cambria" w:hAnsi="Cambria" w:cs="Cambria"/>
          <w:i/>
          <w:iCs/>
          <w:color w:val="000000" w:themeColor="text1"/>
          <w:sz w:val="18"/>
          <w:szCs w:val="18"/>
        </w:rPr>
        <w:t xml:space="preserve">CEP: 98.240-000</w:t>
      </w:r>
      <w:r>
        <w:rPr>
          <w:rFonts w:ascii="Cambria" w:hAnsi="Cambria" w:cs="Cambria"/>
          <w:sz w:val="20"/>
          <w:szCs w:val="20"/>
        </w:rPr>
      </w:r>
      <w:r/>
    </w:p>
    <w:p>
      <w:pPr>
        <w:jc w:val="both"/>
        <w:widowControl w:val="off"/>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sz w:val="20"/>
          <w:szCs w:val="20"/>
        </w:rPr>
      </w:r>
      <w:r/>
    </w:p>
    <w:p>
      <w:pPr>
        <w:pStyle w:val="1059"/>
        <w:numPr>
          <w:ilvl w:val="0"/>
          <w:numId w:val="0"/>
        </w:numPr>
        <w:spacing w:before="0" w:after="0"/>
        <w:rPr>
          <w:rFonts w:ascii="Cambria" w:hAnsi="Cambria" w:cs="Cambria"/>
          <w:sz w:val="18"/>
          <w:szCs w:val="18"/>
        </w:rPr>
      </w:pPr>
      <w:r>
        <w:rPr>
          <w:rFonts w:ascii="Cambria" w:hAnsi="Cambria" w:cs="Cambria"/>
          <w:sz w:val="18"/>
          <w:szCs w:val="18"/>
        </w:rPr>
        <w:t xml:space="preserve">11</w:t>
      </w:r>
      <w:r>
        <w:rPr>
          <w:rFonts w:ascii="Cambria" w:hAnsi="Cambria" w:cs="Cambria"/>
          <w:sz w:val="18"/>
          <w:szCs w:val="18"/>
        </w:rPr>
        <w:t xml:space="preserve"> - REAJUSTE (art. 92, inciso V, da Lei nº 14.133/2021).</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.1 - Os preços inicialmente contratados são fixos e irreajustáveis no prazo de um ano contado da data do orçamento estimado.</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.2 - Após o interregno de 01 (um) ano, e independentemente de pedido do contratado, os preços iniciais serão reajustados, mediante a aplicação, pelo contratante, do Índice Nacional de Preços ao Consumidor Amplo - IPCA/IBGE</w:t>
      </w:r>
      <w:r>
        <w:rPr>
          <w:rFonts w:ascii="Cambria" w:hAnsi="Cambria" w:cs="Cambria"/>
          <w:i/>
          <w:iCs/>
          <w:color w:val="auto"/>
          <w:sz w:val="18"/>
          <w:szCs w:val="18"/>
        </w:rPr>
        <w:t xml:space="preserve">,</w:t>
      </w:r>
      <w:r>
        <w:rPr>
          <w:rFonts w:ascii="Cambria" w:hAnsi="Cambria" w:cs="Cambria"/>
          <w:color w:val="auto"/>
          <w:sz w:val="18"/>
          <w:szCs w:val="18"/>
        </w:rPr>
        <w:t xml:space="preserve"> exclusivamente para as obrigações iniciadas e concluídas após a ocorrência da anualidade.</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.3 - Nos reajustes subsequentes ao primeiro, o interregno mínimo de 01 (um) ano será contado a partir dos efeitos financeiros do último reajuste.</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.4 - No c</w:t>
      </w:r>
      <w:r>
        <w:rPr>
          <w:rFonts w:ascii="Cambria" w:hAnsi="Cambria" w:cs="Cambria"/>
          <w:color w:val="auto"/>
          <w:sz w:val="18"/>
          <w:szCs w:val="18"/>
        </w:rPr>
        <w:t xml:space="preserve">aso de atraso ou não divulgação do(s) índice (s) de reajustamento, o contratante pagará ao contratado a importância calculada pela última variação conhecida, liquidando a diferença correspondente tão logo seja(m) divulgado(s) o(s) índice(s) definitivo(s). </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.5 - Nas aferições finais, o(s) índice(s) utilizado(s) para reajuste será(ão), obrigatoriamente, o(s) definitivo(s).</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.6 - Caso o(s) índice(s) estabelecido(s) para reajustamento venha(m) a ser extinto(s) ou de qualquer forma não possa(m) mais ser utilizado(s), será(ão) adotado(s), em substituição, o(s) que vier(em) a ser determinado(s) pela legislação então em vigor.</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.7 - Na ausência de previsão legal quanto ao índice substituto, as partes elegerão novo índice oficial, para reajustamento do preço do valor remanescente, por meio de termo aditivo. </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11</w:t>
      </w:r>
      <w:r>
        <w:rPr>
          <w:rFonts w:ascii="Cambria" w:hAnsi="Cambria" w:cs="Cambria"/>
          <w:color w:val="auto"/>
          <w:sz w:val="18"/>
          <w:szCs w:val="18"/>
        </w:rPr>
        <w:t xml:space="preserve">.8 - O reajuste será realizado por apostilamento.</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lang w:eastAsia="en-US"/>
        </w:rPr>
      </w:r>
      <w:r>
        <w:rPr>
          <w:rFonts w:ascii="Cambria" w:hAnsi="Cambria" w:cs="Cambria"/>
          <w:sz w:val="16"/>
          <w:szCs w:val="16"/>
        </w:rPr>
      </w:r>
      <w:r/>
    </w:p>
    <w:p>
      <w:pPr>
        <w:pStyle w:val="1059"/>
        <w:numPr>
          <w:ilvl w:val="0"/>
          <w:numId w:val="0"/>
        </w:numPr>
        <w:spacing w:before="0" w:after="0"/>
        <w:tabs>
          <w:tab w:val="left" w:pos="284" w:leader="none"/>
        </w:tabs>
        <w:rPr>
          <w:rFonts w:ascii="Cambria" w:hAnsi="Cambria" w:cs="Cambria"/>
          <w:color w:val="ffffff" w:themeColor="background1"/>
          <w:sz w:val="18"/>
          <w:szCs w:val="18"/>
        </w:rPr>
      </w:pPr>
      <w:r>
        <w:rPr>
          <w:rFonts w:ascii="Cambria" w:hAnsi="Cambria" w:cs="Cambria"/>
          <w:sz w:val="18"/>
          <w:szCs w:val="18"/>
        </w:rPr>
        <w:t xml:space="preserve">12</w:t>
      </w:r>
      <w:r>
        <w:rPr>
          <w:rFonts w:ascii="Cambria" w:hAnsi="Cambria" w:cs="Cambria"/>
          <w:sz w:val="18"/>
          <w:szCs w:val="18"/>
        </w:rPr>
        <w:t xml:space="preserve"> - INFRAÇÕES E SANÇÕES ADMINISTRATIVAS (art. 92, inciso XIV, da Lei nº 14.133/2021).</w:t>
      </w:r>
      <w:r>
        <w:rPr>
          <w:rFonts w:ascii="Cambria" w:hAnsi="Cambria" w:cs="Cambria"/>
          <w:sz w:val="16"/>
          <w:szCs w:val="16"/>
        </w:rPr>
      </w:r>
      <w:r/>
    </w:p>
    <w:p>
      <w:pPr>
        <w:pStyle w:val="1076"/>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.1 - Comete infração administrativa, nos termos da Lei nº 14.133, de 2021, o contratado que:</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der causa à inexecução parcial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der causa à inexecução parcial do contrato que cause grave dano à Administração ou ao funcionamento dos serviços públicos ou ao interesse coletivo;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der causa à inexecução total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ensejar o retardamento da execução ou da entrega do objeto da contratação sem motivo justificado;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apresentar documentação falsa ou prestar declaração falsa durante 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f) praticar ato fraudulento na execução do contrato;</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g) comportar-se de modo inidôneo ou cometer fraude de qualquer natureza;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h) praticar ato lesivo previsto no art. 5º da Lei nº 12.846, de 1º de agosto de 2013.</w:t>
      </w:r>
      <w:r>
        <w:rPr>
          <w:rFonts w:ascii="Cambria" w:hAnsi="Cambria" w:cs="Cambria"/>
          <w:sz w:val="20"/>
          <w:szCs w:val="20"/>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.2 - Serão aplicadas ao contratado que incorrer nas infrações acima descritas as seguintes sanções:</w:t>
      </w:r>
      <w:r>
        <w:rPr>
          <w:rFonts w:ascii="Cambria" w:hAnsi="Cambria" w:cs="Cambria"/>
          <w:sz w:val="16"/>
          <w:szCs w:val="16"/>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Advertência</w:t>
      </w:r>
      <w:r>
        <w:rPr>
          <w:rFonts w:ascii="Cambria" w:hAnsi="Cambria" w:eastAsia="Arial" w:cs="Cambria"/>
          <w:sz w:val="18"/>
          <w:szCs w:val="18"/>
        </w:rPr>
        <w:t xml:space="preserve">, quando o contratado der causa à inexecução parcial do contrato, sempre que não se justificar a imposição de penalidade mais grave (art. 156, §2º, da </w:t>
      </w:r>
      <w:bookmarkStart w:id="77" w:name="_Hlk114504069"/>
      <w:r>
        <w:rPr>
          <w:rFonts w:ascii="Cambria" w:hAnsi="Cambria" w:eastAsia="Arial" w:cs="Cambria"/>
          <w:sz w:val="18"/>
          <w:szCs w:val="18"/>
        </w:rPr>
        <w:t xml:space="preserve">Lei nº 14.133, de 2021</w:t>
      </w:r>
      <w:bookmarkEnd w:id="77"/>
      <w:r>
        <w:rPr>
          <w:rFonts w:ascii="Cambria" w:hAnsi="Cambria" w:eastAsia="Arial" w:cs="Cambria"/>
          <w:sz w:val="18"/>
          <w:szCs w:val="18"/>
        </w:rPr>
        <w:t xml:space="preserve">);</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 Impedimento de licitar e contratar</w:t>
      </w:r>
      <w:r>
        <w:rPr>
          <w:rFonts w:ascii="Cambria" w:hAnsi="Cambria" w:eastAsia="Arial" w:cs="Cambria"/>
          <w:sz w:val="18"/>
          <w:szCs w:val="18"/>
        </w:rPr>
        <w:t xml:space="preserve">, quando praticadas as condutas descritas nas alíneas “b”, “c” e “d” do subitem acima deste Contrato, sempre que não se justificar a imposição de penalidade mais grave (art. 156, § 4º, da Lei nº 14.133, de 2021);</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III) Declaração de inidoneidade para licitar e contratar</w:t>
      </w:r>
      <w:r>
        <w:rPr>
          <w:rFonts w:ascii="Cambria" w:hAnsi="Cambria" w:eastAsia="Arial" w:cs="Cambria"/>
          <w:sz w:val="18"/>
          <w:szCs w:val="18"/>
        </w:rPr>
        <w:t xml:space="preserve">, quando praticadas as condutas descritas nas alíneas “e”, “f”, “g” e “h” do subitem acima deste Contrato, bem como nas alíneas “b”, “c” e “d”, que justifiquem a imposição de penalidade mais grave (art. 156, §5º, da Lei nº 14.133, de 2021).</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bCs/>
          <w:sz w:val="18"/>
          <w:szCs w:val="18"/>
        </w:rPr>
        <w:t xml:space="preserve">I - Multa:</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moratória de 1% (um por cento) por dia de atraso injustificado sobre o valor daparcela inadimplida, até o limite de 30 (trinta) dias;</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2 - moratória de 1% (um por cento) por dia de atraso injustificado sobre o valor total do contrato, até o máximo de 50% (cinquenta por cento), pela inobservância do prazo fixado para apresentação, suplementação ou reposição da garantia.</w:t>
      </w:r>
      <w:r>
        <w:rPr>
          <w:rFonts w:ascii="Cambria" w:hAnsi="Cambria" w:cs="Cambria"/>
          <w:sz w:val="20"/>
          <w:szCs w:val="20"/>
        </w:rPr>
      </w:r>
      <w:r/>
    </w:p>
    <w:p>
      <w:pPr>
        <w:jc w:val="both"/>
        <w:spacing w:line="312" w:lineRule="auto"/>
        <w:tabs>
          <w:tab w:val="left" w:pos="284" w:leader="none"/>
        </w:tabs>
        <w:rPr>
          <w:rFonts w:ascii="Cambria" w:hAnsi="Cambria" w:cs="Cambria"/>
          <w:sz w:val="18"/>
          <w:szCs w:val="18"/>
        </w:rPr>
      </w:pPr>
      <w:r>
        <w:rPr>
          <w:rFonts w:ascii="Cambria" w:hAnsi="Cambria" w:eastAsia="Arial" w:cs="Cambria"/>
          <w:iCs/>
          <w:sz w:val="18"/>
          <w:szCs w:val="18"/>
        </w:rPr>
        <w:t xml:space="preserve">I) O atraso superior a 10 (dez) dias autoriza a Administração a promover a extinção do contrato por descumprimento ou cumprimento irregular de suas cláusulas, conforme dispõe o inciso I do art. 137 da Lei n. 14.133, de 2021. </w:t>
      </w:r>
      <w:r>
        <w:rPr>
          <w:rFonts w:ascii="Cambria" w:hAnsi="Cambria" w:cs="Cambria"/>
          <w:sz w:val="20"/>
          <w:szCs w:val="20"/>
        </w:rPr>
      </w:r>
      <w:r/>
    </w:p>
    <w:p>
      <w:pPr>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1 - compensatória de 30% (trinta por cento) sobre o valor total do contrato, no caso de inexecução total do objeto.</w:t>
      </w:r>
      <w:r>
        <w:rPr>
          <w:rFonts w:ascii="Cambria" w:hAnsi="Cambria" w:cs="Cambria"/>
          <w:sz w:val="20"/>
          <w:szCs w:val="20"/>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.3 - A aplicação das sanções previstas neste Contrato não exclui, em hipótese alguma, a obrigação de reparação integral do dano causado ao Contratante (art. 156, §9º, da Lei nº 14.133, de 2021)</w:t>
      </w:r>
      <w:r>
        <w:rPr>
          <w:rFonts w:ascii="Cambria" w:hAnsi="Cambria" w:cs="Cambria"/>
          <w:sz w:val="16"/>
          <w:szCs w:val="16"/>
        </w:rPr>
      </w:r>
      <w:r/>
    </w:p>
    <w:p>
      <w:pPr>
        <w:pStyle w:val="1076"/>
        <w:numPr>
          <w:ilvl w:val="0"/>
          <w:numId w:val="0"/>
        </w:numPr>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.4 - Todas as sanções previstas neste Contrato poderão ser aplicadas cumulativamente com a multa (art. 156, §7º, da Lei nº 14.133, de 2021).</w:t>
      </w:r>
      <w:r>
        <w:rPr>
          <w:rFonts w:ascii="Cambria" w:hAnsi="Cambria" w:cs="Cambria"/>
          <w:sz w:val="16"/>
          <w:szCs w:val="16"/>
        </w:rPr>
      </w:r>
      <w:r/>
    </w:p>
    <w:p>
      <w:pPr>
        <w:pStyle w:val="1078"/>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.4.1 - Antes da aplicação da multa será facultada a defesa do interessado no prazo de 15 (quinze) dias úteis, contado da data de sua intimação (art. 157, da Lei nº 14.133, de 2021)</w:t>
      </w:r>
      <w:r>
        <w:rPr>
          <w:rFonts w:ascii="Cambria" w:hAnsi="Cambria" w:cs="Cambria"/>
          <w:sz w:val="16"/>
          <w:szCs w:val="16"/>
        </w:rPr>
      </w:r>
      <w:r/>
    </w:p>
    <w:p>
      <w:pPr>
        <w:pStyle w:val="1078"/>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.4.2 - Se a multa aplicada e as indeniz</w:t>
      </w:r>
      <w:r>
        <w:rPr>
          <w:rFonts w:ascii="Cambria" w:hAnsi="Cambria" w:cs="Cambria"/>
          <w:color w:val="auto"/>
          <w:sz w:val="18"/>
          <w:szCs w:val="18"/>
        </w:rPr>
        <w:t xml:space="preserve">ações cabíveis forem superiores ao valor do pagamento eventualmente devido pelo Contratante ao Contratado, além da perda desse valor, a diferença será descontada da garantia prestada ou será cobrada judicialmente (art. 156, §8º, da Lei nº 14.133, de 2021).</w:t>
      </w:r>
      <w:r>
        <w:rPr>
          <w:rFonts w:ascii="Cambria" w:hAnsi="Cambria" w:cs="Cambria"/>
          <w:sz w:val="16"/>
          <w:szCs w:val="16"/>
        </w:rPr>
      </w:r>
      <w:r/>
    </w:p>
    <w:p>
      <w:pPr>
        <w:pStyle w:val="1078"/>
        <w:numPr>
          <w:ilvl w:val="0"/>
          <w:numId w:val="0"/>
        </w:numPr>
        <w:ind w:left="708"/>
        <w:spacing w:before="0" w:after="0" w:line="312" w:lineRule="auto"/>
        <w:rPr>
          <w:rFonts w:ascii="Cambria" w:hAnsi="Cambria" w:cs="Cambria"/>
          <w:color w:val="auto"/>
          <w:sz w:val="18"/>
          <w:szCs w:val="18"/>
        </w:rPr>
      </w:pPr>
      <w:r>
        <w:rPr>
          <w:rFonts w:ascii="Cambria" w:hAnsi="Cambria" w:cs="Cambria"/>
          <w:color w:val="auto"/>
          <w:sz w:val="18"/>
          <w:szCs w:val="18"/>
        </w:rPr>
        <w:t xml:space="preserve">12</w:t>
      </w:r>
      <w:r>
        <w:rPr>
          <w:rFonts w:ascii="Cambria" w:hAnsi="Cambria" w:cs="Cambria"/>
          <w:color w:val="auto"/>
          <w:sz w:val="18"/>
          <w:szCs w:val="18"/>
        </w:rPr>
        <w:t xml:space="preserve">.4.3 - Previamente ao encaminhamento à cobrança judicial, a multa poderá ser recolhida administrativamente no prazo máximo de </w:t>
      </w:r>
      <w:r>
        <w:rPr>
          <w:rFonts w:ascii="Cambria" w:hAnsi="Cambria" w:cs="Cambria"/>
          <w:iCs/>
          <w:color w:val="auto"/>
          <w:sz w:val="18"/>
          <w:szCs w:val="18"/>
        </w:rPr>
        <w:t xml:space="preserve">15 (quinze) </w:t>
      </w:r>
      <w:r>
        <w:rPr>
          <w:rFonts w:ascii="Cambria" w:hAnsi="Cambria" w:cs="Cambria"/>
          <w:color w:val="auto"/>
          <w:sz w:val="18"/>
          <w:szCs w:val="18"/>
        </w:rPr>
        <w:t xml:space="preserve">dias, a contar da data do recebimento da comunicação enviada pela autoridade competente.</w:t>
      </w:r>
      <w:bookmarkStart w:id="78" w:name="_Hlk78351618"/>
      <w:r>
        <w:rPr>
          <w:rFonts w:ascii="Cambria" w:hAnsi="Cambria" w:cs="Cambria"/>
          <w:sz w:val="16"/>
          <w:szCs w:val="16"/>
        </w:rPr>
      </w:r>
      <w:bookmarkEnd w:id="78"/>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.5 - A aplicação das sanções realizar-se-á em processo administrativo que assegure o contraditório e a ampla defesa ao Contratado, observando-se o procedimento previsto no </w:t>
      </w:r>
      <w:r>
        <w:rPr>
          <w:rFonts w:ascii="Cambria" w:hAnsi="Cambria" w:cs="Cambria"/>
          <w:b/>
          <w:bCs/>
          <w:sz w:val="18"/>
          <w:szCs w:val="18"/>
        </w:rPr>
        <w:t xml:space="preserve">caput </w:t>
      </w:r>
      <w:r>
        <w:rPr>
          <w:rFonts w:ascii="Cambria" w:hAnsi="Cambria" w:cs="Cambria"/>
          <w:sz w:val="18"/>
          <w:szCs w:val="18"/>
        </w:rPr>
        <w:t xml:space="preserve">e parágrafos do art. 158 da Lei nº 14.133, de 2021, para as penalidades de impedimento de licitar e contratar e de declaração de inidoneidade para licitar ou contratar.</w:t>
      </w:r>
      <w:r>
        <w:rPr>
          <w:rFonts w:ascii="Cambria" w:hAnsi="Cambria" w:cs="Cambria"/>
          <w:sz w:val="16"/>
          <w:szCs w:val="16"/>
        </w:rPr>
      </w:r>
      <w:r/>
    </w:p>
    <w:p>
      <w:pPr>
        <w:pStyle w:val="1076"/>
        <w:numPr>
          <w:ilvl w:val="0"/>
          <w:numId w:val="0"/>
        </w:numPr>
        <w:spacing w:before="0" w:after="0" w:line="312" w:lineRule="auto"/>
        <w:tabs>
          <w:tab w:val="left" w:pos="284" w:leader="none"/>
        </w:tabs>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.6 - Na aplicação das sanções serão considerados (art. 156, §1º, da Lei nº 14.133, de 2021):</w:t>
      </w:r>
      <w:r>
        <w:rPr>
          <w:rFonts w:ascii="Cambria" w:hAnsi="Cambria" w:cs="Cambria"/>
          <w:sz w:val="16"/>
          <w:szCs w:val="16"/>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a) a natureza e a gravidade da infração cometida;</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b) as peculiaridades do caso concreto;</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c) as circunstâncias agravantes ou atenuantes;</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d) os danos que dela provierem para o Contratante;</w:t>
      </w:r>
      <w:r>
        <w:rPr>
          <w:rFonts w:ascii="Cambria" w:hAnsi="Cambria" w:cs="Cambria"/>
          <w:sz w:val="20"/>
          <w:szCs w:val="20"/>
        </w:rPr>
      </w:r>
      <w:r/>
    </w:p>
    <w:p>
      <w:pPr>
        <w:contextualSpacing/>
        <w:ind w:left="708"/>
        <w:jc w:val="both"/>
        <w:spacing w:line="312" w:lineRule="auto"/>
        <w:tabs>
          <w:tab w:val="left" w:pos="284" w:leader="none"/>
        </w:tabs>
        <w:rPr>
          <w:rFonts w:ascii="Cambria" w:hAnsi="Cambria" w:cs="Cambria"/>
          <w:sz w:val="18"/>
          <w:szCs w:val="18"/>
        </w:rPr>
      </w:pPr>
      <w:r>
        <w:rPr>
          <w:rFonts w:ascii="Cambria" w:hAnsi="Cambria" w:eastAsia="Arial" w:cs="Cambria"/>
          <w:sz w:val="18"/>
          <w:szCs w:val="18"/>
        </w:rPr>
        <w:t xml:space="preserve">e) a implantação ou o aperfeiçoamento de programa de integridade, conforme normas e orientações dos órgãos de controle.</w:t>
      </w:r>
      <w:r>
        <w:rPr>
          <w:rFonts w:ascii="Cambria" w:hAnsi="Cambria" w:cs="Cambria"/>
          <w:sz w:val="20"/>
          <w:szCs w:val="20"/>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.7 - Os atos previstos como infrações administrativas na Lei nº 14.133, de 2021, ou em outras leis de licitações e contr</w:t>
      </w:r>
      <w:r>
        <w:rPr>
          <w:rFonts w:ascii="Cambria" w:hAnsi="Cambria" w:cs="Cambria"/>
          <w:sz w:val="18"/>
          <w:szCs w:val="18"/>
        </w:rPr>
        <w:t xml:space="preserve">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Cambria" w:hAnsi="Cambria" w:cs="Cambria"/>
          <w:sz w:val="16"/>
          <w:szCs w:val="16"/>
        </w:rPr>
      </w:r>
      <w:r/>
    </w:p>
    <w:p>
      <w:pPr>
        <w:pStyle w:val="1076"/>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.8 - A personalidade jurídica do Contratado poderá ser desconsiderada sempre que utilizada com abuso do direito para facilitar, encobrir ou dissimular a prática dos a</w:t>
      </w:r>
      <w:r>
        <w:rPr>
          <w:rFonts w:ascii="Cambria" w:hAnsi="Cambria" w:cs="Cambria"/>
          <w:sz w:val="18"/>
          <w:szCs w:val="18"/>
        </w:rPr>
        <w:t xml:space="preserve">tos ilícitos previstos neste Contrato ou para provocar confusão patrimonial, e, nesse caso, todos os efeitos das sanções aplicadas à pessoa jurídica serão estendidos aos seus administradores e sócios com poderes de administração, à pessoa jurídica sucessor</w:t>
      </w:r>
      <w:r>
        <w:rPr>
          <w:rFonts w:ascii="Cambria" w:hAnsi="Cambria" w:cs="Cambria"/>
          <w:sz w:val="18"/>
          <w:szCs w:val="18"/>
        </w:rPr>
        <w:t xml:space="preserve">a ou à empresa do mesmo ramo com relação de coligação ou controle, de fato ou de direito, com o Contratado, observados, em todos os casos, o contraditório, a ampla defesa e a obrigatoriedade de análise jurídica prévia (art. 160, da Lei nº 14.133, de 2021).</w:t>
      </w:r>
      <w:r>
        <w:rPr>
          <w:rFonts w:ascii="Cambria" w:hAnsi="Cambria" w:cs="Cambria"/>
          <w:sz w:val="16"/>
          <w:szCs w:val="16"/>
        </w:rPr>
      </w:r>
      <w:r/>
    </w:p>
    <w:p>
      <w:pPr>
        <w:pStyle w:val="1076"/>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.9 - O Contratante deverá, no prazo máximo 15 (quinze) dias úteis, contado da data de aplicação da sanção, informar e manter atualizados os dados relativos </w:t>
      </w:r>
      <w:r>
        <w:rPr>
          <w:rFonts w:ascii="Cambria" w:hAnsi="Cambria" w:cs="Cambria"/>
          <w:sz w:val="18"/>
          <w:szCs w:val="18"/>
        </w:rPr>
        <w:t xml:space="preserve">às sanções por ela aplicadas, para fins de publicidade no Cadastro Nacional de Empresas Inidôneas e Suspensas (Ceis) e no Cadastro Nacional de Empresas Punidas (Cnep), instituídos no âmbito do Poder Executivo Federal. (Art. 161, da Lei nº 14.133, de 2021).</w:t>
      </w:r>
      <w:r>
        <w:rPr>
          <w:rFonts w:ascii="Cambria" w:hAnsi="Cambria" w:cs="Cambria"/>
          <w:sz w:val="16"/>
          <w:szCs w:val="16"/>
        </w:rPr>
      </w:r>
      <w:r/>
    </w:p>
    <w:p>
      <w:pPr>
        <w:pStyle w:val="1076"/>
        <w:numPr>
          <w:ilvl w:val="0"/>
          <w:numId w:val="0"/>
        </w:numPr>
        <w:spacing w:before="0" w:after="0" w:line="312" w:lineRule="auto"/>
        <w:rPr>
          <w:rFonts w:ascii="Cambria" w:hAnsi="Cambria" w:cs="Cambria"/>
          <w:i/>
          <w:iCs/>
          <w:sz w:val="18"/>
          <w:szCs w:val="18"/>
        </w:rPr>
      </w:pPr>
      <w:r>
        <w:rPr>
          <w:rFonts w:ascii="Cambria" w:hAnsi="Cambria" w:cs="Cambria"/>
          <w:sz w:val="18"/>
          <w:szCs w:val="18"/>
        </w:rPr>
        <w:t xml:space="preserve">12</w:t>
      </w:r>
      <w:r>
        <w:rPr>
          <w:rFonts w:ascii="Cambria" w:hAnsi="Cambria" w:cs="Cambria"/>
          <w:sz w:val="18"/>
          <w:szCs w:val="18"/>
        </w:rPr>
        <w:t xml:space="preserve">.10 - As sanções de impedimento de licitar e contratar e declaração de inidoneidade para licitar ou contratar são passíveis de reabilitação na forma do art. 163 da Lei nº 14.133/21.</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12</w:t>
      </w:r>
      <w:r>
        <w:rPr>
          <w:rFonts w:ascii="Cambria" w:hAnsi="Cambria" w:cs="Cambria"/>
          <w:sz w:val="18"/>
          <w:szCs w:val="18"/>
        </w:rPr>
        <w:t xml:space="preserve">.11 - Os débitos do contratado para com a Administração contratante, resultantes de multa administrativa e/ou indenizações</w:t>
      </w:r>
      <w:r>
        <w:rPr>
          <w:rFonts w:ascii="Cambria" w:hAnsi="Cambria" w:cs="Cambria"/>
          <w:sz w:val="18"/>
          <w:szCs w:val="18"/>
        </w:rPr>
        <w:t xml:space="preserve">, não inscritos em dívida ativa, poderão ser compensados, total ou parcialmente, com os créditos devidos pelo referido órgão decorrentes deste mesmo contrato ou de outros contratos administrativos que o contratado possua com o mesmo órgão ora contratante. </w:t>
      </w:r>
      <w:r>
        <w:rPr>
          <w:rFonts w:ascii="Cambria" w:hAnsi="Cambria" w:cs="Cambria"/>
          <w:sz w:val="16"/>
          <w:szCs w:val="16"/>
        </w:rPr>
      </w:r>
      <w:r/>
    </w:p>
    <w:p>
      <w:pPr>
        <w:pStyle w:val="1044"/>
        <w:contextualSpacing w:val="0"/>
        <w:ind w:left="0"/>
        <w:jc w:val="both"/>
        <w:spacing w:line="276" w:lineRule="auto"/>
        <w:widowControl w:val="off"/>
        <w:tabs>
          <w:tab w:val="left" w:pos="909" w:leader="none"/>
        </w:tabs>
        <w:rPr>
          <w:rFonts w:ascii="Cambria" w:hAnsi="Cambria" w:cs="Cambria"/>
          <w:color w:val="000000"/>
          <w:sz w:val="18"/>
          <w:szCs w:val="18"/>
        </w:rPr>
      </w:pPr>
      <w:r>
        <w:rPr>
          <w:rFonts w:ascii="Cambria" w:hAnsi="Cambria" w:cs="Cambria"/>
          <w:color w:val="000000"/>
          <w:sz w:val="18"/>
          <w:szCs w:val="18"/>
        </w:rPr>
        <w:t xml:space="preserve">12</w:t>
      </w:r>
      <w:r>
        <w:rPr>
          <w:rFonts w:ascii="Cambria" w:hAnsi="Cambria" w:cs="Cambria"/>
          <w:color w:val="000000"/>
          <w:sz w:val="18"/>
          <w:szCs w:val="18"/>
        </w:rPr>
        <w:t xml:space="preserve">.12 - </w:t>
      </w:r>
      <w:r>
        <w:rPr>
          <w:rFonts w:ascii="Cambria" w:hAnsi="Cambria" w:eastAsia="Times New Roman" w:cs="Cambria"/>
          <w:color w:val="000000"/>
          <w:sz w:val="18"/>
          <w:szCs w:val="18"/>
        </w:rPr>
        <w:t xml:space="preserve">Aquele que convocado para assinatura da ata ou contrato não o fizer dentro do prazo estabelecido pela Administração, deixar de entregar documentação exigida, apresentar documentação falsa, ensejar o retardamento d</w:t>
      </w:r>
      <w:r>
        <w:rPr>
          <w:rFonts w:ascii="Cambria" w:hAnsi="Cambria" w:eastAsia="Times New Roman" w:cs="Cambria"/>
          <w:color w:val="000000"/>
          <w:sz w:val="18"/>
          <w:szCs w:val="18"/>
        </w:rPr>
        <w:t xml:space="preserve">a execução de seu objeto, não mantiver a proposta, falhar ou fraudar na execução do contrato, comportar-se de modo inidôneo, fizer declaração falsa ou cometer fraude fiscal, sendo-lhe garantido o direito à ampla defesa, serão aplicadas as sanções de multa </w:t>
      </w:r>
      <w:r>
        <w:rPr>
          <w:rFonts w:ascii="Cambria" w:hAnsi="Cambria" w:eastAsia="Times New Roman" w:cs="Cambria"/>
          <w:color w:val="000000"/>
          <w:sz w:val="18"/>
          <w:szCs w:val="18"/>
        </w:rPr>
        <w:t xml:space="preserve">de 10% (dez por cento) sobre o valor estabelecido em sua proposta e a penalidade de impedimento do direito de licitar</w:t>
      </w:r>
      <w:r>
        <w:rPr>
          <w:rFonts w:ascii="Cambria" w:hAnsi="Cambria" w:eastAsia="Times New Roman" w:cs="Cambria"/>
          <w:color w:val="000000"/>
          <w:sz w:val="18"/>
          <w:szCs w:val="18"/>
        </w:rPr>
        <w:t xml:space="preserve"> e contratar com a Administração Pública Municipal ou a declaração de inidoneidade para licitar e contratar com a Administração Pública, sem prejuízo das demais cominações legais, incluindo as sanções previstas na Lei nº 14.133/2021 e, suas alterações.</w:t>
      </w:r>
      <w:r>
        <w:rPr>
          <w:rFonts w:ascii="Cambria" w:hAnsi="Cambria" w:cs="Cambria"/>
          <w:sz w:val="20"/>
          <w:szCs w:val="20"/>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59"/>
        <w:numPr>
          <w:ilvl w:val="0"/>
          <w:numId w:val="0"/>
        </w:numPr>
        <w:spacing w:before="0" w:after="0"/>
        <w:rPr>
          <w:rFonts w:ascii="Cambria" w:hAnsi="Cambria" w:cs="Cambria"/>
          <w:sz w:val="18"/>
          <w:szCs w:val="18"/>
        </w:rPr>
      </w:pPr>
      <w:r>
        <w:rPr>
          <w:rFonts w:ascii="Cambria" w:hAnsi="Cambria" w:cs="Cambria"/>
          <w:sz w:val="18"/>
          <w:szCs w:val="18"/>
        </w:rPr>
        <w:t xml:space="preserve">13</w:t>
      </w:r>
      <w:r>
        <w:rPr>
          <w:rFonts w:ascii="Cambria" w:hAnsi="Cambria" w:cs="Cambria"/>
          <w:sz w:val="18"/>
          <w:szCs w:val="18"/>
        </w:rPr>
        <w:t xml:space="preserve"> - FORMA E CRITÉRIOS DE SELEÇÃO DO FORNECEDOR</w:t>
      </w:r>
      <w:r>
        <w:rPr>
          <w:rFonts w:ascii="Cambria" w:hAnsi="Cambria" w:cs="Cambria"/>
          <w:sz w:val="16"/>
          <w:szCs w:val="16"/>
        </w:rPr>
      </w:r>
      <w:r/>
    </w:p>
    <w:p>
      <w:pPr>
        <w:pStyle w:val="1129"/>
        <w:spacing w:before="0" w:after="0"/>
        <w:rPr>
          <w:rFonts w:ascii="Cambria" w:hAnsi="Cambria" w:cs="Cambria"/>
          <w:color w:val="auto"/>
          <w:sz w:val="18"/>
          <w:szCs w:val="18"/>
          <w:highlight w:val="yellow"/>
        </w:rPr>
      </w:pPr>
      <w:r>
        <w:rPr>
          <w:rFonts w:ascii="Cambria" w:hAnsi="Cambria" w:cs="Cambria"/>
          <w:color w:val="auto"/>
          <w:sz w:val="18"/>
          <w:szCs w:val="18"/>
          <w:lang w:eastAsia="en-US"/>
        </w:rPr>
        <w:t xml:space="preserve">Forma de seleção e critério de julgamento da proposta</w:t>
      </w:r>
      <w:r>
        <w:rPr>
          <w:rFonts w:ascii="Cambria" w:hAnsi="Cambria" w:cs="Cambria"/>
          <w:sz w:val="16"/>
          <w:szCs w:val="16"/>
        </w:rPr>
      </w:r>
      <w:r/>
    </w:p>
    <w:p>
      <w:pPr>
        <w:pStyle w:val="1076"/>
        <w:numPr>
          <w:ilvl w:val="0"/>
          <w:numId w:val="0"/>
        </w:numPr>
        <w:spacing w:before="0" w:after="0" w:line="312" w:lineRule="auto"/>
        <w:rPr>
          <w:rFonts w:ascii="Cambria" w:hAnsi="Cambria" w:cs="Cambria"/>
          <w:b/>
          <w:color w:val="auto"/>
          <w:sz w:val="18"/>
          <w:szCs w:val="18"/>
        </w:rPr>
      </w:pPr>
      <w:r>
        <w:rPr>
          <w:rFonts w:ascii="Cambria" w:hAnsi="Cambria" w:eastAsia="Arial" w:cs="Cambria"/>
          <w:sz w:val="18"/>
          <w:szCs w:val="18"/>
        </w:rPr>
        <w:t xml:space="preserve">13</w:t>
      </w:r>
      <w:r>
        <w:rPr>
          <w:rFonts w:ascii="Cambria" w:hAnsi="Cambria" w:eastAsia="Arial" w:cs="Cambria"/>
          <w:sz w:val="18"/>
          <w:szCs w:val="18"/>
        </w:rPr>
        <w:t xml:space="preserve">.1 - O fornecedor será selecionado por meio da realização de procedimento de LICITAÇÃO, na modalidade PREGÃO, sob a forma ELETRÔNICA, com adoção do critério de julgamento pelo </w:t>
      </w:r>
      <w:r>
        <w:rPr>
          <w:rFonts w:ascii="Cambria" w:hAnsi="Cambria" w:eastAsia="Arial" w:cs="Cambria"/>
          <w:b/>
          <w:color w:val="auto"/>
          <w:sz w:val="18"/>
          <w:szCs w:val="18"/>
        </w:rPr>
        <w:t xml:space="preserve">MENOR PREÇO POR LOTE.</w:t>
      </w:r>
      <w:r>
        <w:rPr>
          <w:rFonts w:ascii="Cambria" w:hAnsi="Cambria" w:cs="Cambria"/>
          <w:sz w:val="16"/>
          <w:szCs w:val="16"/>
        </w:rPr>
      </w:r>
      <w:r/>
    </w:p>
    <w:p>
      <w:pPr>
        <w:pStyle w:val="1129"/>
        <w:spacing w:before="0" w:after="0"/>
        <w:rPr>
          <w:rFonts w:ascii="Cambria" w:hAnsi="Cambria" w:cs="Cambria"/>
          <w:color w:val="auto"/>
          <w:sz w:val="18"/>
          <w:szCs w:val="18"/>
        </w:rPr>
      </w:pPr>
      <w:r>
        <w:rPr>
          <w:rFonts w:ascii="Cambria" w:hAnsi="Cambria" w:cs="Cambria"/>
          <w:color w:val="auto"/>
          <w:sz w:val="18"/>
          <w:szCs w:val="18"/>
          <w:lang w:eastAsia="en-US"/>
        </w:rPr>
        <w:t xml:space="preserve">Exigências de habilitação</w:t>
      </w:r>
      <w:r>
        <w:rPr>
          <w:rFonts w:ascii="Cambria" w:hAnsi="Cambria" w:cs="Cambria"/>
          <w:sz w:val="16"/>
          <w:szCs w:val="16"/>
        </w:rPr>
      </w:r>
      <w:r/>
    </w:p>
    <w:p>
      <w:pPr>
        <w:pStyle w:val="1076"/>
        <w:numPr>
          <w:ilvl w:val="0"/>
          <w:numId w:val="0"/>
        </w:numPr>
        <w:spacing w:before="0" w:after="0" w:line="312" w:lineRule="auto"/>
        <w:rPr>
          <w:rFonts w:ascii="Cambria" w:hAnsi="Cambria" w:cs="Cambria"/>
          <w:sz w:val="18"/>
          <w:szCs w:val="18"/>
        </w:rPr>
      </w:pPr>
      <w:r>
        <w:rPr>
          <w:rFonts w:ascii="Cambria" w:hAnsi="Cambria" w:cs="Cambria"/>
          <w:sz w:val="18"/>
          <w:szCs w:val="18"/>
        </w:rPr>
        <w:t xml:space="preserve">14.2 - Para fins de habilitação, deverá o licitante comprovar os seguintes requisitos:</w:t>
      </w:r>
      <w:r>
        <w:rPr>
          <w:rFonts w:ascii="Cambria" w:hAnsi="Cambria" w:cs="Cambria"/>
          <w:sz w:val="16"/>
          <w:szCs w:val="16"/>
        </w:rPr>
      </w:r>
      <w:r/>
    </w:p>
    <w:p>
      <w:pPr>
        <w:pStyle w:val="1129"/>
        <w:spacing w:before="0" w:after="0"/>
        <w:rPr>
          <w:rFonts w:ascii="Cambria" w:hAnsi="Cambria" w:cs="Cambria"/>
          <w:color w:val="auto"/>
          <w:sz w:val="18"/>
          <w:szCs w:val="18"/>
        </w:rPr>
      </w:pPr>
      <w:r>
        <w:rPr>
          <w:rFonts w:ascii="Cambria" w:hAnsi="Cambria" w:cs="Cambria"/>
          <w:color w:val="auto"/>
          <w:sz w:val="18"/>
          <w:szCs w:val="18"/>
          <w:lang w:eastAsia="zh-CN" w:bidi="hi-IN"/>
        </w:rPr>
        <w:tab/>
      </w:r>
      <w:r>
        <w:rPr>
          <w:rFonts w:ascii="Cambria" w:hAnsi="Cambria" w:cs="Cambria"/>
          <w:color w:val="auto"/>
          <w:sz w:val="18"/>
          <w:szCs w:val="18"/>
          <w:lang w:eastAsia="zh-CN" w:bidi="hi-IN"/>
        </w:rPr>
        <w:t xml:space="preserve">14.2.1 - Habilitação jurídica</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sz w:val="16"/>
          <w:szCs w:val="16"/>
        </w:rPr>
      </w:r>
      <w:bookmarkStart w:id="80" w:name="_Ref115800561"/>
      <w:r>
        <w:rPr>
          <w:rFonts w:ascii="Cambria" w:hAnsi="Cambria" w:cs="Cambria"/>
          <w:b/>
          <w:bCs/>
          <w:sz w:val="18"/>
          <w:szCs w:val="18"/>
        </w:rPr>
        <w:t xml:space="preserve">14.2.1.1 - Pessoa física:</w:t>
      </w:r>
      <w:r>
        <w:rPr>
          <w:rFonts w:ascii="Cambria" w:hAnsi="Cambria" w:cs="Cambria"/>
          <w:sz w:val="18"/>
          <w:szCs w:val="18"/>
        </w:rPr>
        <w:t xml:space="preserve"> cédula de identidade (RG) ou documento equivalente que, por força de lei, tenha validade para fins de identificação em todo o território nacional;</w:t>
      </w:r>
      <w:bookmarkEnd w:id="80"/>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14.2.1.2 - Empresário individual:</w:t>
      </w:r>
      <w:r>
        <w:rPr>
          <w:rFonts w:ascii="Cambria" w:hAnsi="Cambria" w:cs="Cambria"/>
          <w:sz w:val="18"/>
          <w:szCs w:val="18"/>
        </w:rPr>
        <w:t xml:space="preserve"> inscrição no Registro Público de Empresas Mercantis, a cargo da Junta Comercial da respectiva sede; </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14.2.1.3 - Microempreendedor Individual - MEI:</w:t>
      </w:r>
      <w:r>
        <w:rPr>
          <w:rFonts w:ascii="Cambria" w:hAnsi="Cambria" w:cs="Cambria"/>
          <w:sz w:val="18"/>
          <w:szCs w:val="18"/>
        </w:rPr>
        <w:t xml:space="preserve"> Certificado da Condição de Microempreendedor Individual - CCMEI, cuja aceitação ficará condicionada à verificação da autenticidade no sítio https://www.gov.br/empresas-e-negocios/pt-br/empreendedor; </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14.2.1.4 - </w:t>
      </w:r>
      <w:r>
        <w:rPr>
          <w:rFonts w:ascii="Cambria" w:hAnsi="Cambria" w:cs="Cambria"/>
          <w:b/>
          <w:bCs/>
          <w:sz w:val="18"/>
          <w:szCs w:val="18"/>
        </w:rPr>
        <w:t xml:space="preserve">Sociedade empresária, sociedade limitada unipessoal – SLU ou sociedade identificada como empresa individual de responsabilidade limitada - EIRELI:</w:t>
      </w:r>
      <w:r>
        <w:rPr>
          <w:rFonts w:ascii="Cambria" w:hAnsi="Cambria" w:cs="Cambria"/>
          <w:sz w:val="18"/>
          <w:szCs w:val="18"/>
        </w:rPr>
        <w:t xml:space="preserve"> inscrição do ato constitutivo, estatuto ou contrato social no Registro Público de Empresas Mercantis, a cargo da Junta Comercial da respectiva sede, acompanhada de documento comprobatório de seus administradores;</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14.2.1.5 - Sociedade empresária estrangeira:</w:t>
      </w:r>
      <w:r>
        <w:rPr>
          <w:rFonts w:ascii="Cambria" w:hAnsi="Cambria" w:cs="Cambria"/>
          <w:sz w:val="18"/>
          <w:szCs w:val="18"/>
        </w:rPr>
        <w:t xml:space="preserve"> portaria de autorização de funcionamento no Brasil, publica</w:t>
      </w:r>
      <w:r>
        <w:rPr>
          <w:rFonts w:ascii="Cambria" w:hAnsi="Cambria" w:cs="Cambria"/>
          <w:sz w:val="18"/>
          <w:szCs w:val="18"/>
        </w:rPr>
        <w:t xml:space="preserve">da no Diário Oficial da União e arquivada na Junta Comercial da unidade federativa onde se localizar a filial, agência, sucursal ou estabelecimento, a qual será considerada como sua sede, conforme Instrução Normativa DREI/ME n.º 77, de 18 de março de 2020.</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14.2.1.6 - Sociedade simples: </w:t>
      </w:r>
      <w:r>
        <w:rPr>
          <w:rFonts w:ascii="Cambria" w:hAnsi="Cambria" w:cs="Cambria"/>
          <w:sz w:val="18"/>
          <w:szCs w:val="18"/>
        </w:rPr>
        <w:t xml:space="preserve">inscrição do ato constitutivo no Registro Civil de Pessoas Jurídicas do local de sua sede, acompanhada de documento comprobatório de seus administradores;</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14.2.1.7 - Filial, sucursal ou agência de sociedade simples ou empresária:</w:t>
      </w:r>
      <w:r>
        <w:rPr>
          <w:rFonts w:ascii="Cambria" w:hAnsi="Cambria" w:cs="Cambria"/>
          <w:sz w:val="18"/>
          <w:szCs w:val="18"/>
        </w:rPr>
        <w:t xml:space="preserve"> inscrição do ato constitutivo da filial, sucursal ou agência da sociedade simples ou empresária, respectivamente, no Registro Civil das Pessoas Jurídicas ou no Registro Público de Empresas </w:t>
      </w:r>
      <w:bookmarkStart w:id="82" w:name="_Int_ySfCXwr4"/>
      <w:r>
        <w:rPr>
          <w:rFonts w:ascii="Cambria" w:hAnsi="Cambria" w:cs="Cambria"/>
          <w:sz w:val="18"/>
          <w:szCs w:val="18"/>
        </w:rPr>
        <w:t xml:space="preserve">Mercantis onde</w:t>
      </w:r>
      <w:bookmarkEnd w:id="82"/>
      <w:r>
        <w:rPr>
          <w:rFonts w:ascii="Cambria" w:hAnsi="Cambria" w:cs="Cambria"/>
          <w:sz w:val="18"/>
          <w:szCs w:val="18"/>
        </w:rPr>
        <w:t xml:space="preserve"> opera, com averbação no Registro onde tem sede a matriz</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b/>
          <w:bCs/>
          <w:sz w:val="18"/>
          <w:szCs w:val="18"/>
        </w:rPr>
        <w:t xml:space="preserve">14.2.1.8 - Sociedade cooperativa:</w:t>
      </w:r>
      <w:r>
        <w:rPr>
          <w:rFonts w:ascii="Cambria" w:hAnsi="Cambria" w:cs="Cambria"/>
          <w:sz w:val="18"/>
          <w:szCs w:val="18"/>
        </w:rPr>
        <w:t xml:space="preserve"> ata de funda</w:t>
      </w:r>
      <w:r>
        <w:rPr>
          <w:rFonts w:ascii="Cambria" w:hAnsi="Cambria" w:cs="Cambria"/>
          <w:sz w:val="18"/>
          <w:szCs w:val="18"/>
        </w:rPr>
        <w:t xml:space="preserve">ção e estatuto social, com a ata da assembleia que o aprovou, devidamente arquivado na Junta Comercial ou inscrito no Registro Civil das Pessoas Jurídicas da respectiva sede, além do registro de que trata o art. 107 da Lei nº 5.764, de 16 de dezembro 1971.</w:t>
      </w:r>
      <w:r>
        <w:rPr>
          <w:rFonts w:ascii="Cambria" w:hAnsi="Cambria" w:cs="Cambria"/>
          <w:sz w:val="16"/>
          <w:szCs w:val="16"/>
        </w:rPr>
      </w:r>
      <w:r/>
    </w:p>
    <w:p>
      <w:pPr>
        <w:pStyle w:val="1076"/>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129"/>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14.2.2 - Habilitação fiscal, social e trabalhista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14.2.2.1 - </w:t>
      </w:r>
      <w:r>
        <w:rPr>
          <w:rFonts w:ascii="Cambria" w:hAnsi="Cambria" w:cs="Cambria"/>
          <w:sz w:val="18"/>
          <w:szCs w:val="18"/>
        </w:rPr>
        <w:t xml:space="preserve">Prova de inscrição no Cadastro Nacional de Pessoas Jurídicas ou no Cadastro de Pessoas Físicas, conforme o caso;</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14.2.2.2 - Prova de regulari</w:t>
      </w:r>
      <w:r>
        <w:rPr>
          <w:rFonts w:ascii="Cambria" w:hAnsi="Cambria" w:cs="Cambria"/>
          <w:sz w:val="18"/>
          <w:szCs w:val="18"/>
        </w:rPr>
        <w:t xml:space="preserve">dade fiscal perante a Fazenda Nacional, mediante apresentação de certidão expedida conjuntamente pela Secretaria da Receita Federal do Brasil (RFB) e pela Procuradoria-Geral da Fazenda Nacional (PGFN), referente a todos os créditos tributários federais e à</w:t>
      </w:r>
      <w:r>
        <w:rPr>
          <w:rFonts w:ascii="Cambria" w:hAnsi="Cambria" w:cs="Cambria"/>
          <w:sz w:val="18"/>
          <w:szCs w:val="18"/>
        </w:rPr>
        <w:t xml:space="preserve"> Dívida Ativa da União (DAU) por elas administrados, inclusive aqueles relativos à Seguridade Social, nos termos da Portaria Conjunta nº 1.751, de 02 de outubro de 2014, do Secretário da Receita Federal do Brasil e da Procuradora-Geral da Fazenda Nacional.</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14.2.2.3 - Prova de regularidade com o Fundo de Garantia do Tempo de Serviço (FGTS);</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14.2.2.4 - Prova de inexistência de </w:t>
      </w:r>
      <w:r>
        <w:rPr>
          <w:rFonts w:ascii="Cambria" w:hAnsi="Cambria" w:cs="Cambria"/>
          <w:sz w:val="18"/>
          <w:szCs w:val="18"/>
        </w:rPr>
        <w:t xml:space="preserve">débitos inadimplidos perante a Justiça do Trabalho, mediante a apresentação de certidão negativa ou positiva com efeito de negativa, nos termos do Título VII-A da Consolidação das Leis do Trabalho, aprovada pelo Decreto-Lei nº 5.452, de 1º de maio de 1943;</w:t>
      </w:r>
      <w:r>
        <w:rPr>
          <w:rFonts w:ascii="Cambria" w:hAnsi="Cambria" w:cs="Cambria"/>
          <w:sz w:val="16"/>
          <w:szCs w:val="16"/>
        </w:rPr>
      </w:r>
      <w:r/>
    </w:p>
    <w:p>
      <w:pPr>
        <w:pStyle w:val="1076"/>
        <w:numPr>
          <w:ilvl w:val="0"/>
          <w:numId w:val="0"/>
        </w:numPr>
        <w:ind w:firstLine="708"/>
        <w:spacing w:before="0" w:after="0" w:line="312" w:lineRule="auto"/>
        <w:rPr>
          <w:rFonts w:ascii="Cambria" w:hAnsi="Cambria" w:cs="Cambria"/>
          <w:sz w:val="18"/>
          <w:szCs w:val="18"/>
        </w:rPr>
      </w:pPr>
      <w:r>
        <w:rPr>
          <w:rFonts w:ascii="Cambria" w:hAnsi="Cambria" w:cs="Cambria"/>
          <w:sz w:val="18"/>
          <w:szCs w:val="18"/>
        </w:rPr>
        <w:t xml:space="preserve">14.2.2.5 - Prova de inscrição no cadastro de contribuintes</w:t>
      </w:r>
      <w:r>
        <w:rPr>
          <w:rFonts w:ascii="Cambria" w:hAnsi="Cambria" w:cs="Cambria"/>
          <w:i/>
          <w:sz w:val="18"/>
          <w:szCs w:val="18"/>
        </w:rPr>
        <w:t xml:space="preserve"> </w:t>
      </w:r>
      <w:r>
        <w:rPr>
          <w:rFonts w:ascii="Cambria" w:hAnsi="Cambria" w:cs="Cambria"/>
          <w:i/>
          <w:sz w:val="18"/>
          <w:szCs w:val="18"/>
        </w:rPr>
        <w:t xml:space="preserve">ESTADUAL</w:t>
      </w:r>
      <w:r>
        <w:rPr>
          <w:rFonts w:ascii="Cambria" w:hAnsi="Cambria" w:cs="Cambria"/>
          <w:sz w:val="18"/>
          <w:szCs w:val="18"/>
        </w:rPr>
        <w:t xml:space="preserve"> </w:t>
      </w:r>
      <w:r>
        <w:rPr>
          <w:rFonts w:ascii="Cambria" w:hAnsi="Cambria" w:cs="Cambria"/>
          <w:sz w:val="18"/>
          <w:szCs w:val="18"/>
        </w:rPr>
        <w:t xml:space="preserve">relativo ao domicílio ou sede do fornecedor, pertinente ao seu ramo de atividade e compatível com o objeto contratual;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14.2.2.6 - Prova de regularidade com a Fazenda</w:t>
      </w:r>
      <w:r>
        <w:rPr>
          <w:rFonts w:ascii="Cambria" w:hAnsi="Cambria" w:cs="Cambria"/>
          <w:color w:val="auto"/>
          <w:sz w:val="18"/>
          <w:szCs w:val="18"/>
        </w:rPr>
        <w:t xml:space="preserve"> </w:t>
      </w:r>
      <w:r>
        <w:rPr>
          <w:rFonts w:ascii="Cambria" w:hAnsi="Cambria" w:cs="Cambria"/>
          <w:i/>
          <w:iCs/>
          <w:color w:val="auto"/>
          <w:sz w:val="18"/>
          <w:szCs w:val="18"/>
        </w:rPr>
        <w:t xml:space="preserve">MUNICIPAL </w:t>
      </w:r>
      <w:r>
        <w:rPr>
          <w:rFonts w:ascii="Cambria" w:hAnsi="Cambria" w:cs="Cambria"/>
          <w:sz w:val="18"/>
          <w:szCs w:val="18"/>
        </w:rPr>
        <w:t xml:space="preserve">do domicílio ou sede do fornecedor, relativa à atividade em cujo exercício contrata ou concorre;</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14.2.2.7 - Prova de regularidade com a Fazenda Municipal de sede da licitante.</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14.2.2.8 - Caso o fornecedor seja considerado isento dos tributos </w:t>
      </w:r>
      <w:r>
        <w:rPr>
          <w:rFonts w:ascii="Cambria" w:hAnsi="Cambria" w:cs="Cambria"/>
          <w:i/>
          <w:iCs/>
          <w:color w:val="auto"/>
          <w:sz w:val="18"/>
          <w:szCs w:val="18"/>
        </w:rPr>
        <w:t xml:space="preserve">ESTADUAL OU MUNICIPAL</w:t>
      </w:r>
      <w:r>
        <w:rPr>
          <w:rFonts w:ascii="Cambria" w:hAnsi="Cambria" w:cs="Cambria"/>
          <w:i/>
          <w:iCs/>
          <w:color w:val="auto"/>
          <w:sz w:val="18"/>
          <w:szCs w:val="18"/>
        </w:rPr>
        <w:t xml:space="preserve"> </w:t>
      </w:r>
      <w:r>
        <w:rPr>
          <w:rFonts w:ascii="Cambria" w:hAnsi="Cambria" w:cs="Cambria"/>
          <w:sz w:val="18"/>
          <w:szCs w:val="18"/>
        </w:rPr>
        <w:t xml:space="preserve">relacionados ao objeto contratual, deverá comprovar tal condição mediante a apresentação de declaração da Fazenda respectiva do seu domicílio ou sede, ou outra equivalente, na forma da lei.</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14.2.2.9 - </w:t>
      </w:r>
      <w:r>
        <w:rPr>
          <w:rFonts w:ascii="Cambria" w:hAnsi="Cambria" w:cs="Cambria"/>
          <w:sz w:val="18"/>
          <w:szCs w:val="18"/>
        </w:rPr>
        <w:t xml:space="preserve">O f</w:t>
      </w:r>
      <w:r>
        <w:rPr>
          <w:rFonts w:ascii="Cambria" w:hAnsi="Cambria" w:cs="Cambria"/>
          <w:sz w:val="18"/>
          <w:szCs w:val="18"/>
        </w:rPr>
        <w:t xml:space="preserve">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Cambria" w:hAnsi="Cambria" w:cs="Cambria"/>
          <w:sz w:val="16"/>
          <w:szCs w:val="16"/>
        </w:rPr>
      </w:r>
      <w:r/>
    </w:p>
    <w:p>
      <w:pPr>
        <w:pStyle w:val="1076"/>
        <w:numPr>
          <w:ilvl w:val="0"/>
          <w:numId w:val="0"/>
        </w:numPr>
        <w:ind w:left="709"/>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129"/>
        <w:spacing w:before="0" w:after="0"/>
        <w:rPr>
          <w:rFonts w:ascii="Cambria" w:hAnsi="Cambria" w:cs="Cambria"/>
          <w:color w:val="auto"/>
          <w:sz w:val="18"/>
          <w:szCs w:val="18"/>
        </w:rPr>
      </w:pPr>
      <w:r>
        <w:rPr>
          <w:rFonts w:ascii="Cambria" w:hAnsi="Cambria" w:cs="Cambria"/>
          <w:color w:val="auto"/>
          <w:sz w:val="18"/>
          <w:szCs w:val="18"/>
          <w:lang w:eastAsia="zh-CN" w:bidi="hi-IN"/>
        </w:rPr>
        <w:t xml:space="preserve">14.2.3 - </w:t>
      </w:r>
      <w:r>
        <w:rPr>
          <w:rFonts w:ascii="Cambria" w:hAnsi="Cambria" w:cs="Cambria"/>
          <w:color w:val="auto"/>
          <w:sz w:val="18"/>
          <w:szCs w:val="18"/>
          <w:lang w:eastAsia="zh-CN" w:bidi="hi-IN"/>
        </w:rPr>
        <w:t xml:space="preserve">Qualificação Econômico-Financeira</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rPr>
      </w:pPr>
      <w:r>
        <w:rPr>
          <w:rFonts w:ascii="Cambria" w:hAnsi="Cambria" w:cs="Cambria"/>
          <w:sz w:val="18"/>
          <w:szCs w:val="18"/>
        </w:rPr>
        <w:t xml:space="preserve">14.2.3.1 - Certidão negativa de insolvência civil expedida pelo distribuidor do domicílio ou sede do licitante, caso se trate de pessoa física, desde que admitida a sua participação na licitação, ou de sociedade simples; </w:t>
      </w:r>
      <w:r>
        <w:rPr>
          <w:rFonts w:ascii="Cambria" w:hAnsi="Cambria" w:cs="Cambria"/>
          <w:sz w:val="16"/>
          <w:szCs w:val="16"/>
        </w:rPr>
      </w:r>
      <w:r/>
    </w:p>
    <w:p>
      <w:pPr>
        <w:pStyle w:val="1076"/>
        <w:numPr>
          <w:ilvl w:val="0"/>
          <w:numId w:val="0"/>
        </w:numPr>
        <w:ind w:left="708"/>
        <w:spacing w:before="0" w:after="0" w:line="312" w:lineRule="auto"/>
        <w:rPr>
          <w:rFonts w:ascii="Cambria" w:hAnsi="Cambria" w:cs="Cambria"/>
          <w:sz w:val="18"/>
          <w:szCs w:val="18"/>
          <w:highlight w:val="none"/>
        </w:rPr>
      </w:pPr>
      <w:r>
        <w:rPr>
          <w:rFonts w:ascii="Cambria" w:hAnsi="Cambria" w:cs="Cambria"/>
          <w:sz w:val="18"/>
          <w:szCs w:val="18"/>
        </w:rPr>
        <w:t xml:space="preserve">14.2.3.2 - Certidão negativa de falência expedida pelo distribuidor da sede do fornecedor - Lei nº 14.133, de 2021, art. 69, caput, inciso II);</w:t>
      </w:r>
      <w:r>
        <w:rPr>
          <w:rFonts w:ascii="Cambria" w:hAnsi="Cambria" w:cs="Cambria"/>
          <w:sz w:val="18"/>
          <w:szCs w:val="18"/>
        </w:rPr>
      </w:r>
      <w:r/>
    </w:p>
    <w:p>
      <w:pPr>
        <w:pStyle w:val="1078"/>
        <w:numPr>
          <w:ilvl w:val="0"/>
          <w:numId w:val="0"/>
        </w:numPr>
        <w:spacing w:before="0" w:after="0" w:line="312" w:lineRule="auto"/>
        <w:rPr>
          <w:rFonts w:ascii="Cambria" w:hAnsi="Cambria" w:cs="Cambria"/>
          <w:sz w:val="18"/>
          <w:szCs w:val="18"/>
        </w:rPr>
      </w:pPr>
      <w:r>
        <w:rPr>
          <w:rFonts w:ascii="Cambria" w:hAnsi="Cambria" w:cs="Cambria"/>
          <w:sz w:val="18"/>
          <w:szCs w:val="18"/>
        </w:rPr>
      </w:r>
      <w:r>
        <w:rPr>
          <w:rFonts w:ascii="Cambria" w:hAnsi="Cambria" w:cs="Cambria"/>
          <w:sz w:val="16"/>
          <w:szCs w:val="16"/>
        </w:rPr>
      </w:r>
      <w:r/>
    </w:p>
    <w:p>
      <w:pPr>
        <w:pStyle w:val="1059"/>
        <w:numPr>
          <w:ilvl w:val="0"/>
          <w:numId w:val="0"/>
        </w:numPr>
        <w:spacing w:before="0" w:line="240" w:lineRule="auto"/>
        <w:rPr>
          <w:rFonts w:ascii="Cambria" w:hAnsi="Cambria" w:cs="Cambria"/>
          <w:sz w:val="18"/>
          <w:szCs w:val="18"/>
        </w:rPr>
      </w:pPr>
      <w:r>
        <w:rPr>
          <w:rFonts w:ascii="Cambria" w:hAnsi="Cambria" w:cs="Cambria"/>
          <w:sz w:val="18"/>
          <w:szCs w:val="18"/>
        </w:rPr>
        <w:t xml:space="preserve">15 - ESTIMATIVAS DO VALOR DA CONTRATAÇÃO</w:t>
      </w:r>
      <w:r>
        <w:rPr>
          <w:rFonts w:ascii="Cambria" w:hAnsi="Cambria" w:cs="Cambria"/>
          <w:sz w:val="16"/>
          <w:szCs w:val="16"/>
        </w:rPr>
      </w:r>
      <w:r/>
    </w:p>
    <w:p>
      <w:pPr>
        <w:jc w:val="both"/>
        <w:rPr>
          <w:rFonts w:ascii="Cambria" w:hAnsi="Cambria" w:cs="Cambria"/>
          <w:color w:val="000000"/>
          <w:sz w:val="20"/>
          <w:szCs w:val="20"/>
        </w:rPr>
      </w:pPr>
      <w:r>
        <w:rPr>
          <w:rFonts w:ascii="Cambria" w:hAnsi="Cambria" w:cs="Cambria"/>
          <w:i/>
          <w:iCs/>
          <w:sz w:val="18"/>
          <w:szCs w:val="18"/>
        </w:rPr>
        <w:t xml:space="preserve">15.1 - O custo estimado total da contratação é de </w:t>
      </w:r>
      <w:r>
        <w:rPr>
          <w:rFonts w:ascii="Cambria" w:hAnsi="Cambria" w:cs="Cambria"/>
          <w:color w:val="000000" w:themeColor="text1"/>
          <w:sz w:val="18"/>
          <w:szCs w:val="18"/>
        </w:rPr>
        <w:t xml:space="preserve">R$ 212.954,00</w:t>
      </w:r>
      <w:r>
        <w:rPr>
          <w:rFonts w:ascii="Cambria" w:hAnsi="Cambria" w:cs="Cambria"/>
          <w:color w:val="000000" w:themeColor="text1"/>
          <w:sz w:val="18"/>
          <w:szCs w:val="18"/>
        </w:rPr>
        <w:t xml:space="preserve"> (duzentos e doze mil, novecentos e cinquenta e quatro reais)</w:t>
      </w:r>
      <w:r>
        <w:rPr>
          <w:rFonts w:ascii="Cambria" w:hAnsi="Cambria" w:cs="Cambria"/>
          <w:sz w:val="20"/>
          <w:szCs w:val="20"/>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pStyle w:val="1073"/>
        <w:ind w:left="0" w:firstLine="0"/>
        <w:jc w:val="both"/>
        <w:spacing w:before="0" w:line="312" w:lineRule="auto"/>
        <w:tabs>
          <w:tab w:val="left" w:pos="284" w:leader="none"/>
          <w:tab w:val="left" w:pos="426" w:leader="none"/>
          <w:tab w:val="left" w:pos="567" w:leader="none"/>
          <w:tab w:val="left" w:pos="851" w:leader="none"/>
        </w:tabs>
        <w:rPr>
          <w:rFonts w:ascii="Cambria" w:hAnsi="Cambria" w:cs="Cambria"/>
          <w:color w:val="auto"/>
          <w:sz w:val="18"/>
          <w:szCs w:val="18"/>
        </w:rPr>
      </w:pPr>
      <w:r>
        <w:rPr>
          <w:rFonts w:ascii="Cambria" w:hAnsi="Cambria" w:cs="Cambria"/>
          <w:color w:val="auto"/>
          <w:sz w:val="18"/>
          <w:szCs w:val="18"/>
        </w:rPr>
        <w:t xml:space="preserve">16</w:t>
      </w:r>
      <w:r>
        <w:rPr>
          <w:rFonts w:ascii="Cambria" w:hAnsi="Cambria" w:cs="Cambria"/>
          <w:color w:val="auto"/>
          <w:sz w:val="18"/>
          <w:szCs w:val="18"/>
        </w:rPr>
        <w:t xml:space="preserve"> - DOTAÇÃO ORÇAMENTÁRIA </w:t>
      </w:r>
      <w:r>
        <w:rPr>
          <w:rFonts w:ascii="Cambria" w:hAnsi="Cambria" w:cs="Cambria"/>
          <w:sz w:val="22"/>
          <w:szCs w:val="22"/>
        </w:rPr>
      </w:r>
      <w:r/>
    </w:p>
    <w:p>
      <w:pPr>
        <w:jc w:val="both"/>
        <w:spacing w:line="312" w:lineRule="auto"/>
        <w:tabs>
          <w:tab w:val="left" w:pos="426" w:leader="none"/>
        </w:tabs>
        <w:rPr>
          <w:rFonts w:ascii="Cambria" w:hAnsi="Cambria" w:cs="Cambria"/>
          <w:iCs/>
          <w:sz w:val="18"/>
          <w:szCs w:val="18"/>
          <w:highlight w:val="none"/>
        </w:rPr>
      </w:pPr>
      <w:r>
        <w:rPr>
          <w:rFonts w:ascii="Cambria" w:hAnsi="Cambria" w:cs="Cambria"/>
          <w:sz w:val="18"/>
          <w:szCs w:val="18"/>
        </w:rPr>
        <w:t xml:space="preserve">16</w:t>
      </w:r>
      <w:r>
        <w:rPr>
          <w:rFonts w:ascii="Cambria" w:hAnsi="Cambria" w:cs="Cambria"/>
          <w:sz w:val="18"/>
          <w:szCs w:val="18"/>
        </w:rPr>
        <w:t xml:space="preserve">.1 - </w:t>
      </w:r>
      <w:r>
        <w:rPr>
          <w:rFonts w:ascii="Cambria" w:hAnsi="Cambria" w:eastAsia="Calibri" w:cs="Cambria"/>
          <w:sz w:val="18"/>
          <w:szCs w:val="18"/>
          <w:lang w:eastAsia="en-US"/>
        </w:rPr>
        <w:t xml:space="preserve">As classificações orçamentárias para suportar a presente despesa constam da programação orçamentária da</w:t>
      </w:r>
      <w:r>
        <w:rPr>
          <w:rFonts w:ascii="Cambria" w:hAnsi="Cambria" w:eastAsia="Calibri" w:cs="Cambria"/>
          <w:sz w:val="18"/>
          <w:szCs w:val="18"/>
          <w:lang w:eastAsia="en-US"/>
        </w:rPr>
        <w:t xml:space="preserve">s</w:t>
      </w:r>
      <w:r>
        <w:rPr>
          <w:rFonts w:ascii="Cambria" w:hAnsi="Cambria" w:eastAsia="Calibri" w:cs="Cambria"/>
          <w:sz w:val="18"/>
          <w:szCs w:val="18"/>
          <w:lang w:eastAsia="en-US"/>
        </w:rPr>
        <w:t xml:space="preserve"> Secretaria</w:t>
      </w:r>
      <w:r>
        <w:rPr>
          <w:rFonts w:ascii="Cambria" w:hAnsi="Cambria" w:eastAsia="Calibri" w:cs="Cambria"/>
          <w:sz w:val="18"/>
          <w:szCs w:val="18"/>
          <w:lang w:eastAsia="en-US"/>
        </w:rPr>
        <w:t xml:space="preserve">s Municipais de Saúde, Administração e Educação</w:t>
      </w:r>
      <w:r>
        <w:rPr>
          <w:rFonts w:ascii="Cambria" w:hAnsi="Cambria" w:eastAsia="Calibri" w:cs="Cambria"/>
          <w:sz w:val="18"/>
          <w:szCs w:val="18"/>
          <w:lang w:eastAsia="en-US"/>
        </w:rPr>
        <w:t xml:space="preserve"> que serão devidamente identificadas no momento da efetiva contratação.</w:t>
      </w:r>
      <w:r>
        <w:rPr>
          <w:rFonts w:ascii="Cambria" w:hAnsi="Cambria" w:cs="Cambria"/>
          <w:sz w:val="20"/>
          <w:szCs w:val="20"/>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both"/>
        <w:spacing w:line="312" w:lineRule="auto"/>
        <w:tabs>
          <w:tab w:val="left" w:pos="426"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right"/>
        <w:spacing w:line="312" w:lineRule="auto"/>
        <w:tabs>
          <w:tab w:val="left" w:pos="284" w:leader="none"/>
          <w:tab w:val="left" w:pos="426" w:leader="none"/>
          <w:tab w:val="left" w:pos="567" w:leader="none"/>
          <w:tab w:val="left" w:pos="851" w:leader="none"/>
        </w:tabs>
        <w:rPr>
          <w:rFonts w:ascii="Cambria" w:hAnsi="Cambria" w:cs="Cambria"/>
          <w:iCs/>
          <w:sz w:val="18"/>
          <w:szCs w:val="18"/>
          <w:highlight w:val="none"/>
        </w:rPr>
      </w:pPr>
      <w:r>
        <w:rPr>
          <w:rFonts w:ascii="Cambria" w:hAnsi="Cambria" w:cs="Cambria"/>
          <w:iCs/>
          <w:sz w:val="18"/>
          <w:szCs w:val="18"/>
        </w:rPr>
        <w:t xml:space="preserve">Santa Bárbara do Sul/RS, </w:t>
      </w:r>
      <w:r>
        <w:rPr>
          <w:rFonts w:ascii="Cambria" w:hAnsi="Cambria" w:cs="Cambria"/>
          <w:iCs/>
          <w:sz w:val="18"/>
          <w:szCs w:val="18"/>
        </w:rPr>
        <w:t xml:space="preserve">05 de março de 2024.</w:t>
      </w:r>
      <w:r>
        <w:rPr>
          <w:rFonts w:ascii="Cambria" w:hAnsi="Cambria" w:cs="Cambria"/>
          <w:sz w:val="20"/>
          <w:szCs w:val="20"/>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sz w:val="18"/>
          <w:szCs w:val="18"/>
        </w:rPr>
      </w:r>
      <w:r>
        <w:rPr>
          <w:rFonts w:ascii="Cambria" w:hAnsi="Cambria" w:cs="Cambria"/>
          <w:sz w:val="18"/>
          <w:szCs w:val="18"/>
        </w:rPr>
      </w:r>
      <w:r/>
    </w:p>
    <w:p>
      <w:pPr>
        <w:jc w:val="right"/>
        <w:spacing w:line="312" w:lineRule="auto"/>
        <w:tabs>
          <w:tab w:val="left" w:pos="284" w:leader="none"/>
          <w:tab w:val="left" w:pos="426" w:leader="none"/>
          <w:tab w:val="left" w:pos="567" w:leader="none"/>
          <w:tab w:val="left" w:pos="851" w:leader="none"/>
        </w:tabs>
        <w:rPr>
          <w:rFonts w:ascii="Cambria" w:hAnsi="Cambria" w:cs="Cambria"/>
          <w:sz w:val="18"/>
          <w:szCs w:val="18"/>
        </w:rPr>
      </w:pPr>
      <w:r>
        <w:rPr>
          <w:rFonts w:ascii="Cambria" w:hAnsi="Cambria" w:cs="Cambria"/>
          <w:iCs/>
          <w:sz w:val="18"/>
          <w:szCs w:val="18"/>
          <w:highlight w:val="none"/>
        </w:rPr>
      </w:r>
      <w:r>
        <w:rPr>
          <w:rFonts w:ascii="Cambria" w:hAnsi="Cambria" w:cs="Cambria"/>
          <w:iCs/>
          <w:sz w:val="18"/>
          <w:szCs w:val="18"/>
          <w:highlight w:val="none"/>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2913713</wp:posOffset>
                </wp:positionH>
                <wp:positionV relativeFrom="paragraph">
                  <wp:posOffset>114916</wp:posOffset>
                </wp:positionV>
                <wp:extent cx="1578429" cy="483054"/>
                <wp:effectExtent l="0" t="0" r="0" b="0"/>
                <wp:wrapNone/>
                <wp:docPr id="6" name=""/>
                <wp:cNvGraphicFramePr/>
                <a:graphic xmlns:a="http://schemas.openxmlformats.org/drawingml/2006/main">
                  <a:graphicData uri="http://schemas.microsoft.com/office/word/2010/wordprocessingShape">
                    <wps:wsp>
                      <wps:cNvPr id="0" name=""/>
                      <wps:cNvSpPr txBox="1"/>
                      <wps:spPr bwMode="auto">
                        <a:xfrm rot="0" flipH="0" flipV="0">
                          <a:off x="0" y="0"/>
                          <a:ext cx="1578427" cy="483052"/>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t xml:space="preserve">Clediane Pinto</w:t>
                            </w:r>
                            <w:r>
                              <w:rPr>
                                <w:sz w:val="20"/>
                                <w:szCs w:val="20"/>
                              </w:rPr>
                            </w:r>
                            <w:r/>
                          </w:p>
                          <w:p>
                            <w:pPr>
                              <w:jc w:val="center"/>
                              <w:rPr>
                                <w:rFonts w:ascii="Cambria" w:hAnsi="Cambria" w:cs="Cambria"/>
                                <w:sz w:val="22"/>
                                <w:szCs w:val="22"/>
                                <w:highlight w:val="none"/>
                              </w:rPr>
                            </w:pPr>
                            <w:r>
                              <w:rPr>
                                <w:rFonts w:ascii="Cambria" w:hAnsi="Cambria" w:cs="Cambria"/>
                                <w:sz w:val="18"/>
                                <w:szCs w:val="18"/>
                                <w:highlight w:val="none"/>
                              </w:rPr>
                              <w:t xml:space="preserve">Secretário de Saúde</w:t>
                            </w:r>
                            <w:r>
                              <w:rPr>
                                <w:rFonts w:ascii="Cambria" w:hAnsi="Cambria" w:cs="Cambria"/>
                                <w:sz w:val="18"/>
                                <w:szCs w:val="18"/>
                                <w:highlight w:val="none"/>
                              </w:rPr>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5" o:spid="_x0000_s5" o:spt="202" type="#_x0000_t202" style="position:absolute;z-index:251672576;o:allowoverlap:true;o:allowincell:true;mso-position-horizontal-relative:text;margin-left:229.4pt;mso-position-horizontal:absolute;mso-position-vertical-relative:text;margin-top:9.0pt;mso-position-vertical:absolute;width:124.3pt;height:38.0pt;mso-wrap-distance-left:9.1pt;mso-wrap-distance-top:0.0pt;mso-wrap-distance-right:9.1pt;mso-wrap-distance-bottom:0.0pt;rotation:0;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t xml:space="preserve">Clediane Pinto</w:t>
                      </w:r>
                      <w:r>
                        <w:rPr>
                          <w:sz w:val="20"/>
                          <w:szCs w:val="20"/>
                        </w:rPr>
                      </w:r>
                      <w:r/>
                    </w:p>
                    <w:p>
                      <w:pPr>
                        <w:jc w:val="center"/>
                        <w:rPr>
                          <w:rFonts w:ascii="Cambria" w:hAnsi="Cambria" w:cs="Cambria"/>
                          <w:sz w:val="22"/>
                          <w:szCs w:val="22"/>
                          <w:highlight w:val="none"/>
                        </w:rPr>
                      </w:pPr>
                      <w:r>
                        <w:rPr>
                          <w:rFonts w:ascii="Cambria" w:hAnsi="Cambria" w:cs="Cambria"/>
                          <w:sz w:val="18"/>
                          <w:szCs w:val="18"/>
                          <w:highlight w:val="none"/>
                        </w:rPr>
                        <w:t xml:space="preserve">Secretário de Saúde</w:t>
                      </w:r>
                      <w:r>
                        <w:rPr>
                          <w:rFonts w:ascii="Cambria" w:hAnsi="Cambria" w:cs="Cambria"/>
                          <w:sz w:val="18"/>
                          <w:szCs w:val="18"/>
                          <w:highlight w:val="none"/>
                        </w:rPr>
                      </w:r>
                      <w:r/>
                    </w:p>
                  </w:txbxContent>
                </v:textbox>
              </v:shape>
            </w:pict>
          </mc:Fallback>
        </mc:AlternateContent>
      </w:r>
      <w:r>
        <w:rPr>
          <w:rFonts w:ascii="Cambria" w:hAnsi="Cambria" w:cs="Cambria"/>
          <w:sz w:val="20"/>
          <w:szCs w:val="20"/>
        </w:rP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382785</wp:posOffset>
                </wp:positionH>
                <wp:positionV relativeFrom="paragraph">
                  <wp:posOffset>158074</wp:posOffset>
                </wp:positionV>
                <wp:extent cx="1578428" cy="483053"/>
                <wp:effectExtent l="3175" t="3175" r="3175" b="3175"/>
                <wp:wrapNone/>
                <wp:docPr id="7" name=""/>
                <wp:cNvGraphicFramePr/>
                <a:graphic xmlns:a="http://schemas.openxmlformats.org/drawingml/2006/main">
                  <a:graphicData uri="http://schemas.microsoft.com/office/word/2010/wordprocessingShape">
                    <wps:wsp>
                      <wps:cNvPr id="0" name=""/>
                      <wps:cNvSpPr txBox="1"/>
                      <wps:spPr bwMode="auto">
                        <a:xfrm flipH="0" flipV="0">
                          <a:off x="0" y="0"/>
                          <a:ext cx="1578428" cy="483053"/>
                        </a:xfrm>
                        <a:prstGeom prst="rect">
                          <a:avLst/>
                        </a:prstGeom>
                        <a:solidFill>
                          <a:schemeClr val="lt1"/>
                        </a:solidFill>
                        <a:ln w="6350">
                          <a:noFill/>
                        </a:ln>
                      </wps:spPr>
                      <wps:txbx>
                        <w:txbxContent>
                          <w:p>
                            <w:pPr>
                              <w:jc w:val="center"/>
                              <w:rPr>
                                <w:rFonts w:ascii="Cambria" w:hAnsi="Cambria" w:cs="Cambria"/>
                                <w:sz w:val="18"/>
                                <w:szCs w:val="18"/>
                                <w:highlight w:val="none"/>
                              </w:rPr>
                            </w:pPr>
                            <w:r>
                              <w:rPr>
                                <w:rFonts w:ascii="Cambria" w:hAnsi="Cambria" w:cs="Cambria"/>
                                <w:sz w:val="18"/>
                                <w:szCs w:val="18"/>
                              </w:rPr>
                              <w:t xml:space="preserve">Simone Feiden</w:t>
                            </w:r>
                            <w:r>
                              <w:rPr>
                                <w:sz w:val="20"/>
                                <w:szCs w:val="20"/>
                              </w:rPr>
                            </w:r>
                            <w:r/>
                          </w:p>
                          <w:p>
                            <w:pPr>
                              <w:jc w:val="center"/>
                              <w:rPr>
                                <w:rFonts w:ascii="Cambria" w:hAnsi="Cambria" w:cs="Cambria"/>
                                <w:sz w:val="22"/>
                                <w:szCs w:val="22"/>
                              </w:rPr>
                            </w:pPr>
                            <w:r>
                              <w:rPr>
                                <w:rFonts w:ascii="Cambria" w:hAnsi="Cambria" w:cs="Cambria"/>
                                <w:sz w:val="18"/>
                                <w:szCs w:val="18"/>
                                <w:highlight w:val="none"/>
                              </w:rPr>
                              <w:t xml:space="preserve">Secretária de Educação</w:t>
                            </w:r>
                            <w:r>
                              <w:rPr>
                                <w:rFonts w:ascii="Cambria" w:hAnsi="Cambria" w:cs="Cambria"/>
                                <w:sz w:val="18"/>
                                <w:szCs w:val="18"/>
                                <w:highlight w:val="none"/>
                              </w:rPr>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6" o:spid="_x0000_s6" o:spt="202" type="#_x0000_t202" style="position:absolute;z-index:251672576;o:allowoverlap:true;o:allowincell:true;mso-position-horizontal-relative:text;margin-left:30.1pt;mso-position-horizontal:absolute;mso-position-vertical-relative:text;margin-top:12.4pt;mso-position-vertical:absolute;width:124.3pt;height:38.0pt;mso-wrap-distance-left:9.1pt;mso-wrap-distance-top:0.0pt;mso-wrap-distance-right:9.1pt;mso-wrap-distance-bottom:0.0pt;v-text-anchor:top;visibility:visible;" fillcolor="#FFFFFF" stroked="f" strokeweight="0.50pt">
                <v:textbox inset="0,0,0,0">
                  <w:txbxContent>
                    <w:p>
                      <w:pPr>
                        <w:jc w:val="center"/>
                        <w:rPr>
                          <w:rFonts w:ascii="Cambria" w:hAnsi="Cambria" w:cs="Cambria"/>
                          <w:sz w:val="18"/>
                          <w:szCs w:val="18"/>
                          <w:highlight w:val="none"/>
                        </w:rPr>
                      </w:pPr>
                      <w:r>
                        <w:rPr>
                          <w:rFonts w:ascii="Cambria" w:hAnsi="Cambria" w:cs="Cambria"/>
                          <w:sz w:val="18"/>
                          <w:szCs w:val="18"/>
                        </w:rPr>
                        <w:t xml:space="preserve">Simone Feiden</w:t>
                      </w:r>
                      <w:r>
                        <w:rPr>
                          <w:sz w:val="20"/>
                          <w:szCs w:val="20"/>
                        </w:rPr>
                      </w:r>
                      <w:r/>
                    </w:p>
                    <w:p>
                      <w:pPr>
                        <w:jc w:val="center"/>
                        <w:rPr>
                          <w:rFonts w:ascii="Cambria" w:hAnsi="Cambria" w:cs="Cambria"/>
                          <w:sz w:val="22"/>
                          <w:szCs w:val="22"/>
                        </w:rPr>
                      </w:pPr>
                      <w:r>
                        <w:rPr>
                          <w:rFonts w:ascii="Cambria" w:hAnsi="Cambria" w:cs="Cambria"/>
                          <w:sz w:val="18"/>
                          <w:szCs w:val="18"/>
                          <w:highlight w:val="none"/>
                        </w:rPr>
                        <w:t xml:space="preserve">Secretária de Educação</w:t>
                      </w:r>
                      <w:r>
                        <w:rPr>
                          <w:rFonts w:ascii="Cambria" w:hAnsi="Cambria" w:cs="Cambria"/>
                          <w:sz w:val="18"/>
                          <w:szCs w:val="18"/>
                          <w:highlight w:val="none"/>
                        </w:rPr>
                      </w:r>
                      <w:r/>
                    </w:p>
                  </w:txbxContent>
                </v:textbox>
              </v:shape>
            </w:pict>
          </mc:Fallback>
        </mc:AlternateContent>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spacing w:line="240" w:lineRule="auto"/>
        <w:rPr>
          <w:rFonts w:ascii="Cambria" w:hAnsi="Cambria" w:cs="Cambria"/>
          <w:sz w:val="18"/>
          <w:szCs w:val="18"/>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center"/>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bCs/>
          <w:sz w:val="18"/>
          <w:szCs w:val="18"/>
          <w:highlight w:val="none"/>
        </w:rPr>
      </w:r>
      <w:r>
        <w:rPr>
          <w:rFonts w:ascii="Cambria" w:hAnsi="Cambria" w:cs="Cambria"/>
          <w:b/>
          <w:bCs/>
          <w:sz w:val="18"/>
          <w:szCs w:val="18"/>
          <w:highlight w:val="none"/>
        </w:rPr>
      </w:r>
      <w:r/>
    </w:p>
    <w:p>
      <w:pPr>
        <w:jc w:val="left"/>
        <w:spacing w:line="240" w:lineRule="auto"/>
        <w:rPr>
          <w:rFonts w:ascii="Cambria" w:hAnsi="Cambria" w:cs="Cambria"/>
          <w:b/>
          <w:bCs/>
          <w:sz w:val="18"/>
          <w:szCs w:val="18"/>
          <w:highlight w:val="none"/>
        </w:rPr>
      </w:pPr>
      <w:r>
        <w:rPr>
          <w:rFonts w:ascii="Cambria" w:hAnsi="Cambria" w:cs="Cambria"/>
          <w:b/>
          <w:sz w:val="18"/>
          <w:szCs w:val="18"/>
          <w:highlight w:val="none"/>
        </w:rPr>
      </w:r>
      <w:r>
        <w:rPr>
          <w:rFonts w:ascii="Cambria" w:hAnsi="Cambria" w:cs="Cambria"/>
          <w:b/>
          <w:sz w:val="18"/>
          <w:szCs w:val="18"/>
          <w:highlight w:val="none"/>
        </w:rPr>
      </w:r>
      <w:r/>
    </w:p>
    <w:p>
      <w:pPr>
        <w:pStyle w:val="828"/>
        <w:jc w:val="center"/>
        <w:spacing w:line="240" w:lineRule="auto"/>
        <w:rPr>
          <w:rFonts w:ascii="Cambria" w:hAnsi="Cambria" w:cs="Cambria"/>
          <w:b/>
          <w:bCs/>
          <w:sz w:val="18"/>
          <w:szCs w:val="18"/>
          <w:highlight w:val="none"/>
        </w:rPr>
      </w:pPr>
      <w:r>
        <w:rPr>
          <w:rFonts w:ascii="Cambria" w:hAnsi="Cambria" w:cs="Cambria"/>
          <w:b/>
          <w:sz w:val="18"/>
          <w:szCs w:val="18"/>
        </w:rPr>
        <w:t xml:space="preserve">ANEXO II</w:t>
      </w:r>
      <w:r>
        <w:rPr>
          <w:rFonts w:ascii="Cambria" w:hAnsi="Cambria" w:cs="Cambria"/>
          <w:sz w:val="20"/>
          <w:szCs w:val="20"/>
        </w:rPr>
      </w:r>
      <w:r/>
    </w:p>
    <w:p>
      <w:pPr>
        <w:pStyle w:val="828"/>
        <w:jc w:val="center"/>
        <w:spacing w:line="240" w:lineRule="auto"/>
        <w:rPr>
          <w:rFonts w:ascii="Cambria" w:hAnsi="Cambria" w:cs="Cambria"/>
          <w:sz w:val="18"/>
          <w:szCs w:val="18"/>
        </w:rPr>
      </w:pPr>
      <w:r>
        <w:rPr>
          <w:rFonts w:ascii="Cambria" w:hAnsi="Cambria" w:cs="Cambria"/>
          <w:b/>
          <w:sz w:val="18"/>
          <w:szCs w:val="18"/>
        </w:rPr>
        <w:t xml:space="preserve">PROPOSTA FINANCEIRA</w:t>
      </w:r>
      <w:r>
        <w:rPr>
          <w:rFonts w:ascii="Cambria" w:hAnsi="Cambria" w:cs="Cambria"/>
          <w:sz w:val="20"/>
          <w:szCs w:val="20"/>
        </w:rPr>
      </w:r>
      <w:r/>
    </w:p>
    <w:tbl>
      <w:tblPr>
        <w:tblW w:w="9921" w:type="dxa"/>
        <w:tblInd w:w="70" w:type="dxa"/>
        <w:tblLayout w:type="fixed"/>
        <w:tblCellMar>
          <w:left w:w="70" w:type="dxa"/>
          <w:top w:w="0" w:type="dxa"/>
          <w:right w:w="70" w:type="dxa"/>
          <w:bottom w:w="0" w:type="dxa"/>
        </w:tblCellMar>
        <w:tblLook w:val="04A0" w:firstRow="1" w:lastRow="0" w:firstColumn="1" w:lastColumn="0" w:noHBand="0" w:noVBand="1"/>
      </w:tblPr>
      <w:tblGrid>
        <w:gridCol w:w="4065"/>
        <w:gridCol w:w="2950"/>
        <w:gridCol w:w="2906"/>
      </w:tblGrid>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Fornecedor:</w:t>
            </w:r>
            <w:r>
              <w:rPr>
                <w:rFonts w:ascii="Cambria" w:hAnsi="Cambria" w:cs="Cambria"/>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Endereço:</w:t>
            </w:r>
            <w:r>
              <w:rPr>
                <w:rFonts w:ascii="Cambria" w:hAnsi="Cambria" w:cs="Cambria"/>
                <w:sz w:val="20"/>
                <w:szCs w:val="20"/>
              </w:rPr>
            </w:r>
            <w:r/>
          </w:p>
        </w:tc>
      </w:tr>
      <w:tr>
        <w:trPr/>
        <w:tc>
          <w:tcPr>
            <w:gridSpan w:val="2"/>
            <w:tcBorders>
              <w:top w:val="single" w:color="000000" w:sz="6" w:space="0"/>
              <w:left w:val="single" w:color="000000" w:sz="6" w:space="0"/>
              <w:bottom w:val="single" w:color="000000" w:sz="6" w:space="0"/>
              <w:right w:val="single" w:color="000000" w:sz="6" w:space="0"/>
            </w:tcBorders>
            <w:tcW w:w="7015"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Cidade:</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W w:w="2906"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Estado:</w:t>
            </w:r>
            <w:r>
              <w:rPr>
                <w:rFonts w:ascii="Cambria" w:hAnsi="Cambria" w:cs="Cambria"/>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CNPJ:</w:t>
            </w:r>
            <w:r>
              <w:rPr>
                <w:rFonts w:ascii="Cambria" w:hAnsi="Cambria" w:cs="Cambria"/>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Inscrição Estadual:</w:t>
            </w:r>
            <w:r>
              <w:rPr>
                <w:rFonts w:ascii="Cambria" w:hAnsi="Cambria" w:cs="Cambria"/>
                <w:sz w:val="20"/>
                <w:szCs w:val="20"/>
              </w:rPr>
            </w:r>
            <w:r/>
          </w:p>
        </w:tc>
      </w:tr>
      <w:tr>
        <w:trPr/>
        <w:tc>
          <w:tcPr>
            <w:tcBorders>
              <w:top w:val="single" w:color="000000" w:sz="6" w:space="0"/>
              <w:left w:val="single" w:color="000000" w:sz="6" w:space="0"/>
              <w:bottom w:val="single" w:color="000000" w:sz="6" w:space="0"/>
              <w:right w:val="single" w:color="000000" w:sz="6" w:space="0"/>
            </w:tcBorders>
            <w:tcW w:w="4065"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Banco:</w:t>
            </w:r>
            <w:r>
              <w:rPr>
                <w:rFonts w:ascii="Cambria" w:hAnsi="Cambria" w:cs="Cambria"/>
                <w:sz w:val="20"/>
                <w:szCs w:val="20"/>
              </w:rPr>
            </w:r>
            <w:r/>
          </w:p>
        </w:tc>
        <w:tc>
          <w:tcPr>
            <w:gridSpan w:val="2"/>
            <w:tcBorders>
              <w:top w:val="single" w:color="000000" w:sz="6" w:space="0"/>
              <w:left w:val="single" w:color="000000" w:sz="6" w:space="0"/>
              <w:bottom w:val="single" w:color="000000" w:sz="6" w:space="0"/>
              <w:right w:val="single" w:color="000000" w:sz="6" w:space="0"/>
            </w:tcBorders>
            <w:tcW w:w="5856"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Agência:</w:t>
            </w:r>
            <w:r>
              <w:rPr>
                <w:rFonts w:ascii="Cambria" w:hAnsi="Cambria" w:cs="Cambria"/>
                <w:sz w:val="20"/>
                <w:szCs w:val="20"/>
              </w:rPr>
            </w:r>
            <w:r/>
          </w:p>
        </w:tc>
      </w:tr>
      <w:tr>
        <w:trPr/>
        <w:tc>
          <w:tcPr>
            <w:gridSpan w:val="3"/>
            <w:tcBorders>
              <w:top w:val="single" w:color="000000" w:sz="6" w:space="0"/>
              <w:left w:val="single" w:color="000000" w:sz="6" w:space="0"/>
              <w:bottom w:val="single" w:color="000000" w:sz="6" w:space="0"/>
              <w:right w:val="single" w:color="000000" w:sz="6" w:space="0"/>
            </w:tcBorders>
            <w:tcW w:w="9921" w:type="dxa"/>
            <w:textDirection w:val="lrTb"/>
            <w:noWrap w:val="false"/>
          </w:tcPr>
          <w:p>
            <w:pPr>
              <w:pStyle w:val="828"/>
              <w:jc w:val="both"/>
              <w:spacing w:line="240" w:lineRule="auto"/>
              <w:widowControl w:val="off"/>
              <w:rPr>
                <w:rFonts w:ascii="Cambria" w:hAnsi="Cambria" w:cs="Cambria"/>
                <w:bCs/>
                <w:sz w:val="18"/>
                <w:szCs w:val="18"/>
              </w:rPr>
            </w:pPr>
            <w:r>
              <w:rPr>
                <w:rFonts w:ascii="Cambria" w:hAnsi="Cambria" w:cs="Cambria"/>
                <w:b/>
                <w:sz w:val="18"/>
                <w:szCs w:val="18"/>
              </w:rPr>
              <w:t xml:space="preserve">C.C:</w:t>
            </w:r>
            <w:r>
              <w:rPr>
                <w:rFonts w:ascii="Cambria" w:hAnsi="Cambria" w:cs="Cambria"/>
                <w:sz w:val="20"/>
                <w:szCs w:val="20"/>
              </w:rPr>
            </w:r>
            <w:r/>
          </w:p>
        </w:tc>
      </w:tr>
    </w:tbl>
    <w:p>
      <w:pPr>
        <w:pStyle w:val="828"/>
        <w:jc w:val="both"/>
        <w:spacing w:line="240" w:lineRule="auto"/>
        <w:tabs>
          <w:tab w:val="clear" w:pos="708" w:leader="none"/>
          <w:tab w:val="left" w:pos="792" w:leader="none"/>
        </w:tabs>
        <w:rPr>
          <w:rFonts w:ascii="Cambria" w:hAnsi="Cambria" w:cs="Cambria"/>
          <w:sz w:val="18"/>
          <w:szCs w:val="18"/>
        </w:rPr>
      </w:pPr>
      <w:r>
        <w:rPr>
          <w:rFonts w:ascii="Cambria" w:hAnsi="Cambria" w:cs="Cambria"/>
          <w:sz w:val="18"/>
          <w:szCs w:val="18"/>
        </w:rPr>
      </w:r>
      <w:r>
        <w:rPr>
          <w:rFonts w:ascii="Cambria" w:hAnsi="Cambria" w:cs="Cambria"/>
          <w:sz w:val="20"/>
          <w:szCs w:val="20"/>
        </w:rPr>
      </w:r>
      <w:r/>
    </w:p>
    <w:tbl>
      <w:tblPr>
        <w:tblW w:w="9991" w:type="dxa"/>
        <w:tblInd w:w="0" w:type="dxa"/>
        <w:tblLayout w:type="fixed"/>
        <w:tblCellMar>
          <w:left w:w="70" w:type="dxa"/>
          <w:top w:w="0" w:type="dxa"/>
          <w:right w:w="70" w:type="dxa"/>
          <w:bottom w:w="0" w:type="dxa"/>
        </w:tblCellMar>
        <w:tblLook w:val="04A0" w:firstRow="1" w:lastRow="0" w:firstColumn="1" w:lastColumn="0" w:noHBand="0" w:noVBand="1"/>
      </w:tblPr>
      <w:tblGrid>
        <w:gridCol w:w="9991"/>
      </w:tblGrid>
      <w:tr>
        <w:trPr>
          <w:trHeight w:val="546"/>
        </w:trPr>
        <w:tc>
          <w:tcPr>
            <w:tcBorders>
              <w:top w:val="single" w:color="000000" w:sz="6" w:space="0"/>
              <w:left w:val="single" w:color="000000" w:sz="6" w:space="0"/>
              <w:bottom w:val="single" w:color="000000" w:sz="6" w:space="0"/>
              <w:right w:val="single" w:color="000000" w:sz="6" w:space="0"/>
            </w:tcBorders>
            <w:tcW w:w="9991" w:type="dxa"/>
            <w:textDirection w:val="lrTb"/>
            <w:noWrap w:val="false"/>
          </w:tcPr>
          <w:p>
            <w:pPr>
              <w:pStyle w:val="1059"/>
              <w:numPr>
                <w:ilvl w:val="0"/>
                <w:numId w:val="0"/>
              </w:numPr>
              <w:ind w:left="0" w:right="0" w:firstLine="0"/>
              <w:spacing w:before="288" w:after="288" w:line="240" w:lineRule="auto"/>
              <w:widowControl w:val="off"/>
              <w:rPr>
                <w:rFonts w:ascii="Cambria" w:hAnsi="Cambria" w:cs="Cambria"/>
                <w:b w:val="0"/>
                <w:bCs w:val="0"/>
                <w:sz w:val="18"/>
                <w:szCs w:val="18"/>
              </w:rPr>
            </w:pPr>
            <w:r>
              <w:rPr>
                <w:rFonts w:ascii="Cambria" w:hAnsi="Cambria" w:cs="Cambria"/>
                <w:sz w:val="18"/>
                <w:szCs w:val="18"/>
              </w:rPr>
              <w:t xml:space="preserve">REGISTRO DE PREÇO </w:t>
            </w:r>
            <w:r>
              <w:rPr>
                <w:rFonts w:ascii="Cambria" w:hAnsi="Cambria" w:cs="Cambria"/>
                <w:b w:val="0"/>
                <w:bCs w:val="0"/>
                <w:sz w:val="18"/>
                <w:szCs w:val="18"/>
              </w:rPr>
              <w:t xml:space="preserve">para eventual AQUISIÇÃO DE FRALDAS E MATERIAIS DE HIGIENE PESSOAL.</w:t>
            </w:r>
            <w:r>
              <w:rPr>
                <w:rFonts w:ascii="Cambria" w:hAnsi="Cambria" w:cs="Cambria"/>
                <w:sz w:val="16"/>
                <w:szCs w:val="16"/>
              </w:rPr>
            </w:r>
            <w:r/>
          </w:p>
        </w:tc>
      </w:tr>
    </w:tbl>
    <w:p>
      <w:pPr>
        <w:pStyle w:val="828"/>
        <w:jc w:val="both"/>
        <w:spacing w:line="240" w:lineRule="auto"/>
        <w:rPr>
          <w:rFonts w:ascii="Cambria" w:hAnsi="Cambria" w:cs="Cambria"/>
          <w:sz w:val="18"/>
          <w:szCs w:val="18"/>
        </w:rPr>
      </w:pPr>
      <w:r>
        <w:rPr>
          <w:rFonts w:ascii="Cambria" w:hAnsi="Cambria" w:cs="Cambria"/>
          <w:sz w:val="18"/>
          <w:szCs w:val="18"/>
        </w:rPr>
      </w:r>
      <w:r>
        <w:rPr>
          <w:rFonts w:ascii="Cambria" w:hAnsi="Cambria" w:cs="Cambria"/>
          <w:sz w:val="20"/>
          <w:szCs w:val="20"/>
        </w:rPr>
      </w:r>
      <w:r/>
    </w:p>
    <w:tbl>
      <w:tblPr>
        <w:tblStyle w:val="899"/>
        <w:tblW w:w="0" w:type="auto"/>
        <w:tblLayout w:type="fixed"/>
        <w:tblLook w:val="04A0" w:firstRow="1" w:lastRow="0" w:firstColumn="1" w:lastColumn="0" w:noHBand="0" w:noVBand="1"/>
      </w:tblPr>
      <w:tblGrid>
        <w:gridCol w:w="1143"/>
        <w:gridCol w:w="1154"/>
        <w:gridCol w:w="1955"/>
        <w:gridCol w:w="1701"/>
        <w:gridCol w:w="3968"/>
      </w:tblGrid>
      <w:tr>
        <w:trPr>
          <w:trHeight w:val="345"/>
        </w:trPr>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bottom"/>
            <w:textDirection w:val="lrTb"/>
            <w:noWrap w:val="false"/>
          </w:tcPr>
          <w:p>
            <w:pPr>
              <w:jc w:val="center"/>
              <w:rPr>
                <w:rFonts w:ascii="Cambria" w:hAnsi="Cambria" w:cs="Cambria"/>
                <w:bCs w:val="0"/>
                <w:color w:val="000000"/>
                <w:sz w:val="20"/>
                <w:szCs w:val="20"/>
              </w:rPr>
            </w:pPr>
            <w:r>
              <w:rPr>
                <w:rFonts w:ascii="Cambria" w:hAnsi="Cambria" w:cs="Cambria"/>
                <w:b/>
                <w:bCs/>
                <w:i w:val="0"/>
                <w:iCs w:val="0"/>
                <w:strike w:val="0"/>
                <w:color w:val="000000"/>
                <w:sz w:val="12"/>
                <w:szCs w:val="12"/>
                <w:u w:val="none"/>
                <w:vertAlign w:val="baseline"/>
              </w:rPr>
              <w:t xml:space="preserve">Item</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bottom"/>
            <w:textDirection w:val="lrTb"/>
            <w:noWrap w:val="false"/>
          </w:tcPr>
          <w:p>
            <w:pPr>
              <w:jc w:val="center"/>
              <w:rPr>
                <w:rFonts w:ascii="Cambria" w:hAnsi="Cambria" w:cs="Cambria"/>
                <w:sz w:val="20"/>
                <w:szCs w:val="20"/>
              </w:rPr>
            </w:pPr>
            <w:r>
              <w:rPr>
                <w:rFonts w:ascii="Cambria" w:hAnsi="Cambria" w:eastAsia="Calibri" w:cs="Cambria"/>
                <w:b/>
                <w:i w:val="0"/>
                <w:strike w:val="0"/>
                <w:color w:val="000000"/>
                <w:sz w:val="12"/>
                <w:szCs w:val="12"/>
                <w:u w:val="none"/>
                <w:vertAlign w:val="baseline"/>
              </w:rPr>
              <w:t xml:space="preserve">Unid. Med.</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bottom"/>
            <w:textDirection w:val="lrTb"/>
            <w:noWrap w:val="false"/>
          </w:tcPr>
          <w:p>
            <w:pPr>
              <w:jc w:val="center"/>
              <w:rPr>
                <w:rFonts w:ascii="Cambria" w:hAnsi="Cambria" w:cs="Cambria"/>
                <w:sz w:val="20"/>
                <w:szCs w:val="20"/>
              </w:rPr>
            </w:pPr>
            <w:r>
              <w:rPr>
                <w:rFonts w:ascii="Cambria" w:hAnsi="Cambria" w:eastAsia="Calibri" w:cs="Cambria"/>
                <w:b/>
                <w:i w:val="0"/>
                <w:strike w:val="0"/>
                <w:color w:val="000000"/>
                <w:sz w:val="12"/>
                <w:szCs w:val="12"/>
                <w:u w:val="none"/>
                <w:vertAlign w:val="baseline"/>
              </w:rPr>
              <w:t xml:space="preserve">Valor Refêrencia</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bottom"/>
            <w:textDirection w:val="lrTb"/>
            <w:noWrap w:val="false"/>
          </w:tcPr>
          <w:p>
            <w:pPr>
              <w:jc w:val="center"/>
              <w:rPr>
                <w:rFonts w:ascii="Cambria" w:hAnsi="Cambria" w:cs="Cambria"/>
                <w:sz w:val="20"/>
                <w:szCs w:val="20"/>
              </w:rPr>
            </w:pPr>
            <w:r>
              <w:rPr>
                <w:rFonts w:ascii="Cambria" w:hAnsi="Cambria" w:eastAsia="Calibri" w:cs="Cambria"/>
                <w:b/>
                <w:i w:val="0"/>
                <w:strike w:val="0"/>
                <w:color w:val="000000"/>
                <w:sz w:val="12"/>
                <w:szCs w:val="12"/>
                <w:u w:val="none"/>
                <w:vertAlign w:val="baseline"/>
              </w:rPr>
              <w:t xml:space="preserve">Quantidade</w:t>
            </w:r>
            <w:r>
              <w:rPr>
                <w:rFonts w:ascii="Cambria" w:hAnsi="Cambria" w:cs="Cambria"/>
                <w:sz w:val="20"/>
                <w:szCs w:val="20"/>
              </w:rPr>
            </w:r>
            <w:r/>
          </w:p>
        </w:tc>
        <w:tc>
          <w:tcPr>
            <w:shd w:val="clear" w:color="f0ffff" w:fill="f0ffff"/>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bottom"/>
            <w:textDirection w:val="lrTb"/>
            <w:noWrap w:val="false"/>
          </w:tcPr>
          <w:p>
            <w:pPr>
              <w:jc w:val="center"/>
              <w:rPr>
                <w:rFonts w:ascii="Cambria" w:hAnsi="Cambria" w:cs="Cambria"/>
                <w:sz w:val="20"/>
                <w:szCs w:val="20"/>
              </w:rPr>
            </w:pPr>
            <w:r>
              <w:rPr>
                <w:rFonts w:ascii="Cambria" w:hAnsi="Cambria" w:eastAsia="Calibri" w:cs="Cambria"/>
                <w:b/>
                <w:i w:val="0"/>
                <w:strike w:val="0"/>
                <w:color w:val="000000"/>
                <w:sz w:val="12"/>
                <w:szCs w:val="12"/>
                <w:u w:val="none"/>
                <w:vertAlign w:val="baseline"/>
              </w:rPr>
              <w:t xml:space="preserve">Descrição</w:t>
            </w:r>
            <w:r>
              <w:rPr>
                <w:rFonts w:ascii="Cambria" w:hAnsi="Cambria" w:cs="Cambria"/>
                <w:sz w:val="20"/>
                <w:szCs w:val="20"/>
              </w:rPr>
            </w:r>
            <w:r/>
          </w:p>
        </w:tc>
      </w:tr>
      <w:tr>
        <w:trPr>
          <w:trHeight w:val="3990"/>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1.900,00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spacing w:line="266" w:lineRule="exact"/>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DESCARTAVEL GERIATRICA TAM P</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line="266" w:lineRule="exact"/>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line="266" w:lineRule="exact"/>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5.500,00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FRALDAS GERIÁTRICAS TAMANHO M</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46.800,00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FRALDAS GERIÁTRICAS TAMANHO 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50.400,00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GERIÁTRICA TAMANHO EG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20"/>
                <w:szCs w:val="20"/>
              </w:rPr>
              <w:t xml:space="preserve"> </w:t>
            </w: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7.700,00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DESCARTÁVEL INFANTIL XXG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val="0"/>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2.200,00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DESCARTÁVEL INFANTIL  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50,00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INFANTIL TAMANHO P</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150,00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DESCARTÁVEL INFANTIL TAMANHO M</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sz w:val="12"/>
                <w:szCs w:val="12"/>
                <w:highlight w:val="no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12"/>
                <w:szCs w:val="12"/>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highlight w:val="none"/>
              </w:rPr>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09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400,00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INFANTIL TAMANHO GG</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ESPESSA CAMADA DE GEL SUPERABSORVENTE;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BARREIRAS LATERAIS ANTIVAZAMENTO;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FITA ADESIVA TRILAMINADA REPOSICIONÁVEL;</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INDICADOR DE UMIDADE;</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EXTRATO DE ALOE VERA;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FORMATO ANATÔMICO;</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HIPOALERGÊNICA;</w:t>
            </w:r>
            <w:r>
              <w:rPr>
                <w:rFonts w:ascii="Cambria" w:hAnsi="Cambria" w:cs="Cambria"/>
                <w:sz w:val="20"/>
                <w:szCs w:val="20"/>
              </w:rPr>
            </w:r>
            <w:r/>
          </w:p>
          <w:p>
            <w:pPr>
              <w:ind w:left="0" w:right="0" w:firstLine="0"/>
              <w:spacing w:before="240" w:after="240"/>
              <w:rPr>
                <w:rFonts w:ascii="Cambria" w:hAnsi="Cambria" w:cs="Cambria"/>
                <w:sz w:val="20"/>
                <w:szCs w:val="20"/>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UNISEX;</w:t>
            </w:r>
            <w:r>
              <w:rPr>
                <w:rFonts w:ascii="Cambria" w:hAnsi="Cambria" w:cs="Cambria"/>
                <w:sz w:val="20"/>
                <w:szCs w:val="20"/>
              </w:rPr>
            </w:r>
            <w:r/>
          </w:p>
          <w:p>
            <w:pPr>
              <w:ind w:left="0" w:right="0" w:firstLine="0"/>
              <w:spacing w:before="240" w:after="240"/>
              <w:rPr>
                <w:rFonts w:ascii="Cambria" w:hAnsi="Cambria" w:cs="Cambria"/>
                <w:b/>
                <w:bCs w:val="0"/>
                <w:i w:val="0"/>
                <w:strike w:val="0"/>
                <w:color w:val="000000"/>
                <w:sz w:val="20"/>
                <w:szCs w:val="20"/>
                <w:highlight w:val="none"/>
                <w:u w:val="none"/>
                <w:vertAlign w:val="baseline"/>
              </w:rPr>
              <w:pBdr>
                <w:top w:val="none" w:color="000000" w:sz="4" w:space="0"/>
                <w:left w:val="none" w:color="000000" w:sz="4" w:space="0"/>
                <w:bottom w:val="none" w:color="000000" w:sz="4" w:space="0"/>
                <w:right w:val="none" w:color="000000" w:sz="4" w:space="0"/>
              </w:pBdr>
            </w:pPr>
            <w:r>
              <w:rPr>
                <w:rFonts w:ascii="Cambria" w:hAnsi="Cambria" w:cs="Cambria"/>
                <w:sz w:val="12"/>
                <w:szCs w:val="12"/>
              </w:rPr>
              <w:t xml:space="preserve">- CERTIFICAÇÃO PELO INMETRO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PAC</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2.000,00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BICO DE MAMADEIRA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EMBALAGEM COM 02 UNID</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SENDO BICO DE SILICONE</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MAMADEIRA 240ML BICO SILICONE</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r>
            <w:r>
              <w:rPr>
                <w:rFonts w:ascii="Cambria" w:hAnsi="Cambria" w:eastAsia="Calibri" w:cs="Cambria"/>
                <w:b w:val="0"/>
                <w:i w:val="0"/>
                <w:strike w:val="0"/>
                <w:color w:val="000000"/>
                <w:sz w:val="12"/>
                <w:szCs w:val="12"/>
                <w:highlight w:val="none"/>
                <w:u w:val="none"/>
                <w:vertAlign w:val="baseline"/>
              </w:rPr>
              <w:t xml:space="preserve">Mamadeira  250ml Bico De Silicone Lolly -cores variadas</w:t>
            </w:r>
            <w:r>
              <w:rPr>
                <w:rFonts w:ascii="Cambria" w:hAnsi="Cambria" w:cs="Cambria"/>
                <w:sz w:val="20"/>
                <w:szCs w:val="20"/>
              </w:rPr>
            </w:r>
            <w:r/>
          </w:p>
        </w:tc>
      </w:tr>
      <w:tr>
        <w:trPr>
          <w:trHeight w:val="1151"/>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90,00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ESCOVA PARA LIMPAR MAMADEIRAS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Escova para mamadeira .</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Composição: Cabo e cerdas 100% Polipropileno (PP); Base: 100% Aço. Livre de BPA Tamanho: Escova maior 24cm;  lavar com água e sabão neutro Alérgicos: produto não possui contra indicações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ESTERILIZADORES DE MAMADEIRAS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Capacidade Mínima: 04 mamadeiras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Para microondas</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A vapor, </w:t>
            </w:r>
            <w:r>
              <w:rPr>
                <w:rFonts w:ascii="Cambria" w:hAnsi="Cambria" w:eastAsia="Calibri" w:cs="Cambria"/>
                <w:b w:val="0"/>
                <w:i w:val="0"/>
                <w:strike w:val="0"/>
                <w:color w:val="000000"/>
                <w:sz w:val="12"/>
                <w:szCs w:val="12"/>
                <w:highlight w:val="none"/>
                <w:u w:val="none"/>
                <w:vertAlign w:val="baseline"/>
              </w:rPr>
              <w:t xml:space="preserve">A duração exata do ciclo dependerá do consumo de energia em watts do microondas: mínimo 2 min a 1.100-1.850 watts, 4 min a 850-1.000 watts, 6 min a 500-850 watts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300,00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SABONETE EM BARRA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TESTADO DERMATOLOGICAMENTE TIPO: POM POM 80GR</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PH NEUTRO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HIPOALERGÊNICO</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EMBALAGEM EM CAIXA ENTRE 75G E 80G</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75,00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SABONETE LIQUIDO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200 ML TIPO: PROTEX BABY</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DERMATOLOGICAMENTE TESTADO</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HIPOALERGENICO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FR</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75,00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SHAMPOO  INFANTIL</w:t>
            </w:r>
            <w:r>
              <w:rPr>
                <w:rFonts w:ascii="Cambria" w:hAnsi="Cambria" w:cs="Cambria"/>
                <w:sz w:val="20"/>
                <w:szCs w:val="20"/>
              </w:rPr>
            </w:r>
            <w:r/>
          </w:p>
          <w:p>
            <w:pPr>
              <w:jc w:val="center"/>
              <w:rPr>
                <w:rFonts w:ascii="Cambria" w:hAnsi="Cambria" w:cs="Cambria"/>
                <w:b/>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r>
            <w:r>
              <w:rPr>
                <w:rFonts w:ascii="Cambria" w:hAnsi="Cambria" w:eastAsia="Calibri" w:cs="Cambria"/>
                <w:b w:val="0"/>
                <w:i w:val="0"/>
                <w:strike w:val="0"/>
                <w:color w:val="000000"/>
                <w:sz w:val="12"/>
                <w:szCs w:val="12"/>
                <w:highlight w:val="none"/>
                <w:u w:val="none"/>
                <w:vertAlign w:val="baseline"/>
              </w:rPr>
              <w:t xml:space="preserve">Shampoo extra suave com aproximadamente 200 ml para criança - testado dermatologicamente e oftalmologicamente.</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525,00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LENÇOS UMEDECIDOS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Lenço umidecido, alta absorção, folhas duplas. Tampa flip-top.</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 Hipoalergênico Sem Álcool com 50 unidades. Lenços macios, flexíveis e resistentes. Limpam suavemente, hidratam e acalmam a pele.</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65,00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CREME PREVENTIVO PARA ASSADURAS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Referência:  Bepantol</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Pomada Bepantol Baby 60g — Creme para prevenção de assaduras Bepantol Baby 60g</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19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POMADA HIRUDOID</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40 G</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HIRUDOID GEL está indicado para processos inflamatórios localizados como: Manchas roxas (hematomas) que aparecem após traumas ou contusões.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PANO DE BOCA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PANO DE BOCA COM 3 UNIDADES.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 40X35 CM</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TECIDO DUPLO - EXTRA ABSORVENTE - ESTAMPAS DIVERSAS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50,00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JOGO DE LENÇOL INFANTIL</w:t>
            </w:r>
            <w:r>
              <w:rPr>
                <w:rFonts w:ascii="Cambria" w:hAnsi="Cambria" w:eastAsia="Calibri" w:cs="Cambria"/>
                <w:b w:val="0"/>
                <w:i w:val="0"/>
                <w:strike w:val="0"/>
                <w:color w:val="000000"/>
                <w:sz w:val="12"/>
                <w:szCs w:val="12"/>
                <w:u w:val="none"/>
                <w:vertAlign w:val="baseline"/>
              </w:rPr>
              <w:t xml:space="preserve"> </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 PEÇAS EM MALHA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CONTENDO 01 FRONHA - 30X40CM</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01 LENÇOL  INFERIOR COM ELÁSTICO 1,37 X 76 X 9 CM  PARA COLCHÃO BERÇO ATÉ 70  X 1,30 X 12 CM</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                      CORES DIVERSAS EM MALHA.</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85,00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TOALHA COM CAPUZ</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TOALHA INFANTIL COM CAPUZ</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FORRO DE FRALDA - 100% ALGODÃO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ESTAMPADA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 REFERENCIA: 70 CM X 90 CM</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175,00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BODY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Body infantil manga longa  e curta - 100% algodão tamanhos: P, M ,G  e GG  - liso (logo a combinar)</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Algodão e poliester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MANTA COBERTOR DE BEBE ESTAMPADA</w:t>
            </w:r>
            <w:r>
              <w:rPr>
                <w:rFonts w:ascii="Cambria" w:hAnsi="Cambria" w:cs="Cambria"/>
                <w:sz w:val="20"/>
                <w:szCs w:val="20"/>
              </w:rPr>
            </w:r>
            <w:r/>
          </w:p>
          <w:p>
            <w:pPr>
              <w:jc w:val="center"/>
              <w:rPr>
                <w:rFonts w:ascii="Cambria" w:hAnsi="Cambria" w:cs="Cambria"/>
                <w:b/>
                <w:bCs w:val="0"/>
                <w:color w:val="000000"/>
                <w:sz w:val="20"/>
                <w:szCs w:val="20"/>
                <w:highlight w:val="none"/>
              </w:rPr>
            </w:pPr>
            <w:r>
              <w:rPr>
                <w:rFonts w:ascii="Cambria" w:hAnsi="Cambria" w:eastAsia="Calibri" w:cs="Cambria"/>
                <w:b w:val="0"/>
                <w:i w:val="0"/>
                <w:strike w:val="0"/>
                <w:color w:val="000000"/>
                <w:sz w:val="12"/>
                <w:szCs w:val="12"/>
                <w:highlight w:val="none"/>
                <w:u w:val="none"/>
                <w:vertAlign w:val="baseline"/>
              </w:rPr>
            </w:r>
            <w:r>
              <w:rPr>
                <w:rFonts w:ascii="Cambria" w:hAnsi="Cambria" w:eastAsia="Calibri" w:cs="Cambria"/>
                <w:b w:val="0"/>
                <w:i w:val="0"/>
                <w:strike w:val="0"/>
                <w:color w:val="000000"/>
                <w:sz w:val="12"/>
                <w:szCs w:val="12"/>
                <w:highlight w:val="none"/>
                <w:u w:val="none"/>
                <w:vertAlign w:val="baseline"/>
              </w:rPr>
              <w:t xml:space="preserve">1,10 x 1,00m Menina e Menino Cobertinha de Berço - ESTAMPAS DIVERSAS, microfibra , antialérgico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MANTA MICROFIBRA SOLTEIRO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Microfibra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Toque macio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Composição: 100% poliéster</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Fácil lavagem</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bCs w:val="0"/>
                <w:color w:val="000000"/>
                <w:sz w:val="20"/>
                <w:szCs w:val="20"/>
              </w:rPr>
            </w:pPr>
            <w:r>
              <w:rPr>
                <w:rFonts w:ascii="Cambria" w:hAnsi="Cambria" w:cs="Cambria"/>
                <w:b w:val="0"/>
                <w:bCs w:val="0"/>
                <w:i w:val="0"/>
                <w:iCs w:val="0"/>
                <w:strike w:val="0"/>
                <w:color w:val="000000"/>
                <w:sz w:val="12"/>
                <w:szCs w:val="12"/>
                <w:u w:val="none"/>
                <w:vertAlign w:val="baseline"/>
              </w:rPr>
              <w:t xml:space="preserve">26</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JOGO DE LENÇOL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Jogo lençol para berço com 2 itens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Em malha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Tamanho de referência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01 Fronha 40cm x 30cm</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01 Lencol c/ Elastico 1,30m x 70cm x 12cm (alt)</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Cores diversas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27</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CX</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FRALDA BRANCA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Fralda Luxo Branca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Caixa com 5 unidades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Tecido duplo, 100% algodão, alta absorção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Tamanho de referência: 70cm x 70cm</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70 x 70 cm</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28</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CALCA INFANTIL BEBE</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Calça Infantil – Bebê</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Algodão e poliéster</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Liso ou estampado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Cores diversas</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Tamanhos P, M e G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29</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MACACAO INFANTIL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Macacão Infantil – Bebê</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Manga longa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Estilo Tip Top</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Algodão e Poliester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30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CX</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HASTES FLEXÍVEIS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Caixa de Hastes Flexiveis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Embalagem com 150 unidades</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Com pontas de algodão</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31</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L</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100,00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ALCOOL LIQUIDO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Álcool Líquido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70%</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Embalagens de 50ml </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32</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CREME CORPORAL ANTI ESTRIAS 250GR</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Creme corporal anti estrias, dermatologicamente testado com fragrância.</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Embalagem com 250 gramas</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33</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COLONIA INFANTIL 200ML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Colônia infantil, dermatologicamente testado, livre de irritabilidade.</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Embalagem de 200 ml</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34</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KIT</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25,00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KIT LIMPEZA E HIGIENE PESSOAL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Kit Higiene </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Contendo, no mínimo: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Tesoura com ponta arredondada e capa protetora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Cortador de unha com capa protetora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Escova com cerdas macias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Pente com pontas arredondadas</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Composição: Escova e Pente: Parte Branca: 100% Polipropileno (PP), Parte Colorida: 100% Borracha Termoplástica (TPR), Base da Tesoura e Lixa: 100% Poliestireno (PS), Cortador, Tesoura e Lixa: 100% Aço Inoxidável</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Dimensões da embalagem: 14cm x 5cm x 2,5cm</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 Conteúdo da embalagem: 01 escova de cabelos, 01 pente, 01 cortador de unha, 01 tesoura e 1 lixa</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Referência: Buba</w:t>
            </w:r>
            <w:r>
              <w:rPr>
                <w:rFonts w:ascii="Cambria" w:hAnsi="Cambria" w:cs="Cambria"/>
                <w:sz w:val="20"/>
                <w:szCs w:val="20"/>
              </w:rPr>
            </w:r>
            <w:r/>
          </w:p>
        </w:tc>
      </w:tr>
      <w:tr>
        <w:trPr>
          <w:trHeight w:val="28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43" w:type="dxa"/>
            <w:vAlign w:val="center"/>
            <w:textDirection w:val="lrTb"/>
            <w:noWrap w:val="false"/>
          </w:tcPr>
          <w:p>
            <w:pPr>
              <w:jc w:val="center"/>
              <w:rPr>
                <w:rFonts w:ascii="Cambria" w:hAnsi="Cambria" w:cs="Cambria"/>
                <w:sz w:val="20"/>
                <w:szCs w:val="20"/>
              </w:rPr>
            </w:pPr>
            <w:r>
              <w:rPr>
                <w:rFonts w:ascii="Cambria" w:hAnsi="Cambria" w:cs="Cambria"/>
                <w:sz w:val="12"/>
                <w:szCs w:val="12"/>
              </w:rPr>
              <w:t xml:space="preserve">35</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154"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UN</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955" w:type="dxa"/>
            <w:vAlign w:val="center"/>
            <w:textDirection w:val="lrTb"/>
            <w:noWrap w:val="false"/>
          </w:tcPr>
          <w:p>
            <w:pPr>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1" w:type="dxa"/>
            <w:vAlign w:val="center"/>
            <w:textDirection w:val="lrTb"/>
            <w:noWrap w:val="false"/>
          </w:tcPr>
          <w:p>
            <w:pPr>
              <w:jc w:val="center"/>
              <w:rPr>
                <w:rFonts w:ascii="Cambria" w:hAnsi="Cambria" w:cs="Cambria"/>
                <w:sz w:val="20"/>
                <w:szCs w:val="20"/>
              </w:rPr>
            </w:pPr>
            <w:r>
              <w:rPr>
                <w:rFonts w:ascii="Cambria" w:hAnsi="Cambria" w:eastAsia="Calibri" w:cs="Cambria"/>
                <w:b w:val="0"/>
                <w:i w:val="0"/>
                <w:strike w:val="0"/>
                <w:color w:val="000000"/>
                <w:sz w:val="12"/>
                <w:szCs w:val="12"/>
                <w:u w:val="none"/>
                <w:vertAlign w:val="baseline"/>
              </w:rPr>
              <w:t xml:space="preserve">200,00</w:t>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968" w:type="dxa"/>
            <w:vAlign w:val="center"/>
            <w:textDirection w:val="lrTb"/>
            <w:noWrap w:val="false"/>
          </w:tcPr>
          <w:p>
            <w:pPr>
              <w:jc w:val="center"/>
              <w:rPr>
                <w:rFonts w:ascii="Cambria" w:hAnsi="Cambria" w:cs="Cambria"/>
                <w:sz w:val="20"/>
                <w:szCs w:val="20"/>
              </w:rPr>
            </w:pPr>
            <w:r>
              <w:rPr>
                <w:rFonts w:ascii="Cambria" w:hAnsi="Cambria" w:eastAsia="Calibri" w:cs="Cambria"/>
                <w:b/>
                <w:bCs/>
                <w:i w:val="0"/>
                <w:strike w:val="0"/>
                <w:color w:val="000000"/>
                <w:sz w:val="12"/>
                <w:szCs w:val="12"/>
                <w:u w:val="none"/>
                <w:vertAlign w:val="baseline"/>
              </w:rPr>
              <w:t xml:space="preserve">LIVROS DE BANHO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Livros de Banho  – plastificado</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Livro de espuma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Número de páginas: 6.</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Dimensões: 150 mm largura x 150 mm altura.</w:t>
            </w:r>
            <w:r>
              <w:rPr>
                <w:rFonts w:ascii="Cambria" w:hAnsi="Cambria" w:cs="Cambria"/>
                <w:sz w:val="20"/>
                <w:szCs w:val="20"/>
              </w:rPr>
            </w:r>
            <w:r/>
          </w:p>
          <w:p>
            <w:pPr>
              <w:jc w:val="center"/>
              <w:rPr>
                <w:rFonts w:ascii="Cambria" w:hAnsi="Cambria" w:cs="Cambria"/>
                <w:sz w:val="20"/>
                <w:szCs w:val="20"/>
              </w:rPr>
            </w:pPr>
            <w:r>
              <w:rPr>
                <w:rFonts w:ascii="Cambria" w:hAnsi="Cambria" w:eastAsia="Calibri" w:cs="Cambria"/>
                <w:b w:val="0"/>
                <w:i w:val="0"/>
                <w:strike w:val="0"/>
                <w:color w:val="000000"/>
                <w:sz w:val="12"/>
                <w:szCs w:val="12"/>
                <w:highlight w:val="none"/>
                <w:u w:val="none"/>
                <w:vertAlign w:val="baseline"/>
              </w:rPr>
              <w:t xml:space="preserve">Peso: 48 gramas</w:t>
            </w:r>
            <w:r>
              <w:rPr>
                <w:rFonts w:ascii="Cambria" w:hAnsi="Cambria" w:cs="Cambria"/>
                <w:sz w:val="20"/>
                <w:szCs w:val="20"/>
              </w:rPr>
            </w:r>
            <w:r/>
          </w:p>
          <w:p>
            <w:pPr>
              <w:jc w:val="center"/>
              <w:rPr>
                <w:rFonts w:ascii="Cambria" w:hAnsi="Cambria" w:cs="Cambria"/>
                <w:b w:val="0"/>
                <w:bCs w:val="0"/>
                <w:i w:val="0"/>
                <w:strike w:val="0"/>
                <w:color w:val="000000"/>
                <w:sz w:val="20"/>
                <w:szCs w:val="20"/>
                <w:highlight w:val="none"/>
                <w:u w:val="none"/>
                <w:vertAlign w:val="baseline"/>
              </w:rPr>
            </w:pPr>
            <w:r>
              <w:rPr>
                <w:rFonts w:ascii="Cambria" w:hAnsi="Cambria" w:eastAsia="Calibri" w:cs="Cambria"/>
                <w:b w:val="0"/>
                <w:i w:val="0"/>
                <w:strike w:val="0"/>
                <w:color w:val="000000"/>
                <w:sz w:val="12"/>
                <w:szCs w:val="12"/>
                <w:highlight w:val="none"/>
                <w:u w:val="none"/>
                <w:vertAlign w:val="baseline"/>
              </w:rPr>
              <w:t xml:space="preserve">Temas Diversos</w:t>
            </w:r>
            <w:r>
              <w:rPr>
                <w:rFonts w:ascii="Cambria" w:hAnsi="Cambria" w:cs="Cambria"/>
                <w:sz w:val="20"/>
                <w:szCs w:val="20"/>
              </w:rPr>
            </w:r>
            <w:r/>
          </w:p>
        </w:tc>
      </w:tr>
    </w:tbl>
    <w:p>
      <w:pPr>
        <w:pStyle w:val="828"/>
        <w:jc w:val="both"/>
        <w:spacing w:line="240" w:lineRule="auto"/>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rPr>
          <w:rFonts w:ascii="Cambria" w:hAnsi="Cambria" w:cs="Cambria"/>
          <w:b/>
          <w:bCs/>
          <w:sz w:val="20"/>
          <w:szCs w:val="20"/>
        </w:rPr>
      </w:pPr>
      <w:r>
        <w:rPr>
          <w:rFonts w:ascii="Cambria" w:hAnsi="Cambria" w:cs="Cambria"/>
          <w:sz w:val="14"/>
          <w:szCs w:val="14"/>
        </w:rPr>
      </w:r>
      <w:r>
        <w:rPr>
          <w:rFonts w:ascii="Cambria" w:hAnsi="Cambria" w:cs="Cambria"/>
          <w:sz w:val="20"/>
          <w:szCs w:val="20"/>
        </w:rPr>
      </w:r>
      <w:r/>
    </w:p>
    <w:tbl>
      <w:tblPr>
        <w:tblW w:w="9645" w:type="dxa"/>
        <w:tblInd w:w="71" w:type="dxa"/>
        <w:tblLayout w:type="fixed"/>
        <w:tblCellMar>
          <w:left w:w="71" w:type="dxa"/>
          <w:top w:w="0" w:type="dxa"/>
          <w:right w:w="71" w:type="dxa"/>
          <w:bottom w:w="0" w:type="dxa"/>
        </w:tblCellMar>
        <w:tblLook w:val="04A0" w:firstRow="1" w:lastRow="0" w:firstColumn="1" w:lastColumn="0" w:noHBand="0" w:noVBand="1"/>
      </w:tblPr>
      <w:tblGrid>
        <w:gridCol w:w="4960"/>
        <w:gridCol w:w="572"/>
        <w:gridCol w:w="4113"/>
      </w:tblGrid>
      <w:tr>
        <w:trPr>
          <w:trHeight w:val="2271"/>
        </w:trPr>
        <w:tc>
          <w:tcPr>
            <w:tcW w:w="4960" w:type="dxa"/>
            <w:textDirection w:val="lrTb"/>
            <w:noWrap w:val="false"/>
          </w:tcPr>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b/>
                <w:sz w:val="14"/>
                <w:szCs w:val="14"/>
                <w:shd w:val="clear" w:color="auto" w:fill="ffffff"/>
              </w:rPr>
              <w:t xml:space="preserve">Validade da proposta: (mínimo 60 dias):______</w:t>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b/>
                <w:sz w:val="14"/>
                <w:szCs w:val="14"/>
              </w:rPr>
              <w:t xml:space="preserve">Data: ______ / ____________ de 2023</w:t>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b/>
                <w:sz w:val="14"/>
                <w:szCs w:val="14"/>
              </w:rPr>
              <w:t xml:space="preserve">________________________________________</w:t>
            </w:r>
            <w:r>
              <w:rPr>
                <w:rFonts w:ascii="Cambria" w:hAnsi="Cambria" w:cs="Cambria"/>
                <w:sz w:val="20"/>
                <w:szCs w:val="20"/>
              </w:rPr>
            </w:r>
            <w:r/>
          </w:p>
          <w:p>
            <w:pPr>
              <w:pStyle w:val="828"/>
              <w:jc w:val="both"/>
              <w:spacing w:line="240" w:lineRule="auto"/>
              <w:widowControl w:val="off"/>
              <w:rPr>
                <w:rFonts w:ascii="Cambria" w:hAnsi="Cambria" w:cs="Cambria"/>
                <w:bCs/>
                <w:sz w:val="20"/>
                <w:szCs w:val="20"/>
              </w:rPr>
            </w:pPr>
            <w:r>
              <w:rPr>
                <w:rFonts w:ascii="Cambria" w:hAnsi="Cambria" w:cs="Cambria"/>
                <w:b/>
                <w:sz w:val="14"/>
                <w:szCs w:val="14"/>
              </w:rPr>
              <w:t xml:space="preserve">Assinatura e Identificação do Proponente Legal</w:t>
            </w:r>
            <w:r>
              <w:rPr>
                <w:rFonts w:ascii="Cambria" w:hAnsi="Cambria" w:cs="Cambria"/>
                <w:sz w:val="20"/>
                <w:szCs w:val="20"/>
              </w:rPr>
            </w:r>
            <w:r/>
          </w:p>
        </w:tc>
        <w:tc>
          <w:tcPr>
            <w:tcW w:w="572" w:type="dxa"/>
            <w:textDirection w:val="lrTb"/>
            <w:noWrap w:val="false"/>
          </w:tcPr>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tc>
        <w:tc>
          <w:tcPr>
            <w:tcBorders>
              <w:top w:val="single" w:color="000000" w:sz="6" w:space="0"/>
              <w:left w:val="single" w:color="000000" w:sz="6" w:space="0"/>
              <w:bottom w:val="single" w:color="000000" w:sz="6" w:space="0"/>
              <w:right w:val="single" w:color="000000" w:sz="6" w:space="0"/>
            </w:tcBorders>
            <w:tcW w:w="4113" w:type="dxa"/>
            <w:textDirection w:val="lrTb"/>
            <w:noWrap w:val="false"/>
          </w:tcPr>
          <w:p>
            <w:pPr>
              <w:pStyle w:val="828"/>
              <w:jc w:val="both"/>
              <w:spacing w:line="240" w:lineRule="auto"/>
              <w:widowControl w:val="off"/>
              <w:rPr>
                <w:rFonts w:ascii="Cambria" w:hAnsi="Cambria" w:cs="Cambria"/>
                <w:sz w:val="20"/>
                <w:szCs w:val="20"/>
              </w:rPr>
            </w:pPr>
            <w:r>
              <w:rPr>
                <w:rFonts w:ascii="Cambria" w:hAnsi="Cambria" w:cs="Cambria"/>
                <w:b/>
                <w:sz w:val="14"/>
                <w:szCs w:val="14"/>
              </w:rPr>
              <w:t xml:space="preserve">Carimbo do CNPJ</w:t>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sz w:val="14"/>
                <w:szCs w:val="14"/>
              </w:rPr>
            </w:r>
            <w:r>
              <w:rPr>
                <w:rFonts w:ascii="Cambria" w:hAnsi="Cambria" w:cs="Cambria"/>
                <w:sz w:val="20"/>
                <w:szCs w:val="20"/>
              </w:rPr>
            </w:r>
            <w:r/>
          </w:p>
          <w:p>
            <w:pPr>
              <w:pStyle w:val="828"/>
              <w:jc w:val="both"/>
              <w:spacing w:line="240" w:lineRule="auto"/>
              <w:widowControl w:val="off"/>
              <w:rPr>
                <w:rFonts w:ascii="Cambria" w:hAnsi="Cambria" w:cs="Cambria"/>
                <w:sz w:val="20"/>
                <w:szCs w:val="20"/>
              </w:rPr>
            </w:pPr>
            <w:r>
              <w:rPr>
                <w:rFonts w:ascii="Cambria" w:hAnsi="Cambria" w:cs="Cambria"/>
                <w:b/>
                <w:bCs/>
                <w:sz w:val="14"/>
                <w:szCs w:val="14"/>
              </w:rPr>
            </w:r>
            <w:r>
              <w:rPr>
                <w:rFonts w:ascii="Cambria" w:hAnsi="Cambria" w:cs="Cambria"/>
                <w:sz w:val="20"/>
                <w:szCs w:val="20"/>
              </w:rPr>
            </w:r>
            <w:r/>
          </w:p>
        </w:tc>
      </w:tr>
    </w:tbl>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left"/>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t xml:space="preserve">ANEXO III</w:t>
      </w:r>
      <w:r>
        <w:rPr>
          <w:rFonts w:ascii="Cambria" w:hAnsi="Cambria" w:cs="Cambria"/>
          <w:sz w:val="20"/>
          <w:szCs w:val="20"/>
        </w:rPr>
      </w:r>
      <w:r/>
    </w:p>
    <w:p>
      <w:pPr>
        <w:ind w:right="-15"/>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15"/>
        <w:jc w:val="center"/>
        <w:spacing w:line="360" w:lineRule="auto"/>
        <w:widowControl w:val="off"/>
        <w:rPr>
          <w:rFonts w:ascii="Cambria" w:hAnsi="Cambria" w:cs="Cambria"/>
          <w:b/>
          <w:bCs/>
          <w:sz w:val="18"/>
          <w:szCs w:val="18"/>
        </w:rPr>
      </w:pPr>
      <w:r>
        <w:rPr>
          <w:rFonts w:ascii="Cambria" w:hAnsi="Cambria" w:cs="Cambria"/>
          <w:b/>
          <w:bCs/>
          <w:sz w:val="18"/>
          <w:szCs w:val="18"/>
        </w:rPr>
        <w:t xml:space="preserve">PREFEITURA DE SANTA BÁRBARA DO SUL/RS</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b/>
          <w:bCs/>
          <w:sz w:val="18"/>
          <w:szCs w:val="18"/>
        </w:rPr>
        <w:t xml:space="preserve">ATA DE REGISTRO DE PREÇOS N.º 06</w:t>
      </w:r>
      <w:r>
        <w:rPr>
          <w:rFonts w:ascii="Cambria" w:hAnsi="Cambria" w:cs="Cambria"/>
          <w:b/>
          <w:bCs/>
          <w:sz w:val="18"/>
          <w:szCs w:val="18"/>
        </w:rPr>
        <w:t xml:space="preserve">/2024</w:t>
      </w:r>
      <w:r>
        <w:rPr>
          <w:rFonts w:ascii="Cambria" w:hAnsi="Cambria" w:cs="Cambria"/>
          <w:sz w:val="20"/>
          <w:szCs w:val="20"/>
        </w:rPr>
      </w:r>
      <w:r/>
    </w:p>
    <w:p>
      <w:pPr>
        <w:ind w:right="-28" w:firstLine="709"/>
        <w:jc w:val="both"/>
        <w:spacing w:before="120" w:after="120" w:line="276" w:lineRule="auto"/>
        <w:widowControl w:val="off"/>
        <w:tabs>
          <w:tab w:val="center" w:pos="4779" w:leader="none"/>
          <w:tab w:val="right" w:pos="9198" w:leader="none"/>
        </w:tabs>
        <w:rPr>
          <w:rFonts w:ascii="Cambria" w:hAnsi="Cambria" w:cs="Cambria"/>
          <w:sz w:val="20"/>
          <w:szCs w:val="20"/>
        </w:rPr>
      </w:pPr>
      <w:r>
        <w:rPr>
          <w:rFonts w:ascii="Cambria" w:hAnsi="Cambria" w:cs="Cambria"/>
          <w:sz w:val="18"/>
          <w:szCs w:val="18"/>
        </w:rPr>
        <w:t xml:space="preserve">A Prefeitura Municipal de Santa Bárbara do Sul, com sede na Avenida Eduardo de Brito, 101, na cidade de Santa Bárbara do Sul inscrita no CNPJ nº 88.496.468/0001-60,  considerando o julgamento da licitação na modalidade de</w:t>
      </w:r>
      <w:r>
        <w:rPr>
          <w:rFonts w:ascii="Cambria" w:hAnsi="Cambria" w:cs="Cambria"/>
          <w:b/>
          <w:bCs/>
          <w:sz w:val="18"/>
          <w:szCs w:val="18"/>
        </w:rPr>
        <w:t xml:space="preserve"> Pregão Eletrônico 008</w:t>
      </w:r>
      <w:r>
        <w:rPr>
          <w:rFonts w:ascii="Cambria" w:hAnsi="Cambria" w:cs="Cambria"/>
          <w:b/>
          <w:bCs/>
          <w:sz w:val="18"/>
          <w:szCs w:val="18"/>
        </w:rPr>
        <w:t xml:space="preserve">/2024</w:t>
      </w:r>
      <w:r>
        <w:rPr>
          <w:rFonts w:ascii="Cambria" w:hAnsi="Cambria" w:cs="Cambria"/>
          <w:sz w:val="18"/>
          <w:szCs w:val="18"/>
        </w:rPr>
        <w:t xml:space="preserve">, para </w:t>
      </w:r>
      <w:r>
        <w:rPr>
          <w:rFonts w:ascii="Cambria" w:hAnsi="Cambria" w:cs="Cambria"/>
          <w:b/>
          <w:bCs/>
          <w:sz w:val="18"/>
          <w:szCs w:val="18"/>
        </w:rPr>
        <w:t xml:space="preserve">Registro de Preços nº 06</w:t>
      </w:r>
      <w:r>
        <w:rPr>
          <w:rFonts w:ascii="Cambria" w:hAnsi="Cambria" w:cs="Cambria"/>
          <w:b/>
          <w:bCs/>
          <w:sz w:val="18"/>
          <w:szCs w:val="18"/>
        </w:rPr>
        <w:t xml:space="preserve">/2024</w:t>
      </w:r>
      <w:r>
        <w:rPr>
          <w:rFonts w:ascii="Cambria" w:hAnsi="Cambria" w:cs="Cambria"/>
          <w:sz w:val="18"/>
          <w:szCs w:val="18"/>
        </w:rPr>
        <w:t xml:space="preserve">, </w:t>
      </w:r>
      <w:r>
        <w:rPr>
          <w:rFonts w:ascii="Cambria" w:hAnsi="Cambria" w:cs="Cambria"/>
          <w:b/>
          <w:bCs/>
          <w:sz w:val="18"/>
          <w:szCs w:val="18"/>
        </w:rPr>
        <w:t xml:space="preserve">Processo Licitatório nº 22</w:t>
      </w:r>
      <w:r>
        <w:rPr>
          <w:rFonts w:ascii="Cambria" w:hAnsi="Cambria" w:cs="Cambria"/>
          <w:b/>
          <w:bCs/>
          <w:sz w:val="18"/>
          <w:szCs w:val="18"/>
        </w:rPr>
        <w:t xml:space="preserve">/2024</w:t>
      </w:r>
      <w:r>
        <w:rPr>
          <w:rFonts w:ascii="Cambria" w:hAnsi="Cambria" w:cs="Cambria"/>
          <w:sz w:val="18"/>
          <w:szCs w:val="18"/>
        </w:rPr>
        <w:t xml:space="preserve">,  RESOLVE registrar o preço da  empresa indicada e qualificada nesta ATA, de acordo com a classificação por ela alcançada e nas  quantida</w:t>
      </w:r>
      <w:r>
        <w:rPr>
          <w:rFonts w:ascii="Cambria" w:hAnsi="Cambria" w:cs="Cambria"/>
          <w:sz w:val="18"/>
          <w:szCs w:val="18"/>
        </w:rPr>
        <w:t xml:space="preserve">des  cotadas, atendendo as condições previstas no edital, sujeitando-se as partes às normas constantes na Lei nº14.133/21 e suas alterações,  em conformidade com as disposições a seguir:</w:t>
      </w:r>
      <w:r>
        <w:rPr>
          <w:rFonts w:ascii="Cambria" w:hAnsi="Cambria" w:cs="Cambria"/>
          <w:sz w:val="20"/>
          <w:szCs w:val="20"/>
        </w:rPr>
      </w:r>
      <w:r/>
    </w:p>
    <w:p>
      <w:pPr>
        <w:pStyle w:val="1059"/>
        <w:spacing w:before="0" w:after="0"/>
        <w:rPr>
          <w:rFonts w:ascii="Cambria" w:hAnsi="Cambria" w:cs="Cambria"/>
          <w:sz w:val="16"/>
          <w:szCs w:val="16"/>
        </w:rPr>
      </w:pPr>
      <w:r>
        <w:rPr>
          <w:rFonts w:ascii="Cambria" w:hAnsi="Cambria" w:cs="Cambria"/>
          <w:sz w:val="18"/>
          <w:szCs w:val="18"/>
        </w:rPr>
        <w:t xml:space="preserve">DO OBJETO</w:t>
      </w:r>
      <w:r>
        <w:rPr>
          <w:rFonts w:ascii="Cambria" w:hAnsi="Cambria" w:cs="Cambria"/>
          <w:sz w:val="16"/>
          <w:szCs w:val="16"/>
        </w:rPr>
      </w:r>
      <w:r/>
    </w:p>
    <w:p>
      <w:pPr>
        <w:pStyle w:val="1076"/>
        <w:numPr>
          <w:ilvl w:val="0"/>
          <w:numId w:val="0"/>
        </w:numPr>
        <w:spacing w:before="0" w:after="0"/>
        <w:rPr>
          <w:rFonts w:ascii="Cambria" w:hAnsi="Cambria" w:cs="Cambria"/>
          <w:sz w:val="18"/>
          <w:szCs w:val="18"/>
        </w:rPr>
      </w:pPr>
      <w:r>
        <w:rPr>
          <w:rFonts w:ascii="Cambria" w:hAnsi="Cambria" w:cs="Cambria"/>
          <w:sz w:val="18"/>
          <w:szCs w:val="18"/>
        </w:rPr>
        <w:t xml:space="preserve">A presente Ata tem por objeto o registro de preços para a eventual </w:t>
      </w:r>
      <w:r>
        <w:rPr>
          <w:rFonts w:ascii="Cambria" w:hAnsi="Cambria" w:cs="Cambria"/>
          <w:i/>
          <w:sz w:val="18"/>
          <w:szCs w:val="18"/>
        </w:rPr>
        <w:t xml:space="preserve">AQUISIÇÃO DE FRALDAS E MATERIAIS DE HIGIENE PESSOAL</w:t>
      </w:r>
      <w:r>
        <w:rPr>
          <w:rFonts w:ascii="Cambria" w:hAnsi="Cambria" w:cs="Cambria"/>
          <w:sz w:val="18"/>
          <w:szCs w:val="18"/>
        </w:rPr>
        <w:t xml:space="preserve">, especificados </w:t>
      </w:r>
      <w:r>
        <w:rPr>
          <w:rFonts w:ascii="Cambria" w:hAnsi="Cambria" w:cs="Cambria"/>
          <w:sz w:val="18"/>
          <w:szCs w:val="18"/>
        </w:rPr>
        <w:t xml:space="preserve">no Termo de Referência, anexo </w:t>
      </w:r>
      <w:r>
        <w:rPr>
          <w:rFonts w:ascii="Cambria" w:hAnsi="Cambria" w:cs="Cambria"/>
          <w:i/>
          <w:color w:val="000000" w:themeColor="text1"/>
          <w:sz w:val="18"/>
          <w:szCs w:val="18"/>
        </w:rPr>
        <w:t xml:space="preserve">d</w:t>
      </w:r>
      <w:r>
        <w:rPr>
          <w:rFonts w:ascii="Cambria" w:hAnsi="Cambria" w:cs="Cambria"/>
          <w:color w:val="000000" w:themeColor="text1"/>
          <w:sz w:val="18"/>
          <w:szCs w:val="18"/>
        </w:rPr>
        <w:t xml:space="preserve">o edital de Licitação nº 22</w:t>
      </w:r>
      <w:r>
        <w:rPr>
          <w:rFonts w:ascii="Cambria" w:hAnsi="Cambria" w:cs="Cambria"/>
          <w:color w:val="000000" w:themeColor="text1"/>
          <w:sz w:val="18"/>
          <w:szCs w:val="18"/>
        </w:rPr>
        <w:t xml:space="preserve">/2024</w:t>
      </w:r>
      <w:r>
        <w:rPr>
          <w:rFonts w:ascii="Cambria" w:hAnsi="Cambria" w:cs="Cambria"/>
          <w:sz w:val="18"/>
          <w:szCs w:val="18"/>
        </w:rPr>
        <w:t xml:space="preserve">, que é parte integrante desta Ata, assim como as propostas cujos preços tenham sido registrados, independentemente de transcrição.</w:t>
      </w:r>
      <w:r>
        <w:rPr>
          <w:rFonts w:ascii="Cambria" w:hAnsi="Cambria" w:cs="Cambria"/>
          <w:sz w:val="16"/>
          <w:szCs w:val="16"/>
        </w:rPr>
      </w:r>
      <w:r/>
    </w:p>
    <w:p>
      <w:pPr>
        <w:pStyle w:val="1076"/>
        <w:numPr>
          <w:ilvl w:val="0"/>
          <w:numId w:val="0"/>
        </w:numPr>
        <w:spacing w:before="0" w:after="0"/>
        <w:rPr>
          <w:rFonts w:ascii="Cambria" w:hAnsi="Cambria" w:cs="Cambria"/>
          <w:sz w:val="16"/>
          <w:szCs w:val="16"/>
        </w:rPr>
      </w:pPr>
      <w:r>
        <w:rPr>
          <w:rFonts w:ascii="Cambria" w:hAnsi="Cambria" w:cs="Cambria"/>
          <w:sz w:val="16"/>
          <w:szCs w:val="16"/>
        </w:rPr>
      </w:r>
      <w:r>
        <w:rPr>
          <w:rFonts w:ascii="Cambria" w:hAnsi="Cambria" w:cs="Cambria"/>
          <w:sz w:val="16"/>
          <w:szCs w:val="16"/>
        </w:rPr>
      </w:r>
      <w:r/>
    </w:p>
    <w:p>
      <w:pPr>
        <w:pStyle w:val="1059"/>
        <w:spacing w:before="0" w:after="0"/>
        <w:rPr>
          <w:rFonts w:ascii="Cambria" w:hAnsi="Cambria" w:cs="Cambria"/>
          <w:sz w:val="16"/>
          <w:szCs w:val="16"/>
        </w:rPr>
      </w:pPr>
      <w:r>
        <w:rPr>
          <w:rFonts w:ascii="Cambria" w:hAnsi="Cambria" w:cs="Cambria"/>
          <w:sz w:val="18"/>
          <w:szCs w:val="18"/>
        </w:rPr>
        <w:t xml:space="preserve">DOS PREÇOS, ESPECIFICAÇÕES E QUANTITATIVOS</w:t>
      </w:r>
      <w:r>
        <w:rPr>
          <w:rFonts w:ascii="Cambria" w:hAnsi="Cambria" w:cs="Cambria"/>
          <w:sz w:val="16"/>
          <w:szCs w:val="16"/>
        </w:rPr>
      </w:r>
      <w:r/>
    </w:p>
    <w:p>
      <w:pPr>
        <w:pStyle w:val="1076"/>
        <w:numPr>
          <w:ilvl w:val="0"/>
          <w:numId w:val="0"/>
        </w:numPr>
        <w:spacing w:before="0" w:after="0"/>
        <w:rPr>
          <w:rFonts w:ascii="Cambria" w:hAnsi="Cambria" w:cs="Cambria"/>
          <w:sz w:val="16"/>
          <w:szCs w:val="16"/>
        </w:rPr>
      </w:pPr>
      <w:r>
        <w:rPr>
          <w:rFonts w:ascii="Cambria" w:hAnsi="Cambria" w:cs="Cambria"/>
          <w:color w:val="000000" w:themeColor="text1"/>
          <w:sz w:val="18"/>
          <w:szCs w:val="18"/>
        </w:rPr>
        <w:t xml:space="preserve">O preço registrado, as especificações do objeto, as quantidades mínimas e máximas de cada item, fornecedor(es) e as demais condições ofertadas na(s) proposta(s) são as que seguem na tabela em anexo. </w:t>
      </w:r>
      <w:r>
        <w:rPr>
          <w:rFonts w:ascii="Cambria" w:hAnsi="Cambria" w:cs="Cambria"/>
          <w:sz w:val="16"/>
          <w:szCs w:val="16"/>
        </w:rPr>
      </w:r>
      <w:r/>
    </w:p>
    <w:p>
      <w:pPr>
        <w:pStyle w:val="1076"/>
        <w:numPr>
          <w:ilvl w:val="0"/>
          <w:numId w:val="0"/>
        </w:numPr>
        <w:spacing w:before="0" w:after="0"/>
        <w:rPr>
          <w:rFonts w:ascii="Cambria" w:hAnsi="Cambria" w:cs="Cambria"/>
          <w:sz w:val="18"/>
          <w:szCs w:val="18"/>
        </w:rPr>
      </w:pPr>
      <w:r>
        <w:rPr>
          <w:rFonts w:ascii="Cambria" w:hAnsi="Cambria" w:cs="Cambria"/>
          <w:sz w:val="18"/>
          <w:szCs w:val="18"/>
          <w:lang w:eastAsia="en-US"/>
        </w:rPr>
        <w:t xml:space="preserve">A listagem do cadastro de reserva referente ao presente registro de preços consta como anexo à esta Ata.</w:t>
      </w:r>
      <w:r>
        <w:rPr>
          <w:rFonts w:ascii="Cambria" w:hAnsi="Cambria" w:cs="Cambria"/>
          <w:sz w:val="16"/>
          <w:szCs w:val="16"/>
        </w:rPr>
      </w:r>
      <w:r/>
    </w:p>
    <w:p>
      <w:pPr>
        <w:pStyle w:val="1076"/>
        <w:numPr>
          <w:ilvl w:val="0"/>
          <w:numId w:val="0"/>
        </w:numPr>
        <w:spacing w:before="0" w:after="0"/>
        <w:rPr>
          <w:rFonts w:ascii="Cambria" w:hAnsi="Cambria" w:cs="Cambria"/>
          <w:sz w:val="16"/>
          <w:szCs w:val="16"/>
        </w:rPr>
      </w:pPr>
      <w:r>
        <w:rPr>
          <w:rFonts w:ascii="Cambria" w:hAnsi="Cambria" w:cs="Cambria"/>
          <w:sz w:val="16"/>
          <w:szCs w:val="16"/>
        </w:rPr>
      </w:r>
      <w:r>
        <w:rPr>
          <w:rFonts w:ascii="Cambria" w:hAnsi="Cambria" w:cs="Cambria"/>
          <w:sz w:val="16"/>
          <w:szCs w:val="16"/>
        </w:rPr>
      </w:r>
      <w:r/>
    </w:p>
    <w:p>
      <w:pPr>
        <w:pStyle w:val="1059"/>
        <w:spacing w:before="0" w:after="0"/>
        <w:rPr>
          <w:rFonts w:ascii="Cambria" w:hAnsi="Cambria" w:cs="Cambria"/>
          <w:sz w:val="16"/>
          <w:szCs w:val="16"/>
        </w:rPr>
      </w:pPr>
      <w:r>
        <w:rPr>
          <w:rFonts w:ascii="Cambria" w:hAnsi="Cambria" w:cs="Cambria"/>
          <w:color w:val="000000" w:themeColor="text1"/>
          <w:sz w:val="18"/>
          <w:szCs w:val="18"/>
        </w:rPr>
        <w:t xml:space="preserve">DA ADESÃO À ATA DE REGISTRO DE PREÇOS </w:t>
      </w:r>
      <w:r>
        <w:rPr>
          <w:rFonts w:ascii="Cambria" w:hAnsi="Cambria" w:cs="Cambria"/>
          <w:sz w:val="16"/>
          <w:szCs w:val="16"/>
        </w:rPr>
      </w:r>
      <w:r/>
    </w:p>
    <w:p>
      <w:pPr>
        <w:pStyle w:val="1123"/>
        <w:numPr>
          <w:ilvl w:val="0"/>
          <w:numId w:val="0"/>
        </w:numPr>
        <w:spacing w:before="0" w:after="0"/>
        <w:tabs>
          <w:tab w:val="left" w:pos="567" w:leader="none"/>
        </w:tabs>
        <w:rPr>
          <w:rFonts w:ascii="Cambria" w:hAnsi="Cambria" w:cs="Cambria"/>
          <w:color w:val="000000" w:themeColor="text1"/>
          <w:sz w:val="18"/>
          <w:szCs w:val="18"/>
        </w:rPr>
      </w:pPr>
      <w:r>
        <w:rPr>
          <w:rFonts w:ascii="Cambria" w:hAnsi="Cambria" w:cs="Cambria"/>
          <w:color w:val="000000" w:themeColor="text1"/>
          <w:sz w:val="18"/>
          <w:szCs w:val="18"/>
          <w:lang w:eastAsia="en-US"/>
        </w:rPr>
        <w:t xml:space="preserve">Não será admitida a adesão à ata de registro de preços decorrente desta licitação ou desta contratação direta, tendo em vista trata-se de ata municipal. </w:t>
      </w:r>
      <w:r>
        <w:rPr>
          <w:rFonts w:ascii="Cambria" w:hAnsi="Cambria" w:cs="Cambria"/>
          <w:sz w:val="16"/>
          <w:szCs w:val="16"/>
        </w:rPr>
      </w:r>
      <w:r/>
    </w:p>
    <w:p>
      <w:pPr>
        <w:pStyle w:val="1123"/>
        <w:numPr>
          <w:ilvl w:val="0"/>
          <w:numId w:val="0"/>
        </w:numPr>
        <w:spacing w:before="0" w:after="0"/>
        <w:tabs>
          <w:tab w:val="left" w:pos="567" w:leader="none"/>
        </w:tabs>
        <w:rPr>
          <w:rFonts w:ascii="Cambria" w:hAnsi="Cambria" w:cs="Cambria"/>
          <w:sz w:val="16"/>
          <w:szCs w:val="16"/>
        </w:rPr>
      </w:pPr>
      <w:r>
        <w:rPr>
          <w:rFonts w:ascii="Cambria" w:hAnsi="Cambria" w:cs="Cambria"/>
          <w:sz w:val="16"/>
          <w:szCs w:val="16"/>
        </w:rPr>
      </w:r>
      <w:r>
        <w:rPr>
          <w:rFonts w:ascii="Cambria" w:hAnsi="Cambria" w:cs="Cambria"/>
          <w:sz w:val="16"/>
          <w:szCs w:val="16"/>
        </w:rPr>
      </w:r>
      <w:r/>
    </w:p>
    <w:p>
      <w:pPr>
        <w:pStyle w:val="1059"/>
        <w:spacing w:before="0" w:after="0"/>
        <w:rPr>
          <w:rFonts w:ascii="Cambria" w:hAnsi="Cambria" w:cs="Cambria"/>
          <w:sz w:val="16"/>
          <w:szCs w:val="16"/>
        </w:rPr>
      </w:pPr>
      <w:r>
        <w:rPr>
          <w:rFonts w:ascii="Cambria" w:hAnsi="Cambria" w:cs="Cambria"/>
          <w:sz w:val="18"/>
          <w:szCs w:val="18"/>
        </w:rPr>
        <w:t xml:space="preserve">VALIDADE, FORMALIZAÇÃO DA ATA DE REGISTRO DE PREÇOS E CADASTRO RESERVA</w:t>
      </w:r>
      <w:r>
        <w:rPr>
          <w:rFonts w:ascii="Cambria" w:hAnsi="Cambria" w:cs="Cambria"/>
          <w:sz w:val="16"/>
          <w:szCs w:val="16"/>
        </w:rPr>
      </w:r>
      <w:r/>
    </w:p>
    <w:p>
      <w:pPr>
        <w:pStyle w:val="1076"/>
        <w:rPr>
          <w:rFonts w:ascii="Cambria" w:hAnsi="Cambria" w:cs="Cambria"/>
          <w:color w:val="auto"/>
          <w:sz w:val="18"/>
          <w:szCs w:val="18"/>
        </w:rPr>
      </w:pPr>
      <w:r>
        <w:rPr>
          <w:rFonts w:ascii="Cambria" w:hAnsi="Cambria" w:cs="Cambria"/>
          <w:sz w:val="18"/>
          <w:szCs w:val="18"/>
        </w:rPr>
        <w:t xml:space="preserve">A validade da Ata de Registro de Preços será de 1 (um) ano, contados à partir </w:t>
      </w:r>
      <w:r>
        <w:rPr>
          <w:rFonts w:ascii="Cambria" w:hAnsi="Cambria" w:cs="Cambria"/>
          <w:sz w:val="18"/>
          <w:szCs w:val="18"/>
        </w:rPr>
        <w:t xml:space="preserve">da homologação do processo licitatório</w:t>
      </w:r>
      <w:r>
        <w:rPr>
          <w:rFonts w:ascii="Cambria" w:hAnsi="Cambria" w:cs="Cambria"/>
          <w:sz w:val="18"/>
          <w:szCs w:val="18"/>
        </w:rPr>
        <w:t xml:space="preserve">, podendo ser prorrogada por igual período, mediante a anuência do fornecedor, desde que comprovado o preço vantajoso.</w:t>
      </w:r>
      <w:r>
        <w:rPr>
          <w:rFonts w:ascii="Cambria" w:hAnsi="Cambria" w:cs="Cambria"/>
          <w:sz w:val="16"/>
          <w:szCs w:val="16"/>
        </w:rPr>
      </w:r>
      <w:r/>
    </w:p>
    <w:p>
      <w:pPr>
        <w:pStyle w:val="1078"/>
        <w:spacing w:before="0" w:after="0"/>
        <w:rPr>
          <w:rFonts w:ascii="Cambria" w:hAnsi="Cambria" w:cs="Cambria"/>
          <w:color w:val="auto"/>
          <w:sz w:val="18"/>
          <w:szCs w:val="18"/>
        </w:rPr>
      </w:pPr>
      <w:r>
        <w:rPr>
          <w:rFonts w:ascii="Cambria" w:hAnsi="Cambria" w:cs="Cambria"/>
          <w:sz w:val="18"/>
          <w:szCs w:val="18"/>
        </w:rPr>
        <w:t xml:space="preserve">contrato decorrente da ata de registro de preços terá sua v</w:t>
      </w:r>
      <w:r>
        <w:rPr>
          <w:rFonts w:ascii="Cambria" w:hAnsi="Cambria" w:cs="Cambria"/>
          <w:sz w:val="18"/>
          <w:szCs w:val="18"/>
        </w:rPr>
        <w:t xml:space="preserve">igência estabelecida no próprio instrumento contratual e observará no momento da contratação e a cada exercício financeiro a disponibilidade de créditos orçamentários, bem como a previsão no plano plurianual, quando ultrapassar 1 (um) exercício financeiro.</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Na formalização do contrato ou do instrumento substituto deverá haver a indicação da disponibilidade dos créditos orçamentários respectivos.</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A contratação com os fornecedores registrados na ata será formalizada pelo órgão ou pela en</w:t>
      </w:r>
      <w:r>
        <w:rPr>
          <w:rFonts w:ascii="Cambria" w:hAnsi="Cambria" w:eastAsia="Arial" w:cs="Cambria"/>
          <w:sz w:val="18"/>
          <w:szCs w:val="18"/>
        </w:rPr>
        <w:t xml:space="preserve">ti</w:t>
      </w:r>
      <w:r>
        <w:rPr>
          <w:rFonts w:ascii="Cambria" w:hAnsi="Cambria" w:cs="Cambria"/>
          <w:sz w:val="18"/>
          <w:szCs w:val="18"/>
        </w:rPr>
        <w:t xml:space="preserve">dade interessada por intermédio de instrumento contratual, emissão de notas de empenho de despesas, autorizações de compras ou outros instrumentos hábeis, conforme prevê o art. 95 da Lei nº 14.133, de 2021.</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 O instrumento contratual de que trata o item 4.2. deverá ser assinado no prazo de valida</w:t>
      </w:r>
      <w:r>
        <w:rPr>
          <w:rFonts w:ascii="Cambria" w:hAnsi="Cambria" w:cs="Cambria"/>
          <w:sz w:val="18"/>
          <w:szCs w:val="18"/>
        </w:rPr>
        <w:t xml:space="preserve">de da ata de registro de preços</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Os contratos decorrentes do sistema de registro de preços poderão ser alterados, observado o art</w:t>
      </w:r>
      <w:r>
        <w:rPr>
          <w:rFonts w:ascii="Cambria" w:hAnsi="Cambria" w:cs="Cambria"/>
          <w:sz w:val="18"/>
          <w:szCs w:val="18"/>
        </w:rPr>
        <w:t xml:space="preserve">. 124 da Lei nº 14.133, de 2021</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Após a homologação da licitação ou da contratação direta, deverão ser observadas as seguintes condições para formalização da ata de registro de preços:</w:t>
      </w:r>
      <w:r>
        <w:rPr>
          <w:rFonts w:ascii="Cambria" w:hAnsi="Cambria" w:cs="Cambria"/>
          <w:sz w:val="16"/>
          <w:szCs w:val="16"/>
        </w:rPr>
      </w:r>
      <w:r/>
    </w:p>
    <w:p>
      <w:pPr>
        <w:pStyle w:val="1078"/>
        <w:rPr>
          <w:rFonts w:ascii="Cambria" w:hAnsi="Cambria" w:cs="Cambria"/>
          <w:sz w:val="18"/>
          <w:szCs w:val="18"/>
        </w:rPr>
      </w:pPr>
      <w:r>
        <w:rPr>
          <w:rFonts w:ascii="Cambria" w:hAnsi="Cambria" w:cs="Cambria"/>
          <w:color w:val="000000" w:themeColor="text1"/>
          <w:sz w:val="18"/>
          <w:szCs w:val="18"/>
        </w:rPr>
        <w:t xml:space="preserve">Serão registrados na ata os preços e os quantita</w:t>
      </w:r>
      <w:r>
        <w:rPr>
          <w:rFonts w:ascii="Cambria" w:hAnsi="Cambria" w:eastAsia="Arial" w:cs="Cambria"/>
          <w:color w:val="000000" w:themeColor="text1"/>
          <w:sz w:val="18"/>
          <w:szCs w:val="18"/>
        </w:rPr>
        <w:t xml:space="preserve">ti</w:t>
      </w:r>
      <w:r>
        <w:rPr>
          <w:rFonts w:ascii="Cambria" w:hAnsi="Cambria" w:cs="Cambria"/>
          <w:color w:val="000000" w:themeColor="text1"/>
          <w:sz w:val="18"/>
          <w:szCs w:val="18"/>
        </w:rPr>
        <w:t xml:space="preserve">vos do adjudicatário, devendo ser observada a possibilidade de o licitante oferecer ou não proposta em quantitativo inferior ao máximo previsto </w:t>
      </w:r>
      <w:r>
        <w:rPr>
          <w:rFonts w:ascii="Cambria" w:hAnsi="Cambria" w:cs="Cambria"/>
          <w:i/>
          <w:iCs/>
          <w:color w:val="000000" w:themeColor="text1"/>
          <w:sz w:val="18"/>
          <w:szCs w:val="18"/>
        </w:rPr>
        <w:t xml:space="preserve">no edital </w:t>
      </w:r>
      <w:r>
        <w:rPr>
          <w:rFonts w:ascii="Cambria" w:hAnsi="Cambria" w:cs="Cambria"/>
          <w:color w:val="000000" w:themeColor="text1"/>
          <w:sz w:val="18"/>
          <w:szCs w:val="18"/>
        </w:rPr>
        <w:t xml:space="preserve"> e se obrigar nos limites dela;</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Será incluído na ata, na forma de anexo, o registro dos licitantes ou dos fornecedores que:</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Aceitarem cotar os bens, as obras ou os serviços com preços iguais aos do adjudicatário, observada a classificação da licitação; e </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Mantiverem sua proposta original. </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Será respeitada, nas contratações, a ordem de classificação dos licitantes ou dos fornecedores registrados na ata.</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O registro a que se refere o item 4.4.2</w:t>
      </w:r>
      <w:r>
        <w:rPr>
          <w:rFonts w:ascii="Cambria" w:hAnsi="Cambria" w:cs="Cambria"/>
          <w:b/>
          <w:bCs/>
          <w:sz w:val="18"/>
          <w:szCs w:val="18"/>
        </w:rPr>
        <w:t xml:space="preserve"> </w:t>
      </w:r>
      <w:r>
        <w:rPr>
          <w:rFonts w:ascii="Cambria" w:hAnsi="Cambria" w:cs="Cambria"/>
          <w:sz w:val="18"/>
          <w:szCs w:val="18"/>
        </w:rPr>
        <w:t xml:space="preserve">tem por obje</w:t>
      </w:r>
      <w:r>
        <w:rPr>
          <w:rFonts w:ascii="Cambria" w:hAnsi="Cambria" w:eastAsia="Arial" w:cs="Cambria"/>
          <w:sz w:val="18"/>
          <w:szCs w:val="18"/>
        </w:rPr>
        <w:t xml:space="preserve">ti</w:t>
      </w:r>
      <w:r>
        <w:rPr>
          <w:rFonts w:ascii="Cambria" w:hAnsi="Cambria" w:cs="Cambria"/>
          <w:sz w:val="18"/>
          <w:szCs w:val="18"/>
        </w:rPr>
        <w:t xml:space="preserve">vo a formação de cadastro de reserva para o caso de impossibilidade de ate</w:t>
      </w:r>
      <w:r>
        <w:rPr>
          <w:rFonts w:ascii="Cambria" w:hAnsi="Cambria" w:cs="Cambria"/>
          <w:sz w:val="18"/>
          <w:szCs w:val="18"/>
        </w:rPr>
        <w:t xml:space="preserve">ndimento pelo signatário da ata</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Para fins da ordem de classificação, os licitantes ou fornecedores que aceitarem reduzir suas propostas para o preço do adjudicatário antecederão aqueles que mantiverem sua proposta original.</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A habilitação dos licitantes que comporão o cadastro de reserva a que se refere o item 4.4.2.2  somente será efetuada quando houver necessidade de contratação dos licitantes remanescentes, nas seguintes hipóteses:</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Quando o licitante vencedor não assinar a ata de registro de preços, no prazo e nas condições estabelecidos </w:t>
      </w:r>
      <w:r>
        <w:rPr>
          <w:rFonts w:ascii="Cambria" w:hAnsi="Cambria" w:cs="Cambria"/>
          <w:i/>
          <w:iCs/>
          <w:color w:val="000000" w:themeColor="text1"/>
          <w:sz w:val="18"/>
          <w:szCs w:val="18"/>
        </w:rPr>
        <w:t xml:space="preserve">no edital</w:t>
      </w:r>
      <w:r>
        <w:rPr>
          <w:rFonts w:ascii="Cambria" w:hAnsi="Cambria" w:cs="Cambria"/>
          <w:color w:val="000000" w:themeColor="text1"/>
          <w:sz w:val="18"/>
          <w:szCs w:val="18"/>
        </w:rPr>
        <w:t xml:space="preserve"> </w:t>
      </w:r>
      <w:r>
        <w:rPr>
          <w:rFonts w:ascii="Cambria" w:hAnsi="Cambria" w:cs="Cambria"/>
          <w:color w:val="ff0000"/>
          <w:sz w:val="18"/>
          <w:szCs w:val="18"/>
        </w:rPr>
        <w:t xml:space="preserve"> </w:t>
      </w:r>
      <w:r>
        <w:rPr>
          <w:rFonts w:ascii="Cambria" w:hAnsi="Cambria" w:cs="Cambria"/>
          <w:sz w:val="18"/>
          <w:szCs w:val="18"/>
        </w:rPr>
        <w:t xml:space="preserve">e</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Quando houver o cancelamento do registro do licitante ou do registro de preços nas hipóteses previstas no item </w:t>
      </w:r>
      <w:r>
        <w:rPr>
          <w:rFonts w:ascii="Cambria" w:hAnsi="Cambria" w:cs="Cambria"/>
          <w:sz w:val="18"/>
          <w:szCs w:val="18"/>
        </w:rPr>
        <w:fldChar w:fldCharType="begin"/>
      </w:r>
      <w:r>
        <w:rPr>
          <w:rFonts w:ascii="Cambria" w:hAnsi="Cambria" w:cs="Cambria"/>
          <w:sz w:val="18"/>
          <w:szCs w:val="18"/>
        </w:rPr>
        <w:instrText xml:space="preserve"> REF cancelamento \r \h  \* MERGEFORMAT </w:instrText>
      </w:r>
      <w:r>
        <w:rPr>
          <w:rFonts w:ascii="Cambria" w:hAnsi="Cambria" w:cs="Cambria"/>
          <w:sz w:val="18"/>
          <w:szCs w:val="18"/>
        </w:rPr>
        <w:fldChar w:fldCharType="separate"/>
      </w:r>
      <w:r>
        <w:rPr>
          <w:rFonts w:ascii="Cambria" w:hAnsi="Cambria" w:cs="Cambria"/>
          <w:sz w:val="18"/>
          <w:szCs w:val="18"/>
        </w:rPr>
        <w:t xml:space="preserve">8</w:t>
      </w:r>
      <w:r>
        <w:rPr>
          <w:rFonts w:ascii="Cambria" w:hAnsi="Cambria" w:cs="Cambria"/>
          <w:sz w:val="18"/>
          <w:szCs w:val="18"/>
        </w:rPr>
        <w:fldChar w:fldCharType="end"/>
      </w:r>
      <w:r>
        <w:rPr>
          <w:rFonts w:ascii="Cambria" w:hAnsi="Cambria" w:cs="Cambria"/>
          <w:sz w:val="18"/>
          <w:szCs w:val="18"/>
        </w:rPr>
        <w:t xml:space="preserve">.</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O preço registrado com indicação dos licitantes e fornecedores será divulgado no PNCP e ficará disponibilizado durante a vigência da ata de registro de preços.</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Após a homologação da licitação ou da contratação direta, o licitante mais bem classificado ou o fornecedor, no caso da contrataç</w:t>
      </w:r>
      <w:r>
        <w:rPr>
          <w:rFonts w:ascii="Cambria" w:hAnsi="Cambria" w:cs="Cambria"/>
          <w:sz w:val="18"/>
          <w:szCs w:val="18"/>
        </w:rPr>
        <w:t xml:space="preserve">ão direta, será convocado para assinar a ata de registro de preços, no prazo e nas condições estabelecidos no edital de licitação ou no aviso de contratação direta, sob pena de decair o direito, sem prejuízo das sanções previstas na Lei nº 14.133, de 2021.</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O prazo de convocação poderá ser prorrogado 1 (uma) vez, por igual período, mediante solicitação do licitante ou fornecedor convocado, desde que apresentada dentro do prazo, devidamente justificada, e que a justificativa seja aceita pela Administração.</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A ata de registro de preços será assinada por meio de assinatura digital e disponibilizada no Sistema de Registro de Preços.</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Quando o convocado não assinar a ata de registro de preços no prazo e nas condições estabelecidos no edital ou no aviso de contratação, e observado o </w:t>
      </w:r>
      <w:r>
        <w:rPr>
          <w:rFonts w:ascii="Cambria" w:hAnsi="Cambria" w:cs="Cambria"/>
          <w:sz w:val="18"/>
          <w:szCs w:val="18"/>
        </w:rPr>
        <w:t xml:space="preserve">disposto no item 4.7, observando o item 4.7 e subitens, fica facultado à Administração convocar os licitantes remanescentes do cadastro de reserva, na ordem de classificação, para fazê-lo em igual prazo e nas condições propostas pelo primeiro classificado.</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Na hipótese de nenhum dos licitantes que trata o item 4.4.2.1, aceitar a contratação nos termos do item anterior, a Administração, observados o valor es</w:t>
      </w:r>
      <w:r>
        <w:rPr>
          <w:rFonts w:ascii="Cambria" w:hAnsi="Cambria" w:eastAsia="Arial" w:cs="Cambria"/>
          <w:sz w:val="18"/>
          <w:szCs w:val="18"/>
        </w:rPr>
        <w:t xml:space="preserve">ti</w:t>
      </w:r>
      <w:r>
        <w:rPr>
          <w:rFonts w:ascii="Cambria" w:hAnsi="Cambria" w:cs="Cambria"/>
          <w:sz w:val="18"/>
          <w:szCs w:val="18"/>
        </w:rPr>
        <w:t xml:space="preserve">mado e sua eventual atualização nos termos </w:t>
      </w:r>
      <w:r>
        <w:rPr>
          <w:rFonts w:ascii="Cambria" w:hAnsi="Cambria" w:cs="Cambria"/>
          <w:i/>
          <w:iCs/>
          <w:color w:val="000000" w:themeColor="text1"/>
          <w:sz w:val="18"/>
          <w:szCs w:val="18"/>
        </w:rPr>
        <w:t xml:space="preserve">do edital </w:t>
      </w:r>
      <w:r>
        <w:rPr>
          <w:rFonts w:ascii="Cambria" w:hAnsi="Cambria" w:cs="Cambria"/>
          <w:color w:val="000000" w:themeColor="text1"/>
          <w:sz w:val="18"/>
          <w:szCs w:val="18"/>
        </w:rPr>
        <w:t xml:space="preserve">, </w:t>
      </w:r>
      <w:r>
        <w:rPr>
          <w:rFonts w:ascii="Cambria" w:hAnsi="Cambria" w:cs="Cambria"/>
          <w:sz w:val="18"/>
          <w:szCs w:val="18"/>
        </w:rPr>
        <w:t xml:space="preserve">poderá:</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Convocar para negociação os demais licitantes ou fornecedores remanescentes cujos preços foram registrados sem redução, observada a ordem de classificação, com vistas à obtenção de preço melhor, mesmo que acima do preço do adjudicatário; ou</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Adjudicar e firmar o contrato nas condições ofertadas pelos licitantes ou fornecedores remanescentes, atendida a ordem classificatória, quando frustrada a negociação de melhor condição.</w:t>
      </w:r>
      <w:r>
        <w:rPr>
          <w:rFonts w:ascii="Cambria" w:hAnsi="Cambria" w:cs="Cambria"/>
          <w:sz w:val="16"/>
          <w:szCs w:val="16"/>
        </w:rPr>
      </w:r>
      <w:r/>
    </w:p>
    <w:p>
      <w:pPr>
        <w:pStyle w:val="1079"/>
        <w:rPr>
          <w:rFonts w:ascii="Cambria" w:hAnsi="Cambria" w:cs="Cambria"/>
          <w:sz w:val="16"/>
          <w:szCs w:val="16"/>
        </w:rPr>
      </w:pPr>
      <w:r>
        <w:rPr>
          <w:rFonts w:ascii="Cambria" w:hAnsi="Cambria" w:cs="Cambria"/>
          <w:sz w:val="18"/>
          <w:szCs w:val="18"/>
        </w:rPr>
        <w:t xml:space="preserve">A</w:t>
      </w:r>
      <w:r>
        <w:rPr>
          <w:rFonts w:ascii="Cambria" w:hAnsi="Cambria" w:cs="Cambria"/>
          <w:sz w:val="18"/>
          <w:szCs w:val="18"/>
        </w:rPr>
        <w:t xml:space="preserve"> existência de preços registrados implicará compromisso de fornecimento nas condições estabelecidas, mas não obrigará a Administração a contratar, facultada a realização de licitação específica para a aquisição pretendida, desde que devidamente justificada</w:t>
      </w:r>
      <w:r>
        <w:rPr>
          <w:rFonts w:ascii="Cambria" w:hAnsi="Cambria" w:cs="Cambria"/>
          <w:sz w:val="18"/>
          <w:szCs w:val="18"/>
        </w:rPr>
        <w:t xml:space="preserve">.</w:t>
      </w:r>
      <w:r>
        <w:rPr>
          <w:rFonts w:ascii="Cambria" w:hAnsi="Cambria" w:cs="Cambria"/>
          <w:sz w:val="16"/>
          <w:szCs w:val="16"/>
        </w:rPr>
      </w:r>
      <w:r/>
    </w:p>
    <w:p>
      <w:pPr>
        <w:pStyle w:val="1059"/>
        <w:spacing w:before="0" w:after="0"/>
        <w:rPr>
          <w:rFonts w:ascii="Cambria" w:hAnsi="Cambria" w:cs="Cambria"/>
          <w:sz w:val="16"/>
          <w:szCs w:val="16"/>
        </w:rPr>
      </w:pPr>
      <w:r>
        <w:rPr>
          <w:rFonts w:ascii="Cambria" w:hAnsi="Cambria" w:cs="Cambria"/>
          <w:sz w:val="18"/>
          <w:szCs w:val="18"/>
        </w:rPr>
        <w:t xml:space="preserve">ALTERAÇÃO OU ATUALIZAÇÃO DOS PREÇOS REGISTRADOS</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Os preços registrados poderão ser alterados ou atualizados em decorrência de eventual redução dos preços pra</w:t>
      </w:r>
      <w:r>
        <w:rPr>
          <w:rFonts w:ascii="Cambria" w:hAnsi="Cambria" w:eastAsia="Calibri" w:cs="Cambria"/>
          <w:sz w:val="18"/>
          <w:szCs w:val="18"/>
        </w:rPr>
        <w:t xml:space="preserve">ti</w:t>
      </w:r>
      <w:r>
        <w:rPr>
          <w:rFonts w:ascii="Cambria" w:hAnsi="Cambria" w:cs="Cambria"/>
          <w:sz w:val="18"/>
          <w:szCs w:val="18"/>
        </w:rPr>
        <w:t xml:space="preserve">cados no mercado ou de fato que eleve o custo dos bens, das obras ou dos serviços registrados, nas seguintes situações:</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Em caso de força maior, caso fortuito ou fato do príncipe ou em decorrência de fatos imprevisíveis ou previsíveis de consequências incalculáveis, que inviabilizem a execução da ata tal como pactuada, nos termos da </w:t>
      </w:r>
      <w:r>
        <w:rPr>
          <w:rFonts w:ascii="Cambria" w:hAnsi="Cambria" w:cs="Cambria"/>
          <w:color w:val="0000ef"/>
          <w:sz w:val="18"/>
          <w:szCs w:val="18"/>
        </w:rPr>
        <w:t xml:space="preserve">alínea “d” do inciso II do caput do art. 124 da Lei nº 14.133, de 2021;</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Em caso de criação, alteração ou ex</w:t>
      </w:r>
      <w:r>
        <w:rPr>
          <w:rFonts w:ascii="Cambria" w:hAnsi="Cambria" w:eastAsia="Calibri" w:cs="Cambria"/>
          <w:sz w:val="18"/>
          <w:szCs w:val="18"/>
        </w:rPr>
        <w:t xml:space="preserve">ti</w:t>
      </w:r>
      <w:r>
        <w:rPr>
          <w:rFonts w:ascii="Cambria" w:hAnsi="Cambria" w:cs="Cambria"/>
          <w:sz w:val="18"/>
          <w:szCs w:val="18"/>
        </w:rPr>
        <w:t xml:space="preserve">nção de quaisquer tributos ou encargos legais ou a superveniência de disposições legais, com comprovada repercussão sobre os preços registrados; </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Na hipótese de previsão no edital ou no aviso de contratação direta de cláusula de reajustamento ou repactuação sobre os preços registrados, nos termos da Lei nº 14.133, de 2021.</w:t>
      </w:r>
      <w:r>
        <w:rPr>
          <w:rFonts w:ascii="Cambria" w:hAnsi="Cambria" w:cs="Cambria"/>
          <w:sz w:val="16"/>
          <w:szCs w:val="16"/>
        </w:rPr>
      </w:r>
      <w:r/>
    </w:p>
    <w:p>
      <w:pPr>
        <w:pStyle w:val="1079"/>
        <w:rPr>
          <w:rFonts w:ascii="Cambria" w:hAnsi="Cambria" w:cs="Cambria"/>
          <w:sz w:val="16"/>
          <w:szCs w:val="16"/>
        </w:rPr>
      </w:pPr>
      <w:r>
        <w:rPr>
          <w:rFonts w:ascii="Cambria" w:hAnsi="Cambria" w:cs="Cambria"/>
          <w:sz w:val="18"/>
          <w:szCs w:val="18"/>
        </w:rPr>
        <w:t xml:space="preserve">No caso do reajustamento, deverá ser respeitada a contagem da anualidade e o índice previstos para a contratação;  </w:t>
      </w:r>
      <w:r>
        <w:rPr>
          <w:rFonts w:ascii="Cambria" w:hAnsi="Cambria" w:cs="Cambria"/>
          <w:sz w:val="16"/>
          <w:szCs w:val="16"/>
        </w:rPr>
      </w:r>
      <w:r/>
    </w:p>
    <w:p>
      <w:pPr>
        <w:pStyle w:val="1079"/>
        <w:rPr>
          <w:rFonts w:ascii="Cambria" w:hAnsi="Cambria" w:cs="Cambria"/>
          <w:sz w:val="16"/>
          <w:szCs w:val="16"/>
        </w:rPr>
      </w:pPr>
      <w:r>
        <w:rPr>
          <w:rFonts w:ascii="Cambria" w:hAnsi="Cambria" w:cs="Cambria"/>
          <w:sz w:val="18"/>
          <w:szCs w:val="18"/>
        </w:rPr>
        <w:t xml:space="preserve">No caso da repactuação, poderá ser a pedido do interessado, conforme critérios definidos para a contratação.</w:t>
      </w:r>
      <w:r>
        <w:rPr>
          <w:rFonts w:ascii="Cambria" w:hAnsi="Cambria" w:cs="Cambria"/>
          <w:sz w:val="16"/>
          <w:szCs w:val="16"/>
        </w:rPr>
      </w:r>
      <w:r/>
    </w:p>
    <w:p>
      <w:pPr>
        <w:pStyle w:val="1059"/>
        <w:rPr>
          <w:rFonts w:ascii="Cambria" w:hAnsi="Cambria" w:cs="Cambria"/>
          <w:sz w:val="16"/>
          <w:szCs w:val="16"/>
        </w:rPr>
      </w:pPr>
      <w:r>
        <w:rPr>
          <w:rFonts w:ascii="Cambria" w:hAnsi="Cambria" w:cs="Cambria"/>
          <w:sz w:val="18"/>
          <w:szCs w:val="18"/>
        </w:rPr>
        <w:t xml:space="preserve">REMANEJAMENTO DAS QUANTIDADES REGISTRADAS NA ATA DE REGISTRO DE PREÇOS</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As quan</w:t>
      </w:r>
      <w:r>
        <w:rPr>
          <w:rFonts w:ascii="Cambria" w:hAnsi="Cambria" w:eastAsia="Arial" w:cs="Cambria"/>
          <w:sz w:val="18"/>
          <w:szCs w:val="18"/>
        </w:rPr>
        <w:t xml:space="preserve">ti</w:t>
      </w:r>
      <w:r>
        <w:rPr>
          <w:rFonts w:ascii="Cambria" w:hAnsi="Cambria" w:cs="Cambria"/>
          <w:sz w:val="18"/>
          <w:szCs w:val="18"/>
        </w:rPr>
        <w:t xml:space="preserve">dades previstas para os itens com preços registrados nas atas de registro de preços poderão ser remanejadas pelo órgão ou en</w:t>
      </w:r>
      <w:r>
        <w:rPr>
          <w:rFonts w:ascii="Cambria" w:hAnsi="Cambria" w:eastAsia="Arial" w:cs="Cambria"/>
          <w:sz w:val="18"/>
          <w:szCs w:val="18"/>
        </w:rPr>
        <w:t xml:space="preserve">ti</w:t>
      </w:r>
      <w:r>
        <w:rPr>
          <w:rFonts w:ascii="Cambria" w:hAnsi="Cambria" w:cs="Cambria"/>
          <w:sz w:val="18"/>
          <w:szCs w:val="18"/>
        </w:rPr>
        <w:t xml:space="preserve">dade gerenciadora entre os órgãos ou as en</w:t>
      </w:r>
      <w:r>
        <w:rPr>
          <w:rFonts w:ascii="Cambria" w:hAnsi="Cambria" w:eastAsia="Arial" w:cs="Cambria"/>
          <w:sz w:val="18"/>
          <w:szCs w:val="18"/>
        </w:rPr>
        <w:t xml:space="preserve">ti</w:t>
      </w:r>
      <w:r>
        <w:rPr>
          <w:rFonts w:ascii="Cambria" w:hAnsi="Cambria" w:cs="Cambria"/>
          <w:sz w:val="18"/>
          <w:szCs w:val="18"/>
        </w:rPr>
        <w:t xml:space="preserve">dades par</w:t>
      </w:r>
      <w:r>
        <w:rPr>
          <w:rFonts w:ascii="Cambria" w:hAnsi="Cambria" w:eastAsia="Arial" w:cs="Cambria"/>
          <w:sz w:val="18"/>
          <w:szCs w:val="18"/>
        </w:rPr>
        <w:t xml:space="preserve">ti</w:t>
      </w:r>
      <w:r>
        <w:rPr>
          <w:rFonts w:ascii="Cambria" w:hAnsi="Cambria" w:cs="Cambria"/>
          <w:sz w:val="18"/>
          <w:szCs w:val="18"/>
        </w:rPr>
        <w:t xml:space="preserve">cipantes e não par</w:t>
      </w:r>
      <w:r>
        <w:rPr>
          <w:rFonts w:ascii="Cambria" w:hAnsi="Cambria" w:eastAsia="Arial" w:cs="Cambria"/>
          <w:sz w:val="18"/>
          <w:szCs w:val="18"/>
        </w:rPr>
        <w:t xml:space="preserve">ti</w:t>
      </w:r>
      <w:r>
        <w:rPr>
          <w:rFonts w:ascii="Cambria" w:hAnsi="Cambria" w:cs="Cambria"/>
          <w:sz w:val="18"/>
          <w:szCs w:val="18"/>
        </w:rPr>
        <w:t xml:space="preserve">cipantes do registro de preços.</w:t>
      </w:r>
      <w:r>
        <w:rPr>
          <w:rFonts w:ascii="Cambria" w:hAnsi="Cambria" w:cs="Cambria"/>
          <w:sz w:val="16"/>
          <w:szCs w:val="16"/>
        </w:rPr>
      </w:r>
      <w:r/>
    </w:p>
    <w:p>
      <w:pPr>
        <w:pStyle w:val="1076"/>
        <w:numPr>
          <w:ilvl w:val="0"/>
          <w:numId w:val="0"/>
        </w:numPr>
        <w:rPr>
          <w:rFonts w:ascii="Cambria" w:hAnsi="Cambria" w:cs="Cambria"/>
          <w:sz w:val="16"/>
          <w:szCs w:val="16"/>
        </w:rPr>
      </w:pPr>
      <w:r>
        <w:rPr>
          <w:rFonts w:ascii="Cambria" w:hAnsi="Cambria" w:cs="Cambria"/>
          <w:sz w:val="18"/>
          <w:szCs w:val="18"/>
        </w:rPr>
        <w:t xml:space="preserve"> O remanejamento somente poderá ser feito:</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ou</w:t>
      </w:r>
      <w:r>
        <w:rPr>
          <w:rFonts w:ascii="Cambria" w:hAnsi="Cambria" w:cs="Cambria"/>
          <w:sz w:val="16"/>
          <w:szCs w:val="16"/>
        </w:rPr>
      </w:r>
      <w:r/>
    </w:p>
    <w:p>
      <w:pPr>
        <w:pStyle w:val="1078"/>
        <w:rPr>
          <w:rFonts w:ascii="Cambria" w:hAnsi="Cambria" w:cs="Cambria"/>
          <w:sz w:val="16"/>
          <w:szCs w:val="16"/>
        </w:rPr>
      </w:pPr>
      <w:r>
        <w:rPr>
          <w:rFonts w:ascii="Cambria" w:hAnsi="Cambria" w:cs="Cambria"/>
          <w:sz w:val="18"/>
          <w:szCs w:val="18"/>
        </w:rPr>
        <w:t xml:space="preserve">De órgão ou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O órgão ou en</w:t>
      </w:r>
      <w:r>
        <w:rPr>
          <w:rFonts w:ascii="Cambria" w:hAnsi="Cambria" w:eastAsia="Arial" w:cs="Cambria"/>
          <w:sz w:val="18"/>
          <w:szCs w:val="18"/>
        </w:rPr>
        <w:t xml:space="preserve">ti</w:t>
      </w:r>
      <w:r>
        <w:rPr>
          <w:rFonts w:ascii="Cambria" w:hAnsi="Cambria" w:cs="Cambria"/>
          <w:sz w:val="18"/>
          <w:szCs w:val="18"/>
        </w:rPr>
        <w:t xml:space="preserve">dade gerenciadora que tiver es</w:t>
      </w:r>
      <w:r>
        <w:rPr>
          <w:rFonts w:ascii="Cambria" w:hAnsi="Cambria" w:eastAsia="Arial" w:cs="Cambria"/>
          <w:sz w:val="18"/>
          <w:szCs w:val="18"/>
        </w:rPr>
        <w:t xml:space="preserve">ti</w:t>
      </w:r>
      <w:r>
        <w:rPr>
          <w:rFonts w:ascii="Cambria" w:hAnsi="Cambria" w:cs="Cambria"/>
          <w:sz w:val="18"/>
          <w:szCs w:val="18"/>
        </w:rPr>
        <w:t xml:space="preserve">mado as quan</w:t>
      </w:r>
      <w:r>
        <w:rPr>
          <w:rFonts w:ascii="Cambria" w:hAnsi="Cambria" w:eastAsia="Arial" w:cs="Cambria"/>
          <w:sz w:val="18"/>
          <w:szCs w:val="18"/>
        </w:rPr>
        <w:t xml:space="preserve">ti</w:t>
      </w:r>
      <w:r>
        <w:rPr>
          <w:rFonts w:ascii="Cambria" w:hAnsi="Cambria" w:cs="Cambria"/>
          <w:sz w:val="18"/>
          <w:szCs w:val="18"/>
        </w:rPr>
        <w:t xml:space="preserve">dades que pretende contratar será considerado participante para efeito do remanejamento.</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Na hipótese de remanejamento de órgão ou entidade par</w:t>
      </w:r>
      <w:r>
        <w:rPr>
          <w:rFonts w:ascii="Cambria" w:hAnsi="Cambria" w:eastAsia="Arial" w:cs="Cambria"/>
          <w:sz w:val="18"/>
          <w:szCs w:val="18"/>
        </w:rPr>
        <w:t xml:space="preserve">ti</w:t>
      </w:r>
      <w:r>
        <w:rPr>
          <w:rFonts w:ascii="Cambria" w:hAnsi="Cambria" w:cs="Cambria"/>
          <w:sz w:val="18"/>
          <w:szCs w:val="18"/>
        </w:rPr>
        <w:t xml:space="preserve">cipante para órgão ou entidade não participante, serão observados os limites previstos no Decreto nº 4.773, de 2023.</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Competirá ao órgão ou à en</w:t>
      </w:r>
      <w:r>
        <w:rPr>
          <w:rFonts w:ascii="Cambria" w:hAnsi="Cambria" w:eastAsia="Arial" w:cs="Cambria"/>
          <w:sz w:val="18"/>
          <w:szCs w:val="18"/>
        </w:rPr>
        <w:t xml:space="preserve">ti</w:t>
      </w:r>
      <w:r>
        <w:rPr>
          <w:rFonts w:ascii="Cambria" w:hAnsi="Cambria" w:cs="Cambria"/>
          <w:sz w:val="18"/>
          <w:szCs w:val="18"/>
        </w:rPr>
        <w:t xml:space="preserve">dade gerenciadora autorizar o remanejamento solicitado, com a redução do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 inicialmente informado pelo órgão ou pela en</w:t>
      </w:r>
      <w:r>
        <w:rPr>
          <w:rFonts w:ascii="Cambria" w:hAnsi="Cambria" w:eastAsia="Arial" w:cs="Cambria"/>
          <w:sz w:val="18"/>
          <w:szCs w:val="18"/>
        </w:rPr>
        <w:t xml:space="preserve">ti</w:t>
      </w:r>
      <w:r>
        <w:rPr>
          <w:rFonts w:ascii="Cambria" w:hAnsi="Cambria" w:cs="Cambria"/>
          <w:sz w:val="18"/>
          <w:szCs w:val="18"/>
        </w:rPr>
        <w:t xml:space="preserve">dade par</w:t>
      </w:r>
      <w:r>
        <w:rPr>
          <w:rFonts w:ascii="Cambria" w:hAnsi="Cambria" w:eastAsia="Arial" w:cs="Cambria"/>
          <w:sz w:val="18"/>
          <w:szCs w:val="18"/>
        </w:rPr>
        <w:t xml:space="preserve">ti</w:t>
      </w:r>
      <w:r>
        <w:rPr>
          <w:rFonts w:ascii="Cambria" w:hAnsi="Cambria" w:cs="Cambria"/>
          <w:sz w:val="18"/>
          <w:szCs w:val="18"/>
        </w:rPr>
        <w:t xml:space="preserve">cipante, desde que haja prévia anuência do órgão ou da en</w:t>
      </w:r>
      <w:r>
        <w:rPr>
          <w:rFonts w:ascii="Cambria" w:hAnsi="Cambria" w:eastAsia="Arial" w:cs="Cambria"/>
          <w:sz w:val="18"/>
          <w:szCs w:val="18"/>
        </w:rPr>
        <w:t xml:space="preserve">ti</w:t>
      </w:r>
      <w:r>
        <w:rPr>
          <w:rFonts w:ascii="Cambria" w:hAnsi="Cambria" w:cs="Cambria"/>
          <w:sz w:val="18"/>
          <w:szCs w:val="18"/>
        </w:rPr>
        <w:t xml:space="preserve">dade que sofrer redução dos quantitativos informados.</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Na hipótese da compra centralizada, não havendo indicação pelo órgão ou pela en</w:t>
      </w:r>
      <w:r>
        <w:rPr>
          <w:rFonts w:ascii="Cambria" w:hAnsi="Cambria" w:eastAsia="Arial" w:cs="Cambria"/>
          <w:sz w:val="18"/>
          <w:szCs w:val="18"/>
        </w:rPr>
        <w:t xml:space="preserve">ti</w:t>
      </w:r>
      <w:r>
        <w:rPr>
          <w:rFonts w:ascii="Cambria" w:hAnsi="Cambria" w:cs="Cambria"/>
          <w:sz w:val="18"/>
          <w:szCs w:val="18"/>
        </w:rPr>
        <w:t xml:space="preserve">dade gerenciadora, dos quan</w:t>
      </w:r>
      <w:r>
        <w:rPr>
          <w:rFonts w:ascii="Cambria" w:hAnsi="Cambria" w:eastAsia="Arial" w:cs="Cambria"/>
          <w:sz w:val="18"/>
          <w:szCs w:val="18"/>
        </w:rPr>
        <w:t xml:space="preserve">ti</w:t>
      </w:r>
      <w:r>
        <w:rPr>
          <w:rFonts w:ascii="Cambria" w:hAnsi="Cambria" w:cs="Cambria"/>
          <w:sz w:val="18"/>
          <w:szCs w:val="18"/>
        </w:rPr>
        <w:t xml:space="preserve">ta</w:t>
      </w:r>
      <w:r>
        <w:rPr>
          <w:rFonts w:ascii="Cambria" w:hAnsi="Cambria" w:eastAsia="Arial" w:cs="Cambria"/>
          <w:sz w:val="18"/>
          <w:szCs w:val="18"/>
        </w:rPr>
        <w:t xml:space="preserve">ti</w:t>
      </w:r>
      <w:r>
        <w:rPr>
          <w:rFonts w:ascii="Cambria" w:hAnsi="Cambria" w:cs="Cambria"/>
          <w:sz w:val="18"/>
          <w:szCs w:val="18"/>
        </w:rPr>
        <w:t xml:space="preserve">vos dos par</w:t>
      </w:r>
      <w:r>
        <w:rPr>
          <w:rFonts w:ascii="Cambria" w:hAnsi="Cambria" w:eastAsia="Arial" w:cs="Cambria"/>
          <w:sz w:val="18"/>
          <w:szCs w:val="18"/>
        </w:rPr>
        <w:t xml:space="preserve">ti</w:t>
      </w:r>
      <w:r>
        <w:rPr>
          <w:rFonts w:ascii="Cambria" w:hAnsi="Cambria" w:cs="Cambria"/>
          <w:sz w:val="18"/>
          <w:szCs w:val="18"/>
        </w:rPr>
        <w:t xml:space="preserve">cipantes da compra centralizada, nos termos do item 7.3, a distribuição das quantidades para a execução descentralizada será por meio do remanejamento.</w:t>
      </w:r>
      <w:r>
        <w:rPr>
          <w:rFonts w:ascii="Cambria" w:hAnsi="Cambria" w:cs="Cambria"/>
          <w:sz w:val="16"/>
          <w:szCs w:val="16"/>
        </w:rPr>
      </w:r>
      <w:r/>
    </w:p>
    <w:p>
      <w:pPr>
        <w:pStyle w:val="1059"/>
        <w:spacing w:before="0" w:after="0"/>
        <w:rPr>
          <w:rFonts w:ascii="Cambria" w:hAnsi="Cambria" w:cs="Cambria"/>
          <w:sz w:val="16"/>
          <w:szCs w:val="16"/>
        </w:rPr>
      </w:pPr>
      <w:r>
        <w:rPr>
          <w:rFonts w:ascii="Cambria" w:hAnsi="Cambria" w:cs="Cambria"/>
          <w:sz w:val="18"/>
          <w:szCs w:val="18"/>
        </w:rPr>
        <w:t xml:space="preserve">CANCELAMENTO DO REGISTRO DO LICITANTE VENCEDOR E DOS PREÇOS REGISTRADOS</w:t>
      </w:r>
      <w:bookmarkStart w:id="90" w:name="undefined"/>
      <w:r>
        <w:rPr>
          <w:rFonts w:ascii="Cambria" w:hAnsi="Cambria" w:cs="Cambria"/>
          <w:sz w:val="16"/>
          <w:szCs w:val="16"/>
        </w:rPr>
      </w:r>
      <w:r/>
    </w:p>
    <w:p>
      <w:pPr>
        <w:pStyle w:val="1076"/>
        <w:spacing w:before="0" w:after="0"/>
        <w:rPr>
          <w:rFonts w:ascii="Cambria" w:hAnsi="Cambria" w:cs="Cambria"/>
          <w:sz w:val="18"/>
          <w:szCs w:val="18"/>
        </w:rPr>
      </w:pPr>
      <w:r>
        <w:rPr>
          <w:rFonts w:ascii="Cambria" w:hAnsi="Cambria" w:cs="Cambria"/>
          <w:sz w:val="18"/>
          <w:szCs w:val="18"/>
        </w:rPr>
        <w:t xml:space="preserve">O registro do fornecedor será cancelado pelo gerenciador, quando o fornecedor</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Descumprir as condições da ata de registro de preços, sem motivo justificado;</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Não re</w:t>
      </w:r>
      <w:r>
        <w:rPr>
          <w:rFonts w:ascii="Cambria" w:hAnsi="Cambria" w:eastAsia="Arial" w:cs="Cambria"/>
          <w:sz w:val="18"/>
          <w:szCs w:val="18"/>
        </w:rPr>
        <w:t xml:space="preserve">ti</w:t>
      </w:r>
      <w:r>
        <w:rPr>
          <w:rFonts w:ascii="Cambria" w:hAnsi="Cambria" w:cs="Cambria"/>
          <w:sz w:val="18"/>
          <w:szCs w:val="18"/>
        </w:rPr>
        <w:t xml:space="preserve">rar a nota de empenho, ou instrumento equivalente, no prazo estabelecido pela Administração sem justificativa razoável;</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Não aceitar manter seu preço registrado, na hipótese prevista no artigo 28, § 2º, do </w:t>
      </w:r>
      <w:r>
        <w:rPr>
          <w:rFonts w:ascii="Cambria" w:hAnsi="Cambria" w:cs="Cambria"/>
          <w:color w:val="000000" w:themeColor="text1"/>
          <w:sz w:val="18"/>
          <w:szCs w:val="18"/>
        </w:rPr>
        <w:t xml:space="preserve">Decreto</w:t>
      </w:r>
      <w:r>
        <w:rPr>
          <w:rFonts w:ascii="Cambria" w:hAnsi="Cambria" w:cs="Cambria"/>
          <w:sz w:val="18"/>
          <w:szCs w:val="18"/>
        </w:rPr>
        <w:t xml:space="preserve"> nº 4.773, de 2023; </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Na hipótese de aplicação de sanção prevista nos incisos III ou IV do caput do art. 156 da Lei nº 14.133, de 2021, caso a penalidade aplicada ao fornecedor não ultrapasse o</w:t>
      </w:r>
      <w:r>
        <w:rPr>
          <w:rFonts w:ascii="Cambria" w:hAnsi="Cambria" w:cs="Cambria"/>
          <w:sz w:val="18"/>
          <w:szCs w:val="18"/>
        </w:rPr>
        <w:t xml:space="preserve">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 O cancelamento de registros nas hipóteses previstas no item 8.1 será formalizado por despacho do órgão ou da entidade gerenciadora, garantidos os princípios do contraditório e da ampla defesa.</w:t>
      </w:r>
      <w:r>
        <w:rPr>
          <w:rFonts w:ascii="Cambria" w:hAnsi="Cambria" w:cs="Cambria"/>
          <w:sz w:val="16"/>
          <w:szCs w:val="16"/>
        </w:rPr>
      </w:r>
      <w:r/>
    </w:p>
    <w:p>
      <w:pPr>
        <w:pStyle w:val="1079"/>
        <w:spacing w:before="0" w:after="0" w:line="240" w:lineRule="auto"/>
        <w:rPr>
          <w:rFonts w:ascii="Cambria" w:hAnsi="Cambria" w:cs="Cambria"/>
          <w:sz w:val="18"/>
          <w:szCs w:val="18"/>
        </w:rPr>
      </w:pPr>
      <w:r>
        <w:rPr>
          <w:rFonts w:ascii="Cambria" w:hAnsi="Cambria" w:cs="Cambria"/>
          <w:sz w:val="18"/>
          <w:szCs w:val="18"/>
        </w:rPr>
        <w:t xml:space="preserve">Na hipótese de cancelamento do registro do fornecedor, o órgão ou a entidade gerenciadora poderá convocar os licitantes que compõem o cadastro de reserva, observada a ordem de classificação.</w:t>
      </w:r>
      <w:r>
        <w:rPr>
          <w:rFonts w:ascii="Cambria" w:hAnsi="Cambria" w:cs="Cambria"/>
          <w:sz w:val="16"/>
          <w:szCs w:val="16"/>
        </w:rPr>
      </w:r>
      <w:r/>
    </w:p>
    <w:p>
      <w:pPr>
        <w:pStyle w:val="1078"/>
        <w:rPr>
          <w:rFonts w:ascii="Cambria" w:hAnsi="Cambria" w:cs="Cambria"/>
          <w:sz w:val="18"/>
          <w:szCs w:val="18"/>
        </w:rPr>
      </w:pPr>
      <w:r>
        <w:rPr>
          <w:rFonts w:ascii="Cambria" w:hAnsi="Cambria" w:cs="Cambria"/>
          <w:sz w:val="18"/>
          <w:szCs w:val="18"/>
        </w:rPr>
        <w:t xml:space="preserve">O cancelamento dos preços registrados poderá ser realizado pelo gerenciador, em determinada ata de registro de preços, total ou parcialmente, nas seguintes hipóteses, desde que devidamente comprovadas e justificadas:</w:t>
      </w:r>
      <w:bookmarkEnd w:id="90"/>
      <w:r>
        <w:rPr>
          <w:rFonts w:ascii="Cambria" w:hAnsi="Cambria" w:cs="Cambria"/>
          <w:sz w:val="18"/>
          <w:szCs w:val="18"/>
        </w:rPr>
        <w:t xml:space="preserve"> </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Por razão de interesse público;</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A pedido do fornecedor, decorrente de caso fortuito ou força maior; ou</w:t>
      </w:r>
      <w:r>
        <w:rPr>
          <w:rFonts w:ascii="Cambria" w:hAnsi="Cambria" w:cs="Cambria"/>
          <w:sz w:val="16"/>
          <w:szCs w:val="16"/>
        </w:rPr>
      </w:r>
      <w:r/>
    </w:p>
    <w:p>
      <w:pPr>
        <w:pStyle w:val="1079"/>
        <w:rPr>
          <w:rFonts w:ascii="Cambria" w:hAnsi="Cambria" w:cs="Cambria"/>
          <w:sz w:val="18"/>
          <w:szCs w:val="18"/>
        </w:rPr>
      </w:pPr>
      <w:r>
        <w:rPr>
          <w:rFonts w:ascii="Cambria" w:hAnsi="Cambria" w:cs="Cambria"/>
          <w:sz w:val="18"/>
          <w:szCs w:val="18"/>
        </w:rPr>
        <w:t xml:space="preserve">Se não houver êxito nas negociações, nas hipóteses em que o preço de mercado tornar-se superior ou inferior ao preço registrado, nos termos do artigos 27, § 3º e  28, § 4º, ambos do Decreto nº 4.773, de 2023. </w:t>
      </w:r>
      <w:r>
        <w:rPr>
          <w:rFonts w:ascii="Cambria" w:hAnsi="Cambria" w:cs="Cambria"/>
          <w:sz w:val="16"/>
          <w:szCs w:val="16"/>
        </w:rPr>
      </w:r>
      <w:r/>
    </w:p>
    <w:p>
      <w:pPr>
        <w:pStyle w:val="1059"/>
        <w:ind w:left="567"/>
        <w:spacing w:before="0" w:after="0" w:line="240" w:lineRule="auto"/>
        <w:tabs>
          <w:tab w:val="clear" w:pos="567" w:leader="none"/>
          <w:tab w:val="left" w:pos="1134" w:leader="none"/>
        </w:tabs>
        <w:rPr>
          <w:rFonts w:ascii="Cambria" w:hAnsi="Cambria" w:cs="Cambria"/>
          <w:sz w:val="16"/>
          <w:szCs w:val="16"/>
        </w:rPr>
      </w:pPr>
      <w:r>
        <w:rPr>
          <w:rFonts w:ascii="Cambria" w:hAnsi="Cambria" w:cs="Cambria"/>
          <w:sz w:val="18"/>
          <w:szCs w:val="18"/>
        </w:rPr>
        <w:t xml:space="preserve">DAS PENALIDADES</w:t>
      </w:r>
      <w:r>
        <w:rPr>
          <w:rFonts w:ascii="Cambria" w:hAnsi="Cambria" w:cs="Cambria"/>
          <w:sz w:val="16"/>
          <w:szCs w:val="16"/>
        </w:rPr>
      </w:r>
      <w:r/>
    </w:p>
    <w:p>
      <w:pPr>
        <w:pStyle w:val="1076"/>
        <w:spacing w:before="0" w:after="0"/>
        <w:rPr>
          <w:rFonts w:ascii="Cambria" w:hAnsi="Cambria" w:cs="Cambria"/>
          <w:sz w:val="18"/>
          <w:szCs w:val="18"/>
        </w:rPr>
      </w:pPr>
      <w:r>
        <w:rPr>
          <w:rFonts w:ascii="Cambria" w:hAnsi="Cambria" w:cs="Cambria"/>
          <w:color w:val="000000" w:themeColor="text1"/>
          <w:sz w:val="18"/>
          <w:szCs w:val="18"/>
        </w:rPr>
        <w:t xml:space="preserve">O descumprimento da Ata de Registro de Preços ensejará aplicação das penalidades estabelecidas </w:t>
      </w:r>
      <w:r>
        <w:rPr>
          <w:rFonts w:ascii="Cambria" w:hAnsi="Cambria" w:cs="Cambria"/>
          <w:i/>
          <w:color w:val="000000" w:themeColor="text1"/>
          <w:sz w:val="18"/>
          <w:szCs w:val="18"/>
        </w:rPr>
        <w:t xml:space="preserve">no edital</w:t>
      </w:r>
      <w:r>
        <w:rPr>
          <w:rFonts w:ascii="Cambria" w:hAnsi="Cambria" w:cs="Cambria"/>
          <w:color w:val="000000" w:themeColor="text1"/>
          <w:sz w:val="18"/>
          <w:szCs w:val="18"/>
        </w:rPr>
        <w:t xml:space="preserve">. </w:t>
      </w:r>
      <w:r>
        <w:rPr>
          <w:rFonts w:ascii="Cambria" w:hAnsi="Cambria" w:cs="Cambria"/>
          <w:sz w:val="18"/>
          <w:szCs w:val="18"/>
        </w:rPr>
        <w:t xml:space="preserve">As sanções também se aplicam aos integrantes do cadastro de reserva no registro de preços que, convocados, não honrarem o compromisso assumido injustificadamente após terem assinado a ata. </w:t>
      </w:r>
      <w:r>
        <w:rPr>
          <w:rFonts w:ascii="Cambria" w:hAnsi="Cambria" w:cs="Cambria"/>
          <w:sz w:val="16"/>
          <w:szCs w:val="16"/>
        </w:rPr>
      </w:r>
      <w:r/>
    </w:p>
    <w:p>
      <w:pPr>
        <w:pStyle w:val="1076"/>
        <w:rPr>
          <w:rFonts w:ascii="Cambria" w:hAnsi="Cambria" w:cs="Cambria"/>
          <w:sz w:val="18"/>
          <w:szCs w:val="18"/>
        </w:rPr>
      </w:pPr>
      <w:r>
        <w:rPr>
          <w:rFonts w:ascii="Cambria" w:hAnsi="Cambria" w:cs="Cambria"/>
          <w:sz w:val="18"/>
          <w:szCs w:val="18"/>
        </w:rPr>
        <w:t xml:space="preserve">É da competência do gerenciador a aplicação das penalidades decorrentes</w:t>
      </w:r>
      <w:r>
        <w:rPr>
          <w:rFonts w:ascii="Cambria" w:hAnsi="Cambria" w:cs="Cambria"/>
          <w:sz w:val="18"/>
          <w:szCs w:val="18"/>
        </w:rPr>
        <w:t xml:space="preserve"> do descumprimento do pactuado nesta ata de registro de preço, exceto nas hipóteses em que o descumprimento disser respeito às contratações dos órgãos ou entidade participante, caso no qual caberá ao respectivo órgão participante a aplicação da penalidade.</w:t>
      </w:r>
      <w:r>
        <w:rPr>
          <w:rFonts w:ascii="Cambria" w:hAnsi="Cambria" w:cs="Cambria"/>
          <w:sz w:val="16"/>
          <w:szCs w:val="16"/>
        </w:rPr>
      </w:r>
      <w:r/>
    </w:p>
    <w:p>
      <w:pPr>
        <w:pStyle w:val="1076"/>
        <w:rPr>
          <w:rFonts w:ascii="Cambria" w:hAnsi="Cambria" w:cs="Cambria"/>
          <w:sz w:val="16"/>
          <w:szCs w:val="16"/>
        </w:rPr>
      </w:pPr>
      <w:r>
        <w:rPr>
          <w:rFonts w:ascii="Cambria" w:hAnsi="Cambria" w:cs="Cambria"/>
          <w:sz w:val="18"/>
          <w:szCs w:val="18"/>
        </w:rPr>
        <w:t xml:space="preserve">O órgão ou entidade participante deverá comunicar ao órgão gerenciador qualquer das ocorrências previstas no item 8.1, dada a necessidade de instauração de procedimento para cancelamento do registro do fornecedor</w:t>
      </w:r>
      <w:r>
        <w:rPr>
          <w:rFonts w:ascii="Cambria" w:hAnsi="Cambria" w:cs="Cambria"/>
          <w:sz w:val="18"/>
          <w:szCs w:val="18"/>
        </w:rPr>
        <w:t xml:space="preserve">.</w:t>
      </w:r>
      <w:r>
        <w:rPr>
          <w:rFonts w:ascii="Cambria" w:hAnsi="Cambria" w:cs="Cambria"/>
          <w:sz w:val="16"/>
          <w:szCs w:val="16"/>
        </w:rPr>
      </w:r>
      <w:r/>
    </w:p>
    <w:p>
      <w:pPr>
        <w:pStyle w:val="1076"/>
        <w:rPr>
          <w:rFonts w:ascii="Cambria" w:hAnsi="Cambria" w:cs="Cambria"/>
          <w:sz w:val="16"/>
          <w:szCs w:val="16"/>
        </w:rPr>
      </w:pPr>
      <w:r>
        <w:rPr>
          <w:rFonts w:ascii="Cambria" w:hAnsi="Cambria" w:cs="Cambria"/>
          <w:b/>
          <w:sz w:val="18"/>
          <w:szCs w:val="18"/>
        </w:rPr>
        <w:t xml:space="preserve"> CONDIÇÕES GERAIS</w:t>
      </w:r>
      <w:r>
        <w:rPr>
          <w:rFonts w:ascii="Cambria" w:hAnsi="Cambria" w:cs="Cambria"/>
          <w:sz w:val="16"/>
          <w:szCs w:val="16"/>
        </w:rPr>
      </w:r>
      <w:r/>
    </w:p>
    <w:p>
      <w:pPr>
        <w:pStyle w:val="1076"/>
        <w:numPr>
          <w:ilvl w:val="0"/>
          <w:numId w:val="0"/>
        </w:numPr>
        <w:ind w:left="567"/>
        <w:tabs>
          <w:tab w:val="left" w:pos="1134" w:leader="none"/>
        </w:tabs>
        <w:rPr>
          <w:rFonts w:ascii="Cambria" w:hAnsi="Cambria" w:cs="Cambria"/>
          <w:sz w:val="16"/>
          <w:szCs w:val="16"/>
        </w:rPr>
      </w:pPr>
      <w:r>
        <w:rPr>
          <w:rFonts w:ascii="Cambria" w:hAnsi="Cambria" w:cs="Cambria"/>
          <w:sz w:val="18"/>
          <w:szCs w:val="18"/>
        </w:rPr>
        <w:t xml:space="preserve">14.1</w:t>
      </w:r>
      <w:r>
        <w:rPr>
          <w:rFonts w:ascii="Cambria" w:hAnsi="Cambria" w:cs="Cambria"/>
          <w:sz w:val="18"/>
          <w:szCs w:val="18"/>
        </w:rPr>
        <w:t xml:space="preserve">. </w:t>
      </w:r>
      <w:r>
        <w:rPr>
          <w:rFonts w:ascii="Cambria" w:hAnsi="Cambria" w:cs="Cambria"/>
          <w:sz w:val="18"/>
          <w:szCs w:val="18"/>
        </w:rPr>
        <w:t xml:space="preserve"> As condições gerais de execução do objeto, tais como os prazos para entrega e recebimento, as obrigações da Administração e do fornecedor registrado, penalidades e demais condições do ajuste, encontram-se definidos no Termo de Referência, ANEXO </w:t>
      </w:r>
      <w:r>
        <w:rPr>
          <w:rFonts w:ascii="Cambria" w:hAnsi="Cambria" w:cs="Cambria"/>
          <w:i/>
          <w:color w:val="000000" w:themeColor="text1"/>
          <w:sz w:val="18"/>
          <w:szCs w:val="18"/>
        </w:rPr>
        <w:t xml:space="preserve">AO EDITAL</w:t>
      </w:r>
      <w:r>
        <w:rPr>
          <w:rFonts w:ascii="Cambria" w:hAnsi="Cambria" w:cs="Cambria"/>
          <w:sz w:val="18"/>
          <w:szCs w:val="18"/>
        </w:rPr>
        <w:t xml:space="preserve">.</w:t>
      </w:r>
      <w:r>
        <w:rPr>
          <w:rFonts w:ascii="Cambria" w:hAnsi="Cambria" w:cs="Cambria"/>
          <w:sz w:val="16"/>
          <w:szCs w:val="16"/>
        </w:rPr>
      </w:r>
      <w:r/>
    </w:p>
    <w:p>
      <w:pPr>
        <w:pStyle w:val="1076"/>
        <w:numPr>
          <w:ilvl w:val="0"/>
          <w:numId w:val="0"/>
        </w:numPr>
        <w:ind w:left="567"/>
        <w:tabs>
          <w:tab w:val="left" w:pos="1134" w:leader="none"/>
        </w:tabs>
        <w:rPr>
          <w:rFonts w:ascii="Cambria" w:hAnsi="Cambria" w:cs="Cambria"/>
          <w:sz w:val="16"/>
          <w:szCs w:val="16"/>
        </w:rPr>
      </w:pPr>
      <w:r>
        <w:rPr>
          <w:rFonts w:ascii="Cambria" w:hAnsi="Cambria" w:cs="Cambria"/>
          <w:sz w:val="18"/>
          <w:szCs w:val="18"/>
        </w:rPr>
        <w:t xml:space="preserve">14.2</w:t>
      </w:r>
      <w:r>
        <w:rPr>
          <w:rFonts w:ascii="Cambria" w:hAnsi="Cambria" w:cs="Cambria"/>
          <w:sz w:val="18"/>
          <w:szCs w:val="18"/>
        </w:rPr>
        <w:t xml:space="preserve">. </w:t>
      </w:r>
      <w:r>
        <w:rPr>
          <w:rFonts w:ascii="Cambria" w:hAnsi="Cambria" w:cs="Cambria"/>
          <w:sz w:val="18"/>
          <w:szCs w:val="18"/>
        </w:rPr>
        <w:t xml:space="preserve"> No caso de adjudicação por preço global de grupo de itens, só será admitida a contratação de parte de itens do grupo se houver prévia pesquisa de mercado e demonstração de sua vantagem para o órgão ou a entidade.</w:t>
      </w:r>
      <w:r>
        <w:rPr>
          <w:rFonts w:ascii="Cambria" w:hAnsi="Cambria" w:cs="Cambria"/>
          <w:sz w:val="16"/>
          <w:szCs w:val="16"/>
        </w:rPr>
      </w:r>
      <w:r/>
    </w:p>
    <w:p>
      <w:pPr>
        <w:ind w:left="567"/>
        <w:jc w:val="both"/>
        <w:spacing w:before="120" w:after="120" w:line="276" w:lineRule="auto"/>
        <w:widowControl w:val="off"/>
        <w:rPr>
          <w:rFonts w:ascii="Cambria" w:hAnsi="Cambria" w:cs="Cambria"/>
          <w:sz w:val="20"/>
          <w:szCs w:val="20"/>
        </w:rPr>
      </w:pPr>
      <w:r>
        <w:rPr>
          <w:rFonts w:ascii="Cambria" w:hAnsi="Cambria" w:cs="Cambria"/>
          <w:sz w:val="18"/>
          <w:szCs w:val="18"/>
        </w:rPr>
        <w:t xml:space="preserve">Para firmeza e validade do pactuado, a presente Ata foi lavrada em 02 (duas) vias de igual teor, que, depois de lida e achada em ordem, vai assinada pelas partes.</w:t>
      </w:r>
      <w:r>
        <w:rPr>
          <w:rFonts w:ascii="Cambria" w:hAnsi="Cambria" w:cs="Cambria"/>
          <w:sz w:val="20"/>
          <w:szCs w:val="20"/>
        </w:rPr>
      </w:r>
      <w:r/>
    </w:p>
    <w:p>
      <w:pPr>
        <w:ind w:right="-30"/>
        <w:jc w:val="right"/>
        <w:spacing w:line="360" w:lineRule="auto"/>
        <w:widowControl w:val="off"/>
        <w:rPr>
          <w:rFonts w:ascii="Cambria" w:hAnsi="Cambria" w:cs="Cambria"/>
          <w:sz w:val="18"/>
          <w:szCs w:val="18"/>
          <w:highlight w:val="none"/>
        </w:rPr>
      </w:pPr>
      <w:r>
        <w:rPr>
          <w:rFonts w:ascii="Cambria" w:hAnsi="Cambria" w:cs="Cambria"/>
          <w:sz w:val="18"/>
          <w:szCs w:val="18"/>
        </w:rPr>
        <w:t xml:space="preserve">Santa Bárbara do Sul, ....de .........................de 2024</w:t>
      </w:r>
      <w:r>
        <w:rPr>
          <w:rFonts w:ascii="Cambria" w:hAnsi="Cambria" w:cs="Cambria"/>
          <w:sz w:val="20"/>
          <w:szCs w:val="20"/>
        </w:rPr>
      </w:r>
      <w:r/>
    </w:p>
    <w:p>
      <w:pPr>
        <w:ind w:right="-30"/>
        <w:jc w:val="right"/>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right"/>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right"/>
        <w:spacing w:line="360" w:lineRule="auto"/>
        <w:widowControl w:val="off"/>
        <w:rPr>
          <w:rFonts w:ascii="Cambria" w:hAnsi="Cambria" w:cs="Cambria"/>
          <w:sz w:val="20"/>
          <w:szCs w:val="20"/>
        </w:rPr>
      </w:pPr>
      <w:r>
        <w:rPr>
          <w:rFonts w:ascii="Cambria" w:hAnsi="Cambria" w:cs="Cambria"/>
          <w:sz w:val="18"/>
          <w:szCs w:val="18"/>
          <w:highlight w:val="none"/>
        </w:rPr>
      </w:r>
      <w:r>
        <w:rPr>
          <w:rFonts w:ascii="Cambria" w:hAnsi="Cambria" w:cs="Cambria"/>
          <w:sz w:val="18"/>
          <w:szCs w:val="18"/>
          <w:highlight w:val="none"/>
        </w:rPr>
      </w:r>
      <w:r/>
    </w:p>
    <w:p>
      <w:pPr>
        <w:ind w:right="-30"/>
        <w:jc w:val="center"/>
        <w:widowControl w:val="off"/>
        <w:rPr>
          <w:rFonts w:ascii="Cambria" w:hAnsi="Cambria" w:cs="Cambria"/>
          <w:sz w:val="20"/>
          <w:szCs w:val="20"/>
        </w:rPr>
      </w:pPr>
      <w:r>
        <w:rPr>
          <w:rFonts w:ascii="Cambria" w:hAnsi="Cambria" w:cs="Cambria"/>
          <w:sz w:val="18"/>
          <w:szCs w:val="18"/>
        </w:rPr>
        <w:t xml:space="preserve">Mário Roberto Utzig Filho</w:t>
      </w:r>
      <w:r>
        <w:rPr>
          <w:rFonts w:ascii="Cambria" w:hAnsi="Cambria" w:cs="Cambria"/>
          <w:sz w:val="20"/>
          <w:szCs w:val="20"/>
        </w:rPr>
      </w:r>
      <w:r/>
    </w:p>
    <w:p>
      <w:pPr>
        <w:ind w:right="-30"/>
        <w:jc w:val="center"/>
        <w:widowControl w:val="off"/>
        <w:rPr>
          <w:rFonts w:ascii="Cambria" w:hAnsi="Cambria" w:cs="Cambria"/>
          <w:sz w:val="18"/>
          <w:szCs w:val="18"/>
        </w:rPr>
      </w:pPr>
      <w:r>
        <w:rPr>
          <w:rFonts w:ascii="Cambria" w:hAnsi="Cambria" w:cs="Cambria"/>
          <w:sz w:val="18"/>
          <w:szCs w:val="18"/>
        </w:rPr>
        <w:t xml:space="preserve">Prefeito</w:t>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widowControl w:val="off"/>
        <w:rPr>
          <w:rFonts w:ascii="Cambria" w:hAnsi="Cambria" w:cs="Cambria"/>
          <w:sz w:val="20"/>
          <w:szCs w:val="20"/>
        </w:rPr>
      </w:pPr>
      <w:r>
        <w:rPr>
          <w:rFonts w:ascii="Cambria" w:hAnsi="Cambria" w:cs="Cambria"/>
          <w:sz w:val="18"/>
          <w:szCs w:val="18"/>
        </w:rPr>
        <w:t xml:space="preserve">Licitante</w:t>
      </w:r>
      <w:r>
        <w:rPr>
          <w:rFonts w:ascii="Cambria" w:hAnsi="Cambria" w:cs="Cambria"/>
          <w:sz w:val="20"/>
          <w:szCs w:val="20"/>
        </w:rPr>
      </w:r>
      <w:r/>
    </w:p>
    <w:p>
      <w:pPr>
        <w:ind w:right="-30"/>
        <w:jc w:val="center"/>
        <w:widowControl w:val="off"/>
        <w:rPr>
          <w:rFonts w:ascii="Cambria" w:hAnsi="Cambria" w:cs="Cambria"/>
          <w:sz w:val="18"/>
          <w:szCs w:val="18"/>
        </w:rPr>
      </w:pPr>
      <w:r>
        <w:rPr>
          <w:rFonts w:ascii="Cambria" w:hAnsi="Cambria" w:cs="Cambria"/>
          <w:sz w:val="18"/>
          <w:szCs w:val="18"/>
        </w:rPr>
        <w:t xml:space="preserve">CNPJ:</w:t>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6"/>
          <w:szCs w:val="16"/>
        </w:rPr>
        <w:t xml:space="preserve">Representante legal do órgão gerenciador e representante(s) legal(is) do(s) </w:t>
      </w:r>
      <w:r>
        <w:rPr>
          <w:rFonts w:ascii="Cambria" w:hAnsi="Cambria" w:cs="Cambria"/>
          <w:color w:val="000000"/>
          <w:sz w:val="16"/>
          <w:szCs w:val="16"/>
        </w:rPr>
        <w:t xml:space="preserve">fornecedor(s) registrado(s)</w:t>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left"/>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b/>
          <w:bCs/>
          <w:sz w:val="20"/>
          <w:szCs w:val="20"/>
        </w:rPr>
      </w:r>
      <w:r/>
    </w:p>
    <w:p>
      <w:pPr>
        <w:ind w:right="-30"/>
        <w:jc w:val="left"/>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b/>
          <w:bCs/>
          <w:sz w:val="20"/>
          <w:szCs w:val="20"/>
        </w:rPr>
      </w:r>
      <w:r/>
    </w:p>
    <w:p>
      <w:pPr>
        <w:ind w:right="-30"/>
        <w:jc w:val="left"/>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b/>
          <w:bCs/>
          <w:sz w:val="20"/>
          <w:szCs w:val="20"/>
        </w:rPr>
      </w:r>
      <w:r/>
    </w:p>
    <w:p>
      <w:pPr>
        <w:ind w:right="-30"/>
        <w:jc w:val="left"/>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b/>
          <w:bCs/>
          <w:sz w:val="20"/>
          <w:szCs w:val="20"/>
        </w:rPr>
      </w:r>
      <w:r/>
    </w:p>
    <w:p>
      <w:pPr>
        <w:ind w:right="-30"/>
        <w:jc w:val="left"/>
        <w:spacing w:line="360" w:lineRule="auto"/>
        <w:widowControl w:val="off"/>
        <w:rPr>
          <w:rFonts w:ascii="Cambria" w:hAnsi="Cambria" w:cs="Cambria"/>
          <w:b/>
          <w:bCs/>
          <w:sz w:val="20"/>
          <w:szCs w:val="20"/>
        </w:rPr>
      </w:pPr>
      <w:r>
        <w:rPr>
          <w:rFonts w:ascii="Cambria" w:hAnsi="Cambria" w:cs="Cambria"/>
          <w:b/>
          <w:bCs/>
          <w:sz w:val="20"/>
          <w:szCs w:val="20"/>
        </w:rPr>
      </w:r>
      <w:r>
        <w:rPr>
          <w:rFonts w:ascii="Cambria" w:hAnsi="Cambria" w:cs="Cambria"/>
          <w:sz w:val="20"/>
          <w:szCs w:val="20"/>
        </w:rPr>
      </w:r>
      <w:r/>
    </w:p>
    <w:p>
      <w:pPr>
        <w:ind w:right="-30"/>
        <w:jc w:val="center"/>
        <w:spacing w:line="360" w:lineRule="auto"/>
        <w:widowControl w:val="off"/>
        <w:rPr>
          <w:rFonts w:ascii="Cambria" w:hAnsi="Cambria" w:cs="Cambria"/>
          <w:b/>
          <w:bCs/>
          <w:sz w:val="18"/>
          <w:szCs w:val="18"/>
        </w:rPr>
      </w:pPr>
      <w:r>
        <w:rPr>
          <w:rFonts w:ascii="Cambria" w:hAnsi="Cambria" w:cs="Cambria"/>
          <w:b/>
          <w:bCs/>
          <w:sz w:val="18"/>
          <w:szCs w:val="18"/>
        </w:rPr>
        <w:t xml:space="preserve">ANEXO IV</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color w:val="000000"/>
          <w:sz w:val="18"/>
          <w:szCs w:val="18"/>
        </w:rPr>
        <w:t xml:space="preserve">Cadastro Reserva</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567" w:firstLine="709"/>
        <w:jc w:val="both"/>
        <w:widowControl w:val="off"/>
        <w:rPr>
          <w:rFonts w:ascii="Cambria" w:hAnsi="Cambria" w:cs="Cambria"/>
          <w:sz w:val="20"/>
          <w:szCs w:val="20"/>
        </w:rPr>
      </w:pPr>
      <w:r>
        <w:rPr>
          <w:rFonts w:ascii="Cambria" w:hAnsi="Cambria" w:cs="Cambria"/>
          <w:color w:val="000000"/>
          <w:sz w:val="18"/>
          <w:szCs w:val="18"/>
        </w:rPr>
        <w:t xml:space="preserve">Seguindo a ordem de classificação, segue relação de fornecedores que aceitaram cotar os itens com preços iguais ao adjudicatário: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840"/>
        <w:gridCol w:w="1134"/>
        <w:gridCol w:w="1109"/>
        <w:gridCol w:w="1442"/>
        <w:gridCol w:w="992"/>
        <w:gridCol w:w="1134"/>
        <w:gridCol w:w="992"/>
        <w:gridCol w:w="905"/>
        <w:gridCol w:w="844"/>
      </w:tblGrid>
      <w:tr>
        <w:trPr>
          <w:trHeight w:val="511"/>
        </w:trPr>
        <w:tc>
          <w:tcPr>
            <w:tcBorders>
              <w:top w:val="single" w:color="000000" w:sz="2" w:space="0"/>
              <w:left w:val="single" w:color="000000" w:sz="2" w:space="0"/>
              <w:bottom w:val="single" w:color="000000" w:sz="2" w:space="0"/>
              <w:right w:val="single" w:color="000000" w:sz="2" w:space="0"/>
            </w:tcBorders>
            <w:tcW w:w="840"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Item</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do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TR</w:t>
            </w:r>
            <w:r>
              <w:rPr>
                <w:rFonts w:ascii="Cambria" w:hAnsi="Cambria" w:cs="Cambria"/>
                <w:sz w:val="20"/>
                <w:szCs w:val="20"/>
              </w:rPr>
            </w:r>
            <w:r/>
          </w:p>
        </w:tc>
        <w:tc>
          <w:tcPr>
            <w:gridSpan w:val="8"/>
            <w:tcBorders>
              <w:top w:val="single" w:color="000000" w:sz="2" w:space="0"/>
              <w:left w:val="single" w:color="000000" w:sz="2" w:space="0"/>
              <w:bottom w:val="single" w:color="000000" w:sz="2" w:space="0"/>
              <w:right w:val="single" w:color="000000" w:sz="2" w:space="0"/>
            </w:tcBorders>
            <w:tcW w:w="855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rFonts w:ascii="Cambria" w:hAnsi="Cambria" w:cs="Cambria"/>
                <w:sz w:val="20"/>
                <w:szCs w:val="20"/>
              </w:rPr>
            </w:r>
            <w:r/>
          </w:p>
          <w:p>
            <w:pPr>
              <w:ind w:right="-30"/>
              <w:jc w:val="center"/>
              <w:spacing w:line="360" w:lineRule="auto"/>
              <w:widowControl w:val="off"/>
              <w:rPr>
                <w:rFonts w:ascii="Cambria" w:hAnsi="Cambria" w:cs="Cambria"/>
                <w:color w:val="ff0000"/>
                <w:sz w:val="20"/>
                <w:szCs w:val="20"/>
              </w:rPr>
            </w:pPr>
            <w:r>
              <w:rPr>
                <w:rFonts w:ascii="Cambria" w:hAnsi="Cambria" w:cs="Cambria"/>
                <w:color w:val="ff0000"/>
                <w:sz w:val="20"/>
                <w:szCs w:val="20"/>
              </w:rPr>
            </w:r>
            <w:r>
              <w:rPr>
                <w:rFonts w:ascii="Cambria" w:hAnsi="Cambria" w:cs="Cambria"/>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840"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X</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18"/>
                <w:szCs w:val="18"/>
              </w:rPr>
              <w:t xml:space="preserve">Especificação</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Marca </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exigida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Modelo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exigido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Unidade</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Máxima</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 Mínima</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Valor Un</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Prazo garantia ou validade</w:t>
            </w:r>
            <w:r>
              <w:rPr>
                <w:rFonts w:ascii="Cambria" w:hAnsi="Cambria" w:cs="Cambria"/>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840"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09"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442"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92"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992"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905"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r>
    </w:tbl>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709"/>
        <w:jc w:val="both"/>
        <w:spacing w:line="360" w:lineRule="auto"/>
        <w:widowControl w:val="off"/>
        <w:rPr>
          <w:rFonts w:ascii="Cambria" w:hAnsi="Cambria" w:cs="Cambria"/>
          <w:sz w:val="20"/>
          <w:szCs w:val="20"/>
        </w:rPr>
      </w:pPr>
      <w:r>
        <w:rPr>
          <w:rFonts w:ascii="Cambria" w:hAnsi="Cambria" w:cs="Cambria"/>
          <w:color w:val="000000"/>
          <w:sz w:val="18"/>
          <w:szCs w:val="18"/>
        </w:rPr>
        <w:t xml:space="preserve">Seguindo a ordem de classificação, segue relação de fornecedores que mantiveram sua proposta original:</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bl>
      <w:tblPr>
        <w:tblW w:w="9392" w:type="dxa"/>
        <w:tblInd w:w="10" w:type="dxa"/>
        <w:tblLayout w:type="fixed"/>
        <w:tblCellMar>
          <w:left w:w="10" w:type="dxa"/>
          <w:right w:w="10" w:type="dxa"/>
        </w:tblCellMar>
        <w:tblLook w:val="04A0" w:firstRow="1" w:lastRow="0" w:firstColumn="1" w:lastColumn="0" w:noHBand="0" w:noVBand="1"/>
      </w:tblPr>
      <w:tblGrid>
        <w:gridCol w:w="695"/>
        <w:gridCol w:w="1134"/>
        <w:gridCol w:w="1253"/>
        <w:gridCol w:w="1159"/>
        <w:gridCol w:w="1134"/>
        <w:gridCol w:w="1276"/>
        <w:gridCol w:w="1056"/>
        <w:gridCol w:w="841"/>
        <w:gridCol w:w="844"/>
      </w:tblGrid>
      <w:tr>
        <w:trPr>
          <w:trHeight w:val="511"/>
        </w:trPr>
        <w:tc>
          <w:tcPr>
            <w:tcBorders>
              <w:top w:val="single" w:color="000000" w:sz="2" w:space="0"/>
              <w:left w:val="single" w:color="000000" w:sz="2" w:space="0"/>
              <w:bottom w:val="single" w:color="000000" w:sz="2" w:space="0"/>
              <w:right w:val="single" w:color="000000" w:sz="2" w:space="0"/>
            </w:tcBorders>
            <w:tcW w:w="696"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Item</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do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TR</w:t>
            </w:r>
            <w:r>
              <w:rPr>
                <w:rFonts w:ascii="Cambria" w:hAnsi="Cambria" w:cs="Cambria"/>
                <w:sz w:val="20"/>
                <w:szCs w:val="20"/>
              </w:rPr>
            </w:r>
            <w:r/>
          </w:p>
        </w:tc>
        <w:tc>
          <w:tcPr>
            <w:gridSpan w:val="8"/>
            <w:tcBorders>
              <w:top w:val="single" w:color="000000" w:sz="2" w:space="0"/>
              <w:left w:val="single" w:color="000000" w:sz="2" w:space="0"/>
              <w:bottom w:val="single" w:color="000000" w:sz="2" w:space="0"/>
              <w:right w:val="single" w:color="000000" w:sz="2" w:space="0"/>
            </w:tcBorders>
            <w:tcW w:w="8696"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Fornecedor </w:t>
            </w:r>
            <w:r>
              <w:rPr>
                <w:rFonts w:ascii="Cambria" w:hAnsi="Cambria" w:cs="Cambria"/>
                <w:i/>
                <w:color w:val="ff0000"/>
                <w:sz w:val="18"/>
                <w:szCs w:val="18"/>
              </w:rPr>
              <w:t xml:space="preserve">(razão social, CNPJ/MF, endereço, contatos, representante)</w:t>
            </w:r>
            <w:r>
              <w:rPr>
                <w:rFonts w:ascii="Cambria" w:hAnsi="Cambria" w:cs="Cambria"/>
                <w:sz w:val="20"/>
                <w:szCs w:val="20"/>
              </w:rPr>
            </w:r>
            <w:r/>
          </w:p>
          <w:p>
            <w:pPr>
              <w:ind w:right="-30"/>
              <w:jc w:val="center"/>
              <w:spacing w:line="360" w:lineRule="auto"/>
              <w:widowControl w:val="off"/>
              <w:rPr>
                <w:rFonts w:ascii="Cambria" w:hAnsi="Cambria" w:cs="Cambria"/>
                <w:color w:val="ff0000"/>
                <w:sz w:val="20"/>
                <w:szCs w:val="20"/>
              </w:rPr>
            </w:pPr>
            <w:r>
              <w:rPr>
                <w:rFonts w:ascii="Cambria" w:hAnsi="Cambria" w:cs="Cambria"/>
                <w:color w:val="ff0000"/>
                <w:sz w:val="20"/>
                <w:szCs w:val="20"/>
              </w:rPr>
            </w:r>
            <w:r>
              <w:rPr>
                <w:rFonts w:ascii="Cambria" w:hAnsi="Cambria" w:cs="Cambria"/>
                <w:sz w:val="20"/>
                <w:szCs w:val="20"/>
              </w:rPr>
            </w:r>
            <w:r/>
          </w:p>
        </w:tc>
      </w:tr>
      <w:tr>
        <w:trPr>
          <w:trHeight w:val="674"/>
        </w:trPr>
        <w:tc>
          <w:tcPr>
            <w:tcBorders>
              <w:top w:val="none" w:color="000000" w:sz="4" w:space="0"/>
              <w:left w:val="single" w:color="000000" w:sz="2" w:space="0"/>
              <w:bottom w:val="single" w:color="000000" w:sz="2" w:space="0"/>
              <w:right w:val="none" w:color="000000" w:sz="4" w:space="0"/>
            </w:tcBorders>
            <w:tcW w:w="696" w:type="dxa"/>
            <w:vAlign w:val="center"/>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X</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18"/>
                <w:szCs w:val="18"/>
              </w:rPr>
              <w:t xml:space="preserve">Especificação</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Marca </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exigida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Modelo</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(se exigido no edital)</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Unidade</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Máxima</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Quantidade Mínima</w:t>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Valor Un</w:t>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center"/>
              <w:spacing w:line="360" w:lineRule="auto"/>
              <w:widowControl w:val="off"/>
              <w:rPr>
                <w:rFonts w:ascii="Cambria" w:hAnsi="Cambria" w:cs="Cambria"/>
                <w:sz w:val="20"/>
                <w:szCs w:val="20"/>
              </w:rPr>
            </w:pPr>
            <w:r>
              <w:rPr>
                <w:rFonts w:ascii="Cambria" w:hAnsi="Cambria" w:cs="Cambria"/>
                <w:sz w:val="18"/>
                <w:szCs w:val="18"/>
              </w:rPr>
              <w:t xml:space="preserve">Prazo garantia ou validade</w:t>
            </w:r>
            <w:r>
              <w:rPr>
                <w:rFonts w:ascii="Cambria" w:hAnsi="Cambria" w:cs="Cambria"/>
                <w:sz w:val="20"/>
                <w:szCs w:val="20"/>
              </w:rPr>
            </w:r>
            <w:r/>
          </w:p>
        </w:tc>
      </w:tr>
      <w:tr>
        <w:trPr>
          <w:trHeight w:val="174"/>
        </w:trPr>
        <w:tc>
          <w:tcPr>
            <w:tcBorders>
              <w:top w:val="none" w:color="000000" w:sz="4" w:space="0"/>
              <w:left w:val="single" w:color="000000" w:sz="2" w:space="0"/>
              <w:bottom w:val="single" w:color="000000" w:sz="2" w:space="0"/>
              <w:right w:val="none" w:color="000000" w:sz="4" w:space="0"/>
            </w:tcBorders>
            <w:tcW w:w="696"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53"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59"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13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1276"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1056"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none" w:color="000000" w:sz="4" w:space="0"/>
            </w:tcBorders>
            <w:tcW w:w="841"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c>
          <w:tcPr>
            <w:tcBorders>
              <w:top w:val="none" w:color="000000" w:sz="4" w:space="0"/>
              <w:left w:val="single" w:color="000000" w:sz="2" w:space="0"/>
              <w:bottom w:val="single" w:color="000000" w:sz="2" w:space="0"/>
              <w:right w:val="single" w:color="000000" w:sz="2" w:space="0"/>
            </w:tcBorders>
            <w:tcW w:w="844" w:type="dxa"/>
            <w:textDirection w:val="lrTb"/>
            <w:noWrap w:val="false"/>
          </w:tcPr>
          <w:p>
            <w:pPr>
              <w:ind w:right="-30"/>
              <w:jc w:val="both"/>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tc>
      </w:tr>
    </w:tbl>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18"/>
          <w:szCs w:val="18"/>
        </w:rPr>
      </w:r>
      <w:r/>
    </w:p>
    <w:p>
      <w:pPr>
        <w:ind w:right="-30"/>
        <w:jc w:val="center"/>
        <w:spacing w:line="360" w:lineRule="auto"/>
        <w:widowControl w:val="off"/>
        <w:rPr>
          <w:rFonts w:ascii="Cambria" w:hAnsi="Cambria" w:cs="Cambria"/>
          <w:sz w:val="18"/>
          <w:szCs w:val="18"/>
        </w:rPr>
      </w:pPr>
      <w:r>
        <w:rPr>
          <w:rFonts w:ascii="Cambria" w:hAnsi="Cambria" w:cs="Cambria"/>
          <w:sz w:val="18"/>
          <w:szCs w:val="18"/>
        </w:rPr>
      </w:r>
      <w:r>
        <w:rPr>
          <w:rFonts w:ascii="Cambria" w:hAnsi="Cambria" w:cs="Cambria"/>
          <w:sz w:val="20"/>
          <w:szCs w:val="20"/>
        </w:rPr>
      </w:r>
      <w:r/>
    </w:p>
    <w:p>
      <w:pPr>
        <w:ind w:right="-30"/>
        <w:jc w:val="center"/>
        <w:spacing w:line="360" w:lineRule="auto"/>
        <w:widowControl w:val="off"/>
        <w:rPr>
          <w:rFonts w:ascii="Cambria" w:hAnsi="Cambria" w:cs="Cambria"/>
          <w:sz w:val="18"/>
          <w:szCs w:val="18"/>
        </w:rPr>
      </w:pPr>
      <w:r>
        <w:rPr>
          <w:rFonts w:ascii="Cambria" w:hAnsi="Cambria" w:cs="Cambria"/>
          <w:color w:val="000000"/>
          <w:sz w:val="18"/>
          <w:szCs w:val="18"/>
        </w:rPr>
        <w:t xml:space="preserve">ANEXO V</w:t>
      </w:r>
      <w:r>
        <w:rPr>
          <w:rFonts w:ascii="Cambria" w:hAnsi="Cambria" w:cs="Cambria"/>
          <w:sz w:val="20"/>
          <w:szCs w:val="20"/>
        </w:rPr>
      </w:r>
      <w:r/>
    </w:p>
    <w:p>
      <w:pPr>
        <w:ind w:right="-30"/>
        <w:jc w:val="center"/>
        <w:spacing w:line="360" w:lineRule="auto"/>
        <w:widowControl w:val="off"/>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b/>
          <w:sz w:val="18"/>
          <w:szCs w:val="18"/>
        </w:rPr>
        <w:t xml:space="preserve">ESTADO DO RIO GRANDE DO SUL</w:t>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b/>
          <w:sz w:val="18"/>
          <w:szCs w:val="18"/>
        </w:rPr>
        <w:t xml:space="preserve">PREFEITURA MUNICIPAL DE SANTA BÁRBARA DO SUL</w:t>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b/>
          <w:sz w:val="18"/>
          <w:szCs w:val="18"/>
        </w:rPr>
        <w:t xml:space="preserve">AVISO DE LICITAÇÃO</w:t>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360" w:lineRule="auto"/>
        <w:rPr>
          <w:rFonts w:ascii="Cambria" w:hAnsi="Cambria" w:cs="Cambria"/>
          <w:color w:val="000000"/>
          <w:sz w:val="18"/>
          <w:szCs w:val="18"/>
          <w:highlight w:val="none"/>
        </w:rPr>
      </w:pPr>
      <w:r>
        <w:rPr>
          <w:rFonts w:ascii="Cambria" w:hAnsi="Cambria" w:cs="Cambria"/>
          <w:color w:val="000000"/>
          <w:sz w:val="18"/>
          <w:szCs w:val="18"/>
          <w:shd w:val="clear" w:color="auto" w:fill="ffffff"/>
        </w:rPr>
        <w:t xml:space="preserve">Torno público abertura do </w:t>
      </w:r>
      <w:r>
        <w:rPr>
          <w:rFonts w:ascii="Cambria" w:hAnsi="Cambria" w:cs="Cambria"/>
          <w:b/>
          <w:color w:val="000000"/>
          <w:sz w:val="18"/>
          <w:szCs w:val="18"/>
          <w:shd w:val="clear" w:color="auto" w:fill="ffffff"/>
        </w:rPr>
        <w:t xml:space="preserve">Processo Licitatório n° 22</w:t>
      </w:r>
      <w:r>
        <w:rPr>
          <w:rFonts w:ascii="Cambria" w:hAnsi="Cambria" w:cs="Cambria"/>
          <w:b/>
          <w:color w:val="000000"/>
          <w:sz w:val="18"/>
          <w:szCs w:val="18"/>
          <w:shd w:val="clear" w:color="auto" w:fill="ffffff"/>
        </w:rPr>
        <w:t xml:space="preserve">/2024</w:t>
      </w:r>
      <w:r>
        <w:rPr>
          <w:rFonts w:ascii="Cambria" w:hAnsi="Cambria" w:cs="Cambria"/>
          <w:color w:val="000000"/>
          <w:sz w:val="18"/>
          <w:szCs w:val="18"/>
          <w:shd w:val="clear" w:color="auto" w:fill="ffffff"/>
        </w:rPr>
        <w:t xml:space="preserve">, na modalidade </w:t>
      </w:r>
      <w:r>
        <w:rPr>
          <w:rFonts w:ascii="Cambria" w:hAnsi="Cambria" w:cs="Cambria"/>
          <w:b/>
          <w:sz w:val="18"/>
          <w:szCs w:val="18"/>
          <w:shd w:val="clear" w:color="auto" w:fill="ffffff"/>
        </w:rPr>
        <w:t xml:space="preserve">PREGÃO ELETRÔNICO </w:t>
      </w:r>
      <w:r>
        <w:rPr>
          <w:rFonts w:ascii="Cambria" w:hAnsi="Cambria" w:cs="Cambria"/>
          <w:b/>
          <w:sz w:val="18"/>
          <w:szCs w:val="18"/>
          <w:highlight w:val="none"/>
          <w:shd w:val="clear" w:color="auto" w:fill="ffffff"/>
        </w:rPr>
        <w:t xml:space="preserve">Nº 08</w:t>
      </w:r>
      <w:r>
        <w:rPr>
          <w:rFonts w:ascii="Cambria" w:hAnsi="Cambria" w:cs="Cambria"/>
          <w:b/>
          <w:sz w:val="18"/>
          <w:szCs w:val="18"/>
          <w:highlight w:val="none"/>
          <w:shd w:val="clear" w:color="auto" w:fill="ffffff"/>
        </w:rPr>
        <w:t xml:space="preserve">/2024</w:t>
      </w:r>
      <w:r>
        <w:rPr>
          <w:rFonts w:ascii="Cambria" w:hAnsi="Cambria" w:cs="Cambria"/>
          <w:color w:val="000000"/>
          <w:sz w:val="18"/>
          <w:szCs w:val="18"/>
          <w:highlight w:val="none"/>
          <w:shd w:val="clear" w:color="auto" w:fill="ffffff"/>
        </w:rPr>
        <w:t xml:space="preserve">, </w:t>
      </w:r>
      <w:r>
        <w:rPr>
          <w:rFonts w:ascii="Cambria" w:hAnsi="Cambria" w:cs="Cambria"/>
          <w:color w:val="000000"/>
          <w:sz w:val="18"/>
          <w:szCs w:val="18"/>
          <w:highlight w:val="none"/>
        </w:rPr>
        <w:t xml:space="preserve">REGISTRO DE P</w:t>
      </w:r>
      <w:r>
        <w:rPr>
          <w:rFonts w:ascii="Cambria" w:hAnsi="Cambria" w:cs="Cambria"/>
          <w:color w:val="000000"/>
          <w:sz w:val="18"/>
          <w:szCs w:val="18"/>
          <w:highlight w:val="none"/>
        </w:rPr>
        <w:t xml:space="preserve">REÇOS PARA AQUISIÇÃO DE FRALDAS E MATERIAIS DE HIGIENE PESSOAL</w:t>
      </w:r>
      <w:r>
        <w:rPr>
          <w:rFonts w:ascii="Cambria" w:hAnsi="Cambria" w:cs="Cambria"/>
          <w:color w:val="000000"/>
          <w:sz w:val="18"/>
          <w:szCs w:val="18"/>
          <w:highlight w:val="none"/>
        </w:rPr>
        <w:t xml:space="preserve">.</w:t>
      </w:r>
      <w:r>
        <w:rPr>
          <w:rFonts w:ascii="Cambria" w:hAnsi="Cambria" w:cs="Cambria"/>
          <w:color w:val="000000"/>
          <w:sz w:val="18"/>
          <w:szCs w:val="18"/>
          <w:highlight w:val="none"/>
          <w:shd w:val="clear" w:color="auto" w:fill="ffffff"/>
        </w:rPr>
        <w:t xml:space="preserve"> Início das </w:t>
      </w:r>
      <w:r>
        <w:rPr>
          <w:rFonts w:ascii="Cambria" w:hAnsi="Cambria" w:cs="Cambria"/>
          <w:b/>
          <w:color w:val="000000"/>
          <w:sz w:val="18"/>
          <w:szCs w:val="18"/>
          <w:highlight w:val="none"/>
          <w:shd w:val="clear" w:color="auto" w:fill="ffffff"/>
        </w:rPr>
        <w:t xml:space="preserve">Propostas:</w:t>
      </w:r>
      <w:r>
        <w:rPr>
          <w:rFonts w:ascii="Cambria" w:hAnsi="Cambria" w:cs="Cambria"/>
          <w:b/>
          <w:color w:val="000000"/>
          <w:sz w:val="18"/>
          <w:szCs w:val="18"/>
          <w:highlight w:val="none"/>
          <w:shd w:val="clear" w:color="auto" w:fill="ffff00"/>
        </w:rPr>
        <w:t xml:space="preserve"> </w:t>
      </w:r>
      <w:r>
        <w:rPr>
          <w:rFonts w:ascii="Cambria" w:hAnsi="Cambria" w:cs="Cambria"/>
          <w:b/>
          <w:color w:val="000000"/>
          <w:sz w:val="18"/>
          <w:szCs w:val="18"/>
          <w:highlight w:val="none"/>
        </w:rPr>
        <w:t xml:space="preserve">07:59h </w:t>
      </w:r>
      <w:r>
        <w:rPr>
          <w:rFonts w:ascii="Cambria" w:hAnsi="Cambria" w:cs="Cambria"/>
          <w:b/>
          <w:color w:val="000000"/>
          <w:sz w:val="18"/>
          <w:szCs w:val="18"/>
          <w:highlight w:val="none"/>
        </w:rPr>
        <w:t xml:space="preserve">do dia 12/03</w:t>
      </w:r>
      <w:r>
        <w:rPr>
          <w:rFonts w:ascii="Cambria" w:hAnsi="Cambria" w:cs="Cambria"/>
          <w:b/>
          <w:color w:val="000000"/>
          <w:sz w:val="18"/>
          <w:szCs w:val="18"/>
          <w:highlight w:val="none"/>
        </w:rPr>
        <w:t xml:space="preserve">/2024 até às 07:59h do dia 25/03/2024. Início da sessão Pública: às 08hs do dia 25/03/2024</w:t>
      </w:r>
      <w:r>
        <w:rPr>
          <w:rFonts w:ascii="Cambria" w:hAnsi="Cambria" w:cs="Cambria"/>
          <w:color w:val="000000"/>
          <w:sz w:val="18"/>
          <w:szCs w:val="18"/>
          <w:highlight w:val="none"/>
          <w:shd w:val="clear" w:color="auto" w:fill="ffffff"/>
        </w:rPr>
        <w:t xml:space="preserve">, </w:t>
      </w:r>
      <w:r>
        <w:rPr>
          <w:rFonts w:ascii="Cambria" w:hAnsi="Cambria" w:cs="Cambria"/>
          <w:sz w:val="18"/>
          <w:szCs w:val="18"/>
          <w:highlight w:val="none"/>
          <w:shd w:val="clear" w:color="auto" w:fill="ffffff"/>
        </w:rPr>
        <w:t xml:space="preserve">todos via portal </w:t>
      </w:r>
      <w:hyperlink r:id="rId50" w:tooltip="http://www.cidadecompras.com.br/" w:history="1">
        <w:r>
          <w:rPr>
            <w:rStyle w:val="1142"/>
            <w:rFonts w:ascii="Cambria" w:hAnsi="Cambria" w:cs="Cambria"/>
            <w:sz w:val="18"/>
            <w:szCs w:val="18"/>
            <w:highlight w:val="none"/>
          </w:rPr>
          <w:t xml:space="preserve">www.pregaobanrisul.com.br</w:t>
        </w:r>
      </w:hyperlink>
      <w:r>
        <w:rPr>
          <w:rFonts w:ascii="Cambria" w:hAnsi="Cambria" w:cs="Cambria"/>
          <w:bCs/>
          <w:iCs/>
          <w:color w:val="000000"/>
          <w:sz w:val="18"/>
          <w:szCs w:val="18"/>
          <w:highlight w:val="none"/>
          <w:shd w:val="clear" w:color="auto" w:fill="ffffff"/>
        </w:rPr>
        <w:t xml:space="preserve">, no horário de </w:t>
      </w:r>
      <w:r>
        <w:rPr>
          <w:rFonts w:ascii="Cambria" w:hAnsi="Cambria" w:cs="Cambria"/>
          <w:bCs/>
          <w:iCs/>
          <w:color w:val="000000"/>
          <w:sz w:val="18"/>
          <w:szCs w:val="18"/>
          <w:highlight w:val="none"/>
        </w:rPr>
        <w:t xml:space="preserve">Brasília – DF.</w:t>
      </w:r>
      <w:r>
        <w:rPr>
          <w:rFonts w:ascii="Cambria" w:hAnsi="Cambria" w:cs="Cambria"/>
          <w:sz w:val="18"/>
          <w:szCs w:val="18"/>
          <w:highlight w:val="none"/>
        </w:rPr>
        <w:t xml:space="preserve"> O Edital e informações comple</w:t>
      </w:r>
      <w:r>
        <w:rPr>
          <w:rFonts w:ascii="Cambria" w:hAnsi="Cambria" w:cs="Cambria"/>
          <w:sz w:val="18"/>
          <w:szCs w:val="18"/>
          <w:highlight w:val="none"/>
        </w:rPr>
        <w:t xml:space="preserve">mentares encontram-se a disposição dos interessados, junto à Comissão de Licitações, sito a Av. Eduardo de Brito, 101, Fone: 0xx 55 3372 3200, no horário de expediente e nos Sites: </w:t>
      </w:r>
      <w:hyperlink r:id="rId51" w:tooltip="http://www.pregaobanrisul.com.br/" w:history="1">
        <w:r>
          <w:rPr>
            <w:rStyle w:val="1142"/>
            <w:rFonts w:ascii="Cambria" w:hAnsi="Cambria" w:cs="Cambria"/>
            <w:sz w:val="18"/>
            <w:szCs w:val="18"/>
            <w:highlight w:val="none"/>
          </w:rPr>
          <w:t xml:space="preserve">www.pregaobanrisul.com.br</w:t>
        </w:r>
      </w:hyperlink>
      <w:r>
        <w:rPr>
          <w:rFonts w:ascii="Cambria" w:hAnsi="Cambria" w:cs="Cambria"/>
          <w:sz w:val="18"/>
          <w:szCs w:val="18"/>
          <w:highlight w:val="none"/>
        </w:rPr>
        <w:t xml:space="preserve"> </w:t>
      </w:r>
      <w:r>
        <w:rPr>
          <w:rStyle w:val="1131"/>
          <w:rFonts w:ascii="Cambria" w:hAnsi="Cambria" w:cs="Cambria"/>
          <w:iCs/>
          <w:sz w:val="18"/>
          <w:szCs w:val="18"/>
          <w:highlight w:val="none"/>
        </w:rPr>
        <w:t xml:space="preserve">e  </w:t>
      </w:r>
      <w:hyperlink r:id="rId52" w:tooltip="http://www.santabarbaradosul.rs.gov.br/" w:history="1">
        <w:r>
          <w:rPr>
            <w:rStyle w:val="1131"/>
            <w:rFonts w:ascii="Cambria" w:hAnsi="Cambria" w:cs="Cambria"/>
            <w:sz w:val="18"/>
            <w:szCs w:val="18"/>
            <w:highlight w:val="none"/>
          </w:rPr>
          <w:t xml:space="preserve">www.santabarbaradosul.rs.gov.br</w:t>
        </w:r>
      </w:hyperlink>
      <w:r>
        <w:rPr>
          <w:rStyle w:val="1131"/>
          <w:rFonts w:ascii="Cambria" w:hAnsi="Cambria" w:cs="Cambria"/>
          <w:sz w:val="18"/>
          <w:szCs w:val="18"/>
          <w:highlight w:val="none"/>
        </w:rPr>
        <w:t xml:space="preserve">.</w:t>
      </w:r>
      <w:r>
        <w:rPr>
          <w:rFonts w:ascii="Cambria" w:hAnsi="Cambria" w:cs="Cambria"/>
          <w:sz w:val="20"/>
          <w:szCs w:val="20"/>
        </w:rPr>
      </w:r>
      <w:r/>
    </w:p>
    <w:p>
      <w:pPr>
        <w:jc w:val="both"/>
        <w:spacing w:line="360" w:lineRule="auto"/>
        <w:rPr>
          <w:rFonts w:ascii="Cambria" w:hAnsi="Cambria" w:cs="Cambria"/>
          <w:sz w:val="20"/>
          <w:szCs w:val="20"/>
          <w:highlight w:val="none"/>
        </w:rPr>
      </w:pPr>
      <w:r>
        <w:rPr>
          <w:rStyle w:val="1131"/>
          <w:rFonts w:ascii="Cambria" w:hAnsi="Cambria" w:cs="Cambria"/>
          <w:i/>
          <w:color w:val="auto"/>
          <w:sz w:val="18"/>
          <w:szCs w:val="18"/>
          <w:highlight w:val="none"/>
          <w:u w:val="none"/>
        </w:rPr>
        <w:t xml:space="preserve">Emitido por Vivian Lima Vargas - Pregoeira</w:t>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right"/>
        <w:spacing w:line="360" w:lineRule="auto"/>
        <w:rPr>
          <w:rFonts w:ascii="Cambria" w:hAnsi="Cambria" w:cs="Cambria"/>
          <w:sz w:val="20"/>
          <w:szCs w:val="20"/>
        </w:rPr>
      </w:pPr>
      <w:r>
        <w:rPr>
          <w:rFonts w:ascii="Cambria" w:hAnsi="Cambria" w:cs="Cambria"/>
          <w:sz w:val="18"/>
          <w:szCs w:val="18"/>
          <w:shd w:val="clear" w:color="auto" w:fill="ffffff"/>
        </w:rPr>
        <w:t xml:space="preserve">Santa Bárbara do Sul, RS 06/03</w:t>
      </w:r>
      <w:r>
        <w:rPr>
          <w:rFonts w:ascii="Cambria" w:hAnsi="Cambria" w:cs="Cambria"/>
          <w:color w:val="000000"/>
          <w:sz w:val="18"/>
          <w:szCs w:val="18"/>
          <w:shd w:val="clear" w:color="auto" w:fill="ffffff"/>
        </w:rPr>
        <w:t xml:space="preserve">/2023.</w:t>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sz w:val="20"/>
          <w:szCs w:val="20"/>
        </w:rPr>
        <w:t xml:space="preserve">Mário Roberto Utzig Filho</w:t>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sz w:val="20"/>
          <w:szCs w:val="20"/>
        </w:rPr>
        <w:t xml:space="preserve">Prefeito</w:t>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ind w:firstLine="567"/>
        <w:jc w:val="center"/>
        <w:spacing w:before="288" w:after="288" w:line="312"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spacing w:line="36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b/>
          <w:bCs/>
          <w:sz w:val="18"/>
          <w:szCs w:val="18"/>
        </w:rPr>
        <w:t xml:space="preserve">ANEXO IV</w:t>
      </w:r>
      <w:r>
        <w:rPr>
          <w:rFonts w:ascii="Cambria" w:hAnsi="Cambria" w:cs="Cambria"/>
          <w:sz w:val="20"/>
          <w:szCs w:val="20"/>
        </w:rPr>
      </w:r>
      <w:r/>
    </w:p>
    <w:p>
      <w:pPr>
        <w:jc w:val="center"/>
        <w:spacing w:before="200" w:after="200"/>
        <w:rPr>
          <w:rFonts w:ascii="Cambria" w:hAnsi="Cambria" w:cs="Cambria"/>
          <w:sz w:val="20"/>
          <w:szCs w:val="20"/>
        </w:rPr>
      </w:pPr>
      <w:r>
        <w:rPr>
          <w:rFonts w:ascii="Cambria" w:hAnsi="Cambria" w:eastAsia="Arial" w:cs="Cambria"/>
          <w:b/>
          <w:color w:val="000000"/>
          <w:sz w:val="18"/>
          <w:szCs w:val="18"/>
        </w:rPr>
        <w:t xml:space="preserve">AUTORIZAÇÃO</w:t>
      </w:r>
      <w:r>
        <w:rPr>
          <w:rFonts w:ascii="Cambria" w:hAnsi="Cambria" w:cs="Cambria"/>
          <w:sz w:val="20"/>
          <w:szCs w:val="20"/>
        </w:rPr>
      </w:r>
      <w:r/>
    </w:p>
    <w:p>
      <w:pPr>
        <w:ind w:firstLine="2835"/>
        <w:jc w:val="both"/>
        <w:spacing w:before="200" w:after="200" w:line="480" w:lineRule="auto"/>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line="480" w:lineRule="auto"/>
        <w:rPr>
          <w:rFonts w:ascii="Cambria" w:hAnsi="Cambria" w:cs="Cambria"/>
          <w:sz w:val="20"/>
          <w:szCs w:val="20"/>
        </w:rPr>
      </w:pPr>
      <w:r>
        <w:rPr>
          <w:rFonts w:ascii="Cambria" w:hAnsi="Cambria" w:eastAsia="Arial" w:cs="Cambria"/>
          <w:color w:val="000000"/>
          <w:sz w:val="18"/>
          <w:szCs w:val="18"/>
        </w:rPr>
        <w:t xml:space="preserve">Considerando o Pedido de Compras anexos ao processo, </w:t>
      </w:r>
      <w:r>
        <w:rPr>
          <w:rFonts w:ascii="Cambria" w:hAnsi="Cambria" w:eastAsia="Arial" w:cs="Cambria"/>
          <w:b/>
          <w:color w:val="000000"/>
          <w:sz w:val="18"/>
          <w:szCs w:val="18"/>
        </w:rPr>
        <w:t xml:space="preserve"> AUTORIZO </w:t>
      </w:r>
      <w:r>
        <w:rPr>
          <w:rFonts w:ascii="Cambria" w:hAnsi="Cambria" w:eastAsia="Arial" w:cs="Cambria"/>
          <w:color w:val="000000"/>
          <w:sz w:val="18"/>
          <w:szCs w:val="18"/>
        </w:rPr>
        <w:t xml:space="preserve">a Equipe de Licitações através de pregoeiro (a) intituida pela </w:t>
      </w:r>
      <w:r>
        <w:rPr>
          <w:rFonts w:ascii="Cambria" w:hAnsi="Cambria" w:eastAsia="Arial" w:cs="Cambria"/>
          <w:b/>
          <w:color w:val="000000"/>
          <w:sz w:val="18"/>
          <w:szCs w:val="18"/>
        </w:rPr>
        <w:t xml:space="preserve">Portaria n. 011/2024</w:t>
      </w:r>
      <w:r>
        <w:rPr>
          <w:rFonts w:ascii="Cambria" w:hAnsi="Cambria" w:eastAsia="Arial" w:cs="Cambria"/>
          <w:color w:val="000000"/>
          <w:sz w:val="18"/>
          <w:szCs w:val="18"/>
        </w:rPr>
        <w:t xml:space="preserve">,e em consonância ao disposto na </w:t>
      </w:r>
      <w:r>
        <w:rPr>
          <w:rFonts w:ascii="Cambria" w:hAnsi="Cambria" w:eastAsia="Arial" w:cs="Cambria"/>
          <w:b/>
          <w:color w:val="000000"/>
          <w:sz w:val="18"/>
          <w:szCs w:val="18"/>
        </w:rPr>
        <w:t xml:space="preserve">Lei Federal nº 14.133</w:t>
      </w:r>
      <w:r>
        <w:rPr>
          <w:rFonts w:ascii="Cambria" w:hAnsi="Cambria" w:eastAsia="Arial" w:cs="Cambria"/>
          <w:color w:val="000000"/>
          <w:sz w:val="18"/>
          <w:szCs w:val="18"/>
        </w:rPr>
        <w:t xml:space="preserve">, de 01 de abril de 2021, com suas alterações posteriores, a abrir processo licitatório próprio para </w:t>
      </w:r>
      <w:r>
        <w:rPr>
          <w:rFonts w:ascii="Cambria" w:hAnsi="Cambria" w:cs="Cambria"/>
          <w:i/>
          <w:iCs/>
          <w:color w:val="000000"/>
          <w:sz w:val="18"/>
          <w:szCs w:val="18"/>
        </w:rPr>
        <w:t xml:space="preserve">REGISTRO DE PREÇOS PARA AQUISIÇÃO DE FRALDAS E MATERIAIS DE HIGIENE PESSOAL</w:t>
      </w:r>
      <w:r>
        <w:rPr>
          <w:rFonts w:ascii="Cambria" w:hAnsi="Cambria" w:eastAsia="Arial" w:cs="Cambria"/>
          <w:color w:val="000000"/>
          <w:sz w:val="18"/>
          <w:szCs w:val="18"/>
        </w:rPr>
        <w:t xml:space="preserve">,</w:t>
      </w:r>
      <w:r>
        <w:rPr>
          <w:rFonts w:ascii="Cambria" w:hAnsi="Cambria" w:eastAsia="Arial" w:cs="Cambria"/>
          <w:color w:val="000000"/>
          <w:sz w:val="18"/>
          <w:szCs w:val="18"/>
        </w:rPr>
        <w:t xml:space="preserve"> </w:t>
      </w:r>
      <w:r>
        <w:rPr>
          <w:rFonts w:ascii="Cambria" w:hAnsi="Cambria" w:eastAsia="Arial" w:cs="Cambria"/>
          <w:color w:val="000000"/>
          <w:sz w:val="18"/>
          <w:szCs w:val="18"/>
          <w:shd w:val="clear" w:color="auto" w:fill="ffffff"/>
        </w:rPr>
        <w:t xml:space="preserve">conforme pesquisa de preços efetuados pelo Setor de compras, c</w:t>
      </w:r>
      <w:r>
        <w:rPr>
          <w:rFonts w:ascii="Cambria" w:hAnsi="Cambria" w:eastAsia="Arial" w:cs="Cambria"/>
          <w:color w:val="000000"/>
          <w:sz w:val="18"/>
          <w:szCs w:val="18"/>
        </w:rPr>
        <w:t xml:space="preserve">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0"/>
          <w:szCs w:val="20"/>
        </w:rPr>
      </w:r>
      <w:r/>
    </w:p>
    <w:p>
      <w:pPr>
        <w:ind w:firstLine="2835"/>
        <w:jc w:val="both"/>
        <w:spacing w:before="200" w:after="200" w:line="480" w:lineRule="auto"/>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right"/>
        <w:spacing w:before="200" w:after="200"/>
        <w:rPr>
          <w:rFonts w:ascii="Cambria" w:hAnsi="Cambria" w:cs="Cambria"/>
          <w:sz w:val="20"/>
          <w:szCs w:val="20"/>
        </w:rPr>
      </w:pPr>
      <w:r>
        <w:rPr>
          <w:rFonts w:ascii="Cambria" w:hAnsi="Cambria" w:eastAsia="Arial" w:cs="Cambria"/>
          <w:color w:val="000000"/>
          <w:sz w:val="18"/>
          <w:szCs w:val="18"/>
          <w:shd w:val="clear" w:color="auto" w:fill="ffffff"/>
        </w:rPr>
        <w:t xml:space="preserve">Santa Bárbara do Sul, </w:t>
      </w:r>
      <w:r>
        <w:rPr>
          <w:rFonts w:ascii="Cambria" w:hAnsi="Cambria" w:eastAsia="Arial" w:cs="Cambria"/>
          <w:color w:val="000000"/>
          <w:sz w:val="18"/>
          <w:szCs w:val="18"/>
          <w:shd w:val="clear" w:color="auto" w:fill="ffffff"/>
        </w:rPr>
        <w:t xml:space="preserve">15 de fevereiro</w:t>
      </w:r>
      <w:r>
        <w:rPr>
          <w:rFonts w:ascii="Cambria" w:hAnsi="Cambria" w:eastAsia="Arial" w:cs="Cambria"/>
          <w:color w:val="000000"/>
          <w:sz w:val="18"/>
          <w:szCs w:val="18"/>
          <w:shd w:val="clear" w:color="auto" w:fill="ffffff"/>
        </w:rPr>
        <w:t xml:space="preserve"> de 2024</w:t>
      </w:r>
      <w:r>
        <w:rPr>
          <w:rFonts w:ascii="Cambria" w:hAnsi="Cambria" w:cs="Cambria"/>
          <w:sz w:val="20"/>
          <w:szCs w:val="20"/>
        </w:rPr>
      </w:r>
      <w:r/>
    </w:p>
    <w:p>
      <w:pPr>
        <w:jc w:val="right"/>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20"/>
          <w:szCs w:val="20"/>
        </w:rPr>
      </w:r>
      <w:r>
        <w:rPr>
          <w:rFonts w:ascii="Cambria" w:hAnsi="Cambria" w:cs="Cambria"/>
          <w:sz w:val="20"/>
          <w:szCs w:val="20"/>
        </w:rPr>
      </w:r>
      <w:r/>
    </w:p>
    <w:p>
      <w:pPr>
        <w:jc w:val="both"/>
        <w:spacing w:before="200" w:after="200"/>
        <w:rPr>
          <w:rFonts w:ascii="Cambria" w:hAnsi="Cambria" w:cs="Cambria"/>
          <w:sz w:val="20"/>
          <w:szCs w:val="20"/>
        </w:rPr>
      </w:pPr>
      <w:r>
        <w:rPr>
          <w:rFonts w:ascii="Cambria" w:hAnsi="Cambria" w:cs="Cambria"/>
          <w:sz w:val="18"/>
          <w:szCs w:val="18"/>
        </w:rPr>
        <w:br/>
      </w:r>
      <w:r>
        <w:rPr>
          <w:rFonts w:ascii="Cambria" w:hAnsi="Cambria" w:cs="Cambria"/>
          <w:sz w:val="20"/>
          <w:szCs w:val="20"/>
        </w:rPr>
      </w:r>
      <w:r/>
    </w:p>
    <w:p>
      <w:pPr>
        <w:jc w:val="center"/>
        <w:spacing w:line="360" w:lineRule="auto"/>
        <w:rPr>
          <w:rFonts w:ascii="Cambria" w:hAnsi="Cambria" w:cs="Cambria"/>
          <w:sz w:val="20"/>
          <w:szCs w:val="20"/>
        </w:rPr>
      </w:pPr>
      <w:r>
        <w:rPr>
          <w:rFonts w:ascii="Cambria" w:hAnsi="Cambria" w:cs="Cambria"/>
          <w:sz w:val="18"/>
          <w:szCs w:val="18"/>
        </w:rPr>
        <w:t xml:space="preserve">Mário Roberto Utzig Filho</w:t>
      </w:r>
      <w:r>
        <w:rPr>
          <w:rFonts w:ascii="Cambria" w:hAnsi="Cambria" w:cs="Cambria"/>
          <w:sz w:val="20"/>
          <w:szCs w:val="20"/>
        </w:rPr>
      </w:r>
      <w:r/>
    </w:p>
    <w:p>
      <w:pPr>
        <w:jc w:val="center"/>
        <w:spacing w:line="360" w:lineRule="auto"/>
        <w:rPr>
          <w:rFonts w:ascii="Cambria" w:hAnsi="Cambria" w:cs="Cambria"/>
          <w:bCs/>
          <w:i/>
          <w:color w:val="000000"/>
          <w:sz w:val="18"/>
          <w:szCs w:val="18"/>
        </w:rPr>
      </w:pPr>
      <w:r>
        <w:rPr>
          <w:rFonts w:ascii="Cambria" w:hAnsi="Cambria" w:cs="Cambria"/>
          <w:sz w:val="18"/>
          <w:szCs w:val="18"/>
        </w:rPr>
        <w:t xml:space="preserve">Prefeito</w:t>
      </w:r>
      <w:r>
        <w:rPr>
          <w:rFonts w:ascii="Cambria" w:hAnsi="Cambria" w:cs="Cambria"/>
          <w:sz w:val="20"/>
          <w:szCs w:val="20"/>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rPr>
        <w:t xml:space="preserve">ANEXO VII</w:t>
      </w:r>
      <w:r>
        <w:rPr>
          <w:rFonts w:ascii="Cambria" w:hAnsi="Cambria" w:cs="Cambria"/>
          <w:b/>
          <w:bCs/>
          <w:sz w:val="20"/>
          <w:szCs w:val="20"/>
        </w:rPr>
      </w:r>
      <w:r/>
    </w:p>
    <w:p>
      <w:pPr>
        <w:jc w:val="center"/>
        <w:rPr>
          <w:rFonts w:ascii="Cambria" w:hAnsi="Cambria" w:cs="Cambria"/>
          <w:b/>
          <w:bCs/>
          <w:color w:val="000000" w:themeColor="text1"/>
          <w:sz w:val="18"/>
          <w:szCs w:val="18"/>
        </w:rPr>
      </w:pPr>
      <w:r>
        <w:rPr>
          <w:rFonts w:ascii="Cambria" w:hAnsi="Cambria" w:cs="Cambria"/>
          <w:b/>
          <w:bCs/>
          <w:color w:val="000000" w:themeColor="text1"/>
          <w:sz w:val="18"/>
          <w:szCs w:val="18"/>
        </w:rPr>
      </w:r>
      <w:r>
        <w:rPr>
          <w:rFonts w:ascii="Cambria" w:hAnsi="Cambria" w:cs="Cambria"/>
          <w:b/>
          <w:bCs/>
          <w:color w:val="000000" w:themeColor="text1"/>
          <w:sz w:val="18"/>
          <w:szCs w:val="18"/>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t xml:space="preserve">ESTUDO TÉCNICO PRELIMINAR</w:t>
      </w:r>
      <w:r>
        <w:rPr>
          <w:rFonts w:ascii="Cambria" w:hAnsi="Cambria" w:cs="Cambria"/>
          <w:b/>
          <w:bCs/>
          <w:color w:val="000000" w:themeColor="text1"/>
          <w:sz w:val="18"/>
          <w:szCs w:val="18"/>
          <w:highlight w:val="none"/>
        </w:rPr>
      </w:r>
      <w:r/>
    </w:p>
    <w:p>
      <w:pPr>
        <w:jc w:val="center"/>
        <w:rPr>
          <w:rFonts w:ascii="Cambria" w:hAnsi="Cambria" w:cs="Cambria"/>
          <w:b/>
          <w:bCs/>
          <w:color w:val="000000" w:themeColor="text1"/>
          <w:sz w:val="18"/>
          <w:szCs w:val="18"/>
          <w:highlight w:val="none"/>
        </w:rPr>
      </w:pPr>
      <w:r>
        <w:rPr>
          <w:rFonts w:ascii="Cambria" w:hAnsi="Cambria" w:cs="Cambria"/>
          <w:b/>
          <w:bCs/>
          <w:color w:val="000000" w:themeColor="text1"/>
          <w:sz w:val="18"/>
          <w:szCs w:val="18"/>
          <w:highlight w:val="none"/>
        </w:rPr>
        <w:t xml:space="preserve">SECRETARIA DE EDUCAÇÃO</w:t>
      </w:r>
      <w:r>
        <w:rPr>
          <w:rFonts w:ascii="Cambria" w:hAnsi="Cambria" w:cs="Cambria"/>
          <w:b/>
          <w:bCs/>
          <w:color w:val="000000" w:themeColor="text1"/>
          <w:sz w:val="18"/>
          <w:szCs w:val="18"/>
          <w:highlight w:val="none"/>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color w:val="000000" w:themeColor="text1"/>
          <w:sz w:val="18"/>
          <w:szCs w:val="18"/>
          <w:highlight w:val="none"/>
        </w:rPr>
      </w:r>
      <w:r>
        <w:rPr>
          <w:rFonts w:ascii="Cambria" w:hAnsi="Cambria" w:cs="Cambria"/>
          <w:sz w:val="18"/>
          <w:szCs w:val="18"/>
        </w:rPr>
        <w:t xml:space="preserve">DESCRIÇÃODANECESSIDADE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Aquisição de materiais de higiene infantil, fraldas infantis e geriátricas , materiais de consumo para atender as necessidades das escolas de educação infantil da rede municipal de ensino. Estes materiais são indispensáveis para real</w:t>
      </w:r>
      <w:r>
        <w:rPr>
          <w:rFonts w:ascii="Cambria" w:hAnsi="Cambria" w:cs="Cambria"/>
          <w:sz w:val="18"/>
          <w:szCs w:val="18"/>
        </w:rPr>
        <w:t xml:space="preserve">izar a higiene dos alunos atendidos na rede garantindo um atendimento de qualidade.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ESTIMATIVADAS QUANTIDADES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Os quantitativos foram estimados considerando compras realizadas nos anos anteriores adaptando ao número de novas matrículas previstas para o ano </w:t>
      </w:r>
      <w:r>
        <w:rPr>
          <w:rFonts w:ascii="Cambria" w:hAnsi="Cambria" w:cs="Cambria"/>
          <w:sz w:val="18"/>
          <w:szCs w:val="18"/>
        </w:rPr>
        <w:t xml:space="preserve">de 2024. Foram baseadas no consumo anual das unidades de educação infantil, tendo como base as demandas registradas anteriormente bem como no Planejamento anual de compras das unidades de educação infantil.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ESTIMATIVADOVALOR DACONTRATAÇÃO</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Não há necessidad</w:t>
      </w:r>
      <w:r>
        <w:rPr>
          <w:rFonts w:ascii="Cambria" w:hAnsi="Cambria" w:cs="Cambria"/>
          <w:sz w:val="18"/>
          <w:szCs w:val="18"/>
        </w:rPr>
        <w:t xml:space="preserve">e de orçamento sigiloso, prevalecendo os critérios de transparência, publicidade e economicidade. Para a definição dos quantitativos, foram considerados a periodicidade de reposição dos materiais, bem como o desgaste natural dos mesmos e a necessidade cont</w:t>
      </w:r>
      <w:r>
        <w:rPr>
          <w:rFonts w:ascii="Cambria" w:hAnsi="Cambria" w:cs="Cambria"/>
          <w:sz w:val="18"/>
          <w:szCs w:val="18"/>
        </w:rPr>
        <w:t xml:space="preserve">ínua de uso diário dos itens de higiene. DESCRIÇÃODASOLUÇÃOCOMOUM TODO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A solução para aquisição do material de higiene infantil que irá atender a demanda da rede municipal de ensino no que se diz respeito a creche (0-3 anos) , se dará através do Registro d</w:t>
      </w:r>
      <w:r>
        <w:rPr>
          <w:rFonts w:ascii="Cambria" w:hAnsi="Cambria" w:cs="Cambria"/>
          <w:sz w:val="18"/>
          <w:szCs w:val="18"/>
        </w:rPr>
        <w:t xml:space="preserve">e Preço, com validade de 12 meses, através de proposta mais vantajosa para a administração pública, comprando a administração a quantidade necessária para atender às suas necessidades.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DECLARAÇÃODE VIABILIDADE Declaramos, considerando todo o exposto neste </w:t>
      </w:r>
      <w:r>
        <w:rPr>
          <w:rFonts w:ascii="Cambria" w:hAnsi="Cambria" w:cs="Cambria"/>
          <w:sz w:val="18"/>
          <w:szCs w:val="18"/>
        </w:rPr>
        <w:t xml:space="preserve">Estudo Técnico Preliminar, que a contratação: </w:t>
      </w:r>
      <w:r>
        <w:rPr>
          <w:rFonts w:ascii="Cambria" w:hAnsi="Cambria" w:cs="Cambria"/>
          <w:color w:val="000000" w:themeColor="text1"/>
          <w:sz w:val="18"/>
          <w:szCs w:val="18"/>
        </w:rPr>
      </w:r>
      <w:r/>
    </w:p>
    <w:p>
      <w:pPr>
        <w:jc w:val="both"/>
        <w:rPr>
          <w:rFonts w:ascii="Cambria" w:hAnsi="Cambria" w:cs="Cambria"/>
          <w:sz w:val="18"/>
          <w:szCs w:val="18"/>
          <w:highlight w:val="none"/>
        </w:rPr>
      </w:pPr>
      <w:r>
        <w:rPr>
          <w:rFonts w:ascii="Cambria" w:hAnsi="Cambria" w:cs="Cambria"/>
          <w:sz w:val="18"/>
          <w:szCs w:val="18"/>
        </w:rPr>
        <w:t xml:space="preserve">[ x ] e viavel [ ] nao e viavel </w:t>
      </w:r>
      <w:r>
        <w:rPr>
          <w:rFonts w:ascii="Cambria" w:hAnsi="Cambria" w:cs="Cambria"/>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highlight w:val="none"/>
        </w:rPr>
      </w:pPr>
      <w:r>
        <w:rPr>
          <w:rFonts w:ascii="Cambria" w:hAnsi="Cambria" w:cs="Cambria"/>
          <w:color w:val="000000" w:themeColor="text1"/>
          <w:sz w:val="18"/>
          <w:szCs w:val="18"/>
        </w:rPr>
        <w:t xml:space="preserve">Simone Feiden</w:t>
      </w:r>
      <w:r>
        <w:rPr>
          <w:rFonts w:ascii="Cambria" w:hAnsi="Cambria" w:cs="Cambria"/>
          <w:color w:val="000000" w:themeColor="text1"/>
          <w:sz w:val="18"/>
          <w:szCs w:val="18"/>
        </w:rPr>
      </w:r>
      <w:r/>
    </w:p>
    <w:p>
      <w:pPr>
        <w:jc w:val="center"/>
        <w:rPr>
          <w:rFonts w:ascii="Cambria" w:hAnsi="Cambria" w:cs="Cambria"/>
          <w:color w:val="000000" w:themeColor="text1"/>
          <w:sz w:val="18"/>
          <w:szCs w:val="18"/>
          <w:highlight w:val="none"/>
        </w:rPr>
      </w:pPr>
      <w:r>
        <w:rPr>
          <w:rFonts w:ascii="Cambria" w:hAnsi="Cambria" w:cs="Cambria"/>
          <w:color w:val="000000" w:themeColor="text1"/>
          <w:sz w:val="18"/>
          <w:szCs w:val="18"/>
          <w:highlight w:val="none"/>
        </w:rPr>
        <w:t xml:space="preserve">Secretária de Educação, Cultura, Desporto e Lazer</w:t>
      </w:r>
      <w:r>
        <w:rPr>
          <w:rFonts w:ascii="Cambria" w:hAnsi="Cambria" w:cs="Cambria"/>
          <w:color w:val="000000" w:themeColor="text1"/>
          <w:sz w:val="18"/>
          <w:szCs w:val="18"/>
          <w:highlight w:val="none"/>
        </w:rPr>
      </w:r>
      <w:r/>
    </w:p>
    <w:p>
      <w:pPr>
        <w:jc w:val="center"/>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rPr>
          <w:rFonts w:ascii="Cambria" w:hAnsi="Cambria" w:cs="Cambria"/>
          <w:color w:val="000000" w:themeColor="text1"/>
          <w:sz w:val="18"/>
          <w:szCs w:val="18"/>
        </w:rPr>
      </w:pPr>
      <w:r>
        <w:rPr>
          <w:rFonts w:ascii="Cambria" w:hAnsi="Cambria" w:cs="Cambria"/>
          <w:color w:val="000000" w:themeColor="text1"/>
          <w:sz w:val="18"/>
          <w:szCs w:val="18"/>
          <w:highlight w:val="none"/>
        </w:rPr>
      </w:r>
      <w:r>
        <w:rPr>
          <w:rFonts w:ascii="Cambria" w:hAnsi="Cambria" w:cs="Cambria"/>
          <w:color w:val="000000" w:themeColor="text1"/>
          <w:sz w:val="18"/>
          <w:szCs w:val="18"/>
          <w:highlight w:val="none"/>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pPr>
      <w:r>
        <w:rPr>
          <w:rFonts w:ascii="Cambria" w:hAnsi="Cambria" w:cs="Cambria"/>
          <w:b/>
          <w:bCs/>
          <w:color w:val="000000" w:themeColor="text1"/>
          <w:sz w:val="18"/>
          <w:szCs w:val="18"/>
          <w:highlight w:val="none"/>
        </w:rPr>
        <w:t xml:space="preserve">ESTUDO TÉCNICO PRELIMINAR</w:t>
      </w:r>
      <w:r>
        <w:rPr>
          <w:rFonts w:ascii="Cambria" w:hAnsi="Cambria" w:cs="Cambria"/>
          <w:b/>
          <w:bCs/>
          <w:color w:val="000000" w:themeColor="text1"/>
          <w:sz w:val="18"/>
          <w:szCs w:val="18"/>
          <w:highlight w:val="none"/>
        </w:rPr>
      </w:r>
      <w:r/>
    </w:p>
    <w:p>
      <w:pPr>
        <w:jc w:val="center"/>
        <w:rPr>
          <w:rFonts w:ascii="Cambria" w:hAnsi="Cambria" w:cs="Cambria"/>
          <w:color w:val="000000" w:themeColor="text1"/>
          <w:highlight w:val="none"/>
        </w:rPr>
      </w:pPr>
      <w:r>
        <w:rPr>
          <w:rFonts w:ascii="Cambria" w:hAnsi="Cambria" w:cs="Cambria"/>
          <w:b/>
          <w:bCs/>
          <w:color w:val="000000" w:themeColor="text1"/>
          <w:sz w:val="18"/>
          <w:szCs w:val="18"/>
          <w:highlight w:val="none"/>
        </w:rPr>
        <w:t xml:space="preserve">SECRETARIA DE SAÚDE</w:t>
      </w:r>
      <w:r/>
    </w:p>
    <w:p>
      <w:pPr>
        <w:jc w:val="both"/>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DESCRIÇÃODA NECESSIDADE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O objeto da presente licitação é a aquisição de Fraldas Descartáveis – adultas e infantis – para os pacientes acompanhados na Rede Municipal de Saúde, que estejam de acordo com a Lei Municipal N° 5.109 de 20 de Janeiro de 2022, em an</w:t>
      </w:r>
      <w:r>
        <w:rPr>
          <w:rFonts w:ascii="Cambria" w:hAnsi="Cambria" w:cs="Cambria"/>
          <w:sz w:val="18"/>
          <w:szCs w:val="18"/>
        </w:rPr>
        <w:t xml:space="preserve">exo, atendendo também a Resolução Nº 305/2021 da CIB RS. Para poder receber as fraldas mensalmente os pacientes precisam se enquadrar na legislação já citada, e apresentar Atestado Médico indicando CID da doença acometida. O presente pedido de compra prevê</w:t>
      </w:r>
      <w:r>
        <w:rPr>
          <w:rFonts w:ascii="Cambria" w:hAnsi="Cambria" w:cs="Cambria"/>
          <w:sz w:val="18"/>
          <w:szCs w:val="18"/>
        </w:rPr>
        <w:t xml:space="preserve"> a manutenção do atendimento integral à população, considerando que a Constituição Federal prevê, nos Art. 6º, Art. 23, II e Art. 196 a 200, que a saúde é um direito de todos e um dever do Estado a ser assegurado por meio de seus entes (União, Estados, DF </w:t>
      </w:r>
      <w:r>
        <w:rPr>
          <w:rFonts w:ascii="Cambria" w:hAnsi="Cambria" w:cs="Cambria"/>
          <w:sz w:val="18"/>
          <w:szCs w:val="18"/>
        </w:rPr>
        <w:t xml:space="preserve">e Municípios). E que a higiene é imprescindível para a manutenção da saúde e redução de riscos de doenças e desconfortos ao paciente, preservando sua integridade física e dignidade, e que o insumo Fraldas é considerado como "produto de higiene", entende-se</w:t>
      </w:r>
      <w:r>
        <w:rPr>
          <w:rFonts w:ascii="Cambria" w:hAnsi="Cambria" w:cs="Cambria"/>
          <w:sz w:val="18"/>
          <w:szCs w:val="18"/>
        </w:rPr>
        <w:t xml:space="preserve"> o fornecimento desse produto uma condição de cumprimento desse dever.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ALINHAMENTOENTRE ACONTRATAÇÃOE OPLANEJAMENTO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Aquisição de Fraldas está elencado no Plano Plurianual da Secretaria Municipal de Saúde e na Programação Financeira Anual de Saúde, ambas ap</w:t>
      </w:r>
      <w:r>
        <w:rPr>
          <w:rFonts w:ascii="Cambria" w:hAnsi="Cambria" w:cs="Cambria"/>
          <w:sz w:val="18"/>
          <w:szCs w:val="18"/>
        </w:rPr>
        <w:t xml:space="preserve">rovada pelo Conselho Municipal de Saúde.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DESCRIÇÃODOS REQUISITOS DACONTRATAÇÃO </w:t>
      </w:r>
      <w:r>
        <w:rPr>
          <w:rFonts w:ascii="Cambria" w:hAnsi="Cambria" w:cs="Cambria"/>
          <w:color w:val="000000" w:themeColor="text1"/>
          <w:sz w:val="18"/>
          <w:szCs w:val="18"/>
        </w:rPr>
      </w:r>
      <w:r/>
    </w:p>
    <w:p>
      <w:pPr>
        <w:jc w:val="both"/>
        <w:rPr>
          <w:rFonts w:ascii="Cambria" w:hAnsi="Cambria" w:cs="Cambria"/>
          <w:sz w:val="18"/>
          <w:szCs w:val="18"/>
          <w:highlight w:val="none"/>
        </w:rPr>
      </w:pPr>
      <w:r>
        <w:rPr>
          <w:rFonts w:ascii="Cambria" w:hAnsi="Cambria" w:cs="Cambria"/>
          <w:sz w:val="18"/>
          <w:szCs w:val="18"/>
        </w:rPr>
        <w:t xml:space="preserve">A aquisição têm natureza de bens comuns, tendo em vista que seus padrões de desempenho e qualidade podem ser objetivamente definidos pelo edital, por meio de especificações usua</w:t>
      </w:r>
      <w:r>
        <w:rPr>
          <w:rFonts w:ascii="Cambria" w:hAnsi="Cambria" w:cs="Cambria"/>
          <w:sz w:val="18"/>
          <w:szCs w:val="18"/>
        </w:rPr>
        <w:t xml:space="preserve">is de mercado, nos termos do art. 6º, inciso XIII, da Lei Federal nº 14.133/2021. </w:t>
      </w:r>
      <w:r>
        <w:rPr>
          <w:rFonts w:ascii="Cambria" w:hAnsi="Cambria" w:cs="Cambria"/>
          <w:sz w:val="18"/>
          <w:szCs w:val="18"/>
        </w:rPr>
      </w:r>
      <w:r/>
    </w:p>
    <w:p>
      <w:pPr>
        <w:jc w:val="both"/>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O prazo de entrega, do objeto licitado deverá ser de até 15 (quinze) dias, a contar do recebimento da Nota de Empenho. Os produtos deverão ser entregues, conforme contato prévio e demanda da fiscal do contrato, na Unidade Básica de Saúde Aparecida, na Rua </w:t>
      </w:r>
      <w:r>
        <w:rPr>
          <w:rFonts w:ascii="Cambria" w:hAnsi="Cambria" w:cs="Cambria"/>
          <w:sz w:val="18"/>
          <w:szCs w:val="18"/>
        </w:rPr>
        <w:t xml:space="preserve">Afonso Vicente Lirio, 12 Bairro Aparecida Santa Bárbara do Sul RS CEP 98240-000 aos Cuidados da Responsável pelo Programa, Servidora Bábara Vanessa Carvalho. A entrega dos produtos envolve a disponibilização dos produtos, no local indicado pelo fiscal O tr</w:t>
      </w:r>
      <w:r>
        <w:rPr>
          <w:rFonts w:ascii="Cambria" w:hAnsi="Cambria" w:cs="Cambria"/>
          <w:sz w:val="18"/>
          <w:szCs w:val="18"/>
        </w:rPr>
        <w:t xml:space="preserve">ansporte, bem como a disponibilização no local indicado, deve ser realizada por funcionários da empresa ou transportadora. A Contratante NÃO irá colocar a disposição servidores para essa finalidade.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ESTIMATIVADAS QUANTIDADES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Solicitação conforme histórico </w:t>
      </w:r>
      <w:r>
        <w:rPr>
          <w:rFonts w:ascii="Cambria" w:hAnsi="Cambria" w:cs="Cambria"/>
          <w:sz w:val="18"/>
          <w:szCs w:val="18"/>
        </w:rPr>
        <w:t xml:space="preserve">de atendimento dos ultimos 12 meses: Fralda descartável - GERIÁTRICA Tamanho Quantidade/MÊS Quantidade/ANO P 150 unidades 1.800 unidades M 450 unidades 5.400 unidades G 3.900 unidades 46.800 unidades EG 4.200 unidades 50.400 unidades Fralda descartável - I</w:t>
      </w:r>
      <w:r>
        <w:rPr>
          <w:rFonts w:ascii="Cambria" w:hAnsi="Cambria" w:cs="Cambria"/>
          <w:sz w:val="18"/>
          <w:szCs w:val="18"/>
        </w:rPr>
        <w:t xml:space="preserve">NFANTIL Tamanho Quantidade/MÊS Quantidade/ANO XXG 600 unidades 7.200 unidades G 150 unidades 1.800 unidades Conforme tabela elaborada pela coordenadora do Programa, estima-se a aquisição de 113.400 unidades de fraldas descartáveis. Atualmente a Secretaria </w:t>
      </w:r>
      <w:r>
        <w:rPr>
          <w:rFonts w:ascii="Cambria" w:hAnsi="Cambria" w:cs="Cambria"/>
          <w:sz w:val="18"/>
          <w:szCs w:val="18"/>
        </w:rPr>
        <w:t xml:space="preserve">Municipal de Saúde conta com 62 pacientes com processo ativo, fazendo jus a retirada mensal das fraldas descartáveis.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ESTIMATIVADOVALOR DACONTRATAÇÃO </w:t>
      </w:r>
      <w:r>
        <w:rPr>
          <w:rFonts w:ascii="Cambria" w:hAnsi="Cambria" w:cs="Cambria"/>
          <w:color w:val="000000" w:themeColor="text1"/>
          <w:sz w:val="18"/>
          <w:szCs w:val="18"/>
        </w:rPr>
      </w:r>
      <w:r/>
    </w:p>
    <w:p>
      <w:pPr>
        <w:jc w:val="both"/>
        <w:rPr>
          <w:rFonts w:ascii="Cambria" w:hAnsi="Cambria" w:cs="Cambria"/>
          <w:sz w:val="18"/>
          <w:szCs w:val="18"/>
          <w:highlight w:val="none"/>
        </w:rPr>
      </w:pPr>
      <w:r>
        <w:rPr>
          <w:rFonts w:ascii="Cambria" w:hAnsi="Cambria" w:cs="Cambria"/>
          <w:sz w:val="18"/>
          <w:szCs w:val="18"/>
        </w:rPr>
        <w:t xml:space="preserve">Tendo como base o Pregão Eletrônico 05/2023 elaborado pelo Comaja, com documento Vencedore do Processo em </w:t>
      </w:r>
      <w:r>
        <w:rPr>
          <w:rFonts w:ascii="Cambria" w:hAnsi="Cambria" w:cs="Cambria"/>
          <w:sz w:val="18"/>
          <w:szCs w:val="18"/>
        </w:rPr>
        <w:t xml:space="preserve">anexo, os valores estimados são: Fralda descartável - GERIÁTRICA Tamanho Quantidade/ANO Valor Unitário Valor Total P 1.800 unidades R$ 1,0700 R$ 1.801,07 M 5.400 unidades R$ 1,0790 R$ 5.826,60 G 46.800 unidades R$ 1,0990 R$ 51.433,20 EG 50.400 unidades R$ </w:t>
      </w:r>
      <w:r>
        <w:rPr>
          <w:rFonts w:ascii="Cambria" w:hAnsi="Cambria" w:cs="Cambria"/>
          <w:sz w:val="18"/>
          <w:szCs w:val="18"/>
        </w:rPr>
        <w:t xml:space="preserve">1,1499 R$ 57.954,96</w:t>
      </w:r>
      <w:r>
        <w:rPr>
          <w:rFonts w:ascii="Cambria" w:hAnsi="Cambria" w:cs="Cambria"/>
          <w:sz w:val="18"/>
          <w:szCs w:val="18"/>
        </w:rPr>
      </w:r>
      <w:r/>
    </w:p>
    <w:p>
      <w:pPr>
        <w:jc w:val="both"/>
        <w:rPr>
          <w:rFonts w:ascii="Cambria" w:hAnsi="Cambria" w:cs="Cambria"/>
          <w:sz w:val="18"/>
          <w:szCs w:val="18"/>
        </w:rPr>
      </w:pPr>
      <w:r>
        <w:rPr>
          <w:rFonts w:ascii="Cambria" w:hAnsi="Cambria" w:cs="Cambria"/>
          <w:sz w:val="18"/>
          <w:szCs w:val="18"/>
          <w:highlight w:val="none"/>
        </w:rPr>
      </w:r>
      <w:r>
        <w:rPr>
          <w:rFonts w:ascii="Cambria" w:hAnsi="Cambria" w:cs="Cambria"/>
          <w:sz w:val="18"/>
          <w:szCs w:val="18"/>
        </w:rPr>
        <w:t xml:space="preserve">Fralda descartável - INFANTIL Tamanho Quantidade/ANO Valor Unitário Valor Total XXG 7.200 unidades R$ 0,6800 R$ 4.896,00 G 1.800 unidades R$ 0,5900 R$ 1.062,00 Totalizando estimativa de R$ 122.973,83 a aquisição de todas as unidades solicitadas. DESCRIÇÃOD</w:t>
      </w:r>
      <w:r>
        <w:rPr>
          <w:rFonts w:ascii="Cambria" w:hAnsi="Cambria" w:cs="Cambria"/>
          <w:sz w:val="18"/>
          <w:szCs w:val="18"/>
        </w:rPr>
        <w:t xml:space="preserve">ASOLUÇÃOCOMO UM TODO</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 A solução proposta visa garantir o bem estar e dignidade dos pacientes que fazem uso regular das fraldas descartáveis através da continuidade dos serviços prestados, em conformidade com a legislação pertinente.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JUSTIFICATIVA PARA O PARCELA</w:t>
      </w:r>
      <w:r>
        <w:rPr>
          <w:rFonts w:ascii="Cambria" w:hAnsi="Cambria" w:cs="Cambria"/>
          <w:sz w:val="18"/>
          <w:szCs w:val="18"/>
        </w:rPr>
        <w:t xml:space="preserve">MENTO OU NÃO DA CONTRATAÇÃO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Indicamos que seja realizado Registro de Preço através de Processo Eletrônico, pela Lei Federal nº 14.133/2021 para que possamos fazer as solitações dos quantitativos conforme demanda, visando a utlização do repasse financeiro, que</w:t>
      </w:r>
      <w:r>
        <w:rPr>
          <w:rFonts w:ascii="Cambria" w:hAnsi="Cambria" w:cs="Cambria"/>
          <w:sz w:val="18"/>
          <w:szCs w:val="18"/>
        </w:rPr>
        <w:t xml:space="preserve"> recebemos mensalmente, bem como que viabilize o estoque desse material, que por ser de alto volume não temos local adequado para manter muitas unidades repressadas, fazendo-se necessário pedidos regulares.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RESULTADOS PRETENDIDOS </w:t>
      </w:r>
      <w:r>
        <w:rPr>
          <w:rFonts w:ascii="Cambria" w:hAnsi="Cambria" w:cs="Cambria"/>
          <w:color w:val="000000" w:themeColor="text1"/>
          <w:sz w:val="18"/>
          <w:szCs w:val="18"/>
        </w:rPr>
      </w:r>
      <w:r/>
    </w:p>
    <w:p>
      <w:pPr>
        <w:jc w:val="both"/>
        <w:rPr>
          <w:rFonts w:ascii="Cambria" w:hAnsi="Cambria" w:cs="Cambria"/>
          <w:sz w:val="18"/>
          <w:szCs w:val="18"/>
        </w:rPr>
      </w:pPr>
      <w:r>
        <w:rPr>
          <w:rFonts w:ascii="Cambria" w:hAnsi="Cambria" w:cs="Cambria"/>
          <w:sz w:val="18"/>
          <w:szCs w:val="18"/>
        </w:rPr>
        <w:t xml:space="preserve">Manutenção da oferta em te</w:t>
      </w:r>
      <w:r>
        <w:rPr>
          <w:rFonts w:ascii="Cambria" w:hAnsi="Cambria" w:cs="Cambria"/>
          <w:sz w:val="18"/>
          <w:szCs w:val="18"/>
        </w:rPr>
        <w:t xml:space="preserve">mpo hábil aos pacientes que necessitam de fraldas descartáveis, evitando o desabastecimento do material, evitando agravar as condições de saúde dos pacientes que já estão vulneráveis. Para que possamos ofercer um item que cumpra com as características elen</w:t>
      </w:r>
      <w:r>
        <w:rPr>
          <w:rFonts w:ascii="Cambria" w:hAnsi="Cambria" w:cs="Cambria"/>
          <w:sz w:val="18"/>
          <w:szCs w:val="18"/>
        </w:rPr>
        <w:t xml:space="preserve">cadas nesse pedido, solicitamos que seja disponibilizada amostra das fraldas para análise da equipe de gestão do programa de distribuição das fraldas. POSSÍVEIS IMPACTOS AMBIENTAIS Exige-se que a contratada se responsabilize em estar em acordo com as exigê</w:t>
      </w:r>
      <w:r>
        <w:rPr>
          <w:rFonts w:ascii="Cambria" w:hAnsi="Cambria" w:cs="Cambria"/>
          <w:sz w:val="18"/>
          <w:szCs w:val="18"/>
        </w:rPr>
        <w:t xml:space="preserve">ncias da agência reguladora, no que tange as condições de sustentabilidade aplicadas à essa questão. Respeitar e fazer cumprir a legislação de proteção ao meio ambiente, previstas nas normas regulamentadoras pertinentes e respeitar as Normas Brasileiras - </w:t>
      </w:r>
      <w:r>
        <w:rPr>
          <w:rFonts w:ascii="Cambria" w:hAnsi="Cambria" w:cs="Cambria"/>
          <w:sz w:val="18"/>
          <w:szCs w:val="18"/>
        </w:rPr>
        <w:t xml:space="preserve">NBR publicadas pela Associação Brasileira de Normas Técnicas sobre resíduos sólidos; </w:t>
      </w:r>
      <w:r>
        <w:rPr>
          <w:rFonts w:ascii="Cambria" w:hAnsi="Cambria" w:cs="Cambria"/>
          <w:color w:val="000000" w:themeColor="text1"/>
          <w:sz w:val="18"/>
          <w:szCs w:val="18"/>
        </w:rPr>
      </w:r>
      <w:r/>
    </w:p>
    <w:p>
      <w:pPr>
        <w:jc w:val="both"/>
        <w:rPr>
          <w:rFonts w:ascii="Cambria" w:hAnsi="Cambria" w:cs="Cambria"/>
          <w:sz w:val="18"/>
          <w:szCs w:val="18"/>
          <w:highlight w:val="none"/>
        </w:rPr>
      </w:pPr>
      <w:r>
        <w:rPr>
          <w:rFonts w:ascii="Cambria" w:hAnsi="Cambria" w:cs="Cambria"/>
          <w:sz w:val="18"/>
          <w:szCs w:val="18"/>
        </w:rPr>
        <w:t xml:space="preserve">DECLARAÇÃODE VIABILIDADE Com base na justificativa e nas especificações técnicas constantes neste Estudo Técnico Preliminar, em seus anexos e na existência de planejamento</w:t>
      </w:r>
      <w:r>
        <w:rPr>
          <w:rFonts w:ascii="Cambria" w:hAnsi="Cambria" w:cs="Cambria"/>
          <w:sz w:val="18"/>
          <w:szCs w:val="18"/>
        </w:rPr>
        <w:t xml:space="preserve"> orçamentário para subsidiar esta contratação, declaramos que a contratação é viável, atendendo aos padrões e preços de mercado. </w:t>
      </w:r>
      <w:r>
        <w:rPr>
          <w:rFonts w:ascii="Cambria" w:hAnsi="Cambria" w:cs="Cambria"/>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both"/>
        <w:rPr>
          <w:rFonts w:ascii="Cambria" w:hAnsi="Cambria" w:cs="Cambria"/>
          <w:color w:val="000000" w:themeColor="text1"/>
          <w:sz w:val="18"/>
          <w:szCs w:val="18"/>
        </w:rPr>
      </w:pPr>
      <w:r>
        <w:rPr>
          <w:rFonts w:ascii="Cambria" w:hAnsi="Cambria" w:cs="Cambria"/>
          <w:color w:val="000000" w:themeColor="text1"/>
          <w:sz w:val="18"/>
          <w:szCs w:val="18"/>
        </w:rPr>
      </w:r>
      <w:r>
        <w:rPr>
          <w:rFonts w:ascii="Cambria" w:hAnsi="Cambria" w:cs="Cambria"/>
          <w:color w:val="000000" w:themeColor="text1"/>
          <w:sz w:val="18"/>
          <w:szCs w:val="18"/>
        </w:rPr>
      </w:r>
      <w:r/>
    </w:p>
    <w:p>
      <w:pPr>
        <w:jc w:val="center"/>
      </w:pPr>
      <w:r>
        <w:rPr>
          <w:rFonts w:ascii="Cambria" w:hAnsi="Cambria" w:cs="Cambria"/>
          <w:color w:val="000000" w:themeColor="text1"/>
          <w:sz w:val="18"/>
          <w:szCs w:val="18"/>
        </w:rPr>
        <w:t xml:space="preserve">Clediane Pinto</w:t>
      </w:r>
      <w:r/>
    </w:p>
    <w:p>
      <w:pPr>
        <w:jc w:val="center"/>
        <w:rPr>
          <w:rFonts w:ascii="Cambria" w:hAnsi="Cambria" w:cs="Cambria"/>
          <w:color w:val="000000" w:themeColor="text1"/>
          <w:highlight w:val="none"/>
        </w:rPr>
      </w:pPr>
      <w:r>
        <w:rPr>
          <w:rFonts w:ascii="Cambria" w:hAnsi="Cambria" w:cs="Cambria"/>
          <w:color w:val="000000" w:themeColor="text1"/>
          <w:sz w:val="18"/>
          <w:szCs w:val="18"/>
          <w:highlight w:val="none"/>
        </w:rPr>
        <w:t xml:space="preserve">Secretária de Saúde</w:t>
      </w:r>
      <w:r/>
    </w:p>
    <w:p>
      <w:pPr>
        <w:jc w:val="both"/>
        <w:rPr>
          <w:rFonts w:ascii="Cambria" w:hAnsi="Cambria" w:cs="Cambria"/>
          <w:color w:val="000000" w:themeColor="text1"/>
          <w:sz w:val="18"/>
          <w:szCs w:val="18"/>
        </w:rPr>
      </w:pPr>
      <w:r>
        <w:rPr>
          <w:rFonts w:ascii="Cambria" w:hAnsi="Cambria" w:cs="Cambria"/>
          <w:sz w:val="18"/>
          <w:szCs w:val="18"/>
          <w:highlight w:val="none"/>
        </w:rPr>
      </w:r>
      <w:r>
        <w:rPr>
          <w:rFonts w:ascii="Cambria" w:hAnsi="Cambria" w:cs="Cambria"/>
          <w:sz w:val="18"/>
          <w:szCs w:val="18"/>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89" w:right="1134" w:bottom="1418" w:left="1134" w:header="0" w:footer="0" w:gutter="0"/>
      <w:cols w:num="1" w:sep="0" w:space="708" w:equalWidth="1"/>
      <w:docGrid w:linePitch="360"/>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Autor" w:date="2022-12-19T21:03:00Z" w:initials="MM">
    <w:p w14:paraId="00000001" w14:textId="00000001">
      <w:pPr>
        <w:spacing w:line="240" w:after="0" w:lineRule="auto" w:before="0"/>
        <w:ind w:firstLine="0" w:left="0" w:right="0"/>
        <w:jc w:val="left"/>
      </w:pPr>
      <w:r>
        <w:rPr>
          <w:rFonts w:eastAsia="Arial" w:ascii="Arial" w:hAnsi="Arial" w:cs="Arial"/>
          <w:sz w:val="22"/>
        </w:rPr>
        <w:t xml:space="preserve">Nota Explicativa1: Neste momento, a área técnica competente deverá indicar se a contratação utilizará a garantia de execução ou não. As regras especificas sobre garantia, pelo seu caráter jurídico, estarão previstas no contrato e deverão ser nele inseridas caso haja indicação positiva no Termo de Referência. Caso não haja uso de minuta contratual, recomenda-se copiar e colar aqui as regras do contrato sobre esse assunto.</w:t>
      </w:r>
    </w:p>
    <w:p w14:paraId="00000002" w14:textId="00000002">
      <w:pPr>
        <w:spacing w:line="240" w:after="0" w:lineRule="auto" w:before="0"/>
        <w:ind w:firstLine="0" w:left="0" w:right="0"/>
        <w:jc w:val="left"/>
      </w:pPr>
      <w:r>
        <w:rPr>
          <w:rFonts w:eastAsia="Arial" w:ascii="Arial" w:hAnsi="Arial" w:cs="Arial"/>
          <w:sz w:val="22"/>
        </w:rPr>
        <w:t xml:space="preserve"/>
      </w:r>
    </w:p>
    <w:p w14:paraId="00000003" w14:textId="00000003">
      <w:pPr>
        <w:spacing w:line="240" w:after="0" w:lineRule="auto" w:before="0"/>
        <w:ind w:firstLine="0" w:left="0" w:right="0"/>
        <w:jc w:val="left"/>
      </w:pPr>
      <w:r>
        <w:rPr>
          <w:rFonts w:eastAsia="Arial" w:ascii="Arial" w:hAnsi="Arial" w:cs="Arial"/>
          <w:sz w:val="22"/>
        </w:rPr>
        <w:t xml:space="preserve">Nota Explicativa 2: O percentual da garantia será de:</w:t>
      </w:r>
    </w:p>
    <w:p w14:paraId="00000004" w14:textId="00000004">
      <w:pPr>
        <w:spacing w:line="240" w:after="0" w:lineRule="auto" w:before="0"/>
        <w:ind w:firstLine="0" w:left="0" w:right="0"/>
        <w:jc w:val="left"/>
      </w:pPr>
      <w:r>
        <w:rPr>
          <w:rFonts w:eastAsia="Arial" w:ascii="Arial" w:hAnsi="Arial" w:cs="Arial"/>
          <w:sz w:val="22"/>
        </w:rPr>
        <w:t xml:space="preserve">a) até 5% (cinco por cento) do valor inicial do contrato, para contratações em geral;</w:t>
      </w:r>
    </w:p>
    <w:p w14:paraId="00000005" w14:textId="00000005">
      <w:pPr>
        <w:spacing w:line="240" w:after="0" w:lineRule="auto" w:before="0"/>
        <w:ind w:firstLine="0" w:left="0" w:right="0"/>
        <w:jc w:val="left"/>
      </w:pPr>
      <w:r>
        <w:rPr>
          <w:rFonts w:eastAsia="Arial" w:ascii="Arial" w:hAnsi="Arial" w:cs="Arial"/>
          <w:sz w:val="22"/>
        </w:rPr>
        <w:t xml:space="preserve">b) até 10% (dez por cento) do valor inicial do contrato, nos casos de alta complexidade técnica e riscos envolvidos, caso em que deverá haver justificativa específica nos autos;</w:t>
      </w:r>
    </w:p>
    <w:p w14:paraId="00000006" w14:textId="00000006">
      <w:pPr>
        <w:spacing w:line="240" w:after="0" w:lineRule="auto" w:before="0"/>
        <w:ind w:firstLine="0" w:left="0" w:right="0"/>
        <w:jc w:val="left"/>
      </w:pPr>
      <w:r>
        <w:rPr>
          <w:rFonts w:eastAsia="Arial" w:ascii="Arial" w:hAnsi="Arial" w:cs="Arial"/>
          <w:sz w:val="22"/>
        </w:rPr>
        <w:t xml:space="preserve">c) ser acrescido de garantia adicional aos percentuais citados anteriormente, em casos de previsão de antecipação de pagamento, nos termos do art. 145, § 2º, da Lei nº 14.133, de 2021.</w:t>
      </w:r>
    </w:p>
    <w:p w14:paraId="00000007" w14:textId="00000007">
      <w:pPr>
        <w:spacing w:line="240" w:after="0" w:lineRule="auto" w:before="0"/>
        <w:ind w:firstLine="0" w:left="0" w:right="0"/>
        <w:jc w:val="left"/>
      </w:pPr>
      <w:r>
        <w:rPr>
          <w:rFonts w:eastAsia="Arial" w:ascii="Arial" w:hAnsi="Arial" w:cs="Arial"/>
          <w:sz w:val="22"/>
        </w:rPr>
        <w:t xml:space="preserve"/>
      </w:r>
    </w:p>
    <w:p w14:paraId="00000008" w14:textId="00000008">
      <w:pPr>
        <w:spacing w:line="240" w:after="0" w:lineRule="auto" w:before="0"/>
        <w:ind w:firstLine="0" w:left="0" w:right="0"/>
        <w:jc w:val="left"/>
      </w:pPr>
      <w:r>
        <w:rPr>
          <w:rFonts w:eastAsia="Arial" w:ascii="Arial" w:hAnsi="Arial" w:cs="Arial"/>
          <w:sz w:val="22"/>
        </w:rPr>
        <w:t xml:space="preserve">Nota Explicativa 3: No art. 96, §3º, da Lei nº 14.133, de 2021, há previsão apenas do prazo para apresentação da garantia na modalidade seguro-garantia, em contratações precedidas de licitações, caso em que o prazo deverá ser contado da homologação da licitação. Nas demais modalidades, deverá a Administração prever o prazo e o termo início de sua contagem para a apresentação da garantia. Como o seguro-garantia, nos termos da lei, teria de ser pré-contratual, esta disposição deve estar contida neste documento igualmente pré-contratual.</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8" w15:done="0"/>
</w15:commentsEx>
</file>

<file path=word/commentsIds.xml><?xml version="1.0" encoding="utf-8"?>
<w16cid:commentsIds xmlns:mc="http://schemas.openxmlformats.org/markup-compatibility/2006" xmlns:w16cid="http://schemas.microsoft.com/office/word/2016/wordml/cid" mc:Ignorable="w16cid">
  <w16cid:commentId w16cid:paraId="00000008" w16cid:durableId="615A1C6B"/>
</w16cid:commentsIds>
</file>

<file path=word/commentsIdsDocument.xml><?xml version="1.0" encoding="utf-8"?>
<w16cid:commentsIds xmlns:mc="http://schemas.openxmlformats.org/markup-compatibility/2006" xmlns:w16cid="http://schemas.microsoft.com/office/word/2016/wordml/cid" mc:Ignorable="w16cid">
  <w16cid:commentId w16cid:paraId="00000008" w16cid:durableId="18B3211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Zurich BT">
    <w:panose1 w:val="02000603000000000000"/>
  </w:font>
  <w:font w:name="Cambria">
    <w:panose1 w:val="02040503050406030204"/>
  </w:font>
  <w:font w:name="Courier New">
    <w:panose1 w:val="02070309020205020404"/>
  </w:font>
  <w:font w:name="Symbol">
    <w:panose1 w:val="05050102010706020507"/>
  </w:font>
  <w:font w:name="Lucida Sans">
    <w:panose1 w:val="020B0602030504020204"/>
  </w:font>
  <w:font w:name="Wingdings">
    <w:panose1 w:val="05000000000000000000"/>
  </w:font>
  <w:font w:name="MS Gothic">
    <w:panose1 w:val="020B0609070205080204"/>
  </w:font>
  <w:font w:name="Liberation Serif">
    <w:panose1 w:val="02020603050405020304"/>
  </w:font>
  <w:font w:name="WenQuanYi Micro Hei">
    <w:panose1 w:val="02000603000000000000"/>
  </w:font>
  <w:font w:name="Calibri">
    <w:panose1 w:val="020F0502020204030204"/>
  </w:font>
  <w:font w:name="NSimSun">
    <w:panose1 w:val="02010609030101010101"/>
  </w:font>
  <w:font w:name="CIDFont">
    <w:panose1 w:val="02000603000000000000"/>
  </w:font>
  <w:font w:name="Arial">
    <w:panose1 w:val="020B0604020202020204"/>
  </w:font>
  <w:font w:name="MS Mincho">
    <w:panose1 w:val="02020503050405090304"/>
  </w:font>
  <w:font w:name="Tahoma">
    <w:panose1 w:val="020B0604030504040204"/>
  </w:font>
  <w:font w:name="Lohit Hindi">
    <w:panose1 w:val="02000603000000000000"/>
  </w:font>
  <w:font w:name="Ecofont_Spranq_eco_Sans">
    <w:panose1 w:val="02000603000000000000"/>
  </w:font>
  <w:font w:name="SimSun">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6111550"/>
      <w:rPr/>
    </w:sdtPr>
    <w:sdtContent>
      <w:p>
        <w:pPr>
          <w:pStyle w:val="1094"/>
          <w:rPr>
            <w:rFonts w:ascii="Arial" w:hAnsi="Arial" w:cs="Arial"/>
            <w:sz w:val="14"/>
            <w:szCs w:val="14"/>
          </w:rPr>
        </w:pPr>
        <w:r/>
        <w:bookmarkStart w:id="91" w:name="_Hlk135299703"/>
        <w:r/>
        <w:bookmarkEnd w:id="91"/>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trPr>
        <w:trHeight w:val="300"/>
      </w:trPr>
      <w:tc>
        <w:tcPr>
          <w:tcW w:w="3210" w:type="dxa"/>
          <w:textDirection w:val="lrTb"/>
          <w:noWrap w:val="false"/>
        </w:tcPr>
        <w:p>
          <w:pPr>
            <w:pStyle w:val="889"/>
            <w:ind w:left="-115"/>
          </w:pPr>
          <w:r/>
          <w:r/>
        </w:p>
      </w:tc>
      <w:tc>
        <w:tcPr>
          <w:tcW w:w="3210" w:type="dxa"/>
          <w:textDirection w:val="lrTb"/>
          <w:noWrap w:val="false"/>
        </w:tcPr>
        <w:p>
          <w:pPr>
            <w:pStyle w:val="889"/>
            <w:jc w:val="center"/>
          </w:pPr>
          <w:r/>
          <w:r/>
        </w:p>
      </w:tc>
      <w:tc>
        <w:tcPr>
          <w:tcW w:w="3210" w:type="dxa"/>
          <w:textDirection w:val="lrTb"/>
          <w:noWrap w:val="false"/>
        </w:tcPr>
        <w:p>
          <w:pPr>
            <w:pStyle w:val="889"/>
            <w:ind w:right="-115"/>
            <w:jc w:val="right"/>
          </w:pPr>
          <w:r/>
          <w:r/>
        </w:p>
      </w:tc>
    </w:tr>
  </w:tbl>
  <w:p>
    <w:pPr>
      <w:pStyle w:val="891"/>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1" locked="0" layoutInCell="1" allowOverlap="1">
              <wp:simplePos x="0" y="0"/>
              <wp:positionH relativeFrom="column">
                <wp:posOffset>369570</wp:posOffset>
              </wp:positionH>
              <wp:positionV relativeFrom="paragraph">
                <wp:posOffset>-654685</wp:posOffset>
              </wp:positionV>
              <wp:extent cx="5654040" cy="831215"/>
              <wp:effectExtent l="0" t="0" r="0" b="0"/>
              <wp:wrapNone/>
              <wp:docPr id="3"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a:off x="0" y="0"/>
                        <a:ext cx="5654040" cy="831215"/>
                      </a:xfrm>
                      <a:prstGeom prst="rect">
                        <a:avLst/>
                      </a:prstGeom>
                    </pic:spPr>
                  </pic:pic>
                </a:graphicData>
              </a:graphic>
              <wp14:sizeRelH relativeFrom="margin">
                <wp14:pctWidth>0</wp14:pctWidth>
              </wp14:sizeRelH>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8240;o:allowoverlap:true;o:allowincell:true;mso-position-horizontal-relative:text;margin-left:29.1pt;mso-position-horizontal:absolute;mso-position-vertical-relative:text;margin-top:-51.5pt;mso-position-vertical:absolute;width:445.2pt;height:65.5pt;mso-wrap-distance-left:9.0pt;mso-wrap-distance-top:0.0pt;mso-wrap-distance-right:9.0pt;mso-wrap-distance-bottom:0.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jc w:val="right"/>
      <w:rPr>
        <w:rFonts w:ascii="Arial" w:hAnsi="Arial" w:cs="Arial"/>
        <w:sz w:val="20"/>
        <w:szCs w:val="20"/>
      </w:rPr>
    </w:pPr>
    <w:r>
      <w:rPr>
        <w:rFonts w:ascii="Arial" w:hAnsi="Arial" w:cs="Arial"/>
        <w:sz w:val="20"/>
        <w:szCs w:val="20"/>
      </w:rPr>
    </w:r>
    <w:r/>
  </w:p>
  <w:p>
    <w:pPr>
      <w:pStyle w:val="889"/>
      <w:jc w:val="right"/>
      <w:rPr>
        <w:rFonts w:ascii="Arial" w:hAnsi="Arial" w:cs="Arial"/>
        <w:sz w:val="20"/>
        <w:szCs w:val="20"/>
      </w:rPr>
    </w:pPr>
    <w:r>
      <mc:AlternateContent>
        <mc:Choice Requires="wpg">
          <w:drawing>
            <wp:inline xmlns:wp="http://schemas.openxmlformats.org/drawingml/2006/wordprocessingDrawing" distT="0" distB="0" distL="0" distR="0">
              <wp:extent cx="2893452" cy="526839"/>
              <wp:effectExtent l="0" t="0" r="0" b="0"/>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164828" name="image2.png" descr="Fundo preto com letras brancas&#10;&#10;Descrição gerada automaticamente"/>
                      <pic:cNvPicPr>
                        <a:picLocks noChangeAspect="1"/>
                      </pic:cNvPicPr>
                      <pic:nvPr/>
                    </pic:nvPicPr>
                    <pic:blipFill>
                      <a:blip r:embed="rId1"/>
                      <a:srcRect l="126" t="0" r="126" b="0"/>
                      <a:stretch/>
                    </pic:blipFill>
                    <pic:spPr bwMode="auto">
                      <a:xfrm flipH="0" flipV="0">
                        <a:off x="0" y="0"/>
                        <a:ext cx="2893452" cy="52683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7.8pt;height:41.5pt;mso-wrap-distance-left:0.0pt;mso-wrap-distance-top:0.0pt;mso-wrap-distance-right:0.0pt;mso-wrap-distance-bottom:0.0pt;" stroked="false">
              <v:path textboxrect="0,0,0,0"/>
              <v:imagedata r:id="rId1" o:title=""/>
            </v:shape>
          </w:pict>
        </mc:Fallback>
      </mc:AlternateContent>
    </w:r>
    <w:r/>
  </w:p>
  <w:p>
    <w:pPr>
      <w:pStyle w:val="889"/>
      <w:jc w:val="right"/>
      <w:rPr>
        <w:rFonts w:ascii="Arial" w:hAnsi="Arial" w:cs="Arial"/>
        <w:sz w:val="20"/>
        <w:szCs w:val="20"/>
      </w:rPr>
    </w:pPr>
    <w:r>
      <w:rPr>
        <w:rFonts w:ascii="Arial" w:hAnsi="Arial" w:cs="Arial"/>
        <w:sz w:val="20"/>
        <w:szCs w:val="20"/>
      </w:rPr>
    </w:r>
    <w:r/>
  </w:p>
  <w:p>
    <w:pPr>
      <w:pStyle w:val="889"/>
      <w:jc w:val="right"/>
      <w:rPr>
        <w:rFonts w:ascii="Cambria" w:hAnsi="Cambria" w:cs="Cambria"/>
        <w:sz w:val="18"/>
        <w:szCs w:val="18"/>
      </w:rPr>
    </w:pPr>
    <w:r>
      <w:rPr>
        <w:rFonts w:ascii="Cambria" w:hAnsi="Cambria" w:cs="Cambria"/>
        <w:sz w:val="18"/>
        <w:szCs w:val="18"/>
      </w:rPr>
      <w:t xml:space="preserve">EDITAL - PREGÃO ELETRÔNICO Nº 08/2024</w:t>
    </w:r>
    <w:r>
      <w:rPr>
        <w:rFonts w:ascii="Cambria" w:hAnsi="Cambria" w:cs="Cambria"/>
        <w:sz w:val="22"/>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inline xmlns:wp="http://schemas.openxmlformats.org/drawingml/2006/wordprocessingDrawing" distT="0" distB="0" distL="0" distR="0">
              <wp:extent cx="6179820" cy="1125220"/>
              <wp:effectExtent l="0" t="0" r="0" b="0"/>
              <wp:docPr id="2"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a:off x="0" y="0"/>
                        <a:ext cx="6179820" cy="112522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86.6pt;height:88.6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
    <w:multiLevelType w:val="hybridMultilevel"/>
    <w:lvl w:ilvl="0">
      <w:start w:val="4"/>
      <w:numFmt w:val="decimal"/>
      <w:isLgl w:val="false"/>
      <w:suff w:val="tab"/>
      <w:lvlText w:val="%1"/>
      <w:lvlJc w:val="left"/>
      <w:pPr>
        <w:ind w:left="420" w:hanging="420"/>
      </w:pPr>
      <w:rPr>
        <w:rFonts w:hint="default"/>
      </w:rPr>
    </w:lvl>
    <w:lvl w:ilvl="1">
      <w:start w:val="4"/>
      <w:numFmt w:val="decimal"/>
      <w:isLgl w:val="false"/>
      <w:suff w:val="tab"/>
      <w:lvlText w:val="%1.%2"/>
      <w:lvlJc w:val="left"/>
      <w:pPr>
        <w:ind w:left="420" w:hanging="420"/>
      </w:pPr>
      <w:rPr>
        <w:rFonts w:hint="default"/>
        <w:color w:val="000000" w:themeColor="text1"/>
        <w:highlight w:val="none"/>
      </w:rPr>
    </w:lvl>
    <w:lvl w:ilvl="2">
      <w:start w:val="3"/>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720" w:hanging="72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080" w:hanging="108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440" w:hanging="1440"/>
      </w:pPr>
      <w:rPr>
        <w:rFonts w:hint="default"/>
      </w:rPr>
    </w:lvl>
  </w:abstractNum>
  <w:abstractNum w:abstractNumId="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3">
    <w:multiLevelType w:val="hybridMultilevel"/>
    <w:lvl w:ilvl="0">
      <w:start w:val="4"/>
      <w:numFmt w:val="decimal"/>
      <w:isLgl w:val="false"/>
      <w:suff w:val="tab"/>
      <w:lvlText w:val="%1"/>
      <w:lvlJc w:val="left"/>
      <w:pPr>
        <w:ind w:left="420" w:hanging="420"/>
      </w:pPr>
      <w:rPr>
        <w:rFonts w:hint="default"/>
        <w:i w:val="0"/>
        <w:color w:val="auto"/>
      </w:rPr>
    </w:lvl>
    <w:lvl w:ilvl="1">
      <w:start w:val="4"/>
      <w:numFmt w:val="decimal"/>
      <w:isLgl w:val="false"/>
      <w:suff w:val="tab"/>
      <w:lvlText w:val="%1.%2"/>
      <w:lvlJc w:val="left"/>
      <w:pPr>
        <w:ind w:left="420" w:hanging="420"/>
      </w:pPr>
      <w:rPr>
        <w:rFonts w:hint="default"/>
        <w:i w:val="0"/>
        <w:color w:val="auto"/>
      </w:rPr>
    </w:lvl>
    <w:lvl w:ilvl="2">
      <w:start w:val="1"/>
      <w:numFmt w:val="decimal"/>
      <w:isLgl w:val="false"/>
      <w:suff w:val="tab"/>
      <w:lvlText w:val="%1.%2.%3"/>
      <w:lvlJc w:val="left"/>
      <w:pPr>
        <w:ind w:left="720" w:hanging="720"/>
      </w:pPr>
      <w:rPr>
        <w:rFonts w:hint="default"/>
        <w:i w:val="0"/>
        <w:color w:val="auto"/>
      </w:rPr>
    </w:lvl>
    <w:lvl w:ilvl="3">
      <w:start w:val="1"/>
      <w:numFmt w:val="decimal"/>
      <w:isLgl w:val="false"/>
      <w:suff w:val="tab"/>
      <w:lvlText w:val="%1.%2.%3.%4"/>
      <w:lvlJc w:val="left"/>
      <w:pPr>
        <w:ind w:left="720" w:hanging="720"/>
      </w:pPr>
      <w:rPr>
        <w:rFonts w:hint="default"/>
        <w:i w:val="0"/>
        <w:color w:val="auto"/>
      </w:rPr>
    </w:lvl>
    <w:lvl w:ilvl="4">
      <w:start w:val="1"/>
      <w:numFmt w:val="decimal"/>
      <w:isLgl w:val="false"/>
      <w:suff w:val="tab"/>
      <w:lvlText w:val="%1.%2.%3.%4.%5"/>
      <w:lvlJc w:val="left"/>
      <w:pPr>
        <w:ind w:left="720" w:hanging="720"/>
      </w:pPr>
      <w:rPr>
        <w:rFonts w:hint="default"/>
        <w:i w:val="0"/>
        <w:color w:val="auto"/>
      </w:rPr>
    </w:lvl>
    <w:lvl w:ilvl="5">
      <w:start w:val="1"/>
      <w:numFmt w:val="decimal"/>
      <w:isLgl w:val="false"/>
      <w:suff w:val="tab"/>
      <w:lvlText w:val="%1.%2.%3.%4.%5.%6"/>
      <w:lvlJc w:val="left"/>
      <w:pPr>
        <w:ind w:left="1080" w:hanging="1080"/>
      </w:pPr>
      <w:rPr>
        <w:rFonts w:hint="default"/>
        <w:i w:val="0"/>
        <w:color w:val="auto"/>
      </w:rPr>
    </w:lvl>
    <w:lvl w:ilvl="6">
      <w:start w:val="1"/>
      <w:numFmt w:val="decimal"/>
      <w:isLgl w:val="false"/>
      <w:suff w:val="tab"/>
      <w:lvlText w:val="%1.%2.%3.%4.%5.%6.%7"/>
      <w:lvlJc w:val="left"/>
      <w:pPr>
        <w:ind w:left="1080" w:hanging="1080"/>
      </w:pPr>
      <w:rPr>
        <w:rFonts w:hint="default"/>
        <w:i w:val="0"/>
        <w:color w:val="auto"/>
      </w:rPr>
    </w:lvl>
    <w:lvl w:ilvl="7">
      <w:start w:val="1"/>
      <w:numFmt w:val="decimal"/>
      <w:isLgl w:val="false"/>
      <w:suff w:val="tab"/>
      <w:lvlText w:val="%1.%2.%3.%4.%5.%6.%7.%8"/>
      <w:lvlJc w:val="left"/>
      <w:pPr>
        <w:ind w:left="1440" w:hanging="1440"/>
      </w:pPr>
      <w:rPr>
        <w:rFonts w:hint="default"/>
        <w:i w:val="0"/>
        <w:color w:val="auto"/>
      </w:rPr>
    </w:lvl>
    <w:lvl w:ilvl="8">
      <w:start w:val="1"/>
      <w:numFmt w:val="decimal"/>
      <w:isLgl w:val="false"/>
      <w:suff w:val="tab"/>
      <w:lvlText w:val="%1.%2.%3.%4.%5.%6.%7.%8.%9"/>
      <w:lvlJc w:val="left"/>
      <w:pPr>
        <w:ind w:left="1440" w:hanging="1440"/>
      </w:pPr>
      <w:rPr>
        <w:rFonts w:hint="default"/>
        <w:i w:val="0"/>
        <w:color w:val="auto"/>
      </w:rPr>
    </w:lvl>
  </w:abstractNum>
  <w:abstractNum w:abstractNumId="4">
    <w:multiLevelType w:val="hybridMultilevel"/>
    <w:lvl w:ilvl="0">
      <w:start w:val="1"/>
      <w:numFmt w:val="bullet"/>
      <w:pStyle w:val="884"/>
      <w:isLgl w:val="false"/>
      <w:suff w:val="tab"/>
      <w:lvlText w:val=""/>
      <w:lvlJc w:val="left"/>
      <w:pPr>
        <w:ind w:left="1492" w:hanging="360"/>
        <w:tabs>
          <w:tab w:val="left"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55"/>
      <w:isLgl w:val="false"/>
      <w:suff w:val="tab"/>
      <w:lvlText w:val="%1."/>
      <w:lvlJc w:val="left"/>
      <w:pPr>
        <w:ind w:left="360" w:hanging="360"/>
      </w:pPr>
      <w:rPr>
        <w:b/>
      </w:rPr>
    </w:lvl>
    <w:lvl w:ilvl="1">
      <w:start w:val="1"/>
      <w:numFmt w:val="decimal"/>
      <w:pStyle w:val="857"/>
      <w:isLgl w:val="false"/>
      <w:suff w:val="tab"/>
      <w:lvlText w:val="%1.%2."/>
      <w:lvlJc w:val="left"/>
      <w:pPr>
        <w:ind w:left="999" w:hanging="432"/>
      </w:pPr>
      <w:rPr>
        <w:b w:val="0"/>
        <w:i w:val="0"/>
        <w:strike w:val="0"/>
        <w:color w:val="auto"/>
        <w:sz w:val="20"/>
        <w:szCs w:val="20"/>
        <w:u w:val="none"/>
      </w:rPr>
    </w:lvl>
    <w:lvl w:ilvl="2">
      <w:start w:val="1"/>
      <w:numFmt w:val="decimal"/>
      <w:pStyle w:val="858"/>
      <w:isLgl w:val="false"/>
      <w:suff w:val="tab"/>
      <w:lvlText w:val="%1.%2.%3."/>
      <w:lvlJc w:val="left"/>
      <w:pPr>
        <w:ind w:left="3198" w:hanging="504"/>
      </w:pPr>
      <w:rPr>
        <w:rFonts w:hint="default" w:ascii="Arial" w:hAnsi="Arial" w:cs="Arial"/>
        <w:b w:val="0"/>
        <w:i w:val="0"/>
        <w:strike w:val="0"/>
        <w:color w:val="auto"/>
        <w:sz w:val="20"/>
        <w:szCs w:val="20"/>
      </w:rPr>
    </w:lvl>
    <w:lvl w:ilvl="3">
      <w:start w:val="1"/>
      <w:numFmt w:val="decimal"/>
      <w:pStyle w:val="859"/>
      <w:isLgl w:val="false"/>
      <w:suff w:val="tab"/>
      <w:lvlText w:val="%1.%2.%3.%4."/>
      <w:lvlJc w:val="left"/>
      <w:pPr>
        <w:ind w:left="2491" w:hanging="648"/>
      </w:pPr>
    </w:lvl>
    <w:lvl w:ilvl="4">
      <w:start w:val="1"/>
      <w:numFmt w:val="decimal"/>
      <w:pStyle w:val="860"/>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6">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0" w:leader="none"/>
        </w:tabs>
      </w:pPr>
      <w:rPr>
        <w:b/>
      </w:rPr>
    </w:lvl>
    <w:lvl w:ilvl="1">
      <w:start w:val="3"/>
      <w:numFmt w:val="decimal"/>
      <w:isLgl w:val="false"/>
      <w:suff w:val="tab"/>
      <w:lvlText w:val="%1.%2."/>
      <w:lvlJc w:val="left"/>
      <w:pPr>
        <w:ind w:left="999" w:hanging="432"/>
        <w:tabs>
          <w:tab w:val="num" w:pos="0" w:leader="none"/>
        </w:tabs>
      </w:pPr>
      <w:rPr>
        <w:rFonts w:ascii="Cambria" w:hAnsi="Cambria" w:eastAsia="Cambria" w:cs="Cambria"/>
        <w:b w:val="0"/>
        <w:i w:val="0"/>
        <w:strike w:val="0"/>
        <w:color w:val="auto"/>
        <w:sz w:val="18"/>
        <w:szCs w:val="20"/>
        <w:u w:val="none"/>
      </w:rPr>
    </w:lvl>
    <w:lvl w:ilvl="2">
      <w:start w:val="1"/>
      <w:numFmt w:val="decimal"/>
      <w:isLgl w:val="false"/>
      <w:suff w:val="tab"/>
      <w:lvlText w:val="%1.%2.%3."/>
      <w:lvlJc w:val="left"/>
      <w:pPr>
        <w:ind w:left="1638" w:hanging="504"/>
        <w:tabs>
          <w:tab w:val="num" w:pos="0" w:leader="none"/>
        </w:tabs>
      </w:pPr>
      <w:rPr>
        <w:rFonts w:ascii="Cambria" w:hAnsi="Cambria" w:eastAsia="Cambria" w:cs="Cambria"/>
        <w:b w:val="0"/>
        <w:i w:val="0"/>
        <w:strike w:val="0"/>
        <w:color w:val="auto"/>
        <w:sz w:val="18"/>
        <w:szCs w:val="20"/>
      </w:rPr>
    </w:lvl>
    <w:lvl w:ilvl="3">
      <w:start w:val="1"/>
      <w:numFmt w:val="decimal"/>
      <w:isLgl w:val="false"/>
      <w:suff w:val="tab"/>
      <w:lvlText w:val="%1.%2.%3.%4."/>
      <w:lvlJc w:val="left"/>
      <w:pPr>
        <w:ind w:left="2491" w:hanging="648"/>
        <w:tabs>
          <w:tab w:val="num" w:pos="0" w:leader="none"/>
        </w:tabs>
      </w:pPr>
      <w:rPr>
        <w:rFonts w:ascii="Cambria" w:hAnsi="Cambria" w:eastAsia="Cambria" w:cs="Cambria"/>
        <w:color w:val="000000" w:themeColor="text1"/>
        <w:sz w:val="18"/>
      </w:rPr>
    </w:lvl>
    <w:lvl w:ilvl="4">
      <w:start w:val="1"/>
      <w:numFmt w:val="decimal"/>
      <w:isLgl w:val="false"/>
      <w:suff w:val="tab"/>
      <w:lvlText w:val="%1.%2.%3.%4.%5."/>
      <w:lvlJc w:val="left"/>
      <w:pPr>
        <w:ind w:left="2232" w:hanging="792"/>
        <w:tabs>
          <w:tab w:val="num" w:pos="0" w:leader="none"/>
        </w:tabs>
      </w:pPr>
    </w:lvl>
    <w:lvl w:ilvl="5">
      <w:start w:val="1"/>
      <w:numFmt w:val="decimal"/>
      <w:isLgl w:val="false"/>
      <w:suff w:val="tab"/>
      <w:lvlText w:val="%1.%2.%3.%4.%5.%6."/>
      <w:lvlJc w:val="left"/>
      <w:pPr>
        <w:ind w:left="2736" w:hanging="936"/>
        <w:tabs>
          <w:tab w:val="num" w:pos="0" w:leader="none"/>
        </w:tabs>
      </w:pPr>
    </w:lvl>
    <w:lvl w:ilvl="6">
      <w:start w:val="1"/>
      <w:numFmt w:val="decimal"/>
      <w:isLgl w:val="false"/>
      <w:suff w:val="tab"/>
      <w:lvlText w:val="%1.%2.%3.%4.%5.%6.%7."/>
      <w:lvlJc w:val="left"/>
      <w:pPr>
        <w:ind w:left="3240" w:hanging="1080"/>
        <w:tabs>
          <w:tab w:val="num" w:pos="0" w:leader="none"/>
        </w:tabs>
      </w:pPr>
    </w:lvl>
    <w:lvl w:ilvl="7">
      <w:start w:val="1"/>
      <w:numFmt w:val="decimal"/>
      <w:isLgl w:val="false"/>
      <w:suff w:val="tab"/>
      <w:lvlText w:val="%1.%2.%3.%4.%5.%6.%7.%8."/>
      <w:lvlJc w:val="left"/>
      <w:pPr>
        <w:ind w:left="3744" w:hanging="1224"/>
        <w:tabs>
          <w:tab w:val="num" w:pos="0" w:leader="none"/>
        </w:tabs>
      </w:pPr>
    </w:lvl>
    <w:lvl w:ilvl="8">
      <w:start w:val="1"/>
      <w:numFmt w:val="decimal"/>
      <w:isLgl w:val="false"/>
      <w:suff w:val="tab"/>
      <w:lvlText w:val="%1.%2.%3.%4.%5.%6.%7.%8.%9."/>
      <w:lvlJc w:val="left"/>
      <w:pPr>
        <w:ind w:left="4320" w:hanging="1440"/>
        <w:tabs>
          <w:tab w:val="num" w:pos="0" w:leader="none"/>
        </w:tabs>
      </w:pPr>
    </w:lvl>
  </w:abstractNum>
  <w:abstractNum w:abstractNumId="9">
    <w:multiLevelType w:val="hybridMultilevel"/>
    <w:lvl w:ilvl="0">
      <w:start w:val="1"/>
      <w:numFmt w:val="upperRoman"/>
      <w:isLgl w:val="false"/>
      <w:suff w:val="tab"/>
      <w:lvlText w:val="%1)"/>
      <w:lvlJc w:val="left"/>
      <w:pPr>
        <w:ind w:left="1287" w:hanging="720"/>
      </w:pPr>
      <w:rPr>
        <w:rFonts w:hint="default"/>
      </w:r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10">
    <w:multiLevelType w:val="hybridMultilevel"/>
    <w:lvl w:ilvl="0">
      <w:start w:val="1"/>
      <w:numFmt w:val="decimal"/>
      <w:isLgl w:val="false"/>
      <w:suff w:val="tab"/>
      <w:lvlText w:val="%1."/>
      <w:lvlJc w:val="left"/>
      <w:pPr>
        <w:ind w:left="1417" w:hanging="360"/>
      </w:pPr>
    </w:lvl>
    <w:lvl w:ilvl="1">
      <w:start w:val="1"/>
      <w:numFmt w:val="decimal"/>
      <w:isLgl w:val="false"/>
      <w:suff w:val="tab"/>
      <w:lvlText w:val="%1.%2."/>
      <w:lvlJc w:val="left"/>
      <w:pPr>
        <w:ind w:left="1849" w:hanging="432"/>
      </w:pPr>
    </w:lvl>
    <w:lvl w:ilvl="2">
      <w:start w:val="1"/>
      <w:numFmt w:val="decimal"/>
      <w:isLgl w:val="false"/>
      <w:suff w:val="tab"/>
      <w:lvlText w:val="%1.%2.%3."/>
      <w:lvlJc w:val="left"/>
      <w:pPr>
        <w:ind w:left="2281" w:hanging="504"/>
      </w:pPr>
    </w:lvl>
    <w:lvl w:ilvl="3">
      <w:start w:val="1"/>
      <w:numFmt w:val="decimal"/>
      <w:isLgl w:val="false"/>
      <w:suff w:val="tab"/>
      <w:lvlText w:val="%1.%2.%3.%4."/>
      <w:lvlJc w:val="left"/>
      <w:pPr>
        <w:ind w:left="2785" w:hanging="648"/>
      </w:pPr>
    </w:lvl>
    <w:lvl w:ilvl="4">
      <w:start w:val="1"/>
      <w:numFmt w:val="decimal"/>
      <w:isLgl w:val="false"/>
      <w:suff w:val="tab"/>
      <w:lvlText w:val="%1.%2.%3.%4.%5."/>
      <w:lvlJc w:val="left"/>
      <w:pPr>
        <w:ind w:left="3289" w:hanging="792"/>
      </w:pPr>
    </w:lvl>
    <w:lvl w:ilvl="5">
      <w:start w:val="1"/>
      <w:numFmt w:val="decimal"/>
      <w:isLgl w:val="false"/>
      <w:suff w:val="tab"/>
      <w:lvlText w:val="%1.%2.%3.%4.%5.%6."/>
      <w:lvlJc w:val="left"/>
      <w:pPr>
        <w:ind w:left="3793" w:hanging="936"/>
      </w:pPr>
    </w:lvl>
    <w:lvl w:ilvl="6">
      <w:start w:val="1"/>
      <w:numFmt w:val="decimal"/>
      <w:isLgl w:val="false"/>
      <w:suff w:val="tab"/>
      <w:lvlText w:val="%1.%2.%3.%4.%5.%6.%7."/>
      <w:lvlJc w:val="left"/>
      <w:pPr>
        <w:ind w:left="4297" w:hanging="1080"/>
      </w:pPr>
    </w:lvl>
    <w:lvl w:ilvl="7">
      <w:start w:val="1"/>
      <w:numFmt w:val="decimal"/>
      <w:isLgl w:val="false"/>
      <w:suff w:val="tab"/>
      <w:lvlText w:val="%1.%2.%3.%4.%5.%6.%7.%8."/>
      <w:lvlJc w:val="left"/>
      <w:pPr>
        <w:ind w:left="4801" w:hanging="1224"/>
      </w:pPr>
    </w:lvl>
    <w:lvl w:ilvl="8">
      <w:start w:val="1"/>
      <w:numFmt w:val="decimal"/>
      <w:isLgl w:val="false"/>
      <w:suff w:val="tab"/>
      <w:lvlText w:val="%1.%2.%3.%4.%5.%6.%7.%8.%9."/>
      <w:lvlJc w:val="left"/>
      <w:pPr>
        <w:ind w:left="5377" w:hanging="1440"/>
      </w:pPr>
    </w:lvl>
  </w:abstractNum>
  <w:abstractNum w:abstractNumId="11">
    <w:multiLevelType w:val="hybridMultilevel"/>
    <w:lvl w:ilvl="0">
      <w:start w:val="1"/>
      <w:numFmt w:val="decimal"/>
      <w:pStyle w:val="878"/>
      <w:isLgl w:val="false"/>
      <w:suff w:val="tab"/>
      <w:lvlText w:val="%1."/>
      <w:lvlJc w:val="left"/>
      <w:pPr>
        <w:ind w:left="360" w:hanging="360"/>
      </w:pPr>
      <w:rPr>
        <w:rFonts w:hint="default"/>
        <w:b/>
        <w:i w:val="0"/>
      </w:rPr>
    </w:lvl>
    <w:lvl w:ilvl="1">
      <w:start w:val="1"/>
      <w:numFmt w:val="decimal"/>
      <w:isLgl w:val="false"/>
      <w:suff w:val="space"/>
      <w:lvlText w:val="%1.%2."/>
      <w:lvlJc w:val="left"/>
      <w:pPr>
        <w:ind w:left="426" w:firstLine="0"/>
      </w:pPr>
      <w:rPr>
        <w:rFonts w:hint="default" w:asciiTheme="minorHAnsi" w:hAnsiTheme="minorHAnsi" w:cstheme="minorHAnsi"/>
        <w:b w:val="0"/>
        <w:i w:val="0"/>
        <w:color w:val="auto"/>
        <w:sz w:val="20"/>
        <w:szCs w:val="20"/>
      </w:rPr>
    </w:lvl>
    <w:lvl w:ilvl="2">
      <w:start w:val="1"/>
      <w:numFmt w:val="decimal"/>
      <w:isLgl w:val="false"/>
      <w:suff w:val="space"/>
      <w:lvlText w:val="%1.%2.%3."/>
      <w:lvlJc w:val="left"/>
      <w:pPr>
        <w:ind w:left="1135" w:firstLine="0"/>
      </w:pPr>
      <w:rPr>
        <w:rFonts w:hint="default"/>
        <w:b w:val="0"/>
        <w:i w:val="0"/>
        <w:color w:val="auto"/>
        <w:sz w:val="20"/>
        <w:szCs w:val="20"/>
      </w:rPr>
    </w:lvl>
    <w:lvl w:ilvl="3">
      <w:start w:val="1"/>
      <w:numFmt w:val="decimal"/>
      <w:isLgl w:val="false"/>
      <w:suff w:val="space"/>
      <w:lvlText w:val="%1.%2.%3.%4."/>
      <w:lvlJc w:val="left"/>
      <w:pPr>
        <w:ind w:left="1985" w:firstLine="0"/>
      </w:pPr>
      <w:rPr>
        <w:rFonts w:hint="default"/>
        <w:b w:val="0"/>
        <w:i w:val="0"/>
      </w:rPr>
    </w:lvl>
    <w:lvl w:ilvl="4">
      <w:start w:val="1"/>
      <w:numFmt w:val="decimal"/>
      <w:isLgl w:val="false"/>
      <w:suff w:val="space"/>
      <w:lvlText w:val="%1.%2.%3.%4.%5."/>
      <w:lvlJc w:val="left"/>
      <w:pPr>
        <w:ind w:left="1134" w:firstLine="0"/>
      </w:pPr>
      <w:rPr>
        <w:rFonts w:hint="default"/>
        <w:b/>
        <w:i w:val="0"/>
      </w:rPr>
    </w:lvl>
    <w:lvl w:ilvl="5">
      <w:start w:val="1"/>
      <w:numFmt w:val="decimal"/>
      <w:isLgl w:val="false"/>
      <w:suff w:val="tab"/>
      <w:lvlText w:val="%1.%2.%3.%4.%5.%6."/>
      <w:lvlJc w:val="left"/>
      <w:pPr>
        <w:ind w:left="2736" w:hanging="936"/>
        <w:tabs>
          <w:tab w:val="left" w:pos="2880" w:leader="none"/>
        </w:tabs>
      </w:pPr>
      <w:rPr>
        <w:rFonts w:hint="default"/>
      </w:rPr>
    </w:lvl>
    <w:lvl w:ilvl="6">
      <w:start w:val="1"/>
      <w:numFmt w:val="decimal"/>
      <w:isLgl w:val="false"/>
      <w:suff w:val="tab"/>
      <w:lvlText w:val="%1.%2.%3.%4.%5.%6.%7."/>
      <w:lvlJc w:val="left"/>
      <w:pPr>
        <w:ind w:left="3240" w:hanging="1080"/>
        <w:tabs>
          <w:tab w:val="left" w:pos="3600" w:leader="none"/>
        </w:tabs>
      </w:pPr>
      <w:rPr>
        <w:rFonts w:hint="default"/>
      </w:rPr>
    </w:lvl>
    <w:lvl w:ilvl="7">
      <w:start w:val="1"/>
      <w:numFmt w:val="decimal"/>
      <w:isLgl w:val="false"/>
      <w:suff w:val="tab"/>
      <w:lvlText w:val="%1.%2.%3.%4.%5.%6.%7.%8."/>
      <w:lvlJc w:val="left"/>
      <w:pPr>
        <w:ind w:left="3744" w:hanging="1224"/>
        <w:tabs>
          <w:tab w:val="left" w:pos="3960" w:leader="none"/>
        </w:tabs>
      </w:pPr>
      <w:rPr>
        <w:rFonts w:hint="default"/>
      </w:rPr>
    </w:lvl>
    <w:lvl w:ilvl="8">
      <w:start w:val="1"/>
      <w:numFmt w:val="decimal"/>
      <w:isLgl w:val="false"/>
      <w:suff w:val="tab"/>
      <w:lvlText w:val="%1.%2.%3.%4.%5.%6.%7.%8.%9."/>
      <w:lvlJc w:val="left"/>
      <w:pPr>
        <w:ind w:left="4320" w:hanging="1440"/>
        <w:tabs>
          <w:tab w:val="left" w:pos="4680" w:leader="none"/>
        </w:tabs>
      </w:pPr>
      <w:rPr>
        <w:rFonts w:hint="default"/>
      </w:rPr>
    </w:lvl>
  </w:abstractNum>
  <w:abstractNum w:abstractNumId="12">
    <w:multiLevelType w:val="hybridMultilevel"/>
    <w:lvl w:ilvl="0">
      <w:start w:val="1"/>
      <w:numFmt w:val="decimal"/>
      <w:isLgl w:val="false"/>
      <w:suff w:val="tab"/>
      <w:lvlText w:val="%1."/>
      <w:lvlJc w:val="left"/>
      <w:pPr>
        <w:ind w:left="360" w:hanging="360"/>
      </w:pPr>
      <w:rPr>
        <w:b/>
        <w:color w:val="auto"/>
      </w:rPr>
    </w:lvl>
    <w:lvl w:ilvl="1">
      <w:start w:val="1"/>
      <w:numFmt w:val="decimal"/>
      <w:isLgl w:val="false"/>
      <w:suff w:val="tab"/>
      <w:lvlText w:val="%1.%2."/>
      <w:lvlJc w:val="left"/>
      <w:pPr>
        <w:ind w:left="1283" w:hanging="432"/>
      </w:pPr>
      <w:rPr>
        <w:sz w:val="20"/>
        <w:szCs w:val="20"/>
      </w:rPr>
    </w:lvl>
    <w:lvl w:ilvl="2">
      <w:start w:val="1"/>
      <w:numFmt w:val="decimal"/>
      <w:pStyle w:val="1143"/>
      <w:isLgl w:val="false"/>
      <w:suff w:val="tab"/>
      <w:lvlText w:val="%1.%2.%3."/>
      <w:lvlJc w:val="left"/>
      <w:pPr>
        <w:ind w:left="1497" w:hanging="504"/>
      </w:pPr>
    </w:lvl>
    <w:lvl w:ilvl="3">
      <w:start w:val="1"/>
      <w:numFmt w:val="decimal"/>
      <w:pStyle w:val="1144"/>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1"/>
      <w:numFmt w:val="decimal"/>
      <w:isLgl w:val="false"/>
      <w:suff w:val="tab"/>
      <w:lvlText w:val="%1."/>
      <w:lvlJc w:val="left"/>
      <w:pPr>
        <w:ind w:left="360" w:hanging="360"/>
      </w:pPr>
      <w:rPr>
        <w:b/>
      </w:rPr>
    </w:lvl>
    <w:lvl w:ilvl="1">
      <w:start w:val="1"/>
      <w:numFmt w:val="decimal"/>
      <w:isLgl w:val="false"/>
      <w:suff w:val="tab"/>
      <w:lvlText w:val="%1.%2."/>
      <w:lvlJc w:val="left"/>
      <w:pPr>
        <w:ind w:left="999" w:hanging="432"/>
      </w:pPr>
      <w:rPr>
        <w:b w:val="0"/>
        <w:i w:val="0"/>
        <w:strike w:val="0"/>
        <w:color w:val="auto"/>
        <w:sz w:val="20"/>
        <w:szCs w:val="20"/>
        <w:u w:val="none"/>
      </w:rPr>
    </w:lvl>
    <w:lvl w:ilvl="2">
      <w:start w:val="1"/>
      <w:numFmt w:val="decimal"/>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isLgl w:val="false"/>
      <w:suff w:val="tab"/>
      <w:lvlText w:val="%1.%2.%3.%4."/>
      <w:lvlJc w:val="left"/>
      <w:pPr>
        <w:ind w:left="2491"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4">
    <w:multiLevelType w:val="hybridMultilevel"/>
    <w:lvl w:ilvl="0">
      <w:start w:val="1"/>
      <w:numFmt w:val="decimal"/>
      <w:pStyle w:val="1059"/>
      <w:isLgl w:val="false"/>
      <w:suff w:val="tab"/>
      <w:lvlText w:val="%1."/>
      <w:lvlJc w:val="left"/>
      <w:pPr>
        <w:ind w:left="7731" w:hanging="360"/>
      </w:pPr>
      <w:rPr>
        <w:b/>
      </w:rPr>
    </w:lvl>
    <w:lvl w:ilvl="1">
      <w:start w:val="1"/>
      <w:numFmt w:val="decimal"/>
      <w:pStyle w:val="1076"/>
      <w:isLgl w:val="false"/>
      <w:suff w:val="tab"/>
      <w:lvlText w:val="%1.%2."/>
      <w:lvlJc w:val="left"/>
      <w:pPr>
        <w:ind w:left="999" w:hanging="432"/>
      </w:pPr>
      <w:rPr>
        <w:b w:val="0"/>
        <w:i w:val="0"/>
        <w:strike w:val="0"/>
        <w:color w:val="auto"/>
        <w:sz w:val="20"/>
        <w:szCs w:val="20"/>
        <w:u w:val="none"/>
      </w:rPr>
    </w:lvl>
    <w:lvl w:ilvl="2">
      <w:start w:val="1"/>
      <w:numFmt w:val="decimal"/>
      <w:pStyle w:val="1078"/>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79"/>
      <w:isLgl w:val="false"/>
      <w:suff w:val="tab"/>
      <w:lvlText w:val="%1.%2.%3.%4."/>
      <w:lvlJc w:val="left"/>
      <w:pPr>
        <w:ind w:left="648" w:hanging="648"/>
      </w:pPr>
      <w:rPr>
        <w:rFonts w:ascii="Cambria" w:hAnsi="Cambria" w:eastAsia="Cambria" w:cs="Cambria"/>
        <w:b w:val="0"/>
        <w:sz w:val="20"/>
      </w:rPr>
    </w:lvl>
    <w:lvl w:ilvl="4">
      <w:start w:val="1"/>
      <w:numFmt w:val="decimal"/>
      <w:pStyle w:val="1080"/>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o"/>
      <w:lvlJc w:val="left"/>
      <w:pPr>
        <w:ind w:left="1429" w:hanging="360"/>
      </w:pPr>
      <w:rPr>
        <w:rFonts w:hint="default" w:ascii="Courier New" w:hAnsi="Courier New" w:eastAsia="Courier New" w:cs="Courier New"/>
      </w:rPr>
    </w:lvl>
    <w:lvl w:ilvl="2">
      <w:start w:val="1"/>
      <w:numFmt w:val="bullet"/>
      <w:isLgl w:val="false"/>
      <w:suff w:val="tab"/>
      <w:lvlText w:val="§"/>
      <w:lvlJc w:val="left"/>
      <w:pPr>
        <w:ind w:left="2149" w:hanging="360"/>
      </w:pPr>
      <w:rPr>
        <w:rFonts w:hint="default" w:ascii="Wingdings" w:hAnsi="Wingdings" w:eastAsia="Wingdings" w:cs="Wingdings"/>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o"/>
      <w:lvlJc w:val="left"/>
      <w:pPr>
        <w:ind w:left="3589" w:hanging="360"/>
      </w:pPr>
      <w:rPr>
        <w:rFonts w:hint="default" w:ascii="Courier New" w:hAnsi="Courier New" w:eastAsia="Courier New" w:cs="Courier New"/>
      </w:rPr>
    </w:lvl>
    <w:lvl w:ilvl="5">
      <w:start w:val="1"/>
      <w:numFmt w:val="bullet"/>
      <w:isLgl w:val="false"/>
      <w:suff w:val="tab"/>
      <w:lvlText w:val="§"/>
      <w:lvlJc w:val="left"/>
      <w:pPr>
        <w:ind w:left="4309" w:hanging="360"/>
      </w:pPr>
      <w:rPr>
        <w:rFonts w:hint="default" w:ascii="Wingdings" w:hAnsi="Wingdings" w:eastAsia="Wingdings" w:cs="Wingdings"/>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o"/>
      <w:lvlJc w:val="left"/>
      <w:pPr>
        <w:ind w:left="5749" w:hanging="360"/>
      </w:pPr>
      <w:rPr>
        <w:rFonts w:hint="default" w:ascii="Courier New" w:hAnsi="Courier New" w:eastAsia="Courier New" w:cs="Courier New"/>
      </w:rPr>
    </w:lvl>
    <w:lvl w:ilvl="8">
      <w:start w:val="1"/>
      <w:numFmt w:val="bullet"/>
      <w:isLgl w:val="false"/>
      <w:suff w:val="tab"/>
      <w:lvlText w:val="§"/>
      <w:lvlJc w:val="left"/>
      <w:pPr>
        <w:ind w:left="6469"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lvl>
    <w:lvl w:ilvl="1">
      <w:start w:val="1"/>
      <w:numFmt w:val="decimal"/>
      <w:isLgl w:val="false"/>
      <w:suff w:val="tab"/>
      <w:lvlText w:val="%1.%2."/>
      <w:lvlJc w:val="left"/>
      <w:pPr/>
    </w:lvl>
    <w:lvl w:ilvl="2">
      <w:start w:val="1"/>
      <w:numFmt w:val="decimal"/>
      <w:isLgl w:val="false"/>
      <w:suff w:val="tab"/>
      <w:lvlText w:val="%1.%2.%3."/>
      <w:lvlJc w:val="left"/>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7">
    <w:multiLevelType w:val="hybridMultilevel"/>
    <w:lvl w:ilvl="0">
      <w:start w:val="1"/>
      <w:numFmt w:val="decimal"/>
      <w:pStyle w:val="1059"/>
      <w:isLgl w:val="false"/>
      <w:suff w:val="tab"/>
      <w:lvlText w:val="%1."/>
      <w:lvlJc w:val="left"/>
      <w:pPr>
        <w:ind w:left="7731" w:hanging="360"/>
      </w:pPr>
      <w:rPr>
        <w:b/>
      </w:rPr>
    </w:lvl>
    <w:lvl w:ilvl="1">
      <w:start w:val="1"/>
      <w:numFmt w:val="decimal"/>
      <w:pStyle w:val="1076"/>
      <w:isLgl w:val="false"/>
      <w:suff w:val="tab"/>
      <w:lvlText w:val="%1.%2."/>
      <w:lvlJc w:val="left"/>
      <w:pPr>
        <w:ind w:left="999" w:hanging="432"/>
      </w:pPr>
      <w:rPr>
        <w:b w:val="0"/>
        <w:i w:val="0"/>
        <w:strike w:val="0"/>
        <w:color w:val="auto"/>
        <w:sz w:val="20"/>
        <w:szCs w:val="20"/>
        <w:u w:val="none"/>
      </w:rPr>
    </w:lvl>
    <w:lvl w:ilvl="2">
      <w:start w:val="1"/>
      <w:numFmt w:val="decimal"/>
      <w:pStyle w:val="1078"/>
      <w:isLgl w:val="false"/>
      <w:suff w:val="tab"/>
      <w:lvlText w:val="%1.%2.%3."/>
      <w:lvlJc w:val="left"/>
      <w:pPr>
        <w:ind w:left="1638" w:hanging="504"/>
      </w:pPr>
      <w:rPr>
        <w:rFonts w:hint="default" w:ascii="Times New Roman" w:hAnsi="Times New Roman" w:eastAsia="Times New Roman" w:cs="Times New Roman"/>
        <w:b w:val="0"/>
        <w:i w:val="0"/>
        <w:strike w:val="0"/>
        <w:color w:val="auto"/>
        <w:sz w:val="20"/>
        <w:szCs w:val="20"/>
      </w:rPr>
    </w:lvl>
    <w:lvl w:ilvl="3">
      <w:start w:val="1"/>
      <w:numFmt w:val="decimal"/>
      <w:pStyle w:val="1079"/>
      <w:isLgl w:val="false"/>
      <w:suff w:val="tab"/>
      <w:lvlText w:val="%1.%2.%3.%4."/>
      <w:lvlJc w:val="left"/>
      <w:pPr>
        <w:ind w:left="648" w:hanging="648"/>
      </w:pPr>
      <w:rPr>
        <w:rFonts w:ascii="Cambria" w:hAnsi="Cambria" w:eastAsia="Cambria" w:cs="Cambria"/>
        <w:b w:val="0"/>
        <w:sz w:val="20"/>
      </w:rPr>
    </w:lvl>
    <w:lvl w:ilvl="4">
      <w:start w:val="1"/>
      <w:numFmt w:val="decimal"/>
      <w:pStyle w:val="1080"/>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8">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19">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0">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1">
    <w:multiLevelType w:val="hybridMultilevel"/>
    <w:lvl w:ilvl="0">
      <w:start w:val="1"/>
      <w:numFmt w:val="bullet"/>
      <w:isLgl w:val="false"/>
      <w:suff w:val="tab"/>
      <w:lvlText w:val="·"/>
      <w:lvlJc w:val="left"/>
      <w:pPr>
        <w:ind w:left="709" w:hanging="360"/>
      </w:pPr>
      <w:rPr>
        <w:rFonts w:hint="default" w:ascii="Symbol" w:hAnsi="Symbol" w:eastAsia="Symbol" w:cs="Symbol"/>
        <w:color w:val="000000"/>
        <w:sz w:val="24"/>
      </w:rPr>
    </w:lvl>
    <w:lvl w:ilvl="1">
      <w:start w:val="1"/>
      <w:numFmt w:val="bullet"/>
      <w:isLgl w:val="false"/>
      <w:suff w:val="tab"/>
      <w:lvlText w:val="·"/>
      <w:lvlJc w:val="left"/>
      <w:pPr>
        <w:ind w:left="1429" w:hanging="360"/>
      </w:pPr>
      <w:rPr>
        <w:rFonts w:hint="default" w:ascii="Symbol" w:hAnsi="Symbol" w:eastAsia="Symbol" w:cs="Symbol"/>
        <w:color w:val="000000"/>
        <w:sz w:val="24"/>
      </w:rPr>
    </w:lvl>
    <w:lvl w:ilvl="2">
      <w:start w:val="1"/>
      <w:numFmt w:val="bullet"/>
      <w:isLgl w:val="false"/>
      <w:suff w:val="tab"/>
      <w:lvlText w:val="·"/>
      <w:lvlJc w:val="left"/>
      <w:pPr>
        <w:ind w:left="2149" w:hanging="360"/>
      </w:pPr>
      <w:rPr>
        <w:rFonts w:hint="default" w:ascii="Symbol" w:hAnsi="Symbol" w:eastAsia="Symbol" w:cs="Symbol"/>
        <w:color w:val="000000"/>
        <w:sz w:val="24"/>
      </w:rPr>
    </w:lvl>
    <w:lvl w:ilvl="3">
      <w:start w:val="1"/>
      <w:numFmt w:val="bullet"/>
      <w:isLgl w:val="false"/>
      <w:suff w:val="tab"/>
      <w:lvlText w:val="·"/>
      <w:lvlJc w:val="left"/>
      <w:pPr>
        <w:ind w:left="2869" w:hanging="360"/>
      </w:pPr>
      <w:rPr>
        <w:rFonts w:hint="default" w:ascii="Symbol" w:hAnsi="Symbol" w:eastAsia="Symbol" w:cs="Symbol"/>
        <w:color w:val="000000"/>
        <w:sz w:val="24"/>
      </w:rPr>
    </w:lvl>
    <w:lvl w:ilvl="4">
      <w:start w:val="1"/>
      <w:numFmt w:val="bullet"/>
      <w:isLgl w:val="false"/>
      <w:suff w:val="tab"/>
      <w:lvlText w:val="·"/>
      <w:lvlJc w:val="left"/>
      <w:pPr>
        <w:ind w:left="3589" w:hanging="360"/>
      </w:pPr>
      <w:rPr>
        <w:rFonts w:hint="default" w:ascii="Symbol" w:hAnsi="Symbol" w:eastAsia="Symbol" w:cs="Symbol"/>
        <w:color w:val="000000"/>
        <w:sz w:val="24"/>
      </w:rPr>
    </w:lvl>
    <w:lvl w:ilvl="5">
      <w:start w:val="1"/>
      <w:numFmt w:val="bullet"/>
      <w:isLgl w:val="false"/>
      <w:suff w:val="tab"/>
      <w:lvlText w:val="·"/>
      <w:lvlJc w:val="left"/>
      <w:pPr>
        <w:ind w:left="4309" w:hanging="360"/>
      </w:pPr>
      <w:rPr>
        <w:rFonts w:hint="default" w:ascii="Symbol" w:hAnsi="Symbol" w:eastAsia="Symbol" w:cs="Symbol"/>
        <w:color w:val="000000"/>
        <w:sz w:val="24"/>
      </w:rPr>
    </w:lvl>
    <w:lvl w:ilvl="6">
      <w:start w:val="1"/>
      <w:numFmt w:val="bullet"/>
      <w:isLgl w:val="false"/>
      <w:suff w:val="tab"/>
      <w:lvlText w:val="·"/>
      <w:lvlJc w:val="left"/>
      <w:pPr>
        <w:ind w:left="5029" w:hanging="360"/>
      </w:pPr>
      <w:rPr>
        <w:rFonts w:hint="default" w:ascii="Symbol" w:hAnsi="Symbol" w:eastAsia="Symbol" w:cs="Symbol"/>
        <w:color w:val="000000"/>
        <w:sz w:val="24"/>
      </w:rPr>
    </w:lvl>
    <w:lvl w:ilvl="7">
      <w:start w:val="1"/>
      <w:numFmt w:val="bullet"/>
      <w:isLgl w:val="false"/>
      <w:suff w:val="tab"/>
      <w:lvlText w:val="·"/>
      <w:lvlJc w:val="left"/>
      <w:pPr>
        <w:ind w:left="5749" w:hanging="360"/>
      </w:pPr>
      <w:rPr>
        <w:rFonts w:hint="default" w:ascii="Symbol" w:hAnsi="Symbol" w:eastAsia="Symbol" w:cs="Symbol"/>
        <w:color w:val="000000"/>
        <w:sz w:val="24"/>
      </w:rPr>
    </w:lvl>
    <w:lvl w:ilvl="8">
      <w:start w:val="1"/>
      <w:numFmt w:val="bullet"/>
      <w:isLgl w:val="false"/>
      <w:suff w:val="tab"/>
      <w:lvlText w:val="·"/>
      <w:lvlJc w:val="left"/>
      <w:pPr>
        <w:ind w:left="6469" w:hanging="360"/>
      </w:pPr>
      <w:rPr>
        <w:rFonts w:hint="default" w:ascii="Symbol" w:hAnsi="Symbol" w:eastAsia="Symbol" w:cs="Symbol"/>
        <w:color w:val="000000"/>
        <w:sz w:val="24"/>
      </w:rPr>
    </w:lvl>
  </w:abstractNum>
  <w:abstractNum w:abstractNumId="22">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3">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4">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5">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6">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7">
    <w:multiLevelType w:val="hybridMultilevel"/>
    <w:lvl w:ilvl="0">
      <w:start w:val="1"/>
      <w:numFmt w:val="bullet"/>
      <w:isLgl w:val="false"/>
      <w:suff w:val="tab"/>
      <w:lvlText w:val="·"/>
      <w:lvlJc w:val="left"/>
      <w:pPr>
        <w:ind w:left="709" w:hanging="360"/>
      </w:pPr>
      <w:rPr>
        <w:rFonts w:hint="default" w:ascii="Symbol" w:hAnsi="Symbol" w:eastAsia="Symbol" w:cs="Symbol"/>
      </w:rPr>
    </w:lvl>
    <w:lvl w:ilvl="1">
      <w:start w:val="1"/>
      <w:numFmt w:val="bullet"/>
      <w:isLgl w:val="false"/>
      <w:suff w:val="tab"/>
      <w:lvlText w:val="·"/>
      <w:lvlJc w:val="left"/>
      <w:pPr>
        <w:ind w:left="1429" w:hanging="360"/>
      </w:pPr>
      <w:rPr>
        <w:rFonts w:hint="default" w:ascii="Symbol" w:hAnsi="Symbol" w:eastAsia="Symbol" w:cs="Symbol"/>
      </w:rPr>
    </w:lvl>
    <w:lvl w:ilvl="2">
      <w:start w:val="1"/>
      <w:numFmt w:val="bullet"/>
      <w:isLgl w:val="false"/>
      <w:suff w:val="tab"/>
      <w:lvlText w:val="·"/>
      <w:lvlJc w:val="left"/>
      <w:pPr>
        <w:ind w:left="2149" w:hanging="360"/>
      </w:pPr>
      <w:rPr>
        <w:rFonts w:hint="default" w:ascii="Symbol" w:hAnsi="Symbol" w:eastAsia="Symbol" w:cs="Symbol"/>
      </w:rPr>
    </w:lvl>
    <w:lvl w:ilvl="3">
      <w:start w:val="1"/>
      <w:numFmt w:val="bullet"/>
      <w:isLgl w:val="false"/>
      <w:suff w:val="tab"/>
      <w:lvlText w:val="·"/>
      <w:lvlJc w:val="left"/>
      <w:pPr>
        <w:ind w:left="2869" w:hanging="360"/>
      </w:pPr>
      <w:rPr>
        <w:rFonts w:hint="default" w:ascii="Symbol" w:hAnsi="Symbol" w:eastAsia="Symbol" w:cs="Symbol"/>
      </w:rPr>
    </w:lvl>
    <w:lvl w:ilvl="4">
      <w:start w:val="1"/>
      <w:numFmt w:val="bullet"/>
      <w:isLgl w:val="false"/>
      <w:suff w:val="tab"/>
      <w:lvlText w:val="·"/>
      <w:lvlJc w:val="left"/>
      <w:pPr>
        <w:ind w:left="3589" w:hanging="360"/>
      </w:pPr>
      <w:rPr>
        <w:rFonts w:hint="default" w:ascii="Symbol" w:hAnsi="Symbol" w:eastAsia="Symbol" w:cs="Symbol"/>
      </w:rPr>
    </w:lvl>
    <w:lvl w:ilvl="5">
      <w:start w:val="1"/>
      <w:numFmt w:val="bullet"/>
      <w:isLgl w:val="false"/>
      <w:suff w:val="tab"/>
      <w:lvlText w:val="·"/>
      <w:lvlJc w:val="left"/>
      <w:pPr>
        <w:ind w:left="4309" w:hanging="360"/>
      </w:pPr>
      <w:rPr>
        <w:rFonts w:hint="default" w:ascii="Symbol" w:hAnsi="Symbol" w:eastAsia="Symbol" w:cs="Symbol"/>
      </w:rPr>
    </w:lvl>
    <w:lvl w:ilvl="6">
      <w:start w:val="1"/>
      <w:numFmt w:val="bullet"/>
      <w:isLgl w:val="false"/>
      <w:suff w:val="tab"/>
      <w:lvlText w:val="·"/>
      <w:lvlJc w:val="left"/>
      <w:pPr>
        <w:ind w:left="5029" w:hanging="360"/>
      </w:pPr>
      <w:rPr>
        <w:rFonts w:hint="default" w:ascii="Symbol" w:hAnsi="Symbol" w:eastAsia="Symbol" w:cs="Symbol"/>
      </w:rPr>
    </w:lvl>
    <w:lvl w:ilvl="7">
      <w:start w:val="1"/>
      <w:numFmt w:val="bullet"/>
      <w:isLgl w:val="false"/>
      <w:suff w:val="tab"/>
      <w:lvlText w:val="·"/>
      <w:lvlJc w:val="left"/>
      <w:pPr>
        <w:ind w:left="5749" w:hanging="360"/>
      </w:pPr>
      <w:rPr>
        <w:rFonts w:hint="default" w:ascii="Symbol" w:hAnsi="Symbol" w:eastAsia="Symbol" w:cs="Symbol"/>
      </w:rPr>
    </w:lvl>
    <w:lvl w:ilvl="8">
      <w:start w:val="1"/>
      <w:numFmt w:val="bullet"/>
      <w:isLgl w:val="false"/>
      <w:suff w:val="tab"/>
      <w:lvlText w:val="·"/>
      <w:lvlJc w:val="left"/>
      <w:pPr>
        <w:ind w:left="6469" w:hanging="360"/>
      </w:pPr>
      <w:rPr>
        <w:rFonts w:hint="default" w:ascii="Symbol" w:hAnsi="Symbol" w:eastAsia="Symbol" w:cs="Symbol"/>
      </w:rPr>
    </w:lvl>
  </w:abstractNum>
  <w:abstractNum w:abstractNumId="28">
    <w:multiLevelType w:val="hybridMultilevel"/>
    <w:lvl w:ilvl="0">
      <w:start w:val="1"/>
      <w:numFmt w:val="lowerLetter"/>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4"/>
  </w:num>
  <w:num w:numId="2">
    <w:abstractNumId w:val="14"/>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9"/>
    </w:lvlOverride>
    <w:lvlOverride w:ilvl="1">
      <w:startOverride w:val="2"/>
    </w:lvlOverride>
    <w:lvlOverride w:ilvl="2">
      <w:startOverride w:val="1"/>
    </w:lvlOverride>
  </w:num>
  <w:num w:numId="5">
    <w:abstractNumId w:val="3"/>
  </w:num>
  <w:num w:numId="6">
    <w:abstractNumId w:val="1"/>
  </w:num>
  <w:num w:numId="7">
    <w:abstractNumId w:val="0"/>
  </w:num>
  <w:num w:numId="8">
    <w:abstractNumId w:val="8"/>
  </w:num>
  <w:num w:numId="9">
    <w:abstractNumId w:val="7"/>
  </w:num>
  <w:num w:numId="10">
    <w:abstractNumId w:val="15"/>
  </w:num>
  <w:num w:numId="11">
    <w:abstractNumId w:val="13"/>
  </w:num>
  <w:num w:numId="12">
    <w:abstractNumId w:val="12"/>
  </w:num>
  <w:num w:numId="13">
    <w:abstractNumId w:val="10"/>
  </w:num>
  <w:num w:numId="14">
    <w:abstractNumId w:val="6"/>
  </w:num>
  <w:num w:numId="15">
    <w:abstractNumId w:val="2"/>
  </w:num>
  <w:num w:numId="16">
    <w:abstractNumId w:val="5"/>
  </w:num>
  <w:num w:numId="17">
    <w:abstractNumId w:val="11"/>
  </w:num>
  <w:num w:numId="18">
    <w:abstractNumId w:val="9"/>
  </w:num>
  <w:num w:numId="19">
    <w:abstractNumId w:val="16"/>
  </w:num>
  <w:num w:numId="20">
    <w:abstractNumId w:val="17"/>
  </w:num>
  <w:num w:numId="21">
    <w:abstractNumId w:val="18"/>
  </w:num>
  <w:num w:numId="22">
    <w:abstractNumId w:val="19"/>
  </w:num>
  <w:num w:numId="23">
    <w:abstractNumId w:val="20"/>
  </w:num>
  <w:num w:numId="24">
    <w:abstractNumId w:val="21"/>
  </w:num>
  <w:num w:numId="25">
    <w:abstractNumId w:val="22"/>
  </w:num>
  <w:num w:numId="26">
    <w:abstractNumId w:val="23"/>
  </w:num>
  <w:num w:numId="27">
    <w:abstractNumId w:val="24"/>
  </w:num>
  <w:num w:numId="28">
    <w:abstractNumId w:val="25"/>
  </w:num>
  <w:num w:numId="29">
    <w:abstractNumId w:val="26"/>
  </w:num>
  <w:num w:numId="30">
    <w:abstractNumId w:val="27"/>
  </w:num>
  <w:num w:numId="31">
    <w:abstractNumId w:val="2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tor">
    <w15:presenceInfo w15:providerId="None" w15:userId="Auto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SimSun" w:cs="Times New Roman"/>
        <w:lang w:val="pt-BR" w:eastAsia="ja-JP"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8" w:default="1">
    <w:name w:val="Normal"/>
    <w:qFormat/>
    <w:rPr>
      <w:rFonts w:ascii="Ecofont_Spranq_eco_Sans" w:hAnsi="Ecofont_Spranq_eco_Sans" w:cs="Tahoma" w:eastAsiaTheme="minorEastAsia"/>
      <w:sz w:val="24"/>
      <w:szCs w:val="24"/>
      <w:lang w:eastAsia="pt-BR"/>
    </w:rPr>
  </w:style>
  <w:style w:type="paragraph" w:styleId="829">
    <w:name w:val="Heading 1"/>
    <w:basedOn w:val="828"/>
    <w:next w:val="828"/>
    <w:link w:val="1063"/>
    <w:qFormat/>
    <w:pPr>
      <w:keepLines/>
      <w:keepNext/>
      <w:spacing w:before="480"/>
      <w:outlineLvl w:val="0"/>
    </w:pPr>
    <w:rPr>
      <w:rFonts w:asciiTheme="majorHAnsi" w:hAnsiTheme="majorHAnsi" w:eastAsiaTheme="majorEastAsia" w:cstheme="majorBidi"/>
      <w:b/>
      <w:bCs/>
      <w:color w:val="365f91" w:themeColor="accent1" w:themeShade="BF"/>
      <w:sz w:val="28"/>
      <w:szCs w:val="28"/>
    </w:rPr>
  </w:style>
  <w:style w:type="paragraph" w:styleId="830">
    <w:name w:val="Heading 2"/>
    <w:basedOn w:val="828"/>
    <w:next w:val="828"/>
    <w:link w:val="1046"/>
    <w:qFormat/>
    <w:pPr>
      <w:ind w:right="-1"/>
      <w:jc w:val="center"/>
      <w:keepNext/>
      <w:tabs>
        <w:tab w:val="left" w:pos="1701" w:leader="none"/>
      </w:tabs>
      <w:outlineLvl w:val="1"/>
    </w:pPr>
    <w:rPr>
      <w:rFonts w:ascii="Times New Roman" w:hAnsi="Times New Roman" w:cs="Times New Roman"/>
      <w:b/>
      <w:color w:val="000000"/>
      <w:szCs w:val="20"/>
    </w:rPr>
  </w:style>
  <w:style w:type="paragraph" w:styleId="831">
    <w:name w:val="Heading 3"/>
    <w:basedOn w:val="828"/>
    <w:next w:val="828"/>
    <w:link w:val="1108"/>
    <w:uiPriority w:val="9"/>
    <w:semiHidden/>
    <w:unhideWhenUsed/>
    <w:qFormat/>
    <w:pPr>
      <w:keepLines/>
      <w:keepNext/>
      <w:spacing w:before="40" w:line="259" w:lineRule="auto"/>
      <w:outlineLvl w:val="2"/>
    </w:pPr>
    <w:rPr>
      <w:rFonts w:asciiTheme="majorHAnsi" w:hAnsiTheme="majorHAnsi" w:eastAsiaTheme="majorEastAsia" w:cstheme="majorBidi"/>
      <w:color w:val="244061" w:themeColor="accent1" w:themeShade="80"/>
      <w:lang w:eastAsia="en-US"/>
    </w:rPr>
  </w:style>
  <w:style w:type="paragraph" w:styleId="832">
    <w:name w:val="Heading 4"/>
    <w:basedOn w:val="828"/>
    <w:next w:val="828"/>
    <w:link w:val="1058"/>
    <w:semiHidden/>
    <w:unhideWhenUsed/>
    <w:qFormat/>
    <w:pPr>
      <w:keepLines/>
      <w:keepNext/>
      <w:spacing w:before="40"/>
      <w:outlineLvl w:val="3"/>
    </w:pPr>
    <w:rPr>
      <w:rFonts w:asciiTheme="majorHAnsi" w:hAnsiTheme="majorHAnsi" w:eastAsiaTheme="majorEastAsia" w:cstheme="majorBidi"/>
      <w:i/>
      <w:iCs/>
      <w:color w:val="365f91" w:themeColor="accent1" w:themeShade="BF"/>
    </w:rPr>
  </w:style>
  <w:style w:type="paragraph" w:styleId="833">
    <w:name w:val="Heading 5"/>
    <w:basedOn w:val="828"/>
    <w:next w:val="828"/>
    <w:link w:val="904"/>
    <w:uiPriority w:val="9"/>
    <w:unhideWhenUsed/>
    <w:qFormat/>
    <w:pPr>
      <w:keepLines/>
      <w:keepNext/>
      <w:spacing w:before="320" w:after="200"/>
      <w:outlineLvl w:val="4"/>
    </w:pPr>
    <w:rPr>
      <w:rFonts w:ascii="Arial" w:hAnsi="Arial" w:eastAsia="Arial" w:cs="Arial"/>
      <w:b/>
      <w:bCs/>
    </w:rPr>
  </w:style>
  <w:style w:type="paragraph" w:styleId="834">
    <w:name w:val="Heading 6"/>
    <w:basedOn w:val="828"/>
    <w:next w:val="828"/>
    <w:link w:val="1109"/>
    <w:uiPriority w:val="9"/>
    <w:semiHidden/>
    <w:unhideWhenUsed/>
    <w:qFormat/>
    <w:pPr>
      <w:keepLines/>
      <w:keepNext/>
      <w:spacing w:before="40" w:line="259" w:lineRule="auto"/>
      <w:outlineLvl w:val="5"/>
    </w:pPr>
    <w:rPr>
      <w:rFonts w:asciiTheme="majorHAnsi" w:hAnsiTheme="majorHAnsi" w:eastAsiaTheme="majorEastAsia" w:cstheme="majorBidi"/>
      <w:color w:val="244061" w:themeColor="accent1" w:themeShade="80"/>
      <w:sz w:val="22"/>
      <w:szCs w:val="22"/>
      <w:lang w:eastAsia="en-US"/>
    </w:rPr>
  </w:style>
  <w:style w:type="paragraph" w:styleId="835">
    <w:name w:val="Heading 7"/>
    <w:basedOn w:val="828"/>
    <w:next w:val="828"/>
    <w:link w:val="906"/>
    <w:uiPriority w:val="9"/>
    <w:unhideWhenUsed/>
    <w:qFormat/>
    <w:pPr>
      <w:keepLines/>
      <w:keepNext/>
      <w:spacing w:before="320" w:after="200"/>
      <w:outlineLvl w:val="6"/>
    </w:pPr>
    <w:rPr>
      <w:rFonts w:ascii="Arial" w:hAnsi="Arial" w:eastAsia="Arial" w:cs="Arial"/>
      <w:b/>
      <w:bCs/>
      <w:i/>
      <w:iCs/>
      <w:sz w:val="22"/>
      <w:szCs w:val="22"/>
    </w:rPr>
  </w:style>
  <w:style w:type="paragraph" w:styleId="836">
    <w:name w:val="Heading 8"/>
    <w:basedOn w:val="828"/>
    <w:next w:val="828"/>
    <w:link w:val="907"/>
    <w:uiPriority w:val="9"/>
    <w:unhideWhenUsed/>
    <w:qFormat/>
    <w:pPr>
      <w:keepLines/>
      <w:keepNext/>
      <w:spacing w:before="320" w:after="200"/>
      <w:outlineLvl w:val="7"/>
    </w:pPr>
    <w:rPr>
      <w:rFonts w:ascii="Arial" w:hAnsi="Arial" w:eastAsia="Arial" w:cs="Arial"/>
      <w:i/>
      <w:iCs/>
      <w:sz w:val="22"/>
      <w:szCs w:val="22"/>
    </w:rPr>
  </w:style>
  <w:style w:type="paragraph" w:styleId="837">
    <w:name w:val="Heading 9"/>
    <w:basedOn w:val="828"/>
    <w:next w:val="828"/>
    <w:link w:val="908"/>
    <w:uiPriority w:val="9"/>
    <w:unhideWhenUsed/>
    <w:qFormat/>
    <w:pPr>
      <w:keepLines/>
      <w:keepNext/>
      <w:spacing w:before="320" w:after="200"/>
      <w:outlineLvl w:val="8"/>
    </w:pPr>
    <w:rPr>
      <w:rFonts w:ascii="Arial" w:hAnsi="Arial" w:eastAsia="Arial" w:cs="Arial"/>
      <w:i/>
      <w:iCs/>
      <w:sz w:val="21"/>
      <w:szCs w:val="21"/>
    </w:rPr>
  </w:style>
  <w:style w:type="character" w:styleId="838" w:default="1">
    <w:name w:val="Default Paragraph Font"/>
    <w:uiPriority w:val="1"/>
    <w:semiHidden/>
    <w:unhideWhenUsed/>
  </w:style>
  <w:style w:type="table" w:styleId="839" w:default="1">
    <w:name w:val="Normal Table"/>
    <w:uiPriority w:val="99"/>
    <w:semiHidden/>
    <w:unhideWhenUsed/>
    <w:tblPr>
      <w:tblInd w:w="0" w:type="dxa"/>
      <w:tblCellMar>
        <w:left w:w="108" w:type="dxa"/>
        <w:top w:w="0" w:type="dxa"/>
        <w:right w:w="108" w:type="dxa"/>
        <w:bottom w:w="0" w:type="dxa"/>
      </w:tblCellMar>
    </w:tblPr>
  </w:style>
  <w:style w:type="numbering" w:styleId="840" w:default="1">
    <w:name w:val="No List"/>
    <w:uiPriority w:val="99"/>
    <w:semiHidden/>
    <w:unhideWhenUsed/>
  </w:style>
  <w:style w:type="character" w:styleId="841" w:customStyle="1">
    <w:name w:val="Heading 5 Char"/>
    <w:basedOn w:val="838"/>
    <w:uiPriority w:val="9"/>
    <w:rPr>
      <w:rFonts w:ascii="Arial" w:hAnsi="Arial" w:eastAsia="Arial" w:cs="Arial"/>
      <w:b/>
      <w:bCs/>
      <w:sz w:val="24"/>
      <w:szCs w:val="24"/>
    </w:rPr>
  </w:style>
  <w:style w:type="character" w:styleId="842" w:customStyle="1">
    <w:name w:val="Heading 7 Char"/>
    <w:basedOn w:val="838"/>
    <w:uiPriority w:val="9"/>
    <w:rPr>
      <w:rFonts w:ascii="Arial" w:hAnsi="Arial" w:eastAsia="Arial" w:cs="Arial"/>
      <w:b/>
      <w:bCs/>
      <w:i/>
      <w:iCs/>
      <w:sz w:val="22"/>
      <w:szCs w:val="22"/>
    </w:rPr>
  </w:style>
  <w:style w:type="character" w:styleId="843" w:customStyle="1">
    <w:name w:val="Heading 8 Char"/>
    <w:basedOn w:val="838"/>
    <w:uiPriority w:val="9"/>
    <w:rPr>
      <w:rFonts w:ascii="Arial" w:hAnsi="Arial" w:eastAsia="Arial" w:cs="Arial"/>
      <w:i/>
      <w:iCs/>
      <w:sz w:val="22"/>
      <w:szCs w:val="22"/>
    </w:rPr>
  </w:style>
  <w:style w:type="character" w:styleId="844" w:customStyle="1">
    <w:name w:val="Heading 9 Char"/>
    <w:basedOn w:val="838"/>
    <w:uiPriority w:val="9"/>
    <w:rPr>
      <w:rFonts w:ascii="Arial" w:hAnsi="Arial" w:eastAsia="Arial" w:cs="Arial"/>
      <w:i/>
      <w:iCs/>
      <w:sz w:val="21"/>
      <w:szCs w:val="21"/>
    </w:rPr>
  </w:style>
  <w:style w:type="character" w:styleId="845" w:customStyle="1">
    <w:name w:val="Subtitle Char"/>
    <w:basedOn w:val="838"/>
    <w:uiPriority w:val="11"/>
    <w:rPr>
      <w:sz w:val="24"/>
      <w:szCs w:val="24"/>
    </w:rPr>
  </w:style>
  <w:style w:type="character" w:styleId="846" w:customStyle="1">
    <w:name w:val="Intense Quote Char"/>
    <w:uiPriority w:val="30"/>
    <w:rPr>
      <w:i/>
    </w:rPr>
  </w:style>
  <w:style w:type="table" w:styleId="847">
    <w:name w:val="Plain Table 1"/>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839"/>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2">
    <w:name w:val="Grid Table 1 Light"/>
    <w:basedOn w:val="839"/>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53">
    <w:name w:val="Grid Table 2"/>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4">
    <w:name w:val="Grid Table 3"/>
    <w:basedOn w:val="839"/>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839"/>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5 Dark"/>
    <w:basedOn w:val="839"/>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name w:val="Grid Table 6 Colorful"/>
    <w:basedOn w:val="839"/>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58">
    <w:name w:val="Grid Table 7 Colorful"/>
    <w:basedOn w:val="839"/>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9">
    <w:name w:val="List Table 1 Light"/>
    <w:basedOn w:val="839"/>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2"/>
    <w:basedOn w:val="839"/>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1">
    <w:name w:val="List Table 3"/>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name w:val="List Table 4"/>
    <w:basedOn w:val="839"/>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name w:val="List Table 5 Dark"/>
    <w:basedOn w:val="839"/>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4">
    <w:name w:val="List Table 6 Colorful"/>
    <w:basedOn w:val="839"/>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5">
    <w:name w:val="List Table 7 Colorful"/>
    <w:basedOn w:val="839"/>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66" w:customStyle="1">
    <w:name w:val="Footnote Text Char"/>
    <w:uiPriority w:val="99"/>
    <w:rPr>
      <w:sz w:val="18"/>
    </w:rPr>
  </w:style>
  <w:style w:type="character" w:styleId="867" w:customStyle="1">
    <w:name w:val="Endnote Text Char"/>
    <w:uiPriority w:val="99"/>
    <w:rPr>
      <w:sz w:val="20"/>
    </w:rPr>
  </w:style>
  <w:style w:type="paragraph" w:styleId="868">
    <w:name w:val="TOC Heading"/>
    <w:uiPriority w:val="39"/>
    <w:unhideWhenUsed/>
  </w:style>
  <w:style w:type="character" w:styleId="869">
    <w:name w:val="endnote reference"/>
    <w:basedOn w:val="838"/>
    <w:uiPriority w:val="99"/>
    <w:semiHidden/>
    <w:unhideWhenUsed/>
    <w:rPr>
      <w:vertAlign w:val="superscript"/>
    </w:rPr>
  </w:style>
  <w:style w:type="character" w:styleId="870">
    <w:name w:val="Strong"/>
    <w:basedOn w:val="838"/>
    <w:uiPriority w:val="22"/>
    <w:qFormat/>
    <w:rPr>
      <w:b/>
      <w:bCs/>
    </w:rPr>
  </w:style>
  <w:style w:type="character" w:styleId="871">
    <w:name w:val="annotation reference"/>
    <w:basedOn w:val="838"/>
    <w:unhideWhenUsed/>
    <w:qFormat/>
    <w:rPr>
      <w:sz w:val="16"/>
      <w:szCs w:val="16"/>
    </w:rPr>
  </w:style>
  <w:style w:type="character" w:styleId="872">
    <w:name w:val="FollowedHyperlink"/>
    <w:basedOn w:val="838"/>
    <w:semiHidden/>
    <w:unhideWhenUsed/>
    <w:qFormat/>
    <w:rPr>
      <w:color w:val="800080" w:themeColor="followedHyperlink"/>
      <w:u w:val="single"/>
    </w:rPr>
  </w:style>
  <w:style w:type="character" w:styleId="873">
    <w:name w:val="Emphasis"/>
    <w:basedOn w:val="838"/>
    <w:qFormat/>
    <w:rPr>
      <w:i/>
      <w:iCs/>
    </w:rPr>
  </w:style>
  <w:style w:type="character" w:styleId="874">
    <w:name w:val="footnote reference"/>
    <w:basedOn w:val="838"/>
    <w:uiPriority w:val="99"/>
    <w:unhideWhenUsed/>
    <w:rPr>
      <w:vertAlign w:val="superscript"/>
    </w:rPr>
  </w:style>
  <w:style w:type="character" w:styleId="875">
    <w:name w:val="Hyperlink"/>
    <w:qFormat/>
    <w:rPr>
      <w:color w:val="000080"/>
      <w:u w:val="single"/>
    </w:rPr>
  </w:style>
  <w:style w:type="paragraph" w:styleId="876">
    <w:name w:val="toc 2"/>
    <w:basedOn w:val="828"/>
    <w:next w:val="828"/>
    <w:uiPriority w:val="39"/>
    <w:unhideWhenUsed/>
    <w:qFormat/>
    <w:pPr>
      <w:ind w:left="283"/>
      <w:spacing w:after="57"/>
    </w:pPr>
  </w:style>
  <w:style w:type="paragraph" w:styleId="877">
    <w:name w:val="toc 9"/>
    <w:basedOn w:val="828"/>
    <w:next w:val="828"/>
    <w:uiPriority w:val="39"/>
    <w:unhideWhenUsed/>
    <w:qFormat/>
    <w:pPr>
      <w:ind w:left="2268"/>
      <w:spacing w:after="57"/>
    </w:pPr>
  </w:style>
  <w:style w:type="paragraph" w:styleId="878">
    <w:name w:val="Body Text"/>
    <w:basedOn w:val="828"/>
    <w:link w:val="1072"/>
    <w:unhideWhenUsed/>
    <w:pPr>
      <w:spacing w:before="100" w:beforeAutospacing="1" w:after="100" w:afterAutospacing="1"/>
    </w:pPr>
    <w:rPr>
      <w:rFonts w:ascii="Times New Roman" w:hAnsi="Times New Roman" w:eastAsia="Times New Roman" w:cs="Times New Roman"/>
    </w:rPr>
  </w:style>
  <w:style w:type="paragraph" w:styleId="879">
    <w:name w:val="toc 6"/>
    <w:basedOn w:val="828"/>
    <w:next w:val="828"/>
    <w:uiPriority w:val="39"/>
    <w:unhideWhenUsed/>
    <w:pPr>
      <w:ind w:left="1417"/>
      <w:spacing w:after="57"/>
    </w:pPr>
  </w:style>
  <w:style w:type="paragraph" w:styleId="880">
    <w:name w:val="annotation text"/>
    <w:basedOn w:val="828"/>
    <w:link w:val="1056"/>
    <w:uiPriority w:val="99"/>
    <w:unhideWhenUsed/>
    <w:qFormat/>
    <w:rPr>
      <w:sz w:val="20"/>
      <w:szCs w:val="20"/>
    </w:rPr>
  </w:style>
  <w:style w:type="paragraph" w:styleId="881">
    <w:name w:val="toc 5"/>
    <w:basedOn w:val="828"/>
    <w:next w:val="828"/>
    <w:uiPriority w:val="39"/>
    <w:unhideWhenUsed/>
    <w:pPr>
      <w:ind w:left="1134"/>
      <w:spacing w:after="57"/>
    </w:pPr>
  </w:style>
  <w:style w:type="paragraph" w:styleId="882">
    <w:name w:val="table of figures"/>
    <w:basedOn w:val="828"/>
    <w:next w:val="828"/>
    <w:uiPriority w:val="99"/>
    <w:unhideWhenUsed/>
  </w:style>
  <w:style w:type="paragraph" w:styleId="883">
    <w:name w:val="Title"/>
    <w:basedOn w:val="828"/>
    <w:next w:val="828"/>
    <w:link w:val="1061"/>
    <w:pPr>
      <w:contextualSpacing/>
      <w:spacing w:after="300"/>
      <w:pBdr>
        <w:bottom w:val="single" w:color="4F81BD" w:themeColor="accent1" w:sz="8" w:space="4"/>
      </w:pBdr>
    </w:pPr>
    <w:rPr>
      <w:rFonts w:asciiTheme="majorHAnsi" w:hAnsiTheme="majorHAnsi" w:eastAsiaTheme="majorEastAsia" w:cstheme="majorBidi"/>
      <w:color w:val="17365d" w:themeColor="text2" w:themeShade="BF"/>
      <w:spacing w:val="5"/>
      <w:sz w:val="52"/>
      <w:szCs w:val="52"/>
    </w:rPr>
  </w:style>
  <w:style w:type="paragraph" w:styleId="884">
    <w:name w:val="List Bullet 5"/>
    <w:basedOn w:val="828"/>
    <w:pPr>
      <w:numPr>
        <w:numId w:val="1"/>
      </w:numPr>
      <w:contextualSpacing/>
    </w:pPr>
  </w:style>
  <w:style w:type="paragraph" w:styleId="885">
    <w:name w:val="endnote text"/>
    <w:basedOn w:val="828"/>
    <w:link w:val="1043"/>
    <w:uiPriority w:val="99"/>
    <w:semiHidden/>
    <w:unhideWhenUsed/>
    <w:qFormat/>
    <w:rPr>
      <w:sz w:val="20"/>
    </w:rPr>
  </w:style>
  <w:style w:type="paragraph" w:styleId="886">
    <w:name w:val="Normal (Web)"/>
    <w:basedOn w:val="828"/>
    <w:uiPriority w:val="99"/>
    <w:qFormat/>
    <w:pPr>
      <w:spacing w:before="100" w:beforeAutospacing="1" w:after="100" w:afterAutospacing="1"/>
    </w:pPr>
    <w:rPr>
      <w:rFonts w:ascii="Times New Roman" w:hAnsi="Times New Roman" w:cs="Times New Roman"/>
    </w:rPr>
  </w:style>
  <w:style w:type="paragraph" w:styleId="887">
    <w:name w:val="toc 4"/>
    <w:basedOn w:val="828"/>
    <w:next w:val="828"/>
    <w:uiPriority w:val="39"/>
    <w:unhideWhenUsed/>
    <w:pPr>
      <w:ind w:left="850"/>
      <w:spacing w:after="57"/>
    </w:pPr>
  </w:style>
  <w:style w:type="paragraph" w:styleId="888">
    <w:name w:val="toc 8"/>
    <w:basedOn w:val="828"/>
    <w:next w:val="828"/>
    <w:uiPriority w:val="39"/>
    <w:unhideWhenUsed/>
    <w:qFormat/>
    <w:pPr>
      <w:ind w:left="1984"/>
      <w:spacing w:after="57"/>
    </w:pPr>
  </w:style>
  <w:style w:type="paragraph" w:styleId="889">
    <w:name w:val="Header"/>
    <w:basedOn w:val="828"/>
    <w:link w:val="1054"/>
    <w:qFormat/>
    <w:pPr>
      <w:tabs>
        <w:tab w:val="center" w:pos="4252" w:leader="none"/>
        <w:tab w:val="right" w:pos="8504" w:leader="none"/>
      </w:tabs>
    </w:pPr>
  </w:style>
  <w:style w:type="paragraph" w:styleId="890">
    <w:name w:val="annotation subject"/>
    <w:basedOn w:val="880"/>
    <w:next w:val="880"/>
    <w:link w:val="1057"/>
    <w:semiHidden/>
    <w:unhideWhenUsed/>
    <w:qFormat/>
    <w:rPr>
      <w:b/>
      <w:bCs/>
    </w:rPr>
  </w:style>
  <w:style w:type="paragraph" w:styleId="891">
    <w:name w:val="Footer"/>
    <w:basedOn w:val="828"/>
    <w:link w:val="1055"/>
    <w:uiPriority w:val="99"/>
    <w:qFormat/>
    <w:pPr>
      <w:tabs>
        <w:tab w:val="center" w:pos="4252" w:leader="none"/>
        <w:tab w:val="right" w:pos="8504" w:leader="none"/>
      </w:tabs>
    </w:pPr>
  </w:style>
  <w:style w:type="paragraph" w:styleId="892">
    <w:name w:val="Caption"/>
    <w:basedOn w:val="828"/>
    <w:next w:val="828"/>
    <w:uiPriority w:val="35"/>
    <w:semiHidden/>
    <w:unhideWhenUsed/>
    <w:qFormat/>
    <w:pPr>
      <w:spacing w:line="276" w:lineRule="auto"/>
    </w:pPr>
    <w:rPr>
      <w:b/>
      <w:bCs/>
      <w:color w:val="4f81bd" w:themeColor="accent1"/>
      <w:sz w:val="18"/>
      <w:szCs w:val="18"/>
    </w:rPr>
  </w:style>
  <w:style w:type="paragraph" w:styleId="893">
    <w:name w:val="toc 7"/>
    <w:basedOn w:val="828"/>
    <w:next w:val="828"/>
    <w:uiPriority w:val="39"/>
    <w:unhideWhenUsed/>
    <w:qFormat/>
    <w:pPr>
      <w:ind w:left="1701"/>
      <w:spacing w:after="57"/>
    </w:pPr>
  </w:style>
  <w:style w:type="paragraph" w:styleId="894">
    <w:name w:val="toc 3"/>
    <w:basedOn w:val="828"/>
    <w:next w:val="828"/>
    <w:uiPriority w:val="39"/>
    <w:unhideWhenUsed/>
    <w:qFormat/>
    <w:pPr>
      <w:ind w:left="567"/>
      <w:spacing w:after="57"/>
    </w:pPr>
  </w:style>
  <w:style w:type="paragraph" w:styleId="895">
    <w:name w:val="Balloon Text"/>
    <w:basedOn w:val="828"/>
    <w:link w:val="1045"/>
    <w:uiPriority w:val="99"/>
    <w:qFormat/>
    <w:rPr>
      <w:rFonts w:ascii="Tahoma" w:hAnsi="Tahoma"/>
      <w:sz w:val="16"/>
      <w:szCs w:val="16"/>
    </w:rPr>
  </w:style>
  <w:style w:type="paragraph" w:styleId="896">
    <w:name w:val="Subtitle"/>
    <w:basedOn w:val="828"/>
    <w:next w:val="828"/>
    <w:link w:val="911"/>
    <w:uiPriority w:val="11"/>
    <w:qFormat/>
    <w:pPr>
      <w:spacing w:before="200" w:after="200"/>
    </w:pPr>
  </w:style>
  <w:style w:type="paragraph" w:styleId="897">
    <w:name w:val="footnote text"/>
    <w:basedOn w:val="828"/>
    <w:link w:val="1042"/>
    <w:uiPriority w:val="99"/>
    <w:semiHidden/>
    <w:unhideWhenUsed/>
    <w:qFormat/>
    <w:pPr>
      <w:spacing w:after="40"/>
    </w:pPr>
    <w:rPr>
      <w:sz w:val="18"/>
    </w:rPr>
  </w:style>
  <w:style w:type="paragraph" w:styleId="898">
    <w:name w:val="toc 1"/>
    <w:basedOn w:val="828"/>
    <w:next w:val="828"/>
    <w:uiPriority w:val="39"/>
    <w:unhideWhenUsed/>
    <w:qFormat/>
    <w:pPr>
      <w:spacing w:after="100"/>
      <w:tabs>
        <w:tab w:val="left" w:pos="426" w:leader="none"/>
        <w:tab w:val="right" w:pos="9628" w:leader="dot"/>
      </w:tabs>
    </w:pPr>
    <w:rPr>
      <w:rFonts w:ascii="Arial" w:hAnsi="Arial" w:eastAsia="Times New Roman"/>
      <w:sz w:val="20"/>
    </w:rPr>
  </w:style>
  <w:style w:type="table" w:styleId="899">
    <w:name w:val="Table Grid"/>
    <w:basedOn w:val="8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customStyle="1">
    <w:name w:val="Heading 1 Char"/>
    <w:basedOn w:val="838"/>
    <w:uiPriority w:val="9"/>
    <w:rPr>
      <w:rFonts w:ascii="Arial" w:hAnsi="Arial" w:eastAsia="Arial" w:cs="Arial"/>
      <w:sz w:val="40"/>
      <w:szCs w:val="40"/>
    </w:rPr>
  </w:style>
  <w:style w:type="character" w:styleId="901" w:customStyle="1">
    <w:name w:val="Heading 2 Char"/>
    <w:basedOn w:val="838"/>
    <w:uiPriority w:val="9"/>
    <w:rPr>
      <w:rFonts w:ascii="Arial" w:hAnsi="Arial" w:eastAsia="Arial" w:cs="Arial"/>
      <w:sz w:val="34"/>
    </w:rPr>
  </w:style>
  <w:style w:type="character" w:styleId="902" w:customStyle="1">
    <w:name w:val="Heading 3 Char"/>
    <w:basedOn w:val="838"/>
    <w:uiPriority w:val="9"/>
    <w:rPr>
      <w:rFonts w:ascii="Arial" w:hAnsi="Arial" w:eastAsia="Arial" w:cs="Arial"/>
      <w:sz w:val="30"/>
      <w:szCs w:val="30"/>
    </w:rPr>
  </w:style>
  <w:style w:type="character" w:styleId="903" w:customStyle="1">
    <w:name w:val="Heading 4 Char"/>
    <w:basedOn w:val="838"/>
    <w:uiPriority w:val="9"/>
    <w:rPr>
      <w:rFonts w:ascii="Arial" w:hAnsi="Arial" w:eastAsia="Arial" w:cs="Arial"/>
      <w:b/>
      <w:bCs/>
      <w:sz w:val="26"/>
      <w:szCs w:val="26"/>
    </w:rPr>
  </w:style>
  <w:style w:type="character" w:styleId="904" w:customStyle="1">
    <w:name w:val="Título 5 Char"/>
    <w:basedOn w:val="838"/>
    <w:link w:val="833"/>
    <w:uiPriority w:val="9"/>
    <w:rPr>
      <w:rFonts w:ascii="Arial" w:hAnsi="Arial" w:eastAsia="Arial" w:cs="Arial"/>
      <w:b/>
      <w:bCs/>
      <w:sz w:val="24"/>
      <w:szCs w:val="24"/>
    </w:rPr>
  </w:style>
  <w:style w:type="character" w:styleId="905" w:customStyle="1">
    <w:name w:val="Heading 6 Char"/>
    <w:basedOn w:val="838"/>
    <w:uiPriority w:val="9"/>
    <w:rPr>
      <w:rFonts w:ascii="Arial" w:hAnsi="Arial" w:eastAsia="Arial" w:cs="Arial"/>
      <w:b/>
      <w:bCs/>
      <w:sz w:val="22"/>
      <w:szCs w:val="22"/>
    </w:rPr>
  </w:style>
  <w:style w:type="character" w:styleId="906" w:customStyle="1">
    <w:name w:val="Título 7 Char"/>
    <w:basedOn w:val="838"/>
    <w:link w:val="835"/>
    <w:uiPriority w:val="9"/>
    <w:qFormat/>
    <w:rPr>
      <w:rFonts w:ascii="Arial" w:hAnsi="Arial" w:eastAsia="Arial" w:cs="Arial"/>
      <w:b/>
      <w:bCs/>
      <w:i/>
      <w:iCs/>
      <w:sz w:val="22"/>
      <w:szCs w:val="22"/>
    </w:rPr>
  </w:style>
  <w:style w:type="character" w:styleId="907" w:customStyle="1">
    <w:name w:val="Título 8 Char"/>
    <w:basedOn w:val="838"/>
    <w:link w:val="836"/>
    <w:uiPriority w:val="9"/>
    <w:rPr>
      <w:rFonts w:ascii="Arial" w:hAnsi="Arial" w:eastAsia="Arial" w:cs="Arial"/>
      <w:i/>
      <w:iCs/>
      <w:sz w:val="22"/>
      <w:szCs w:val="22"/>
    </w:rPr>
  </w:style>
  <w:style w:type="character" w:styleId="908" w:customStyle="1">
    <w:name w:val="Título 9 Char"/>
    <w:basedOn w:val="838"/>
    <w:link w:val="837"/>
    <w:uiPriority w:val="9"/>
    <w:rPr>
      <w:rFonts w:ascii="Arial" w:hAnsi="Arial" w:eastAsia="Arial" w:cs="Arial"/>
      <w:i/>
      <w:iCs/>
      <w:sz w:val="21"/>
      <w:szCs w:val="21"/>
    </w:rPr>
  </w:style>
  <w:style w:type="paragraph" w:styleId="909">
    <w:name w:val="No Spacing"/>
    <w:uiPriority w:val="1"/>
    <w:qFormat/>
    <w:rPr>
      <w:rFonts w:eastAsiaTheme="minorEastAsia"/>
    </w:rPr>
  </w:style>
  <w:style w:type="character" w:styleId="910" w:customStyle="1">
    <w:name w:val="Title Char"/>
    <w:basedOn w:val="838"/>
    <w:uiPriority w:val="10"/>
    <w:qFormat/>
    <w:rPr>
      <w:sz w:val="48"/>
      <w:szCs w:val="48"/>
    </w:rPr>
  </w:style>
  <w:style w:type="character" w:styleId="911" w:customStyle="1">
    <w:name w:val="Subtítulo Char"/>
    <w:basedOn w:val="838"/>
    <w:link w:val="896"/>
    <w:uiPriority w:val="11"/>
    <w:qFormat/>
    <w:rPr>
      <w:sz w:val="24"/>
      <w:szCs w:val="24"/>
    </w:rPr>
  </w:style>
  <w:style w:type="paragraph" w:styleId="912">
    <w:name w:val="Intense Quote"/>
    <w:basedOn w:val="828"/>
    <w:next w:val="828"/>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Citação Intensa Char"/>
    <w:link w:val="912"/>
    <w:uiPriority w:val="30"/>
    <w:rPr>
      <w:i/>
    </w:rPr>
  </w:style>
  <w:style w:type="character" w:styleId="914" w:customStyle="1">
    <w:name w:val="Header Char"/>
    <w:basedOn w:val="838"/>
    <w:uiPriority w:val="99"/>
  </w:style>
  <w:style w:type="character" w:styleId="915" w:customStyle="1">
    <w:name w:val="Footer Char"/>
    <w:basedOn w:val="838"/>
    <w:uiPriority w:val="99"/>
  </w:style>
  <w:style w:type="character" w:styleId="916" w:customStyle="1">
    <w:name w:val="Caption Char"/>
    <w:uiPriority w:val="99"/>
  </w:style>
  <w:style w:type="table" w:styleId="917" w:customStyle="1">
    <w:name w:val="Table Grid Light"/>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18" w:customStyle="1">
    <w:name w:val="Simples Tabela 11"/>
    <w:basedOn w:val="839"/>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Simples Tabela 21"/>
    <w:basedOn w:val="839"/>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Simples Tabela 31"/>
    <w:basedOn w:val="83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Tabela Simples 41"/>
    <w:basedOn w:val="83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Tabela Simples 51"/>
    <w:basedOn w:val="83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Tabela de Grade 1 Clara1"/>
    <w:basedOn w:val="839"/>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39"/>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3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39"/>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39"/>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3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Tabela de Grade 21"/>
    <w:basedOn w:val="839"/>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3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39"/>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3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Tabela de Grade 31"/>
    <w:basedOn w:val="83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3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3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3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3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3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3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Tabela de Grade 41"/>
    <w:basedOn w:val="83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3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46" w:customStyle="1">
    <w:name w:val="Grid Table 4 - Accent 2"/>
    <w:basedOn w:val="839"/>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47" w:customStyle="1">
    <w:name w:val="Grid Table 4 - Accent 3"/>
    <w:basedOn w:val="83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48" w:customStyle="1">
    <w:name w:val="Grid Table 4 - Accent 4"/>
    <w:basedOn w:val="83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3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3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Tabela de Grade 5 Escura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39"/>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Tabela de Grade 6 Colorida1"/>
    <w:basedOn w:val="839"/>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9" w:customStyle="1">
    <w:name w:val="Grid Table 6 Colorful - Accent 1"/>
    <w:basedOn w:val="83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60" w:customStyle="1">
    <w:name w:val="Grid Table 6 Colorful - Accent 2"/>
    <w:basedOn w:val="83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61" w:customStyle="1">
    <w:name w:val="Grid Table 6 Colorful - Accent 3"/>
    <w:basedOn w:val="839"/>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62" w:customStyle="1">
    <w:name w:val="Grid Table 6 Colorful - Accent 4"/>
    <w:basedOn w:val="83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63" w:customStyle="1">
    <w:name w:val="Grid Table 6 Colorful - Accent 5"/>
    <w:basedOn w:val="839"/>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4" w:customStyle="1">
    <w:name w:val="Grid Table 6 Colorful - Accent 6"/>
    <w:basedOn w:val="83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65" w:customStyle="1">
    <w:name w:val="Tabela de Grade 7 Colorida1"/>
    <w:basedOn w:val="83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3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39"/>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39"/>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39"/>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3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3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Tabela de Lista 1 Clara1"/>
    <w:basedOn w:val="83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3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39"/>
    <w:link w:val="1143"/>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39"/>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39"/>
    <w:link w:val="114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39"/>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39"/>
    <w:uiPriority w:val="99"/>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Tabela de Lista 21"/>
    <w:basedOn w:val="83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80" w:customStyle="1">
    <w:name w:val="List Table 2 - Accent 1"/>
    <w:basedOn w:val="83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39"/>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82" w:customStyle="1">
    <w:name w:val="List Table 2 - Accent 3"/>
    <w:basedOn w:val="839"/>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39"/>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39"/>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39"/>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Tabela de Lista 31"/>
    <w:basedOn w:val="839"/>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39"/>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39"/>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39"/>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39"/>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39"/>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3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Tabela de Lista 41"/>
    <w:basedOn w:val="8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3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39"/>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3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3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3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3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Tabela de Lista 5 Escura1"/>
    <w:basedOn w:val="83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1" w:customStyle="1">
    <w:name w:val="List Table 5 Dark - Accent 1"/>
    <w:basedOn w:val="83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02" w:customStyle="1">
    <w:name w:val="List Table 5 Dark - Accent 2"/>
    <w:basedOn w:val="839"/>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03" w:customStyle="1">
    <w:name w:val="List Table 5 Dark - Accent 3"/>
    <w:basedOn w:val="839"/>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04" w:customStyle="1">
    <w:name w:val="List Table 5 Dark - Accent 4"/>
    <w:basedOn w:val="83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05" w:customStyle="1">
    <w:name w:val="List Table 5 Dark - Accent 5"/>
    <w:basedOn w:val="839"/>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06" w:customStyle="1">
    <w:name w:val="List Table 5 Dark - Accent 6"/>
    <w:basedOn w:val="83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07" w:customStyle="1">
    <w:name w:val="Tabela de Lista 6 Colorida1"/>
    <w:basedOn w:val="83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8" w:customStyle="1">
    <w:name w:val="List Table 6 Colorful - Accent 1"/>
    <w:basedOn w:val="839"/>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009" w:customStyle="1">
    <w:name w:val="List Table 6 Colorful - Accent 2"/>
    <w:basedOn w:val="839"/>
    <w:uiPriority w:val="99"/>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010" w:customStyle="1">
    <w:name w:val="List Table 6 Colorful - Accent 3"/>
    <w:basedOn w:val="839"/>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011" w:customStyle="1">
    <w:name w:val="List Table 6 Colorful - Accent 4"/>
    <w:basedOn w:val="83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12" w:customStyle="1">
    <w:name w:val="List Table 6 Colorful - Accent 5"/>
    <w:basedOn w:val="83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13" w:customStyle="1">
    <w:name w:val="List Table 6 Colorful - Accent 6"/>
    <w:basedOn w:val="83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14" w:customStyle="1">
    <w:name w:val="Tabela de Lista 7 Colorida1"/>
    <w:basedOn w:val="83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39"/>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39"/>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39"/>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39"/>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39"/>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39"/>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2" w:customStyle="1">
    <w:name w:val="Lined - Accent 1"/>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23" w:customStyle="1">
    <w:name w:val="Lined - Accent 2"/>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24" w:customStyle="1">
    <w:name w:val="Lined - Accent 3"/>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5" w:customStyle="1">
    <w:name w:val="Lined - Accent 4"/>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3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39"/>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29" w:customStyle="1">
    <w:name w:val="Bordered &amp; Lined - Accent 1"/>
    <w:basedOn w:val="839"/>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30" w:customStyle="1">
    <w:name w:val="Bordered &amp; Lined - Accent 2"/>
    <w:basedOn w:val="839"/>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31" w:customStyle="1">
    <w:name w:val="Bordered &amp; Lined - Accent 3"/>
    <w:basedOn w:val="839"/>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32" w:customStyle="1">
    <w:name w:val="Bordered &amp; Lined - Accent 4"/>
    <w:basedOn w:val="83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3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3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3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36" w:customStyle="1">
    <w:name w:val="Bordered - Accent 1"/>
    <w:basedOn w:val="83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3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38" w:customStyle="1">
    <w:name w:val="Bordered - Accent 3"/>
    <w:basedOn w:val="83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39" w:customStyle="1">
    <w:name w:val="Bordered - Accent 4"/>
    <w:basedOn w:val="83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3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39"/>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2" w:customStyle="1">
    <w:name w:val="Texto de nota de rodapé Char"/>
    <w:link w:val="897"/>
    <w:uiPriority w:val="99"/>
    <w:qFormat/>
    <w:rPr>
      <w:sz w:val="18"/>
    </w:rPr>
  </w:style>
  <w:style w:type="character" w:styleId="1043" w:customStyle="1">
    <w:name w:val="Texto de nota de fim Char"/>
    <w:link w:val="885"/>
    <w:uiPriority w:val="99"/>
    <w:qFormat/>
    <w:rPr>
      <w:sz w:val="20"/>
    </w:rPr>
  </w:style>
  <w:style w:type="paragraph" w:styleId="1044">
    <w:name w:val="List Paragraph"/>
    <w:basedOn w:val="828"/>
    <w:link w:val="1107"/>
    <w:uiPriority w:val="1"/>
    <w:qFormat/>
    <w:pPr>
      <w:contextualSpacing/>
      <w:ind w:left="720"/>
    </w:pPr>
  </w:style>
  <w:style w:type="character" w:styleId="1045" w:customStyle="1">
    <w:name w:val="Texto de balão Char"/>
    <w:link w:val="895"/>
    <w:uiPriority w:val="99"/>
    <w:qFormat/>
    <w:rPr>
      <w:rFonts w:ascii="Tahoma" w:hAnsi="Tahoma" w:cs="Tahoma"/>
      <w:sz w:val="16"/>
      <w:szCs w:val="16"/>
    </w:rPr>
  </w:style>
  <w:style w:type="character" w:styleId="1046" w:customStyle="1">
    <w:name w:val="Título 2 Char"/>
    <w:link w:val="830"/>
    <w:rPr>
      <w:b/>
      <w:color w:val="000000"/>
      <w:sz w:val="24"/>
    </w:rPr>
  </w:style>
  <w:style w:type="paragraph" w:styleId="1047" w:customStyle="1">
    <w:name w:val="Nível 2"/>
    <w:basedOn w:val="828"/>
    <w:next w:val="828"/>
    <w:pPr>
      <w:jc w:val="both"/>
      <w:spacing w:after="120"/>
    </w:pPr>
    <w:rPr>
      <w:rFonts w:ascii="Arial" w:hAnsi="Arial" w:cs="Times New Roman"/>
      <w:b/>
      <w:szCs w:val="20"/>
    </w:rPr>
  </w:style>
  <w:style w:type="character" w:styleId="1048" w:customStyle="1">
    <w:name w:val="normal__char1"/>
    <w:rPr>
      <w:rFonts w:hint="default" w:ascii="Arial" w:hAnsi="Arial" w:cs="Arial"/>
      <w:sz w:val="24"/>
      <w:szCs w:val="24"/>
      <w:u w:val="none"/>
    </w:rPr>
  </w:style>
  <w:style w:type="character" w:styleId="1049" w:customStyle="1">
    <w:name w:val="apple-style-span"/>
    <w:basedOn w:val="838"/>
    <w:qFormat/>
  </w:style>
  <w:style w:type="paragraph" w:styleId="1050">
    <w:name w:val="Quote"/>
    <w:basedOn w:val="828"/>
    <w:next w:val="828"/>
    <w:link w:val="1051"/>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i/>
      <w:iCs/>
      <w:color w:val="000000"/>
      <w:sz w:val="20"/>
      <w:lang w:eastAsia="en-US"/>
    </w:rPr>
  </w:style>
  <w:style w:type="character" w:styleId="1051" w:customStyle="1">
    <w:name w:val="Citação Char"/>
    <w:link w:val="1050"/>
    <w:qFormat/>
    <w:rPr>
      <w:rFonts w:ascii="Arial" w:hAnsi="Arial" w:eastAsia="Calibri" w:cs="Tahoma"/>
      <w:i/>
      <w:iCs/>
      <w:color w:val="000000"/>
      <w:szCs w:val="24"/>
      <w:shd w:val="clear" w:color="auto" w:fill="ffffcc"/>
    </w:rPr>
  </w:style>
  <w:style w:type="paragraph" w:styleId="1052" w:customStyle="1">
    <w:name w:val="Nota explicativa"/>
    <w:basedOn w:val="1050"/>
    <w:link w:val="1053"/>
    <w:qFormat/>
    <w:rPr>
      <w:szCs w:val="20"/>
    </w:rPr>
  </w:style>
  <w:style w:type="character" w:styleId="1053" w:customStyle="1">
    <w:name w:val="Nota explicativa Char"/>
    <w:basedOn w:val="1051"/>
    <w:link w:val="1052"/>
    <w:rPr>
      <w:rFonts w:ascii="Arial" w:hAnsi="Arial" w:eastAsia="Calibri" w:cs="Tahoma"/>
      <w:i/>
      <w:iCs/>
      <w:color w:val="000000"/>
      <w:szCs w:val="24"/>
      <w:shd w:val="clear" w:color="auto" w:fill="ffffcc"/>
    </w:rPr>
  </w:style>
  <w:style w:type="character" w:styleId="1054" w:customStyle="1">
    <w:name w:val="Cabeçalho Char"/>
    <w:link w:val="889"/>
    <w:qFormat/>
    <w:rPr>
      <w:rFonts w:ascii="Ecofont_Spranq_eco_Sans" w:hAnsi="Ecofont_Spranq_eco_Sans" w:cs="Tahoma"/>
      <w:sz w:val="24"/>
      <w:szCs w:val="24"/>
    </w:rPr>
  </w:style>
  <w:style w:type="character" w:styleId="1055" w:customStyle="1">
    <w:name w:val="Rodapé Char"/>
    <w:link w:val="891"/>
    <w:uiPriority w:val="99"/>
    <w:qFormat/>
    <w:rPr>
      <w:rFonts w:ascii="Ecofont_Spranq_eco_Sans" w:hAnsi="Ecofont_Spranq_eco_Sans" w:cs="Tahoma"/>
      <w:sz w:val="24"/>
      <w:szCs w:val="24"/>
    </w:rPr>
  </w:style>
  <w:style w:type="character" w:styleId="1056" w:customStyle="1">
    <w:name w:val="Texto de comentário Char"/>
    <w:basedOn w:val="838"/>
    <w:link w:val="880"/>
    <w:uiPriority w:val="99"/>
    <w:qFormat/>
    <w:rPr>
      <w:rFonts w:ascii="Ecofont_Spranq_eco_Sans" w:hAnsi="Ecofont_Spranq_eco_Sans" w:cs="Tahoma"/>
      <w:lang w:eastAsia="pt-BR"/>
    </w:rPr>
  </w:style>
  <w:style w:type="character" w:styleId="1057" w:customStyle="1">
    <w:name w:val="Assunto do comentário Char"/>
    <w:basedOn w:val="1056"/>
    <w:link w:val="890"/>
    <w:semiHidden/>
    <w:qFormat/>
    <w:rPr>
      <w:rFonts w:ascii="Ecofont_Spranq_eco_Sans" w:hAnsi="Ecofont_Spranq_eco_Sans" w:cs="Tahoma"/>
      <w:b/>
      <w:bCs/>
      <w:lang w:eastAsia="pt-BR"/>
    </w:rPr>
  </w:style>
  <w:style w:type="character" w:styleId="1058" w:customStyle="1">
    <w:name w:val="Título 4 Char"/>
    <w:basedOn w:val="838"/>
    <w:link w:val="832"/>
    <w:qFormat/>
    <w:rPr>
      <w:rFonts w:asciiTheme="majorHAnsi" w:hAnsiTheme="majorHAnsi" w:eastAsiaTheme="majorEastAsia" w:cstheme="majorBidi"/>
      <w:i/>
      <w:iCs/>
      <w:color w:val="365f91" w:themeColor="accent1" w:themeShade="BF"/>
      <w:sz w:val="24"/>
      <w:szCs w:val="24"/>
      <w:lang w:eastAsia="pt-BR"/>
    </w:rPr>
  </w:style>
  <w:style w:type="paragraph" w:styleId="1059" w:customStyle="1">
    <w:name w:val="Nivel 01"/>
    <w:basedOn w:val="829"/>
    <w:next w:val="828"/>
    <w:link w:val="1062"/>
    <w:qFormat/>
    <w:pPr>
      <w:numPr>
        <w:numId w:val="2"/>
      </w:numPr>
      <w:ind w:left="360"/>
      <w:jc w:val="both"/>
      <w:spacing w:before="288" w:after="288" w:line="312" w:lineRule="auto"/>
      <w:tabs>
        <w:tab w:val="left" w:pos="567" w:leader="none"/>
      </w:tabs>
    </w:pPr>
    <w:rPr>
      <w:rFonts w:ascii="Arial" w:hAnsi="Arial" w:cs="Arial"/>
      <w:color w:val="auto"/>
      <w:sz w:val="20"/>
      <w:szCs w:val="20"/>
    </w:rPr>
  </w:style>
  <w:style w:type="paragraph" w:styleId="1060" w:customStyle="1">
    <w:name w:val="Nivel_01_Titulo"/>
    <w:basedOn w:val="1059"/>
    <w:link w:val="1064"/>
    <w:qFormat/>
    <w:pPr>
      <w:jc w:val="left"/>
    </w:pPr>
    <w:rPr>
      <w:rFonts w:cstheme="majorBidi"/>
      <w:color w:val="000000" w:themeColor="text1"/>
      <w:spacing w:val="5"/>
      <w:sz w:val="52"/>
      <w:szCs w:val="52"/>
    </w:rPr>
  </w:style>
  <w:style w:type="character" w:styleId="1061" w:customStyle="1">
    <w:name w:val="Título Char"/>
    <w:basedOn w:val="838"/>
    <w:link w:val="883"/>
    <w:rPr>
      <w:rFonts w:asciiTheme="majorHAnsi" w:hAnsiTheme="majorHAnsi" w:eastAsiaTheme="majorEastAsia" w:cstheme="majorBidi"/>
      <w:color w:val="17365d" w:themeColor="text2" w:themeShade="BF"/>
      <w:spacing w:val="5"/>
      <w:sz w:val="52"/>
      <w:szCs w:val="52"/>
      <w:lang w:eastAsia="pt-BR"/>
    </w:rPr>
  </w:style>
  <w:style w:type="character" w:styleId="1062" w:customStyle="1">
    <w:name w:val="Nivel 01 Char"/>
    <w:basedOn w:val="1061"/>
    <w:link w:val="1059"/>
    <w:qFormat/>
    <w:rPr>
      <w:rFonts w:ascii="Arial" w:hAnsi="Arial" w:cs="Arial" w:eastAsiaTheme="majorEastAsia"/>
      <w:b/>
      <w:bCs/>
      <w:color w:val="17365d" w:themeColor="text2" w:themeShade="BF"/>
      <w:spacing w:val="5"/>
      <w:sz w:val="52"/>
      <w:szCs w:val="52"/>
      <w:lang w:eastAsia="pt-BR"/>
    </w:rPr>
  </w:style>
  <w:style w:type="character" w:styleId="1063" w:customStyle="1">
    <w:name w:val="Título 1 Char"/>
    <w:basedOn w:val="838"/>
    <w:link w:val="829"/>
    <w:rPr>
      <w:rFonts w:asciiTheme="majorHAnsi" w:hAnsiTheme="majorHAnsi" w:eastAsiaTheme="majorEastAsia" w:cstheme="majorBidi"/>
      <w:b/>
      <w:bCs/>
      <w:color w:val="365f91" w:themeColor="accent1" w:themeShade="BF"/>
      <w:sz w:val="28"/>
      <w:szCs w:val="28"/>
      <w:lang w:eastAsia="pt-BR"/>
    </w:rPr>
  </w:style>
  <w:style w:type="character" w:styleId="1064" w:customStyle="1">
    <w:name w:val="Nivel_01_Titulo Char"/>
    <w:basedOn w:val="1062"/>
    <w:link w:val="1060"/>
    <w:qFormat/>
    <w:rPr>
      <w:rFonts w:ascii="Arial" w:hAnsi="Arial" w:eastAsiaTheme="majorEastAsia" w:cstheme="majorBidi"/>
      <w:b/>
      <w:bCs/>
      <w:color w:val="000000" w:themeColor="text1"/>
      <w:spacing w:val="5"/>
      <w:sz w:val="52"/>
      <w:szCs w:val="52"/>
      <w:lang w:eastAsia="pt-BR"/>
    </w:rPr>
  </w:style>
  <w:style w:type="paragraph" w:styleId="1065" w:customStyle="1">
    <w:name w:val="PADRÃO"/>
    <w:qFormat/>
    <w:pPr>
      <w:ind w:firstLine="567"/>
      <w:jc w:val="both"/>
      <w:keepNext/>
      <w:spacing w:before="119" w:after="119" w:line="276" w:lineRule="auto"/>
      <w:shd w:val="clear" w:color="auto" w:fill="ffffff"/>
      <w:widowControl w:val="off"/>
    </w:pPr>
    <w:rPr>
      <w:rFonts w:ascii="Ecofont_Spranq_eco_Sans" w:hAnsi="Ecofont_Spranq_eco_Sans" w:eastAsia="WenQuanYi Micro Hei" w:cs="Lohit Hindi"/>
      <w:szCs w:val="24"/>
      <w:lang w:eastAsia="zh-CN" w:bidi="hi-IN"/>
    </w:rPr>
  </w:style>
  <w:style w:type="character" w:styleId="1066" w:customStyle="1">
    <w:name w:val="Quote Char"/>
    <w:basedOn w:val="838"/>
    <w:link w:val="1067"/>
    <w:qFormat/>
    <w:rPr>
      <w:rFonts w:ascii="Ecofont_Spranq_eco_Sans" w:hAnsi="Ecofont_Spranq_eco_Sans" w:eastAsia="Calibri" w:cs="Tahoma"/>
      <w:i/>
      <w:iCs/>
      <w:color w:val="000000"/>
      <w:shd w:val="clear" w:color="auto" w:fill="ffffcc"/>
    </w:rPr>
  </w:style>
  <w:style w:type="paragraph" w:styleId="1067" w:customStyle="1">
    <w:name w:val="Citação1"/>
    <w:basedOn w:val="828"/>
    <w:next w:val="828"/>
    <w:link w:val="1066"/>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eastAsia="Calibri"/>
      <w:i/>
      <w:iCs/>
      <w:color w:val="000000"/>
      <w:sz w:val="20"/>
      <w:szCs w:val="20"/>
      <w:lang w:eastAsia="en-US"/>
    </w:rPr>
  </w:style>
  <w:style w:type="paragraph" w:styleId="1068" w:customStyle="1">
    <w:name w:val="paragraph"/>
    <w:basedOn w:val="828"/>
    <w:pPr>
      <w:spacing w:before="100" w:beforeAutospacing="1" w:after="100" w:afterAutospacing="1"/>
    </w:pPr>
    <w:rPr>
      <w:rFonts w:ascii="Times New Roman" w:hAnsi="Times New Roman" w:eastAsia="Times New Roman" w:cs="Times New Roman"/>
    </w:rPr>
  </w:style>
  <w:style w:type="character" w:styleId="1069" w:customStyle="1">
    <w:name w:val="normaltextrun"/>
    <w:basedOn w:val="838"/>
  </w:style>
  <w:style w:type="character" w:styleId="1070" w:customStyle="1">
    <w:name w:val="eop"/>
    <w:basedOn w:val="838"/>
  </w:style>
  <w:style w:type="character" w:styleId="1071" w:customStyle="1">
    <w:name w:val="spellingerror"/>
    <w:basedOn w:val="838"/>
    <w:qFormat/>
  </w:style>
  <w:style w:type="character" w:styleId="1072" w:customStyle="1">
    <w:name w:val="Corpo de texto Char"/>
    <w:basedOn w:val="838"/>
    <w:link w:val="878"/>
    <w:rPr>
      <w:rFonts w:eastAsia="Times New Roman"/>
      <w:sz w:val="24"/>
      <w:szCs w:val="24"/>
      <w:lang w:eastAsia="pt-BR"/>
    </w:rPr>
  </w:style>
  <w:style w:type="paragraph" w:styleId="1073" w:customStyle="1">
    <w:name w:val="Nivel1"/>
    <w:basedOn w:val="829"/>
    <w:link w:val="1074"/>
    <w:qFormat/>
    <w:pPr>
      <w:ind w:left="357" w:hanging="357"/>
      <w:jc w:val="both"/>
      <w:spacing w:line="276" w:lineRule="auto"/>
    </w:pPr>
    <w:rPr>
      <w:rFonts w:ascii="Arial" w:hAnsi="Arial" w:cs="Arial"/>
      <w:bCs w:val="0"/>
      <w:color w:val="000000"/>
    </w:rPr>
  </w:style>
  <w:style w:type="character" w:styleId="1074" w:customStyle="1">
    <w:name w:val="Nivel1 Char"/>
    <w:basedOn w:val="1063"/>
    <w:link w:val="1073"/>
    <w:qFormat/>
    <w:rPr>
      <w:rFonts w:ascii="Arial" w:hAnsi="Arial" w:cs="Arial" w:eastAsiaTheme="majorEastAsia"/>
      <w:b/>
      <w:bCs w:val="0"/>
      <w:color w:val="000000"/>
      <w:sz w:val="28"/>
      <w:szCs w:val="28"/>
      <w:lang w:eastAsia="pt-BR"/>
    </w:rPr>
  </w:style>
  <w:style w:type="paragraph" w:styleId="1075" w:customStyle="1">
    <w:name w:val="Parágrafo da Lista1"/>
    <w:basedOn w:val="828"/>
    <w:qFormat/>
    <w:pPr>
      <w:ind w:left="720"/>
    </w:pPr>
    <w:rPr>
      <w:rFonts w:eastAsia="Times New Roman" w:cs="Ecofont_Spranq_eco_Sans"/>
    </w:rPr>
  </w:style>
  <w:style w:type="paragraph" w:styleId="1076" w:customStyle="1">
    <w:name w:val="Nivel 2"/>
    <w:basedOn w:val="828"/>
    <w:link w:val="1101"/>
    <w:qFormat/>
    <w:pPr>
      <w:numPr>
        <w:ilvl w:val="1"/>
        <w:numId w:val="2"/>
      </w:numPr>
      <w:ind w:left="0" w:firstLine="0"/>
      <w:jc w:val="both"/>
      <w:spacing w:before="120" w:after="120" w:line="276" w:lineRule="auto"/>
    </w:pPr>
    <w:rPr>
      <w:rFonts w:ascii="Arial" w:hAnsi="Arial" w:cs="Arial"/>
      <w:color w:val="000000"/>
      <w:sz w:val="20"/>
      <w:szCs w:val="20"/>
    </w:rPr>
  </w:style>
  <w:style w:type="paragraph" w:styleId="1077" w:customStyle="1">
    <w:name w:val="Nivel 1"/>
    <w:basedOn w:val="1076"/>
    <w:next w:val="1076"/>
    <w:qFormat/>
    <w:pPr>
      <w:numPr>
        <w:ilvl w:val="0"/>
        <w:numId w:val="0"/>
      </w:numPr>
      <w:ind w:left="360" w:hanging="360"/>
    </w:pPr>
    <w:rPr>
      <w:b/>
    </w:rPr>
  </w:style>
  <w:style w:type="paragraph" w:styleId="1078" w:customStyle="1">
    <w:name w:val="Nivel 3"/>
    <w:basedOn w:val="828"/>
    <w:link w:val="1127"/>
    <w:qFormat/>
    <w:pPr>
      <w:numPr>
        <w:ilvl w:val="2"/>
        <w:numId w:val="2"/>
      </w:numPr>
      <w:ind w:left="284" w:firstLine="0"/>
      <w:jc w:val="both"/>
      <w:spacing w:before="120" w:after="120" w:line="276" w:lineRule="auto"/>
    </w:pPr>
    <w:rPr>
      <w:rFonts w:ascii="Arial" w:hAnsi="Arial" w:cs="Arial"/>
      <w:color w:val="000000"/>
      <w:sz w:val="20"/>
      <w:szCs w:val="20"/>
    </w:rPr>
  </w:style>
  <w:style w:type="paragraph" w:styleId="1079" w:customStyle="1">
    <w:name w:val="Nivel 4"/>
    <w:basedOn w:val="1078"/>
    <w:link w:val="1081"/>
    <w:qFormat/>
    <w:pPr>
      <w:numPr>
        <w:ilvl w:val="3"/>
      </w:numPr>
      <w:ind w:left="567" w:firstLine="0"/>
    </w:pPr>
    <w:rPr>
      <w:color w:val="auto"/>
    </w:rPr>
  </w:style>
  <w:style w:type="paragraph" w:styleId="1080" w:customStyle="1">
    <w:name w:val="Nivel 5"/>
    <w:basedOn w:val="1079"/>
    <w:qFormat/>
    <w:pPr>
      <w:numPr>
        <w:ilvl w:val="4"/>
      </w:numPr>
      <w:ind w:left="851" w:firstLine="0"/>
    </w:pPr>
  </w:style>
  <w:style w:type="character" w:styleId="1081" w:customStyle="1">
    <w:name w:val="Nivel 4 Char"/>
    <w:basedOn w:val="838"/>
    <w:link w:val="1079"/>
    <w:qFormat/>
    <w:rPr>
      <w:rFonts w:ascii="Arial" w:hAnsi="Arial" w:cs="Arial"/>
      <w:lang w:eastAsia="pt-BR"/>
    </w:rPr>
  </w:style>
  <w:style w:type="paragraph" w:styleId="1082" w:customStyle="1">
    <w:name w:val="textbody"/>
    <w:basedOn w:val="828"/>
    <w:qFormat/>
    <w:pPr>
      <w:spacing w:before="100" w:beforeAutospacing="1" w:after="100" w:afterAutospacing="1"/>
    </w:pPr>
    <w:rPr>
      <w:rFonts w:ascii="Times New Roman" w:hAnsi="Times New Roman" w:eastAsia="Times New Roman" w:cs="Times New Roman"/>
    </w:rPr>
  </w:style>
  <w:style w:type="paragraph" w:styleId="1083" w:customStyle="1">
    <w:name w:val="em_0020ementa"/>
    <w:basedOn w:val="828"/>
    <w:pPr>
      <w:ind w:left="4160"/>
      <w:jc w:val="both"/>
    </w:pPr>
    <w:rPr>
      <w:rFonts w:ascii="Times New Roman" w:hAnsi="Times New Roman" w:eastAsia="Times New Roman" w:cs="Times New Roman"/>
      <w:sz w:val="28"/>
      <w:szCs w:val="28"/>
    </w:rPr>
  </w:style>
  <w:style w:type="character" w:styleId="1084" w:customStyle="1">
    <w:name w:val="cp_0020corpodespacho__char1"/>
    <w:qFormat/>
    <w:rPr>
      <w:rFonts w:hint="default" w:ascii="Times New Roman" w:hAnsi="Times New Roman" w:cs="Times New Roman"/>
      <w:sz w:val="26"/>
      <w:szCs w:val="26"/>
      <w:u w:val="none"/>
    </w:rPr>
  </w:style>
  <w:style w:type="character" w:styleId="1085" w:customStyle="1">
    <w:name w:val="em_0020ementa__char1"/>
    <w:qFormat/>
    <w:rPr>
      <w:rFonts w:hint="default" w:ascii="Times New Roman" w:hAnsi="Times New Roman" w:cs="Times New Roman"/>
      <w:sz w:val="28"/>
      <w:szCs w:val="28"/>
      <w:u w:val="none"/>
    </w:rPr>
  </w:style>
  <w:style w:type="paragraph" w:styleId="1086" w:customStyle="1">
    <w:name w:val="Revisão1"/>
    <w:hidden/>
    <w:uiPriority w:val="99"/>
    <w:semiHidden/>
    <w:qFormat/>
    <w:rPr>
      <w:rFonts w:ascii="Ecofont_Spranq_eco_Sans" w:hAnsi="Ecofont_Spranq_eco_Sans" w:eastAsia="Times New Roman" w:cs="Tahoma"/>
      <w:sz w:val="24"/>
      <w:szCs w:val="24"/>
      <w:lang w:eastAsia="pt-BR"/>
    </w:rPr>
  </w:style>
  <w:style w:type="character" w:styleId="1087" w:customStyle="1">
    <w:name w:val="Manoel"/>
    <w:qFormat/>
    <w:rPr>
      <w:rFonts w:ascii="Arial" w:hAnsi="Arial" w:cs="Arial"/>
      <w:color w:val="7030a0"/>
      <w:sz w:val="20"/>
    </w:rPr>
  </w:style>
  <w:style w:type="character" w:styleId="1088" w:customStyle="1">
    <w:name w:val="ListLabel 12"/>
    <w:qFormat/>
    <w:rPr>
      <w:b/>
    </w:rPr>
  </w:style>
  <w:style w:type="paragraph" w:styleId="1089" w:customStyle="1">
    <w:name w:val="texto1"/>
    <w:basedOn w:val="828"/>
    <w:qFormat/>
    <w:pPr>
      <w:spacing w:before="100" w:beforeAutospacing="1" w:after="100" w:afterAutospacing="1"/>
    </w:pPr>
    <w:rPr>
      <w:rFonts w:ascii="Times New Roman" w:hAnsi="Times New Roman" w:eastAsia="Times New Roman" w:cs="Times New Roman"/>
    </w:rPr>
  </w:style>
  <w:style w:type="paragraph" w:styleId="1090" w:customStyle="1">
    <w:name w:val="Grade Colorida - Ênfase 11"/>
    <w:basedOn w:val="828"/>
    <w:next w:val="828"/>
    <w:link w:val="1091"/>
    <w:uiPriority w:val="29"/>
    <w:qFormat/>
    <w:pPr>
      <w:jc w:val="both"/>
      <w:spacing w:before="120"/>
      <w:shd w:val="clear" w:color="auto" w:fill="ffffcc"/>
      <w:pBdr>
        <w:top w:val="single" w:color="1F497D" w:sz="4" w:space="1"/>
        <w:left w:val="single" w:color="1F497D" w:sz="4" w:space="4"/>
        <w:bottom w:val="single" w:color="1F497D" w:sz="4" w:space="1"/>
        <w:right w:val="single" w:color="1F497D" w:sz="4" w:space="4"/>
      </w:pBdr>
    </w:pPr>
    <w:rPr>
      <w:rFonts w:ascii="Arial" w:hAnsi="Arial" w:eastAsia="Calibri" w:cs="Times New Roman"/>
      <w:i/>
      <w:iCs/>
      <w:color w:val="000000"/>
      <w:sz w:val="20"/>
      <w:lang w:eastAsia="en-US"/>
    </w:rPr>
  </w:style>
  <w:style w:type="character" w:styleId="1091" w:customStyle="1">
    <w:name w:val="Grade Colorida - Ênfase 1 Char"/>
    <w:link w:val="1090"/>
    <w:uiPriority w:val="29"/>
    <w:qFormat/>
    <w:rPr>
      <w:rFonts w:ascii="Arial" w:hAnsi="Arial" w:eastAsia="Calibri"/>
      <w:i/>
      <w:iCs/>
      <w:color w:val="000000"/>
      <w:szCs w:val="24"/>
      <w:shd w:val="clear" w:color="auto" w:fill="ffffcc"/>
    </w:rPr>
  </w:style>
  <w:style w:type="paragraph" w:styleId="1092" w:customStyle="1">
    <w:name w:val="x_western"/>
    <w:basedOn w:val="828"/>
    <w:qFormat/>
    <w:pPr>
      <w:spacing w:before="100" w:beforeAutospacing="1" w:after="100" w:afterAutospacing="1"/>
    </w:pPr>
    <w:rPr>
      <w:rFonts w:ascii="Times New Roman" w:hAnsi="Times New Roman" w:eastAsia="Times New Roman" w:cs="Times New Roman"/>
    </w:rPr>
  </w:style>
  <w:style w:type="paragraph" w:styleId="1093" w:customStyle="1">
    <w:name w:val="TCU - Ac - item 9 - §§_0"/>
    <w:basedOn w:val="828"/>
    <w:qFormat/>
    <w:pPr>
      <w:ind w:firstLine="1134"/>
      <w:jc w:val="both"/>
    </w:pPr>
    <w:rPr>
      <w:rFonts w:ascii="Times New Roman" w:hAnsi="Times New Roman" w:eastAsia="Times New Roman" w:cs="Times New Roman"/>
      <w:szCs w:val="22"/>
      <w:lang w:eastAsia="en-US"/>
    </w:rPr>
  </w:style>
  <w:style w:type="paragraph" w:styleId="1094" w:customStyle="1">
    <w:name w:val="Normal_1"/>
    <w:qFormat/>
    <w:rPr>
      <w:rFonts w:eastAsia="Times New Roman"/>
      <w:sz w:val="24"/>
      <w:szCs w:val="22"/>
      <w:lang w:eastAsia="en-US"/>
    </w:rPr>
  </w:style>
  <w:style w:type="paragraph" w:styleId="1095" w:customStyle="1">
    <w:name w:val="tcu_-__ac_-_item_9_-_1ª_linha"/>
    <w:basedOn w:val="828"/>
    <w:qFormat/>
    <w:pPr>
      <w:spacing w:before="100" w:beforeAutospacing="1" w:after="100" w:afterAutospacing="1"/>
    </w:pPr>
    <w:rPr>
      <w:rFonts w:ascii="Times New Roman" w:hAnsi="Times New Roman" w:eastAsia="Times New Roman" w:cs="Times New Roman"/>
    </w:rPr>
  </w:style>
  <w:style w:type="paragraph" w:styleId="1096" w:customStyle="1">
    <w:name w:val="texto_justificado_recuo_primeira_linha"/>
    <w:basedOn w:val="828"/>
    <w:qFormat/>
    <w:pPr>
      <w:spacing w:before="100" w:beforeAutospacing="1" w:after="100" w:afterAutospacing="1"/>
    </w:pPr>
    <w:rPr>
      <w:rFonts w:ascii="Times New Roman" w:hAnsi="Times New Roman" w:eastAsia="Times New Roman" w:cs="Times New Roman"/>
    </w:rPr>
  </w:style>
  <w:style w:type="character" w:styleId="1097" w:customStyle="1">
    <w:name w:val="highlight"/>
    <w:basedOn w:val="838"/>
    <w:qFormat/>
  </w:style>
  <w:style w:type="paragraph" w:styleId="1098" w:customStyle="1">
    <w:name w:val="texto_justificado"/>
    <w:basedOn w:val="828"/>
    <w:qFormat/>
    <w:pPr>
      <w:spacing w:before="100" w:beforeAutospacing="1" w:after="100" w:afterAutospacing="1"/>
    </w:pPr>
    <w:rPr>
      <w:rFonts w:ascii="Times New Roman" w:hAnsi="Times New Roman" w:eastAsia="Times New Roman" w:cs="Times New Roman"/>
    </w:rPr>
  </w:style>
  <w:style w:type="character" w:styleId="1099" w:customStyle="1">
    <w:name w:val="Menção Pendente1"/>
    <w:basedOn w:val="838"/>
    <w:uiPriority w:val="99"/>
    <w:semiHidden/>
    <w:unhideWhenUsed/>
    <w:qFormat/>
    <w:rPr>
      <w:color w:val="605e5c"/>
      <w:shd w:val="clear" w:color="auto" w:fill="e1dfdd"/>
    </w:rPr>
  </w:style>
  <w:style w:type="character" w:styleId="1100" w:customStyle="1">
    <w:name w:val="Menção Pendente2"/>
    <w:basedOn w:val="838"/>
    <w:uiPriority w:val="99"/>
    <w:semiHidden/>
    <w:unhideWhenUsed/>
    <w:rPr>
      <w:color w:val="605e5c"/>
      <w:shd w:val="clear" w:color="auto" w:fill="e1dfdd"/>
    </w:rPr>
  </w:style>
  <w:style w:type="character" w:styleId="1101" w:customStyle="1">
    <w:name w:val="Nivel 2 Char"/>
    <w:basedOn w:val="838"/>
    <w:link w:val="1076"/>
    <w:qFormat/>
    <w:rPr>
      <w:rFonts w:ascii="Arial" w:hAnsi="Arial" w:cs="Arial"/>
      <w:color w:val="000000"/>
      <w:lang w:eastAsia="pt-BR"/>
    </w:rPr>
  </w:style>
  <w:style w:type="paragraph" w:styleId="1102" w:customStyle="1">
    <w:name w:val="Nível 2 Opcional"/>
    <w:basedOn w:val="1076"/>
    <w:link w:val="1104"/>
    <w:qFormat/>
    <w:pPr>
      <w:numPr>
        <w:ilvl w:val="0"/>
        <w:numId w:val="0"/>
      </w:numPr>
      <w:ind w:left="432" w:hanging="432"/>
    </w:pPr>
    <w:rPr>
      <w:rFonts w:eastAsia="Times New Roman"/>
      <w:i/>
      <w:color w:val="ff0000"/>
    </w:rPr>
  </w:style>
  <w:style w:type="paragraph" w:styleId="1103" w:customStyle="1">
    <w:name w:val="Nível 3 Opcional"/>
    <w:basedOn w:val="1078"/>
    <w:link w:val="1105"/>
    <w:qFormat/>
    <w:pPr>
      <w:numPr>
        <w:ilvl w:val="0"/>
        <w:numId w:val="0"/>
      </w:numPr>
      <w:ind w:left="1072" w:hanging="504"/>
    </w:pPr>
    <w:rPr>
      <w:rFonts w:eastAsia="Times New Roman"/>
      <w:i/>
      <w:iCs/>
      <w:color w:val="ff0000"/>
    </w:rPr>
  </w:style>
  <w:style w:type="character" w:styleId="1104" w:customStyle="1">
    <w:name w:val="Nível 2 Opcional Char"/>
    <w:basedOn w:val="838"/>
    <w:link w:val="1102"/>
    <w:qFormat/>
    <w:rPr>
      <w:rFonts w:ascii="Arial" w:hAnsi="Arial" w:eastAsia="Times New Roman" w:cs="Arial"/>
      <w:i/>
      <w:color w:val="ff0000"/>
      <w:lang w:eastAsia="pt-BR"/>
    </w:rPr>
  </w:style>
  <w:style w:type="character" w:styleId="1105" w:customStyle="1">
    <w:name w:val="Nível 3 Opcional Char"/>
    <w:basedOn w:val="838"/>
    <w:link w:val="1103"/>
    <w:qFormat/>
    <w:rPr>
      <w:rFonts w:ascii="Arial" w:hAnsi="Arial" w:eastAsia="Times New Roman" w:cs="Arial"/>
      <w:i/>
      <w:iCs/>
      <w:color w:val="ff0000"/>
      <w:lang w:eastAsia="pt-BR"/>
    </w:rPr>
  </w:style>
  <w:style w:type="character" w:styleId="1106">
    <w:name w:val="Placeholder Text"/>
    <w:basedOn w:val="838"/>
    <w:uiPriority w:val="67"/>
    <w:semiHidden/>
    <w:qFormat/>
    <w:rPr>
      <w:color w:val="808080"/>
    </w:rPr>
  </w:style>
  <w:style w:type="character" w:styleId="1107" w:customStyle="1">
    <w:name w:val="Parágrafo da Lista Char"/>
    <w:basedOn w:val="838"/>
    <w:link w:val="1044"/>
    <w:uiPriority w:val="34"/>
    <w:qFormat/>
    <w:rPr>
      <w:rFonts w:ascii="Ecofont_Spranq_eco_Sans" w:hAnsi="Ecofont_Spranq_eco_Sans" w:cs="Tahoma"/>
      <w:sz w:val="24"/>
      <w:szCs w:val="24"/>
      <w:lang w:eastAsia="pt-BR"/>
    </w:rPr>
  </w:style>
  <w:style w:type="character" w:styleId="1108" w:customStyle="1">
    <w:name w:val="Título 3 Char"/>
    <w:basedOn w:val="838"/>
    <w:link w:val="831"/>
    <w:uiPriority w:val="9"/>
    <w:semiHidden/>
    <w:qFormat/>
    <w:rPr>
      <w:rFonts w:asciiTheme="majorHAnsi" w:hAnsiTheme="majorHAnsi" w:eastAsiaTheme="majorEastAsia" w:cstheme="majorBidi"/>
      <w:color w:val="244061" w:themeColor="accent1" w:themeShade="80"/>
      <w:sz w:val="24"/>
      <w:szCs w:val="24"/>
    </w:rPr>
  </w:style>
  <w:style w:type="character" w:styleId="1109" w:customStyle="1">
    <w:name w:val="Título 6 Char"/>
    <w:basedOn w:val="838"/>
    <w:link w:val="834"/>
    <w:uiPriority w:val="9"/>
    <w:semiHidden/>
    <w:qFormat/>
    <w:rPr>
      <w:rFonts w:asciiTheme="majorHAnsi" w:hAnsiTheme="majorHAnsi" w:eastAsiaTheme="majorEastAsia" w:cstheme="majorBidi"/>
      <w:color w:val="244061" w:themeColor="accent1" w:themeShade="80"/>
      <w:sz w:val="22"/>
      <w:szCs w:val="22"/>
    </w:rPr>
  </w:style>
  <w:style w:type="paragraph" w:styleId="1110" w:customStyle="1">
    <w:name w:val="Sombreamento Médio 1 - Ênfase 31"/>
    <w:basedOn w:val="828"/>
    <w:next w:val="828"/>
    <w:qFormat/>
    <w:pPr>
      <w:jc w:val="both"/>
      <w:spacing w:before="120"/>
      <w:shd w:val="clear" w:color="auto" w:fill="ffffcc"/>
      <w:pBdr>
        <w:top w:val="single" w:color="000080" w:sz="4" w:space="1"/>
        <w:left w:val="single" w:color="000080" w:sz="4" w:space="4"/>
        <w:bottom w:val="single" w:color="000080" w:sz="4" w:space="1"/>
        <w:right w:val="single" w:color="000080" w:sz="4" w:space="4"/>
      </w:pBdr>
    </w:pPr>
    <w:rPr>
      <w:rFonts w:eastAsia="Calibri"/>
      <w:i/>
      <w:iCs/>
      <w:color w:val="000000"/>
      <w:sz w:val="20"/>
      <w:lang w:eastAsia="zh-CN"/>
    </w:rPr>
  </w:style>
  <w:style w:type="paragraph" w:styleId="1111" w:customStyle="1">
    <w:name w:val="corpo"/>
    <w:basedOn w:val="828"/>
    <w:qFormat/>
    <w:pPr>
      <w:spacing w:before="100" w:beforeAutospacing="1" w:after="100" w:afterAutospacing="1"/>
    </w:pPr>
    <w:rPr>
      <w:rFonts w:ascii="Times New Roman" w:hAnsi="Times New Roman" w:eastAsia="Times New Roman" w:cs="Times New Roman"/>
    </w:rPr>
  </w:style>
  <w:style w:type="paragraph" w:styleId="1112" w:customStyle="1">
    <w:name w:val="item_nivel2"/>
    <w:basedOn w:val="828"/>
    <w:qFormat/>
    <w:pPr>
      <w:spacing w:before="100" w:beforeAutospacing="1" w:after="100" w:afterAutospacing="1"/>
    </w:pPr>
    <w:rPr>
      <w:rFonts w:ascii="Times New Roman" w:hAnsi="Times New Roman" w:eastAsia="Times New Roman" w:cs="Times New Roman"/>
    </w:rPr>
  </w:style>
  <w:style w:type="paragraph" w:styleId="1113" w:customStyle="1">
    <w:name w:val="item_nivel1"/>
    <w:basedOn w:val="828"/>
    <w:qFormat/>
    <w:pPr>
      <w:spacing w:before="100" w:beforeAutospacing="1" w:after="100" w:afterAutospacing="1"/>
    </w:pPr>
    <w:rPr>
      <w:rFonts w:ascii="Times New Roman" w:hAnsi="Times New Roman" w:eastAsia="Times New Roman" w:cs="Times New Roman"/>
    </w:rPr>
  </w:style>
  <w:style w:type="paragraph" w:styleId="1114" w:customStyle="1">
    <w:name w:val="item_alinea_letra"/>
    <w:basedOn w:val="828"/>
    <w:qFormat/>
    <w:pPr>
      <w:spacing w:before="100" w:beforeAutospacing="1" w:after="100" w:afterAutospacing="1"/>
    </w:pPr>
    <w:rPr>
      <w:rFonts w:ascii="Times New Roman" w:hAnsi="Times New Roman" w:eastAsia="Times New Roman" w:cs="Times New Roman"/>
    </w:rPr>
  </w:style>
  <w:style w:type="character" w:styleId="1115" w:customStyle="1">
    <w:name w:val="markedcontent"/>
    <w:basedOn w:val="838"/>
    <w:qFormat/>
  </w:style>
  <w:style w:type="paragraph" w:styleId="1116" w:customStyle="1">
    <w:name w:val="Standard"/>
    <w:qFormat/>
    <w:rPr>
      <w:rFonts w:ascii="Liberation Serif" w:hAnsi="Liberation Serif" w:eastAsia="NSimSun" w:cs="Lucida Sans"/>
      <w:sz w:val="24"/>
      <w:szCs w:val="24"/>
      <w:lang w:eastAsia="zh-CN" w:bidi="hi-IN"/>
    </w:rPr>
  </w:style>
  <w:style w:type="paragraph" w:styleId="1117" w:customStyle="1">
    <w:name w:val="Text body"/>
    <w:basedOn w:val="1116"/>
    <w:qFormat/>
    <w:pPr>
      <w:spacing w:after="140" w:line="276" w:lineRule="auto"/>
    </w:pPr>
  </w:style>
  <w:style w:type="character" w:styleId="1118" w:customStyle="1">
    <w:name w:val="Menção Pendente3"/>
    <w:basedOn w:val="838"/>
    <w:uiPriority w:val="99"/>
    <w:semiHidden/>
    <w:unhideWhenUsed/>
    <w:qFormat/>
    <w:rPr>
      <w:color w:val="605e5c"/>
      <w:shd w:val="clear" w:color="auto" w:fill="e1dfdd"/>
    </w:rPr>
  </w:style>
  <w:style w:type="character" w:styleId="1119" w:customStyle="1">
    <w:name w:val="Menção Pendente4"/>
    <w:basedOn w:val="838"/>
    <w:uiPriority w:val="99"/>
    <w:semiHidden/>
    <w:unhideWhenUsed/>
    <w:qFormat/>
    <w:rPr>
      <w:color w:val="605e5c"/>
      <w:shd w:val="clear" w:color="auto" w:fill="e1dfdd"/>
    </w:rPr>
  </w:style>
  <w:style w:type="paragraph" w:styleId="1120" w:customStyle="1">
    <w:name w:val="ou"/>
    <w:basedOn w:val="1044"/>
    <w:link w:val="1121"/>
    <w:qFormat/>
    <w:pPr>
      <w:contextualSpacing w:val="0"/>
      <w:ind w:left="0"/>
      <w:jc w:val="center"/>
      <w:spacing w:before="60" w:after="60" w:line="259" w:lineRule="auto"/>
    </w:pPr>
    <w:rPr>
      <w:rFonts w:ascii="Arial" w:hAnsi="Arial" w:cs="Arial" w:eastAsiaTheme="minorHAnsi"/>
      <w:b/>
      <w:bCs/>
      <w:i/>
      <w:iCs/>
      <w:color w:val="ff0000"/>
      <w:u w:val="single"/>
    </w:rPr>
  </w:style>
  <w:style w:type="character" w:styleId="1121" w:customStyle="1">
    <w:name w:val="ou Char"/>
    <w:basedOn w:val="1107"/>
    <w:link w:val="1120"/>
    <w:qFormat/>
    <w:rPr>
      <w:rFonts w:ascii="Arial" w:hAnsi="Arial" w:cs="Arial" w:eastAsiaTheme="minorHAnsi"/>
      <w:b/>
      <w:bCs/>
      <w:i/>
      <w:iCs/>
      <w:color w:val="ff0000"/>
      <w:sz w:val="24"/>
      <w:szCs w:val="24"/>
      <w:u w:val="single"/>
      <w:lang w:eastAsia="pt-BR"/>
    </w:rPr>
  </w:style>
  <w:style w:type="paragraph" w:styleId="1122" w:customStyle="1">
    <w:name w:val="dou-paragraph"/>
    <w:basedOn w:val="828"/>
    <w:qFormat/>
    <w:pPr>
      <w:spacing w:before="100" w:beforeAutospacing="1" w:after="100" w:afterAutospacing="1"/>
    </w:pPr>
    <w:rPr>
      <w:rFonts w:ascii="Times New Roman" w:hAnsi="Times New Roman" w:eastAsia="Times New Roman" w:cs="Times New Roman"/>
    </w:rPr>
  </w:style>
  <w:style w:type="paragraph" w:styleId="1123" w:customStyle="1">
    <w:name w:val="Nível 2 -Red"/>
    <w:basedOn w:val="1076"/>
    <w:link w:val="1125"/>
    <w:qFormat/>
    <w:rPr>
      <w:i/>
      <w:iCs/>
      <w:color w:val="ff0000"/>
    </w:rPr>
  </w:style>
  <w:style w:type="paragraph" w:styleId="1124" w:customStyle="1">
    <w:name w:val="Nível 3-R"/>
    <w:basedOn w:val="1078"/>
    <w:link w:val="1128"/>
    <w:qFormat/>
    <w:rPr>
      <w:i/>
      <w:iCs/>
      <w:color w:val="ff0000"/>
    </w:rPr>
  </w:style>
  <w:style w:type="character" w:styleId="1125" w:customStyle="1">
    <w:name w:val="Nível 2 -Red Char"/>
    <w:basedOn w:val="1101"/>
    <w:link w:val="1123"/>
    <w:qFormat/>
    <w:rPr>
      <w:rFonts w:ascii="Arial" w:hAnsi="Arial" w:cs="Arial"/>
      <w:i/>
      <w:iCs/>
      <w:color w:val="ff0000"/>
      <w:lang w:eastAsia="pt-BR"/>
    </w:rPr>
  </w:style>
  <w:style w:type="paragraph" w:styleId="1126" w:customStyle="1">
    <w:name w:val="Nível 4-R"/>
    <w:basedOn w:val="1079"/>
    <w:link w:val="1130"/>
    <w:qFormat/>
    <w:rPr>
      <w:i/>
      <w:iCs/>
      <w:color w:val="ff0000"/>
    </w:rPr>
  </w:style>
  <w:style w:type="character" w:styleId="1127" w:customStyle="1">
    <w:name w:val="Nivel 3 Char"/>
    <w:basedOn w:val="838"/>
    <w:link w:val="1078"/>
    <w:qFormat/>
    <w:rPr>
      <w:rFonts w:ascii="Arial" w:hAnsi="Arial" w:cs="Arial"/>
      <w:color w:val="000000"/>
      <w:lang w:eastAsia="pt-BR"/>
    </w:rPr>
  </w:style>
  <w:style w:type="character" w:styleId="1128" w:customStyle="1">
    <w:name w:val="Nível 3-R Char"/>
    <w:basedOn w:val="1127"/>
    <w:link w:val="1124"/>
    <w:qFormat/>
    <w:rPr>
      <w:rFonts w:ascii="Arial" w:hAnsi="Arial" w:cs="Arial"/>
      <w:i/>
      <w:iCs/>
      <w:color w:val="ff0000"/>
      <w:lang w:eastAsia="pt-BR"/>
    </w:rPr>
  </w:style>
  <w:style w:type="paragraph" w:styleId="1129" w:customStyle="1">
    <w:name w:val="Nível 1-Sem Num"/>
    <w:basedOn w:val="1059"/>
    <w:link w:val="1132"/>
    <w:qFormat/>
    <w:pPr>
      <w:numPr>
        <w:numId w:val="0"/>
      </w:numPr>
      <w:outlineLvl w:val="1"/>
    </w:pPr>
    <w:rPr>
      <w:color w:val="ff0000"/>
    </w:rPr>
  </w:style>
  <w:style w:type="character" w:styleId="1130" w:customStyle="1">
    <w:name w:val="Nível 4-R Char"/>
    <w:basedOn w:val="1081"/>
    <w:link w:val="1126"/>
    <w:qFormat/>
    <w:rPr>
      <w:rFonts w:ascii="Arial" w:hAnsi="Arial" w:cs="Arial"/>
      <w:i/>
      <w:iCs/>
      <w:color w:val="ff0000"/>
      <w:lang w:eastAsia="pt-BR"/>
    </w:rPr>
  </w:style>
  <w:style w:type="character" w:styleId="1131" w:customStyle="1">
    <w:name w:val="Link da Internet"/>
    <w:basedOn w:val="838"/>
    <w:uiPriority w:val="99"/>
    <w:unhideWhenUsed/>
    <w:qFormat/>
    <w:rPr>
      <w:color w:val="0000ff" w:themeColor="hyperlink"/>
      <w:u w:val="single"/>
    </w:rPr>
  </w:style>
  <w:style w:type="character" w:styleId="1132" w:customStyle="1">
    <w:name w:val="Nível 1-Sem Num Char"/>
    <w:basedOn w:val="1062"/>
    <w:link w:val="1129"/>
    <w:qFormat/>
    <w:rPr>
      <w:rFonts w:ascii="Arial" w:hAnsi="Arial" w:cs="Arial" w:eastAsiaTheme="majorEastAsia"/>
      <w:b/>
      <w:bCs/>
      <w:color w:val="ff0000"/>
      <w:spacing w:val="5"/>
      <w:sz w:val="52"/>
      <w:szCs w:val="52"/>
      <w:lang w:eastAsia="pt-BR"/>
    </w:rPr>
  </w:style>
  <w:style w:type="paragraph" w:styleId="1133" w:customStyle="1">
    <w:name w:val="citação 2"/>
    <w:basedOn w:val="1050"/>
    <w:link w:val="1137"/>
    <w:qFormat/>
    <w:rPr>
      <w:szCs w:val="20"/>
    </w:rPr>
  </w:style>
  <w:style w:type="paragraph" w:styleId="1134" w:customStyle="1">
    <w:name w:val="Preâmbulo"/>
    <w:basedOn w:val="828"/>
    <w:link w:val="1135"/>
    <w:qFormat/>
    <w:pPr>
      <w:ind w:left="4253" w:right="-17"/>
      <w:jc w:val="both"/>
      <w:spacing w:before="480" w:after="120" w:line="360" w:lineRule="auto"/>
    </w:pPr>
    <w:rPr>
      <w:rFonts w:ascii="Arial" w:hAnsi="Arial" w:eastAsia="Arial" w:cs="Arial"/>
      <w:bCs/>
      <w:sz w:val="20"/>
      <w:szCs w:val="20"/>
    </w:rPr>
  </w:style>
  <w:style w:type="character" w:styleId="1135" w:customStyle="1">
    <w:name w:val="Preâmbulo Char"/>
    <w:basedOn w:val="838"/>
    <w:link w:val="1134"/>
    <w:qFormat/>
    <w:rPr>
      <w:rFonts w:ascii="Arial" w:hAnsi="Arial" w:eastAsia="Arial" w:cs="Arial"/>
      <w:bCs/>
      <w:lang w:eastAsia="pt-BR"/>
    </w:rPr>
  </w:style>
  <w:style w:type="character" w:styleId="1136" w:customStyle="1">
    <w:name w:val="Menção Pendente5"/>
    <w:basedOn w:val="838"/>
    <w:uiPriority w:val="99"/>
    <w:semiHidden/>
    <w:unhideWhenUsed/>
    <w:qFormat/>
    <w:rPr>
      <w:color w:val="605e5c"/>
      <w:shd w:val="clear" w:color="auto" w:fill="e1dfdd"/>
    </w:rPr>
  </w:style>
  <w:style w:type="character" w:styleId="1137" w:customStyle="1">
    <w:name w:val="citação 2 Char"/>
    <w:basedOn w:val="1051"/>
    <w:link w:val="1133"/>
    <w:qFormat/>
    <w:rPr>
      <w:rFonts w:ascii="Arial" w:hAnsi="Arial" w:eastAsia="Calibri" w:cs="Tahoma"/>
      <w:i/>
      <w:iCs/>
      <w:color w:val="000000"/>
      <w:szCs w:val="24"/>
      <w:shd w:val="clear" w:color="auto" w:fill="ffffcc"/>
    </w:rPr>
  </w:style>
  <w:style w:type="paragraph" w:styleId="1138" w:customStyle="1">
    <w:name w:val="Cabeçalho do Sumário1"/>
    <w:basedOn w:val="829"/>
    <w:next w:val="828"/>
    <w:uiPriority w:val="39"/>
    <w:unhideWhenUsed/>
    <w:qFormat/>
    <w:pPr>
      <w:spacing w:before="240" w:line="259" w:lineRule="auto"/>
      <w:outlineLvl w:val="9"/>
    </w:pPr>
    <w:rPr>
      <w:b w:val="0"/>
      <w:bCs w:val="0"/>
      <w:sz w:val="32"/>
      <w:szCs w:val="32"/>
    </w:rPr>
  </w:style>
  <w:style w:type="character" w:styleId="1139" w:customStyle="1">
    <w:name w:val="Menção Pendente6"/>
    <w:basedOn w:val="838"/>
    <w:uiPriority w:val="99"/>
    <w:semiHidden/>
    <w:unhideWhenUsed/>
    <w:qFormat/>
    <w:rPr>
      <w:color w:val="605e5c"/>
      <w:shd w:val="clear" w:color="auto" w:fill="e1dfdd"/>
    </w:rPr>
  </w:style>
  <w:style w:type="character" w:styleId="1140" w:customStyle="1">
    <w:name w:val="Mention non résolue1"/>
    <w:basedOn w:val="838"/>
    <w:uiPriority w:val="99"/>
    <w:semiHidden/>
    <w:unhideWhenUsed/>
    <w:qFormat/>
    <w:rPr>
      <w:color w:val="605e5c"/>
      <w:shd w:val="clear" w:color="auto" w:fill="e1dfdd"/>
    </w:rPr>
  </w:style>
  <w:style w:type="paragraph" w:styleId="1141" w:customStyle="1">
    <w:name w:val="Nível 1-Sem Num Preto"/>
    <w:qFormat/>
    <w:pPr>
      <w:jc w:val="both"/>
      <w:keepLines/>
      <w:keepNext/>
      <w:spacing w:before="240" w:after="120" w:line="276" w:lineRule="auto"/>
      <w:tabs>
        <w:tab w:val="left" w:pos="567" w:leader="none"/>
      </w:tabs>
      <w:pBdr>
        <w:top w:val="none" w:color="000000" w:sz="4" w:space="0"/>
        <w:left w:val="none" w:color="000000" w:sz="4" w:space="0"/>
        <w:bottom w:val="none" w:color="000000" w:sz="4" w:space="0"/>
        <w:right w:val="none" w:color="000000" w:sz="4" w:space="0"/>
        <w:between w:val="none" w:color="000000" w:sz="4" w:space="0"/>
      </w:pBdr>
      <w:outlineLvl w:val="1"/>
    </w:pPr>
    <w:rPr>
      <w:rFonts w:ascii="Arial" w:hAnsi="Arial" w:eastAsia="Arial" w:cs="Arial"/>
      <w:b/>
      <w:bCs/>
      <w:lang w:eastAsia="zh-CN" w:bidi="hi-IN"/>
    </w:rPr>
  </w:style>
  <w:style w:type="character" w:styleId="1142" w:customStyle="1">
    <w:name w:val="Hiperlink"/>
    <w:qFormat/>
    <w:rPr>
      <w:color w:val="0000ff"/>
      <w:u w:val="single"/>
    </w:rPr>
  </w:style>
  <w:style w:type="paragraph" w:styleId="1143" w:customStyle="1">
    <w:name w:val="Nível 3"/>
    <w:link w:val="974"/>
    <w:qFormat/>
    <w:pPr>
      <w:numPr>
        <w:ilvl w:val="2"/>
        <w:numId w:val="12"/>
      </w:numPr>
      <w:ind w:left="284" w:firstLine="0"/>
      <w:jc w:val="both"/>
      <w:spacing w:before="120" w:after="120" w:line="276" w:lineRule="auto"/>
      <w:pBdr>
        <w:top w:val="none" w:color="000000" w:sz="4" w:space="0"/>
        <w:left w:val="none" w:color="000000" w:sz="4" w:space="0"/>
        <w:bottom w:val="none" w:color="000000" w:sz="4" w:space="0"/>
        <w:right w:val="none" w:color="000000" w:sz="4" w:space="0"/>
        <w:between w:val="none" w:color="000000" w:sz="4" w:space="0"/>
      </w:pBdr>
    </w:pPr>
    <w:rPr>
      <w:rFonts w:ascii="Arial" w:hAnsi="Arial" w:eastAsia="Times New Roman" w:cs="Arial"/>
      <w:lang w:eastAsia="pt-BR"/>
    </w:rPr>
  </w:style>
  <w:style w:type="paragraph" w:styleId="1144" w:customStyle="1">
    <w:name w:val="Nível 4"/>
    <w:basedOn w:val="1143"/>
    <w:link w:val="976"/>
    <w:qFormat/>
    <w:pPr>
      <w:numPr>
        <w:ilvl w:val="3"/>
      </w:numPr>
      <w:ind w:left="567" w:firstLine="0"/>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27"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_ato2007-2010/2009/lei/l12187.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s://www.portaltransparencia.gov.br/sancoes/ceis" TargetMode="External"/><Relationship Id="rId32" Type="http://schemas.openxmlformats.org/officeDocument/2006/relationships/hyperlink" Target="https://www.portaltransparencia.gov.br/sancoes/cnep" TargetMode="External"/><Relationship Id="rId33" Type="http://schemas.openxmlformats.org/officeDocument/2006/relationships/hyperlink" Target="https://www.planalto.gov.br/ccivil_03/leis/l8429.htm" TargetMode="External"/><Relationship Id="rId34"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licita@santabarbaradosul.rs.gov.br" TargetMode="External"/><Relationship Id="rId48" Type="http://schemas.openxmlformats.org/officeDocument/2006/relationships/hyperlink" Target="http://www.santabarbaradosul.rs.gov.br" TargetMode="External"/><Relationship Id="rId49" Type="http://schemas.openxmlformats.org/officeDocument/2006/relationships/hyperlink" Target="mailto:licita@santabarbaradosul.rs.gov.br" TargetMode="External"/><Relationship Id="rId50" Type="http://schemas.openxmlformats.org/officeDocument/2006/relationships/hyperlink" Target="http://www.cidadecompras.com.br/" TargetMode="External"/><Relationship Id="rId51" Type="http://schemas.openxmlformats.org/officeDocument/2006/relationships/hyperlink" Target="http://www.pregaobanrisul.com.br/" TargetMode="External"/><Relationship Id="rId52" Type="http://schemas.openxmlformats.org/officeDocument/2006/relationships/hyperlink" Target="http://www.santabarbaradosul.rs.gov.br/" TargetMode="External"/><Relationship Id="rId53" Type="http://schemas.openxmlformats.org/officeDocument/2006/relationships/comments" Target="comments.xml" /><Relationship Id="rId54" Type="http://schemas.microsoft.com/office/2011/relationships/commentsExtended" Target="commentsExtended.xml" /><Relationship Id="rId55" Type="http://schemas.microsoft.com/office/2016/09/relationships/commentsIds" Target="commentsIds.xml" /><Relationship Id="rId56" Type="http://schemas.microsoft.com/office/2011/relationships/people" Target="people.xml" /><Relationship Id="rId57" Type="http://schemas.onlyoffice.com/commentsDocument" Target="commentsDocument.xml" /><Relationship Id="rId58" Type="http://schemas.onlyoffice.com/commentsExtendedDocument" Target="commentsExtendedDocument.xml" /><Relationship Id="rId59" Type="http://schemas.onlyoffice.com/commentsIdsDocument" Target="commentsIdsDocument.xml" /><Relationship Id="rId60"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333155A9-BAF1-48BC-B994-B7CF18741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dc:creator>
  <cp:revision>35</cp:revision>
  <dcterms:created xsi:type="dcterms:W3CDTF">2024-02-15T20:07:00Z</dcterms:created>
  <dcterms:modified xsi:type="dcterms:W3CDTF">2024-03-06T16:03:34Z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1046-12.2.0.13306</vt:lpwstr>
  </property>
  <property fmtid="{D5CDD505-2E9C-101B-9397-08002B2CF9AE}" pid="5" name="ICV">
    <vt:lpwstr>31095916759F41F785D3FDA5FAC73A08_13</vt:lpwstr>
  </property>
</Properties>
</file>