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footnotes.xml" ContentType="application/vnd.openxmlformats-officedocument.wordprocessingml.footnotes+xml"/>
  <Override PartName="/word/document.xml" ContentType="application/vnd.openxmlformats-officedocument.wordprocessingml.document.main+xml"/>
  <Override PartName="/customXml/itemProps4.xml" ContentType="application/vnd.openxmlformats-officedocument.customXmlProperties+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Cambria" w:hAnsi="Cambria" w:cs="Cambria"/>
          <w:b/>
          <w:bCs/>
          <w:color w:val="405ca1"/>
          <w:sz w:val="18"/>
          <w:szCs w:val="18"/>
        </w:rPr>
      </w:pPr>
      <w:r>
        <w:rPr>
          <w:rFonts w:ascii="Cambria" w:hAnsi="Cambria" w:cs="Cambria"/>
          <w:b/>
          <w:bCs/>
          <w:color w:val="405ca1"/>
          <w:sz w:val="18"/>
          <w:szCs w:val="18"/>
        </w:rPr>
      </w:r>
      <w:r/>
    </w:p>
    <w:p>
      <w:pPr>
        <w:jc w:val="center"/>
        <w:rPr>
          <w:rFonts w:ascii="Cambria" w:hAnsi="Cambria" w:cs="Cambria"/>
          <w:b/>
          <w:bCs/>
          <w:color w:val="405ca1"/>
          <w:sz w:val="18"/>
          <w:szCs w:val="18"/>
        </w:rPr>
      </w:pPr>
      <w:r>
        <w:rPr>
          <w:rFonts w:ascii="Cambria" w:hAnsi="Cambria" w:cs="Cambria"/>
          <w:b/>
          <w:bCs/>
          <w:color w:val="405ca1"/>
          <w:sz w:val="18"/>
          <w:szCs w:val="18"/>
        </w:rPr>
      </w:r>
      <w:r/>
    </w:p>
    <w:p>
      <w:pPr>
        <w:jc w:val="center"/>
        <w:rPr>
          <w:rFonts w:ascii="Cambria" w:hAnsi="Cambria" w:cs="Cambria"/>
          <w:b/>
          <w:bCs/>
          <w:color w:val="405ca1"/>
          <w:sz w:val="18"/>
          <w:szCs w:val="18"/>
        </w:rPr>
      </w:pPr>
      <w:r>
        <w:rPr>
          <w:rFonts w:ascii="Cambria" w:hAnsi="Cambria" w:cs="Cambria"/>
          <w:sz w:val="18"/>
          <w:szCs w:val="18"/>
        </w:rPr>
        <mc:AlternateContent>
          <mc:Choice Requires="wpg">
            <w:drawing>
              <wp:anchor xmlns:wp="http://schemas.openxmlformats.org/drawingml/2006/wordprocessingDrawing" xmlns:wp14="http://schemas.microsoft.com/office/word/2010/wordprocessingDrawing" distT="0" distB="0" distL="115200" distR="115200" simplePos="0" relativeHeight="251660288" behindDoc="0" locked="0" layoutInCell="1" allowOverlap="1">
                <wp:simplePos x="0" y="0"/>
                <wp:positionH relativeFrom="column">
                  <wp:posOffset>804660</wp:posOffset>
                </wp:positionH>
                <wp:positionV relativeFrom="paragraph">
                  <wp:posOffset>140093</wp:posOffset>
                </wp:positionV>
                <wp:extent cx="4689231" cy="4901711"/>
                <wp:effectExtent l="4762" t="4762" r="4762" b="4762"/>
                <wp:wrapNone/>
                <wp:docPr id="4" name="Retângulo 4"/>
                <wp:cNvGraphicFramePr/>
                <a:graphic xmlns:a="http://schemas.openxmlformats.org/drawingml/2006/main">
                  <a:graphicData uri="http://schemas.microsoft.com/office/word/2010/wordprocessingShape">
                    <wps:wsp>
                      <wps:cNvPr id="0" name=""/>
                      <wps:cNvSpPr/>
                      <wps:spPr bwMode="auto">
                        <a:xfrm>
                          <a:off x="0" y="0"/>
                          <a:ext cx="4689230" cy="4901711"/>
                        </a:xfrm>
                        <a:prstGeom prst="rect">
                          <a:avLst/>
                        </a:prstGeom>
                        <a:noFill/>
                        <a:ln w="38099" cap="flat" cmpd="sng" algn="ctr">
                          <a:solidFill>
                            <a:schemeClr val="accent1">
                              <a:shade val="95000"/>
                              <a:satMod val="105000"/>
                            </a:schemeClr>
                          </a:solidFill>
                          <a:prstDash val="solid"/>
                        </a:ln>
                      </wps:spPr>
                      <wps:style>
                        <a:lnRef idx="1">
                          <a:schemeClr val="accent1"/>
                        </a:lnRef>
                        <a:fillRef idx="3">
                          <a:schemeClr val="accent1"/>
                        </a:fillRef>
                        <a:effectRef idx="2">
                          <a:schemeClr val="accent1"/>
                        </a:effectRef>
                        <a:fontRef idx="minor">
                          <a:schemeClr val="lt1"/>
                        </a:fontRef>
                      </wps:style>
                      <wps:bodyPr rot="0">
                        <a:prstTxWarp prst="textNoShape">
                          <a:avLst/>
                        </a:prstTxWarp>
                        <a:noAutofit/>
                      </wps:bodyPr>
                    </wps:wsp>
                  </a:graphicData>
                </a:graphic>
              </wp:anchor>
            </w:drawing>
          </mc:Choice>
          <mc:Fallback>
            <w:pict>
              <v:shape id="shape 3" o:spid="_x0000_s3" o:spt="1" type="#_x0000_t1" style="position:absolute;z-index:251660288;o:allowoverlap:true;o:allowincell:true;mso-position-horizontal-relative:text;margin-left:63.4pt;mso-position-horizontal:absolute;mso-position-vertical-relative:text;margin-top:11.0pt;mso-position-vertical:absolute;width:369.2pt;height:386.0pt;mso-wrap-distance-left:9.1pt;mso-wrap-distance-top:0.0pt;mso-wrap-distance-right:9.1pt;mso-wrap-distance-bottom:0.0pt;visibility:visible;" filled="f" strokecolor="#487BB4" strokeweight="3.00pt">
                <v:stroke dashstyle="solid"/>
              </v:shape>
            </w:pict>
          </mc:Fallback>
        </mc:AlternateContent>
      </w:r>
      <w:r/>
    </w:p>
    <w:p>
      <w:pPr>
        <w:jc w:val="center"/>
        <w:rPr>
          <w:rFonts w:ascii="Cambria" w:hAnsi="Cambria" w:cs="Cambria"/>
          <w:b/>
          <w:bCs/>
          <w:color w:val="405ca1"/>
          <w:sz w:val="18"/>
          <w:szCs w:val="18"/>
        </w:rPr>
      </w:pPr>
      <w:r>
        <w:rPr>
          <w:rFonts w:ascii="Cambria" w:hAnsi="Cambria" w:cs="Cambria"/>
          <w:b/>
          <w:bCs/>
          <w:color w:val="405ca1"/>
          <w:sz w:val="18"/>
          <w:szCs w:val="18"/>
        </w:rPr>
      </w:r>
      <w:r/>
    </w:p>
    <w:p>
      <w:pPr>
        <w:jc w:val="center"/>
        <w:rPr>
          <w:rFonts w:ascii="Cambria" w:hAnsi="Cambria" w:cs="Cambria"/>
          <w:b/>
          <w:bCs/>
          <w:color w:val="405ca1"/>
          <w:sz w:val="18"/>
          <w:szCs w:val="18"/>
        </w:rPr>
      </w:pPr>
      <w:r>
        <w:rPr>
          <w:rFonts w:ascii="Cambria" w:hAnsi="Cambria" w:cs="Cambria"/>
          <w:b/>
          <w:bCs/>
          <w:color w:val="405ca1"/>
          <w:sz w:val="18"/>
          <w:szCs w:val="18"/>
        </w:rPr>
      </w:r>
      <w:r/>
    </w:p>
    <w:p>
      <w:pPr>
        <w:jc w:val="center"/>
        <w:rPr>
          <w:rFonts w:ascii="Cambria" w:hAnsi="Cambria" w:cs="Cambria"/>
          <w:color w:val="000000" w:themeColor="text1"/>
          <w:sz w:val="18"/>
          <w:szCs w:val="18"/>
        </w:rPr>
      </w:pPr>
      <w:r>
        <w:rPr>
          <w:rFonts w:ascii="Cambria" w:hAnsi="Cambria" w:cs="Cambria"/>
          <w:color w:val="000000" w:themeColor="text1"/>
          <w:sz w:val="18"/>
          <w:szCs w:val="18"/>
        </w:rPr>
        <w:t xml:space="preserve">PREGÃO ELETRÔNICO </w:t>
      </w:r>
      <w:r/>
    </w:p>
    <w:p>
      <w:pPr>
        <w:jc w:val="center"/>
        <w:rPr>
          <w:rFonts w:ascii="Cambria" w:hAnsi="Cambria" w:cs="Cambria"/>
          <w:b/>
          <w:bCs/>
          <w:i/>
          <w:color w:val="000000" w:themeColor="text1"/>
          <w:sz w:val="18"/>
          <w:szCs w:val="18"/>
        </w:rPr>
      </w:pPr>
      <w:r>
        <w:rPr>
          <w:rFonts w:ascii="Cambria" w:hAnsi="Cambria" w:cs="Cambria"/>
          <w:b/>
          <w:bCs/>
          <w:i/>
          <w:iCs/>
          <w:color w:val="000000" w:themeColor="text1"/>
          <w:sz w:val="18"/>
          <w:szCs w:val="18"/>
        </w:rPr>
        <w:t xml:space="preserve">013/2024</w:t>
      </w:r>
      <w:r/>
    </w:p>
    <w:p>
      <w:pPr>
        <w:jc w:val="center"/>
        <w:rPr>
          <w:rFonts w:ascii="Cambria" w:hAnsi="Cambria" w:cs="Cambria"/>
          <w:b/>
          <w:bCs/>
          <w:color w:val="000000" w:themeColor="text1"/>
          <w:sz w:val="18"/>
          <w:szCs w:val="18"/>
        </w:rPr>
      </w:pPr>
      <w:r>
        <w:rPr>
          <w:rFonts w:ascii="Cambria" w:hAnsi="Cambria" w:cs="Cambria"/>
          <w:b/>
          <w:bCs/>
          <w:color w:val="000000" w:themeColor="text1"/>
          <w:sz w:val="18"/>
          <w:szCs w:val="18"/>
        </w:rPr>
      </w:r>
      <w:r/>
    </w:p>
    <w:p>
      <w:pPr>
        <w:jc w:val="center"/>
        <w:rPr>
          <w:rFonts w:ascii="Cambria" w:hAnsi="Cambria" w:cs="Cambria"/>
          <w:b/>
          <w:bCs/>
          <w:color w:val="000000" w:themeColor="text1"/>
          <w:sz w:val="18"/>
          <w:szCs w:val="18"/>
        </w:rPr>
      </w:pPr>
      <w:r>
        <w:rPr>
          <w:rFonts w:ascii="Cambria" w:hAnsi="Cambria" w:cs="Cambria"/>
          <w:b/>
          <w:bCs/>
          <w:color w:val="000000" w:themeColor="text1"/>
          <w:sz w:val="18"/>
          <w:szCs w:val="18"/>
        </w:rPr>
      </w:r>
      <w:r/>
    </w:p>
    <w:p>
      <w:pPr>
        <w:jc w:val="center"/>
        <w:rPr>
          <w:rFonts w:ascii="Cambria" w:hAnsi="Cambria" w:cs="Cambria"/>
          <w:b/>
          <w:bCs/>
          <w:color w:val="000000" w:themeColor="text1"/>
          <w:sz w:val="18"/>
          <w:szCs w:val="18"/>
        </w:rPr>
      </w:pPr>
      <w:r>
        <w:rPr>
          <w:rFonts w:ascii="Cambria" w:hAnsi="Cambria" w:cs="Cambria"/>
          <w:b/>
          <w:bCs/>
          <w:color w:val="000000" w:themeColor="text1"/>
          <w:sz w:val="18"/>
          <w:szCs w:val="18"/>
        </w:rPr>
        <w:t xml:space="preserve">OBJETO</w:t>
      </w:r>
      <w:r/>
    </w:p>
    <w:p>
      <w:pPr>
        <w:jc w:val="center"/>
        <w:rPr>
          <w:rFonts w:ascii="Cambria" w:hAnsi="Cambria" w:cs="Cambria"/>
          <w:b/>
          <w:bCs/>
          <w:color w:val="000000" w:themeColor="text1"/>
          <w:sz w:val="18"/>
          <w:szCs w:val="18"/>
          <w:highlight w:val="none"/>
        </w:rPr>
      </w:pPr>
      <w:r>
        <w:rPr>
          <w:rFonts w:ascii="Cambria" w:hAnsi="Cambria" w:cs="Cambria"/>
          <w:b/>
          <w:bCs/>
          <w:color w:val="000000" w:themeColor="text1"/>
          <w:sz w:val="18"/>
          <w:szCs w:val="18"/>
        </w:rPr>
        <w:t xml:space="preserve">Aquisição de LEIVAS DE GRAMA</w:t>
      </w:r>
      <w:r/>
    </w:p>
    <w:p>
      <w:pPr>
        <w:jc w:val="center"/>
        <w:rPr>
          <w:rFonts w:ascii="Cambria" w:hAnsi="Cambria" w:cs="Cambria"/>
          <w:b/>
          <w:bCs/>
          <w:color w:val="000000" w:themeColor="text1"/>
          <w:sz w:val="18"/>
          <w:szCs w:val="18"/>
        </w:rPr>
      </w:pPr>
      <w:r>
        <w:rPr>
          <w:rFonts w:ascii="Cambria" w:hAnsi="Cambria" w:cs="Cambria"/>
          <w:b/>
          <w:bCs/>
          <w:color w:val="000000" w:themeColor="text1"/>
          <w:sz w:val="18"/>
          <w:szCs w:val="18"/>
        </w:rPr>
      </w:r>
      <w:r>
        <w:rPr>
          <w:rFonts w:ascii="Cambria" w:hAnsi="Cambria" w:cs="Cambria"/>
          <w:b/>
          <w:bCs/>
          <w:color w:val="000000" w:themeColor="text1"/>
          <w:sz w:val="18"/>
          <w:szCs w:val="18"/>
        </w:rPr>
      </w:r>
      <w:r/>
    </w:p>
    <w:p>
      <w:pPr>
        <w:jc w:val="center"/>
        <w:rPr>
          <w:rFonts w:ascii="Cambria" w:hAnsi="Cambria" w:cs="Cambria"/>
          <w:b/>
          <w:bCs/>
          <w:color w:val="000000" w:themeColor="text1"/>
          <w:sz w:val="18"/>
          <w:szCs w:val="18"/>
        </w:rPr>
      </w:pPr>
      <w:r>
        <w:rPr>
          <w:rFonts w:ascii="Cambria" w:hAnsi="Cambria" w:cs="Cambria"/>
          <w:b/>
          <w:bCs/>
          <w:color w:val="000000" w:themeColor="text1"/>
          <w:sz w:val="18"/>
          <w:szCs w:val="18"/>
          <w:highlight w:val="none"/>
        </w:rPr>
      </w:r>
      <w:r>
        <w:rPr>
          <w:rFonts w:ascii="Cambria" w:hAnsi="Cambria" w:cs="Cambria"/>
          <w:b/>
          <w:bCs/>
          <w:color w:val="000000" w:themeColor="text1"/>
          <w:sz w:val="18"/>
          <w:szCs w:val="18"/>
          <w:highlight w:val="none"/>
        </w:rPr>
      </w:r>
      <w:r/>
    </w:p>
    <w:p>
      <w:pPr>
        <w:jc w:val="center"/>
        <w:rPr>
          <w:rFonts w:ascii="Cambria" w:hAnsi="Cambria" w:cs="Cambria"/>
          <w:b/>
          <w:bCs/>
          <w:color w:val="000000" w:themeColor="text1"/>
          <w:sz w:val="18"/>
          <w:szCs w:val="18"/>
        </w:rPr>
      </w:pPr>
      <w:r>
        <w:rPr>
          <w:rFonts w:ascii="Cambria" w:hAnsi="Cambria" w:cs="Cambria"/>
          <w:b/>
          <w:bCs/>
          <w:color w:val="000000" w:themeColor="text1"/>
          <w:sz w:val="18"/>
          <w:szCs w:val="18"/>
        </w:rPr>
        <w:t xml:space="preserve">VALOR TOTAL DA CONTRATAÇÃO</w:t>
      </w:r>
      <w:r/>
    </w:p>
    <w:p>
      <w:pPr>
        <w:jc w:val="center"/>
        <w:rPr>
          <w:rFonts w:ascii="Cambria" w:hAnsi="Cambria" w:cs="Cambria"/>
          <w:color w:val="000000" w:themeColor="text1"/>
          <w:sz w:val="18"/>
          <w:szCs w:val="18"/>
        </w:rPr>
      </w:pPr>
      <w:r>
        <w:rPr>
          <w:rFonts w:ascii="Cambria" w:hAnsi="Cambria" w:cs="Cambria"/>
          <w:color w:val="000000" w:themeColor="text1"/>
          <w:sz w:val="18"/>
          <w:szCs w:val="18"/>
        </w:rPr>
        <w:t xml:space="preserve">R</w:t>
      </w:r>
      <w:r>
        <w:rPr>
          <w:rFonts w:ascii="Cambria" w:hAnsi="Cambria" w:cs="Cambria"/>
          <w:color w:val="000000" w:themeColor="text1"/>
          <w:sz w:val="18"/>
          <w:szCs w:val="18"/>
        </w:rPr>
        <w:t xml:space="preserve">$</w:t>
      </w:r>
      <w:r>
        <w:rPr>
          <w:rFonts w:ascii="Cambria" w:hAnsi="Cambria" w:cs="Cambria"/>
          <w:color w:val="000000" w:themeColor="text1"/>
          <w:sz w:val="18"/>
          <w:szCs w:val="18"/>
        </w:rPr>
        <w:t xml:space="preserve"> </w:t>
      </w:r>
      <w:r>
        <w:rPr>
          <w:rFonts w:ascii="Cambria" w:hAnsi="Cambria" w:cs="Cambria"/>
          <w:sz w:val="18"/>
          <w:szCs w:val="18"/>
        </w:rPr>
        <w:t xml:space="preserve"> 81.921,00</w:t>
      </w:r>
      <w:r/>
    </w:p>
    <w:p>
      <w:pPr>
        <w:jc w:val="center"/>
        <w:rPr>
          <w:rFonts w:ascii="Cambria" w:hAnsi="Cambria" w:cs="Cambria"/>
          <w:b/>
          <w:bCs/>
          <w:color w:val="000000" w:themeColor="text1"/>
          <w:sz w:val="18"/>
          <w:szCs w:val="18"/>
        </w:rPr>
      </w:pPr>
      <w:r>
        <w:rPr>
          <w:rFonts w:ascii="Cambria" w:hAnsi="Cambria" w:cs="Cambria"/>
          <w:b/>
          <w:bCs/>
          <w:color w:val="000000" w:themeColor="text1"/>
          <w:sz w:val="18"/>
          <w:szCs w:val="18"/>
        </w:rPr>
      </w:r>
      <w:r/>
    </w:p>
    <w:p>
      <w:pPr>
        <w:jc w:val="center"/>
        <w:rPr>
          <w:rFonts w:ascii="Cambria" w:hAnsi="Cambria" w:cs="Cambria"/>
          <w:b/>
          <w:bCs/>
          <w:color w:val="000000" w:themeColor="text1"/>
          <w:sz w:val="18"/>
          <w:szCs w:val="18"/>
        </w:rPr>
      </w:pPr>
      <w:r>
        <w:rPr>
          <w:rFonts w:ascii="Cambria" w:hAnsi="Cambria" w:cs="Cambria"/>
          <w:b/>
          <w:bCs/>
          <w:color w:val="000000" w:themeColor="text1"/>
          <w:sz w:val="18"/>
          <w:szCs w:val="18"/>
        </w:rPr>
      </w:r>
      <w:r/>
    </w:p>
    <w:p>
      <w:pPr>
        <w:jc w:val="center"/>
        <w:rPr>
          <w:rFonts w:ascii="Cambria" w:hAnsi="Cambria" w:cs="Cambria"/>
          <w:b/>
          <w:bCs/>
          <w:color w:val="000000" w:themeColor="text1"/>
          <w:sz w:val="18"/>
          <w:szCs w:val="18"/>
        </w:rPr>
      </w:pPr>
      <w:r>
        <w:rPr>
          <w:rFonts w:ascii="Cambria" w:hAnsi="Cambria" w:cs="Cambria"/>
          <w:b/>
          <w:bCs/>
          <w:color w:val="000000" w:themeColor="text1"/>
          <w:sz w:val="18"/>
          <w:szCs w:val="18"/>
        </w:rPr>
        <w:t xml:space="preserve">DATA DA SESSÃO PÚBLICA</w:t>
      </w:r>
      <w:r/>
    </w:p>
    <w:p>
      <w:pPr>
        <w:jc w:val="center"/>
        <w:rPr>
          <w:rFonts w:ascii="Cambria" w:hAnsi="Cambria" w:cs="Cambria"/>
          <w:color w:val="000000" w:themeColor="text1"/>
          <w:sz w:val="18"/>
          <w:szCs w:val="18"/>
        </w:rPr>
      </w:pPr>
      <w:r>
        <w:rPr>
          <w:rFonts w:ascii="Cambria" w:hAnsi="Cambria" w:cs="Cambria"/>
          <w:color w:val="000000" w:themeColor="text1"/>
          <w:sz w:val="18"/>
          <w:szCs w:val="18"/>
        </w:rPr>
        <w:t xml:space="preserve">Dia </w:t>
      </w:r>
      <w:r>
        <w:rPr>
          <w:rFonts w:ascii="Cambria" w:hAnsi="Cambria" w:cs="Cambria"/>
          <w:color w:val="000000" w:themeColor="text1"/>
          <w:sz w:val="18"/>
          <w:szCs w:val="18"/>
        </w:rPr>
        <w:t xml:space="preserve">11/04/2024</w:t>
      </w:r>
      <w:r>
        <w:rPr>
          <w:rFonts w:ascii="Cambria" w:hAnsi="Cambria" w:cs="Cambria"/>
          <w:color w:val="000000" w:themeColor="text1"/>
          <w:sz w:val="18"/>
          <w:szCs w:val="18"/>
        </w:rPr>
        <w:t xml:space="preserve"> às </w:t>
      </w:r>
      <w:r>
        <w:rPr>
          <w:rFonts w:ascii="Cambria" w:hAnsi="Cambria" w:cs="Cambria"/>
          <w:color w:val="000000" w:themeColor="text1"/>
          <w:sz w:val="18"/>
          <w:szCs w:val="18"/>
        </w:rPr>
        <w:t xml:space="preserve">8:00</w:t>
      </w:r>
      <w:r>
        <w:rPr>
          <w:rFonts w:ascii="Cambria" w:hAnsi="Cambria" w:cs="Cambria"/>
          <w:color w:val="000000" w:themeColor="text1"/>
          <w:sz w:val="18"/>
          <w:szCs w:val="18"/>
        </w:rPr>
        <w:t xml:space="preserve">h (horário de Brasília)</w:t>
      </w:r>
      <w:r/>
    </w:p>
    <w:p>
      <w:pPr>
        <w:jc w:val="center"/>
        <w:rPr>
          <w:rFonts w:ascii="Cambria" w:hAnsi="Cambria" w:cs="Cambria"/>
          <w:b/>
          <w:bCs/>
          <w:color w:val="000000" w:themeColor="text1"/>
          <w:sz w:val="18"/>
          <w:szCs w:val="18"/>
        </w:rPr>
      </w:pPr>
      <w:r>
        <w:rPr>
          <w:rFonts w:ascii="Cambria" w:hAnsi="Cambria" w:cs="Cambria"/>
          <w:b/>
          <w:bCs/>
          <w:color w:val="000000" w:themeColor="text1"/>
          <w:sz w:val="18"/>
          <w:szCs w:val="18"/>
        </w:rPr>
      </w:r>
      <w:r/>
    </w:p>
    <w:p>
      <w:pPr>
        <w:jc w:val="center"/>
        <w:rPr>
          <w:rFonts w:ascii="Cambria" w:hAnsi="Cambria" w:cs="Cambria"/>
          <w:b/>
          <w:bCs/>
          <w:caps/>
          <w:color w:val="000000" w:themeColor="text1"/>
          <w:sz w:val="18"/>
          <w:szCs w:val="18"/>
        </w:rPr>
      </w:pPr>
      <w:r>
        <w:rPr>
          <w:rFonts w:ascii="Cambria" w:hAnsi="Cambria" w:cs="Cambria"/>
          <w:b/>
          <w:bCs/>
          <w:caps/>
          <w:color w:val="000000" w:themeColor="text1"/>
          <w:sz w:val="18"/>
          <w:szCs w:val="18"/>
        </w:rPr>
      </w:r>
      <w:r/>
    </w:p>
    <w:p>
      <w:pPr>
        <w:jc w:val="center"/>
        <w:rPr>
          <w:rFonts w:ascii="Cambria" w:hAnsi="Cambria" w:cs="Cambria"/>
          <w:caps/>
          <w:color w:val="000000" w:themeColor="text1"/>
          <w:sz w:val="18"/>
          <w:szCs w:val="18"/>
        </w:rPr>
      </w:pPr>
      <w:r>
        <w:rPr>
          <w:rFonts w:ascii="Cambria" w:hAnsi="Cambria" w:cs="Cambria"/>
          <w:b/>
          <w:bCs/>
          <w:caps/>
          <w:color w:val="000000" w:themeColor="text1"/>
          <w:sz w:val="18"/>
          <w:szCs w:val="18"/>
        </w:rPr>
        <w:t xml:space="preserve">Critério de Julgamento:</w:t>
      </w:r>
      <w:r/>
    </w:p>
    <w:p>
      <w:pPr>
        <w:jc w:val="center"/>
        <w:rPr>
          <w:rFonts w:ascii="Cambria" w:hAnsi="Cambria" w:cs="Cambria"/>
          <w:color w:val="000000" w:themeColor="text1"/>
          <w:sz w:val="18"/>
          <w:szCs w:val="18"/>
        </w:rPr>
      </w:pPr>
      <w:r>
        <w:rPr>
          <w:rFonts w:ascii="Cambria" w:hAnsi="Cambria" w:cs="Cambria"/>
          <w:color w:val="000000" w:themeColor="text1"/>
          <w:sz w:val="18"/>
          <w:szCs w:val="18"/>
        </w:rPr>
        <w:t xml:space="preserve">menor</w:t>
      </w:r>
      <w:r>
        <w:rPr>
          <w:rFonts w:ascii="Cambria" w:hAnsi="Cambria" w:cs="Cambria"/>
          <w:color w:val="000000" w:themeColor="text1"/>
          <w:sz w:val="18"/>
          <w:szCs w:val="18"/>
        </w:rPr>
        <w:t xml:space="preserve"> preço POR ITEM</w:t>
      </w:r>
      <w:r/>
    </w:p>
    <w:p>
      <w:pPr>
        <w:jc w:val="center"/>
        <w:rPr>
          <w:rFonts w:ascii="Cambria" w:hAnsi="Cambria" w:cs="Cambria"/>
          <w:color w:val="000000" w:themeColor="text1"/>
          <w:sz w:val="18"/>
          <w:szCs w:val="18"/>
        </w:rPr>
      </w:pPr>
      <w:r>
        <w:rPr>
          <w:rFonts w:ascii="Cambria" w:hAnsi="Cambria" w:cs="Cambria"/>
          <w:color w:val="000000" w:themeColor="text1"/>
          <w:sz w:val="18"/>
          <w:szCs w:val="18"/>
        </w:rPr>
      </w:r>
      <w:r/>
    </w:p>
    <w:p>
      <w:pPr>
        <w:jc w:val="center"/>
        <w:rPr>
          <w:rFonts w:ascii="Cambria" w:hAnsi="Cambria" w:cs="Cambria"/>
          <w:color w:val="000000" w:themeColor="text1"/>
          <w:sz w:val="18"/>
          <w:szCs w:val="18"/>
        </w:rPr>
      </w:pPr>
      <w:r>
        <w:rPr>
          <w:rFonts w:ascii="Cambria" w:hAnsi="Cambria" w:cs="Cambria"/>
          <w:color w:val="000000" w:themeColor="text1"/>
          <w:sz w:val="18"/>
          <w:szCs w:val="18"/>
        </w:rPr>
      </w:r>
      <w:r/>
    </w:p>
    <w:p>
      <w:pPr>
        <w:jc w:val="center"/>
        <w:rPr>
          <w:rFonts w:ascii="Cambria" w:hAnsi="Cambria" w:cs="Cambria"/>
          <w:caps/>
          <w:color w:val="000000" w:themeColor="text1"/>
          <w:sz w:val="18"/>
          <w:szCs w:val="18"/>
        </w:rPr>
      </w:pPr>
      <w:r>
        <w:rPr>
          <w:rFonts w:ascii="Cambria" w:hAnsi="Cambria" w:cs="Cambria"/>
          <w:b/>
          <w:bCs/>
          <w:caps/>
          <w:color w:val="000000" w:themeColor="text1"/>
          <w:sz w:val="18"/>
          <w:szCs w:val="18"/>
        </w:rPr>
        <w:t xml:space="preserve">Modo de disputa:</w:t>
      </w:r>
      <w:r/>
    </w:p>
    <w:p>
      <w:pPr>
        <w:jc w:val="center"/>
        <w:rPr>
          <w:rFonts w:ascii="Cambria" w:hAnsi="Cambria" w:cs="Cambria"/>
          <w:color w:val="000000" w:themeColor="text1"/>
          <w:sz w:val="18"/>
          <w:szCs w:val="18"/>
        </w:rPr>
      </w:pPr>
      <w:r>
        <w:rPr>
          <w:rFonts w:ascii="Cambria" w:hAnsi="Cambria" w:cs="Cambria"/>
          <w:color w:val="000000" w:themeColor="text1"/>
          <w:sz w:val="18"/>
          <w:szCs w:val="18"/>
        </w:rPr>
        <w:t xml:space="preserve">aberto</w:t>
      </w:r>
      <w:r/>
    </w:p>
    <w:p>
      <w:pPr>
        <w:jc w:val="center"/>
        <w:rPr>
          <w:rFonts w:ascii="Cambria" w:hAnsi="Cambria" w:cs="Cambria"/>
          <w:color w:val="000000" w:themeColor="text1"/>
          <w:sz w:val="18"/>
          <w:szCs w:val="18"/>
        </w:rPr>
      </w:pPr>
      <w:r>
        <w:rPr>
          <w:rFonts w:ascii="Cambria" w:hAnsi="Cambria" w:cs="Cambria"/>
          <w:color w:val="000000" w:themeColor="text1"/>
          <w:sz w:val="18"/>
          <w:szCs w:val="18"/>
        </w:rPr>
      </w:r>
      <w:r/>
    </w:p>
    <w:p>
      <w:pPr>
        <w:jc w:val="center"/>
        <w:rPr>
          <w:rFonts w:ascii="Cambria" w:hAnsi="Cambria" w:cs="Cambria"/>
          <w:b/>
          <w:bCs/>
          <w:color w:val="000000" w:themeColor="text1"/>
          <w:sz w:val="18"/>
          <w:szCs w:val="18"/>
        </w:rPr>
      </w:pPr>
      <w:r>
        <w:rPr>
          <w:rFonts w:ascii="Cambria" w:hAnsi="Cambria" w:cs="Cambria"/>
          <w:b/>
          <w:bCs/>
          <w:color w:val="000000" w:themeColor="text1"/>
          <w:sz w:val="18"/>
          <w:szCs w:val="18"/>
        </w:rPr>
      </w:r>
      <w:r/>
    </w:p>
    <w:p>
      <w:pPr>
        <w:jc w:val="center"/>
        <w:rPr>
          <w:rFonts w:ascii="Cambria" w:hAnsi="Cambria" w:cs="Cambria"/>
          <w:b/>
          <w:bCs/>
          <w:color w:val="000000" w:themeColor="text1"/>
          <w:sz w:val="18"/>
          <w:szCs w:val="18"/>
        </w:rPr>
      </w:pPr>
      <w:r>
        <w:rPr>
          <w:rFonts w:ascii="Cambria" w:hAnsi="Cambria" w:cs="Cambria"/>
          <w:b/>
          <w:bCs/>
          <w:color w:val="000000" w:themeColor="text1"/>
          <w:sz w:val="18"/>
          <w:szCs w:val="18"/>
        </w:rPr>
        <w:t xml:space="preserve">PREFERÊNCIA ME/EPP/EQUIPARADAS</w:t>
      </w:r>
      <w:r/>
    </w:p>
    <w:p>
      <w:pPr>
        <w:jc w:val="center"/>
        <w:rPr>
          <w:rFonts w:ascii="Cambria" w:hAnsi="Cambria" w:cs="Cambria"/>
          <w:b/>
          <w:bCs/>
          <w:color w:val="000000" w:themeColor="text1"/>
          <w:sz w:val="18"/>
          <w:szCs w:val="18"/>
        </w:rPr>
      </w:pPr>
      <w:r>
        <w:rPr>
          <w:rFonts w:ascii="Cambria" w:hAnsi="Cambria" w:cs="Cambria"/>
          <w:color w:val="000000" w:themeColor="text1"/>
          <w:sz w:val="18"/>
          <w:szCs w:val="18"/>
        </w:rPr>
        <w:t xml:space="preserve">SIM</w:t>
      </w:r>
      <w:r/>
    </w:p>
    <w:p>
      <w:pPr>
        <w:jc w:val="both"/>
        <w:rPr>
          <w:rFonts w:ascii="Cambria" w:hAnsi="Cambria" w:cs="Cambria"/>
          <w:b/>
          <w:bCs/>
          <w:color w:val="000000" w:themeColor="text1"/>
          <w:sz w:val="18"/>
          <w:szCs w:val="18"/>
        </w:rPr>
      </w:pPr>
      <w:r>
        <w:rPr>
          <w:rFonts w:ascii="Cambria" w:hAnsi="Cambria" w:cs="Cambria"/>
          <w:b/>
          <w:bCs/>
          <w:color w:val="000000" w:themeColor="text1"/>
          <w:sz w:val="18"/>
          <w:szCs w:val="18"/>
        </w:rPr>
      </w:r>
      <w:r/>
    </w:p>
    <w:p>
      <w:pPr>
        <w:jc w:val="both"/>
        <w:rPr>
          <w:rFonts w:ascii="Cambria" w:hAnsi="Cambria" w:cs="Cambria"/>
          <w:b/>
          <w:bCs/>
          <w:color w:val="5b5b5f"/>
          <w:sz w:val="18"/>
          <w:szCs w:val="18"/>
        </w:rPr>
      </w:pPr>
      <w:r>
        <w:rPr>
          <w:rFonts w:ascii="Cambria" w:hAnsi="Cambria" w:cs="Cambria"/>
          <w:b/>
          <w:bCs/>
          <w:color w:val="5b5b5f"/>
          <w:sz w:val="18"/>
          <w:szCs w:val="18"/>
        </w:rPr>
      </w:r>
      <w:r/>
    </w:p>
    <w:p>
      <w:pPr>
        <w:jc w:val="both"/>
        <w:rPr>
          <w:rFonts w:ascii="Cambria" w:hAnsi="Cambria" w:cs="Cambria"/>
          <w:b/>
          <w:bCs/>
          <w:color w:val="5b5b5f"/>
          <w:sz w:val="18"/>
          <w:szCs w:val="18"/>
        </w:rPr>
      </w:pPr>
      <w:r>
        <w:rPr>
          <w:rFonts w:ascii="Cambria" w:hAnsi="Cambria" w:cs="Cambria"/>
          <w:b/>
          <w:bCs/>
          <w:color w:val="5b5b5f"/>
          <w:sz w:val="18"/>
          <w:szCs w:val="18"/>
        </w:rPr>
      </w:r>
      <w:r/>
    </w:p>
    <w:p>
      <w:pPr>
        <w:jc w:val="both"/>
        <w:rPr>
          <w:rFonts w:ascii="Cambria" w:hAnsi="Cambria" w:cs="Cambria"/>
          <w:b/>
          <w:bCs/>
          <w:color w:val="5b5b5f"/>
          <w:sz w:val="18"/>
          <w:szCs w:val="18"/>
        </w:rPr>
      </w:pPr>
      <w:r>
        <w:rPr>
          <w:rFonts w:ascii="Cambria" w:hAnsi="Cambria" w:cs="Cambria"/>
          <w:b/>
          <w:bCs/>
          <w:color w:val="5b5b5f"/>
          <w:sz w:val="18"/>
          <w:szCs w:val="18"/>
        </w:rPr>
      </w:r>
      <w:r/>
    </w:p>
    <w:p>
      <w:pPr>
        <w:jc w:val="both"/>
        <w:rPr>
          <w:rFonts w:ascii="Cambria" w:hAnsi="Cambria" w:cs="Cambria"/>
          <w:b/>
          <w:bCs/>
          <w:color w:val="5b5b5f"/>
          <w:sz w:val="18"/>
          <w:szCs w:val="18"/>
        </w:rPr>
      </w:pPr>
      <w:r>
        <w:rPr>
          <w:rFonts w:ascii="Cambria" w:hAnsi="Cambria" w:cs="Cambria"/>
          <w:b/>
          <w:bCs/>
          <w:color w:val="5b5b5f"/>
          <w:sz w:val="18"/>
          <w:szCs w:val="18"/>
        </w:rPr>
      </w:r>
      <w:r/>
    </w:p>
    <w:p>
      <w:pPr>
        <w:jc w:val="both"/>
        <w:rPr>
          <w:rFonts w:ascii="Cambria" w:hAnsi="Cambria" w:cs="Cambria"/>
          <w:b/>
          <w:bCs/>
          <w:color w:val="5b5b5f"/>
          <w:sz w:val="18"/>
          <w:szCs w:val="18"/>
        </w:rPr>
      </w:pPr>
      <w:r>
        <w:rPr>
          <w:rFonts w:ascii="Cambria" w:hAnsi="Cambria" w:cs="Cambria"/>
          <w:b/>
          <w:bCs/>
          <w:color w:val="5b5b5f"/>
          <w:sz w:val="18"/>
          <w:szCs w:val="18"/>
        </w:rPr>
      </w:r>
      <w:r/>
    </w:p>
    <w:p>
      <w:pPr>
        <w:jc w:val="both"/>
        <w:rPr>
          <w:rFonts w:ascii="Cambria" w:hAnsi="Cambria" w:cs="Cambria"/>
          <w:b/>
          <w:bCs/>
          <w:color w:val="5b5b5f"/>
          <w:sz w:val="18"/>
          <w:szCs w:val="18"/>
        </w:rPr>
      </w:pPr>
      <w:r>
        <w:rPr>
          <w:rFonts w:ascii="Cambria" w:hAnsi="Cambria" w:cs="Cambria"/>
          <w:b/>
          <w:bCs/>
          <w:color w:val="5b5b5f"/>
          <w:sz w:val="18"/>
          <w:szCs w:val="18"/>
        </w:rPr>
      </w:r>
      <w:r/>
    </w:p>
    <w:p>
      <w:pPr>
        <w:jc w:val="both"/>
        <w:rPr>
          <w:rFonts w:ascii="Cambria" w:hAnsi="Cambria" w:cs="Cambria"/>
          <w:b/>
          <w:bCs/>
          <w:color w:val="5b5b5f"/>
          <w:sz w:val="18"/>
          <w:szCs w:val="18"/>
        </w:rPr>
      </w:pPr>
      <w:r>
        <w:rPr>
          <w:rFonts w:ascii="Cambria" w:hAnsi="Cambria" w:cs="Cambria"/>
          <w:b/>
          <w:bCs/>
          <w:color w:val="5b5b5f"/>
          <w:sz w:val="18"/>
          <w:szCs w:val="18"/>
        </w:rPr>
      </w:r>
      <w:r/>
    </w:p>
    <w:p>
      <w:pPr>
        <w:jc w:val="both"/>
        <w:rPr>
          <w:rFonts w:ascii="Cambria" w:hAnsi="Cambria" w:cs="Cambria"/>
          <w:b/>
          <w:bCs/>
          <w:color w:val="5b5b5f"/>
          <w:sz w:val="18"/>
          <w:szCs w:val="18"/>
        </w:rPr>
      </w:pPr>
      <w:r>
        <w:rPr>
          <w:rFonts w:ascii="Cambria" w:hAnsi="Cambria" w:cs="Cambria"/>
          <w:b/>
          <w:bCs/>
          <w:color w:val="5b5b5f"/>
          <w:sz w:val="18"/>
          <w:szCs w:val="18"/>
        </w:rPr>
      </w:r>
      <w:r/>
    </w:p>
    <w:p>
      <w:pPr>
        <w:jc w:val="both"/>
        <w:rPr>
          <w:rFonts w:ascii="Cambria" w:hAnsi="Cambria" w:cs="Cambria"/>
          <w:b/>
          <w:bCs/>
          <w:color w:val="5b5b5f"/>
          <w:sz w:val="18"/>
          <w:szCs w:val="18"/>
        </w:rPr>
      </w:pPr>
      <w:r>
        <w:rPr>
          <w:rFonts w:ascii="Cambria" w:hAnsi="Cambria" w:cs="Cambria"/>
          <w:b/>
          <w:bCs/>
          <w:color w:val="5b5b5f"/>
          <w:sz w:val="18"/>
          <w:szCs w:val="18"/>
        </w:rPr>
      </w:r>
      <w:r/>
    </w:p>
    <w:p>
      <w:pPr>
        <w:jc w:val="both"/>
        <w:rPr>
          <w:rFonts w:ascii="Cambria" w:hAnsi="Cambria" w:cs="Cambria"/>
          <w:b/>
          <w:bCs/>
          <w:color w:val="5b5b5f"/>
          <w:sz w:val="18"/>
          <w:szCs w:val="18"/>
        </w:rPr>
      </w:pPr>
      <w:r>
        <w:rPr>
          <w:rFonts w:ascii="Cambria" w:hAnsi="Cambria" w:cs="Cambria"/>
          <w:b/>
          <w:bCs/>
          <w:color w:val="5b5b5f"/>
          <w:sz w:val="18"/>
          <w:szCs w:val="18"/>
        </w:rPr>
      </w:r>
      <w:r/>
    </w:p>
    <w:p>
      <w:pPr>
        <w:jc w:val="both"/>
        <w:rPr>
          <w:rFonts w:ascii="Cambria" w:hAnsi="Cambria" w:cs="Cambria"/>
          <w:b/>
          <w:bCs/>
          <w:color w:val="5b5b5f"/>
          <w:sz w:val="18"/>
          <w:szCs w:val="18"/>
        </w:rPr>
      </w:pPr>
      <w:r>
        <w:rPr>
          <w:rFonts w:ascii="Cambria" w:hAnsi="Cambria" w:cs="Cambria"/>
          <w:b/>
          <w:bCs/>
          <w:color w:val="5b5b5f"/>
          <w:sz w:val="18"/>
          <w:szCs w:val="18"/>
        </w:rPr>
      </w:r>
      <w:r/>
    </w:p>
    <w:p>
      <w:pPr>
        <w:jc w:val="both"/>
        <w:rPr>
          <w:rFonts w:ascii="Cambria" w:hAnsi="Cambria" w:cs="Cambria"/>
          <w:b/>
          <w:bCs/>
          <w:color w:val="5b5b5f"/>
          <w:sz w:val="18"/>
          <w:szCs w:val="18"/>
        </w:rPr>
      </w:pPr>
      <w:r>
        <w:rPr>
          <w:rFonts w:ascii="Cambria" w:hAnsi="Cambria" w:cs="Cambria"/>
          <w:b/>
          <w:bCs/>
          <w:color w:val="5b5b5f"/>
          <w:sz w:val="18"/>
          <w:szCs w:val="18"/>
        </w:rPr>
      </w:r>
      <w:r/>
    </w:p>
    <w:p>
      <w:pPr>
        <w:jc w:val="both"/>
        <w:rPr>
          <w:rFonts w:ascii="Cambria" w:hAnsi="Cambria" w:cs="Cambria"/>
          <w:b/>
          <w:bCs/>
          <w:color w:val="5b5b5f"/>
          <w:sz w:val="18"/>
          <w:szCs w:val="18"/>
        </w:rPr>
      </w:pPr>
      <w:r>
        <w:rPr>
          <w:rFonts w:ascii="Cambria" w:hAnsi="Cambria" w:cs="Cambria"/>
          <w:b/>
          <w:bCs/>
          <w:color w:val="5b5b5f"/>
          <w:sz w:val="18"/>
          <w:szCs w:val="18"/>
        </w:rPr>
      </w:r>
      <w:r/>
    </w:p>
    <w:p>
      <w:pPr>
        <w:jc w:val="both"/>
        <w:rPr>
          <w:rFonts w:ascii="Cambria" w:hAnsi="Cambria" w:cs="Cambria"/>
          <w:b/>
          <w:bCs/>
          <w:color w:val="5b5b5f"/>
          <w:sz w:val="18"/>
          <w:szCs w:val="18"/>
        </w:rPr>
      </w:pPr>
      <w:r>
        <w:rPr>
          <w:rFonts w:ascii="Cambria" w:hAnsi="Cambria" w:cs="Cambria"/>
          <w:b/>
          <w:bCs/>
          <w:color w:val="5b5b5f"/>
          <w:sz w:val="18"/>
          <w:szCs w:val="18"/>
        </w:rPr>
      </w:r>
      <w:r/>
    </w:p>
    <w:p>
      <w:pPr>
        <w:jc w:val="both"/>
        <w:rPr>
          <w:rFonts w:ascii="Cambria" w:hAnsi="Cambria" w:cs="Cambria"/>
          <w:b/>
          <w:bCs/>
          <w:color w:val="5b5b5f"/>
          <w:sz w:val="18"/>
          <w:szCs w:val="18"/>
        </w:rPr>
      </w:pPr>
      <w:r>
        <w:rPr>
          <w:rFonts w:ascii="Cambria" w:hAnsi="Cambria" w:cs="Cambria"/>
          <w:b/>
          <w:bCs/>
          <w:color w:val="5b5b5f"/>
          <w:sz w:val="18"/>
          <w:szCs w:val="18"/>
        </w:rPr>
      </w:r>
      <w:r/>
    </w:p>
    <w:p>
      <w:pPr>
        <w:jc w:val="both"/>
        <w:rPr>
          <w:rFonts w:ascii="Cambria" w:hAnsi="Cambria" w:cs="Cambria"/>
          <w:b/>
          <w:bCs/>
          <w:color w:val="5b5b5f"/>
          <w:sz w:val="18"/>
          <w:szCs w:val="18"/>
        </w:rPr>
      </w:pPr>
      <w:r>
        <w:rPr>
          <w:rFonts w:ascii="Cambria" w:hAnsi="Cambria" w:cs="Cambria"/>
          <w:b/>
          <w:bCs/>
          <w:color w:val="5b5b5f"/>
          <w:sz w:val="18"/>
          <w:szCs w:val="18"/>
        </w:rPr>
      </w:r>
      <w:r/>
    </w:p>
    <w:p>
      <w:pPr>
        <w:jc w:val="both"/>
        <w:rPr>
          <w:rFonts w:ascii="Cambria" w:hAnsi="Cambria" w:cs="Cambria"/>
          <w:b/>
          <w:bCs/>
          <w:color w:val="5b5b5f"/>
          <w:sz w:val="18"/>
          <w:szCs w:val="18"/>
        </w:rPr>
      </w:pPr>
      <w:r>
        <w:rPr>
          <w:rFonts w:ascii="Cambria" w:hAnsi="Cambria" w:cs="Cambria"/>
          <w:b/>
          <w:bCs/>
          <w:color w:val="5b5b5f"/>
          <w:sz w:val="18"/>
          <w:szCs w:val="18"/>
        </w:rPr>
      </w:r>
      <w:r/>
    </w:p>
    <w:p>
      <w:pPr>
        <w:jc w:val="both"/>
        <w:rPr>
          <w:rFonts w:ascii="Cambria" w:hAnsi="Cambria" w:cs="Cambria"/>
          <w:b/>
          <w:bCs/>
          <w:color w:val="5b5b5f"/>
          <w:sz w:val="18"/>
          <w:szCs w:val="18"/>
        </w:rPr>
      </w:pPr>
      <w:r>
        <w:rPr>
          <w:rFonts w:ascii="Cambria" w:hAnsi="Cambria" w:cs="Cambria"/>
          <w:b/>
          <w:bCs/>
          <w:color w:val="5b5b5f"/>
          <w:sz w:val="18"/>
          <w:szCs w:val="18"/>
        </w:rPr>
      </w:r>
      <w:r/>
    </w:p>
    <w:p>
      <w:pPr>
        <w:jc w:val="both"/>
        <w:rPr>
          <w:rFonts w:ascii="Cambria" w:hAnsi="Cambria" w:cs="Cambria"/>
          <w:b/>
          <w:bCs/>
          <w:color w:val="5b5b5f"/>
          <w:sz w:val="18"/>
          <w:szCs w:val="18"/>
        </w:rPr>
      </w:pPr>
      <w:r>
        <w:rPr>
          <w:rFonts w:ascii="Cambria" w:hAnsi="Cambria" w:cs="Cambria"/>
          <w:b/>
          <w:bCs/>
          <w:color w:val="5b5b5f"/>
          <w:sz w:val="18"/>
          <w:szCs w:val="18"/>
        </w:rPr>
      </w:r>
      <w:r/>
    </w:p>
    <w:p>
      <w:pPr>
        <w:jc w:val="both"/>
        <w:rPr>
          <w:rFonts w:ascii="Cambria" w:hAnsi="Cambria" w:cs="Cambria"/>
          <w:b/>
          <w:bCs/>
          <w:color w:val="5b5b5f"/>
          <w:sz w:val="18"/>
          <w:szCs w:val="18"/>
        </w:rPr>
      </w:pPr>
      <w:r>
        <w:rPr>
          <w:rFonts w:ascii="Cambria" w:hAnsi="Cambria" w:cs="Cambria"/>
          <w:b/>
          <w:bCs/>
          <w:color w:val="5b5b5f"/>
          <w:sz w:val="18"/>
          <w:szCs w:val="18"/>
        </w:rPr>
      </w:r>
      <w:r/>
    </w:p>
    <w:p>
      <w:pPr>
        <w:jc w:val="both"/>
        <w:rPr>
          <w:rFonts w:ascii="Cambria" w:hAnsi="Cambria" w:cs="Cambria"/>
          <w:b/>
          <w:bCs/>
          <w:color w:val="5b5b5f"/>
          <w:sz w:val="18"/>
          <w:szCs w:val="18"/>
        </w:rPr>
      </w:pPr>
      <w:r>
        <w:rPr>
          <w:rFonts w:ascii="Cambria" w:hAnsi="Cambria" w:cs="Cambria"/>
          <w:b/>
          <w:bCs/>
          <w:color w:val="5b5b5f"/>
          <w:sz w:val="18"/>
          <w:szCs w:val="18"/>
        </w:rPr>
      </w:r>
      <w:r/>
    </w:p>
    <w:p>
      <w:pPr>
        <w:jc w:val="both"/>
        <w:rPr>
          <w:rFonts w:ascii="Cambria" w:hAnsi="Cambria" w:cs="Cambria"/>
          <w:b/>
          <w:bCs/>
          <w:color w:val="5b5b5f"/>
          <w:sz w:val="18"/>
          <w:szCs w:val="18"/>
        </w:rPr>
      </w:pPr>
      <w:r>
        <w:rPr>
          <w:rFonts w:ascii="Cambria" w:hAnsi="Cambria" w:cs="Cambria"/>
          <w:b/>
          <w:bCs/>
          <w:color w:val="5b5b5f"/>
          <w:sz w:val="18"/>
          <w:szCs w:val="18"/>
        </w:rPr>
      </w:r>
      <w:r/>
    </w:p>
    <w:p>
      <w:pPr>
        <w:jc w:val="both"/>
        <w:rPr>
          <w:rFonts w:ascii="Cambria" w:hAnsi="Cambria" w:cs="Cambria"/>
          <w:b/>
          <w:bCs/>
          <w:color w:val="5b5b5f"/>
          <w:sz w:val="18"/>
          <w:szCs w:val="18"/>
        </w:rPr>
      </w:pPr>
      <w:r>
        <w:rPr>
          <w:rFonts w:ascii="Cambria" w:hAnsi="Cambria" w:cs="Cambria"/>
          <w:b/>
          <w:bCs/>
          <w:color w:val="5b5b5f"/>
          <w:sz w:val="18"/>
          <w:szCs w:val="18"/>
        </w:rPr>
      </w:r>
      <w:r/>
    </w:p>
    <w:p>
      <w:pPr>
        <w:jc w:val="both"/>
        <w:rPr>
          <w:rFonts w:ascii="Cambria" w:hAnsi="Cambria" w:cs="Cambria"/>
          <w:b/>
          <w:bCs/>
          <w:color w:val="5b5b5f"/>
          <w:sz w:val="18"/>
          <w:szCs w:val="18"/>
        </w:rPr>
      </w:pPr>
      <w:r>
        <w:rPr>
          <w:rFonts w:ascii="Cambria" w:hAnsi="Cambria" w:cs="Cambria"/>
          <w:b/>
          <w:bCs/>
          <w:color w:val="5b5b5f"/>
          <w:sz w:val="18"/>
          <w:szCs w:val="18"/>
        </w:rPr>
      </w:r>
      <w:r/>
    </w:p>
    <w:p>
      <w:pPr>
        <w:jc w:val="both"/>
        <w:rPr>
          <w:rFonts w:ascii="Cambria" w:hAnsi="Cambria" w:cs="Cambria"/>
          <w:b/>
          <w:bCs/>
          <w:color w:val="5b5b5f"/>
          <w:sz w:val="18"/>
          <w:szCs w:val="18"/>
        </w:rPr>
      </w:pPr>
      <w:r>
        <w:rPr>
          <w:rFonts w:ascii="Cambria" w:hAnsi="Cambria" w:cs="Cambria"/>
          <w:b/>
          <w:bCs/>
          <w:color w:val="5b5b5f"/>
          <w:sz w:val="18"/>
          <w:szCs w:val="18"/>
        </w:rPr>
      </w:r>
      <w:r/>
    </w:p>
    <w:p>
      <w:pPr>
        <w:jc w:val="both"/>
        <w:rPr>
          <w:rFonts w:ascii="Cambria" w:hAnsi="Cambria" w:cs="Cambria"/>
          <w:b/>
          <w:bCs/>
          <w:color w:val="5b5b5f"/>
          <w:sz w:val="18"/>
          <w:szCs w:val="18"/>
        </w:rPr>
      </w:pPr>
      <w:r>
        <w:rPr>
          <w:rFonts w:ascii="Cambria" w:hAnsi="Cambria" w:cs="Cambria"/>
          <w:b/>
          <w:bCs/>
          <w:color w:val="5b5b5f"/>
          <w:sz w:val="18"/>
          <w:szCs w:val="18"/>
        </w:rPr>
      </w:r>
      <w:r/>
    </w:p>
    <w:p>
      <w:pPr>
        <w:jc w:val="both"/>
        <w:rPr>
          <w:rFonts w:ascii="Cambria" w:hAnsi="Cambria" w:cs="Cambria"/>
          <w:b/>
          <w:bCs/>
          <w:color w:val="5b5b5f"/>
          <w:sz w:val="18"/>
          <w:szCs w:val="18"/>
        </w:rPr>
      </w:pPr>
      <w:r>
        <w:rPr>
          <w:rFonts w:ascii="Cambria" w:hAnsi="Cambria" w:cs="Cambria"/>
          <w:b/>
          <w:bCs/>
          <w:color w:val="5b5b5f"/>
          <w:sz w:val="18"/>
          <w:szCs w:val="18"/>
        </w:rPr>
      </w:r>
      <w:r/>
    </w:p>
    <w:p>
      <w:pPr>
        <w:jc w:val="both"/>
        <w:rPr>
          <w:rFonts w:ascii="Cambria" w:hAnsi="Cambria" w:cs="Cambria"/>
          <w:b/>
          <w:bCs/>
          <w:color w:val="5b5b5f"/>
          <w:sz w:val="18"/>
          <w:szCs w:val="18"/>
        </w:rPr>
      </w:pPr>
      <w:r>
        <w:rPr>
          <w:rFonts w:ascii="Cambria" w:hAnsi="Cambria" w:cs="Cambria"/>
          <w:b/>
          <w:bCs/>
          <w:color w:val="5b5b5f"/>
          <w:sz w:val="18"/>
          <w:szCs w:val="18"/>
        </w:rPr>
      </w:r>
      <w:r/>
    </w:p>
    <w:p>
      <w:pPr>
        <w:jc w:val="both"/>
        <w:rPr>
          <w:rFonts w:ascii="Cambria" w:hAnsi="Cambria" w:cs="Cambria"/>
          <w:b/>
          <w:bCs/>
          <w:color w:val="5b5b5f"/>
          <w:sz w:val="18"/>
          <w:szCs w:val="18"/>
        </w:rPr>
      </w:pPr>
      <w:r>
        <w:rPr>
          <w:rFonts w:ascii="Cambria" w:hAnsi="Cambria" w:cs="Cambria"/>
          <w:b/>
          <w:bCs/>
          <w:color w:val="5b5b5f"/>
          <w:sz w:val="18"/>
          <w:szCs w:val="18"/>
        </w:rPr>
      </w:r>
      <w:r/>
    </w:p>
    <w:p>
      <w:pPr>
        <w:jc w:val="both"/>
        <w:rPr>
          <w:rFonts w:ascii="Cambria" w:hAnsi="Cambria" w:cs="Cambria"/>
          <w:b/>
          <w:bCs/>
          <w:color w:val="5b5b5f"/>
          <w:sz w:val="18"/>
          <w:szCs w:val="18"/>
        </w:rPr>
      </w:pPr>
      <w:r>
        <w:rPr>
          <w:rFonts w:ascii="Cambria" w:hAnsi="Cambria" w:cs="Cambria"/>
          <w:b/>
          <w:bCs/>
          <w:color w:val="5b5b5f"/>
          <w:sz w:val="18"/>
          <w:szCs w:val="18"/>
        </w:rPr>
      </w:r>
      <w:r/>
    </w:p>
    <w:p>
      <w:pPr>
        <w:jc w:val="both"/>
        <w:rPr>
          <w:rFonts w:ascii="Cambria" w:hAnsi="Cambria" w:cs="Cambria"/>
          <w:b/>
          <w:bCs/>
          <w:color w:val="5b5b5f"/>
          <w:sz w:val="18"/>
          <w:szCs w:val="18"/>
        </w:rPr>
      </w:pPr>
      <w:r>
        <w:rPr>
          <w:rFonts w:ascii="Cambria" w:hAnsi="Cambria" w:cs="Cambria"/>
          <w:b/>
          <w:bCs/>
          <w:color w:val="5b5b5f"/>
          <w:sz w:val="18"/>
          <w:szCs w:val="18"/>
        </w:rPr>
      </w:r>
      <w:r/>
    </w:p>
    <w:p>
      <w:pPr>
        <w:jc w:val="both"/>
        <w:rPr>
          <w:rFonts w:ascii="Cambria" w:hAnsi="Cambria" w:cs="Cambria"/>
          <w:b/>
          <w:bCs/>
          <w:color w:val="5b5b5f"/>
          <w:sz w:val="18"/>
          <w:szCs w:val="18"/>
        </w:rPr>
      </w:pPr>
      <w:r>
        <w:rPr>
          <w:rFonts w:ascii="Cambria" w:hAnsi="Cambria" w:cs="Cambria"/>
          <w:b/>
          <w:bCs/>
          <w:color w:val="5b5b5f"/>
          <w:sz w:val="18"/>
          <w:szCs w:val="18"/>
        </w:rPr>
      </w:r>
      <w:r/>
    </w:p>
    <w:p>
      <w:pPr>
        <w:jc w:val="both"/>
        <w:rPr>
          <w:rFonts w:ascii="Cambria" w:hAnsi="Cambria" w:cs="Cambria"/>
          <w:b/>
          <w:bCs/>
          <w:color w:val="5b5b5f"/>
          <w:sz w:val="18"/>
          <w:szCs w:val="18"/>
        </w:rPr>
      </w:pPr>
      <w:r>
        <w:rPr>
          <w:rFonts w:ascii="Cambria" w:hAnsi="Cambria" w:cs="Cambria"/>
          <w:b/>
          <w:bCs/>
          <w:color w:val="5b5b5f"/>
          <w:sz w:val="18"/>
          <w:szCs w:val="18"/>
        </w:rPr>
      </w:r>
      <w:r/>
    </w:p>
    <w:p>
      <w:pPr>
        <w:ind w:firstLine="567"/>
        <w:jc w:val="center"/>
        <w:rPr>
          <w:rFonts w:ascii="Cambria" w:hAnsi="Cambria" w:cs="Cambria"/>
          <w:b/>
          <w:bCs/>
          <w:color w:val="000000"/>
          <w:sz w:val="18"/>
          <w:szCs w:val="18"/>
        </w:rPr>
      </w:pPr>
      <w:r>
        <w:rPr>
          <w:rFonts w:ascii="Cambria" w:hAnsi="Cambria" w:cs="Cambria"/>
          <w:b/>
          <w:bCs/>
          <w:color w:val="000000"/>
          <w:sz w:val="18"/>
          <w:szCs w:val="18"/>
        </w:rPr>
      </w:r>
      <w:r/>
    </w:p>
    <w:p>
      <w:pPr>
        <w:ind w:firstLine="567"/>
        <w:jc w:val="center"/>
        <w:rPr>
          <w:rFonts w:ascii="Cambria" w:hAnsi="Cambria" w:cs="Cambria"/>
          <w:b/>
          <w:bCs/>
          <w:color w:val="000000"/>
          <w:sz w:val="18"/>
          <w:szCs w:val="18"/>
        </w:rPr>
      </w:pPr>
      <w:r>
        <w:rPr>
          <w:rFonts w:ascii="Cambria" w:hAnsi="Cambria" w:cs="Cambria"/>
          <w:b/>
          <w:color w:val="000000"/>
          <w:sz w:val="18"/>
          <w:szCs w:val="18"/>
        </w:rPr>
        <w:t xml:space="preserve">PREFEITURA MUNICIPAL DE SANTA BÁRBARA DO SUL/RS</w:t>
      </w:r>
      <w:r/>
    </w:p>
    <w:p>
      <w:pPr>
        <w:ind w:firstLine="567"/>
        <w:jc w:val="center"/>
        <w:rPr>
          <w:rFonts w:ascii="Cambria" w:hAnsi="Cambria" w:cs="Cambria"/>
          <w:b/>
          <w:color w:val="000000"/>
          <w:sz w:val="18"/>
          <w:szCs w:val="18"/>
        </w:rPr>
      </w:pPr>
      <w:r>
        <w:rPr>
          <w:rFonts w:ascii="Cambria" w:hAnsi="Cambria" w:cs="Cambria"/>
          <w:b/>
          <w:color w:val="000000"/>
          <w:sz w:val="18"/>
          <w:szCs w:val="18"/>
        </w:rPr>
        <w:t xml:space="preserve">PREGÃO ELETRÔNICO Nº</w:t>
      </w:r>
      <w:r>
        <w:rPr>
          <w:rFonts w:ascii="Cambria" w:hAnsi="Cambria" w:cs="Cambria"/>
          <w:b/>
          <w:color w:val="000000"/>
          <w:sz w:val="18"/>
          <w:szCs w:val="18"/>
        </w:rPr>
        <w:t xml:space="preserve"> 013/2024</w:t>
      </w:r>
      <w:r/>
    </w:p>
    <w:p>
      <w:pPr>
        <w:ind w:firstLine="567"/>
        <w:jc w:val="center"/>
        <w:rPr>
          <w:rFonts w:ascii="Cambria" w:hAnsi="Cambria" w:cs="Cambria"/>
          <w:bCs/>
          <w:color w:val="000000"/>
          <w:sz w:val="18"/>
          <w:szCs w:val="18"/>
        </w:rPr>
      </w:pPr>
      <w:r>
        <w:rPr>
          <w:rFonts w:ascii="Cambria" w:hAnsi="Cambria" w:cs="Cambria"/>
          <w:color w:val="000000"/>
          <w:sz w:val="18"/>
          <w:szCs w:val="18"/>
        </w:rPr>
        <w:t xml:space="preserve">(Processo Administrativo n</w:t>
      </w:r>
      <w:r>
        <w:rPr>
          <w:rFonts w:ascii="Cambria" w:hAnsi="Cambria" w:cs="Cambria"/>
          <w:bCs/>
          <w:color w:val="000000"/>
          <w:sz w:val="18"/>
          <w:szCs w:val="18"/>
        </w:rPr>
        <w:t xml:space="preserve">°</w:t>
      </w:r>
      <w:r>
        <w:rPr>
          <w:rFonts w:ascii="Cambria" w:hAnsi="Cambria" w:cs="Cambria"/>
          <w:bCs/>
          <w:color w:val="000000"/>
          <w:sz w:val="18"/>
          <w:szCs w:val="18"/>
        </w:rPr>
        <w:t xml:space="preserve"> 0</w:t>
      </w:r>
      <w:r>
        <w:rPr>
          <w:rFonts w:ascii="Cambria" w:hAnsi="Cambria" w:cs="Cambria"/>
          <w:bCs/>
          <w:color w:val="000000"/>
          <w:sz w:val="18"/>
          <w:szCs w:val="18"/>
        </w:rPr>
        <w:t xml:space="preserve">55/2024)</w:t>
      </w:r>
      <w:r/>
    </w:p>
    <w:p>
      <w:pPr>
        <w:ind w:firstLine="567"/>
        <w:jc w:val="both"/>
        <w:rPr>
          <w:rFonts w:ascii="Cambria" w:hAnsi="Cambria" w:cs="Cambria"/>
          <w:b/>
          <w:color w:val="000000"/>
          <w:sz w:val="18"/>
          <w:szCs w:val="18"/>
        </w:rPr>
      </w:pPr>
      <w:r>
        <w:rPr>
          <w:rFonts w:ascii="Cambria" w:hAnsi="Cambria" w:cs="Cambria"/>
          <w:b/>
          <w:color w:val="000000"/>
          <w:sz w:val="18"/>
          <w:szCs w:val="18"/>
        </w:rPr>
      </w:r>
      <w:r/>
    </w:p>
    <w:p>
      <w:pPr>
        <w:pStyle w:val="1068"/>
        <w:numPr>
          <w:ilvl w:val="0"/>
          <w:numId w:val="0"/>
        </w:numPr>
        <w:ind w:firstLine="709"/>
        <w:spacing w:before="0" w:after="0" w:line="240" w:lineRule="auto"/>
        <w:rPr>
          <w:rFonts w:ascii="Cambria" w:hAnsi="Cambria" w:cs="Cambria"/>
          <w:sz w:val="18"/>
          <w:szCs w:val="18"/>
        </w:rPr>
      </w:pPr>
      <w:r>
        <w:rPr>
          <w:rFonts w:ascii="Cambria" w:hAnsi="Cambria" w:cs="Cambria"/>
          <w:sz w:val="18"/>
          <w:szCs w:val="18"/>
        </w:rPr>
        <w:t xml:space="preserve">Torna-se público que a Prefeitura Municipal de Santa Bárbara do </w:t>
      </w:r>
      <w:r>
        <w:rPr>
          <w:rFonts w:ascii="Cambria" w:hAnsi="Cambria" w:cs="Cambria"/>
          <w:sz w:val="18"/>
          <w:szCs w:val="18"/>
        </w:rPr>
        <w:t xml:space="preserve">Sul</w:t>
      </w:r>
      <w:r>
        <w:rPr>
          <w:rFonts w:ascii="Cambria" w:hAnsi="Cambria" w:cs="Cambria"/>
          <w:sz w:val="18"/>
          <w:szCs w:val="18"/>
        </w:rPr>
        <w:t xml:space="preserve">/RS, por meio do </w:t>
      </w:r>
      <w:r>
        <w:rPr>
          <w:rFonts w:ascii="Cambria" w:hAnsi="Cambria" w:cs="Cambria"/>
          <w:sz w:val="18"/>
          <w:szCs w:val="18"/>
        </w:rPr>
        <w:t xml:space="preserve">Setor de Licitações,</w:t>
      </w:r>
      <w:r>
        <w:rPr>
          <w:rFonts w:ascii="Cambria" w:hAnsi="Cambria" w:cs="Cambria"/>
          <w:sz w:val="18"/>
          <w:szCs w:val="18"/>
        </w:rPr>
        <w:t xml:space="preserve"> sediado na Avenida Eduardo de Britto, nº 101, Bairro </w:t>
      </w:r>
      <w:r>
        <w:rPr>
          <w:rFonts w:ascii="Cambria" w:hAnsi="Cambria" w:cs="Cambria"/>
          <w:sz w:val="18"/>
          <w:szCs w:val="18"/>
        </w:rPr>
        <w:t xml:space="preserve">Cerutti</w:t>
      </w:r>
      <w:r>
        <w:rPr>
          <w:rFonts w:ascii="Cambria" w:hAnsi="Cambria" w:cs="Cambria"/>
          <w:sz w:val="18"/>
          <w:szCs w:val="18"/>
        </w:rPr>
        <w:t xml:space="preserve">, no município de Santa Bárbara do Sul/RS, CEP 98.240-000, realizará licitação,</w:t>
      </w:r>
      <w:r>
        <w:rPr>
          <w:rFonts w:ascii="Cambria" w:hAnsi="Cambria" w:cs="Cambria"/>
          <w:sz w:val="18"/>
          <w:szCs w:val="18"/>
        </w:rPr>
        <w:t xml:space="preserve"> para registro de preços, na modalidade PREGÃO, na forma ELETRÔNICA,</w:t>
      </w:r>
      <w:r>
        <w:rPr>
          <w:rFonts w:ascii="Cambria" w:hAnsi="Cambria" w:eastAsia="Times New Roman" w:cs="Cambria"/>
          <w:sz w:val="18"/>
          <w:szCs w:val="18"/>
        </w:rPr>
        <w:t xml:space="preserve"> </w:t>
      </w:r>
      <w:r>
        <w:rPr>
          <w:rFonts w:ascii="Cambria" w:hAnsi="Cambria" w:cs="Cambria"/>
          <w:sz w:val="18"/>
          <w:szCs w:val="18"/>
        </w:rPr>
        <w:t xml:space="preserve">nos termos</w:t>
      </w:r>
      <w:r>
        <w:rPr>
          <w:rFonts w:ascii="Cambria" w:hAnsi="Cambria" w:cs="Cambria"/>
          <w:sz w:val="18"/>
          <w:szCs w:val="18"/>
        </w:rPr>
        <w:t xml:space="preserve"> da </w:t>
      </w:r>
      <w:hyperlink r:id="rId17" w:tooltip="http://www.planalto.gov.br/ccivil_03/_ato2019-2022/2021/lei/L14133.htm" w:history="1">
        <w:r>
          <w:rPr>
            <w:rStyle w:val="839"/>
            <w:rFonts w:ascii="Cambria" w:hAnsi="Cambria" w:cs="Cambria"/>
            <w:sz w:val="18"/>
            <w:szCs w:val="18"/>
          </w:rPr>
          <w:t xml:space="preserve">Lei nº 14.133, de 1º de abril de 2021</w:t>
        </w:r>
      </w:hyperlink>
      <w:r>
        <w:rPr>
          <w:rFonts w:ascii="Cambria" w:hAnsi="Cambria" w:cs="Cambria"/>
          <w:sz w:val="18"/>
          <w:szCs w:val="18"/>
        </w:rPr>
        <w:t xml:space="preserve">, do Decreto nº 5.456, de 05 de setembro de 2024,</w:t>
      </w:r>
      <w:r>
        <w:rPr>
          <w:rFonts w:ascii="Cambria" w:hAnsi="Cambria" w:cs="Cambria"/>
          <w:sz w:val="18"/>
          <w:szCs w:val="18"/>
        </w:rPr>
        <w:t xml:space="preserve"> e demais legislações aplicáveis e, ainda, de acordo com as condições estabelec</w:t>
      </w:r>
      <w:r>
        <w:rPr>
          <w:rFonts w:ascii="Cambria" w:hAnsi="Cambria" w:cs="Cambria"/>
          <w:sz w:val="18"/>
          <w:szCs w:val="18"/>
        </w:rPr>
        <w:t xml:space="preserve">idas neste Edital</w:t>
      </w:r>
      <w:r>
        <w:rPr>
          <w:rFonts w:ascii="Cambria" w:hAnsi="Cambria" w:eastAsia="Times New Roman" w:cs="Cambria"/>
          <w:sz w:val="18"/>
          <w:szCs w:val="18"/>
        </w:rPr>
        <w:t xml:space="preserve">.</w:t>
      </w:r>
      <w:r/>
    </w:p>
    <w:p>
      <w:pPr>
        <w:pStyle w:val="1068"/>
        <w:numPr>
          <w:ilvl w:val="0"/>
          <w:numId w:val="0"/>
        </w:numPr>
        <w:ind w:firstLine="709"/>
        <w:spacing w:before="0" w:after="0" w:line="240" w:lineRule="auto"/>
        <w:rPr>
          <w:rFonts w:ascii="Cambria" w:hAnsi="Cambria" w:cs="Cambria"/>
          <w:color w:val="auto"/>
          <w:sz w:val="18"/>
          <w:szCs w:val="18"/>
        </w:rPr>
      </w:pPr>
      <w:r>
        <w:rPr>
          <w:rFonts w:ascii="Cambria" w:hAnsi="Cambria" w:cs="Cambria"/>
          <w:color w:val="auto"/>
          <w:sz w:val="18"/>
          <w:szCs w:val="18"/>
        </w:rPr>
      </w:r>
      <w:r/>
    </w:p>
    <w:p>
      <w:pPr>
        <w:pStyle w:val="1051"/>
        <w:ind w:left="0" w:firstLine="0"/>
        <w:spacing w:before="0" w:after="0" w:line="240" w:lineRule="auto"/>
        <w:rPr>
          <w:rFonts w:ascii="Cambria" w:hAnsi="Cambria" w:cs="Cambria"/>
          <w:sz w:val="18"/>
          <w:szCs w:val="18"/>
        </w:rPr>
      </w:pPr>
      <w:r/>
      <w:bookmarkStart w:id="0" w:name="_Toc135469223"/>
      <w:r>
        <w:rPr>
          <w:rFonts w:ascii="Cambria" w:hAnsi="Cambria" w:cs="Cambria"/>
          <w:sz w:val="18"/>
          <w:szCs w:val="18"/>
          <w:lang w:eastAsia="en-US"/>
        </w:rPr>
        <w:t xml:space="preserve">DO OBJETO</w:t>
      </w:r>
      <w:bookmarkEnd w:id="0"/>
      <w:r/>
      <w:r/>
    </w:p>
    <w:p>
      <w:pPr>
        <w:pStyle w:val="1068"/>
        <w:spacing w:before="0" w:after="0" w:line="240" w:lineRule="auto"/>
        <w:rPr>
          <w:rFonts w:ascii="Cambria" w:hAnsi="Cambria" w:cs="Cambria"/>
          <w:color w:val="auto"/>
          <w:sz w:val="18"/>
          <w:szCs w:val="18"/>
        </w:rPr>
      </w:pPr>
      <w:r>
        <w:rPr>
          <w:rFonts w:ascii="Cambria" w:hAnsi="Cambria" w:cs="Cambria"/>
          <w:color w:val="auto"/>
          <w:sz w:val="18"/>
          <w:szCs w:val="18"/>
        </w:rPr>
        <w:t xml:space="preserve">O objeto da presente licitação é a</w:t>
      </w:r>
      <w:r>
        <w:rPr>
          <w:rFonts w:ascii="Cambria" w:hAnsi="Cambria" w:cs="Cambria"/>
          <w:color w:val="auto"/>
          <w:sz w:val="18"/>
          <w:szCs w:val="18"/>
        </w:rPr>
        <w:t xml:space="preserve"> Aquisição de LEIVAS DE GRAMA</w:t>
      </w:r>
      <w:r>
        <w:rPr>
          <w:rFonts w:ascii="Cambria" w:hAnsi="Cambria" w:cs="Cambria"/>
          <w:color w:val="auto"/>
          <w:sz w:val="18"/>
          <w:szCs w:val="18"/>
        </w:rPr>
        <w:t xml:space="preserve">, conforme condições, quantidades e exigências estabelecidas neste Edital e seus anexos.</w:t>
      </w:r>
      <w:r/>
    </w:p>
    <w:p>
      <w:pPr>
        <w:pStyle w:val="1115"/>
        <w:spacing w:before="0" w:after="0" w:line="240" w:lineRule="auto"/>
        <w:rPr>
          <w:rFonts w:ascii="Cambria" w:hAnsi="Cambria" w:cs="Cambria"/>
          <w:color w:val="auto"/>
          <w:sz w:val="18"/>
          <w:szCs w:val="18"/>
        </w:rPr>
      </w:pPr>
      <w:r>
        <w:rPr>
          <w:rFonts w:ascii="Cambria" w:hAnsi="Cambria" w:cs="Cambria"/>
          <w:i w:val="0"/>
          <w:iCs w:val="0"/>
          <w:color w:val="auto"/>
          <w:sz w:val="18"/>
          <w:szCs w:val="18"/>
        </w:rPr>
        <w:t xml:space="preserve">A licitação será dividida em itens, conforme tabela constante do Termo de Referência, facultando-se ao licitante a participação em quantos itens forem de seu interesse</w:t>
      </w:r>
      <w:r>
        <w:rPr>
          <w:rFonts w:ascii="Cambria" w:hAnsi="Cambria" w:cs="Cambria"/>
          <w:color w:val="auto"/>
          <w:sz w:val="18"/>
          <w:szCs w:val="18"/>
        </w:rPr>
        <w:t xml:space="preserve">.</w:t>
      </w:r>
      <w:r/>
    </w:p>
    <w:p>
      <w:pPr>
        <w:pStyle w:val="1115"/>
        <w:numPr>
          <w:ilvl w:val="1"/>
          <w:numId w:val="0"/>
        </w:numPr>
        <w:spacing w:before="0" w:after="0" w:line="240" w:lineRule="auto"/>
        <w:rPr>
          <w:rFonts w:ascii="Cambria" w:hAnsi="Cambria" w:cs="Cambria"/>
          <w:sz w:val="18"/>
          <w:szCs w:val="18"/>
        </w:rPr>
      </w:pPr>
      <w:r>
        <w:rPr>
          <w:rFonts w:ascii="Cambria" w:hAnsi="Cambria" w:cs="Cambria"/>
          <w:sz w:val="18"/>
          <w:szCs w:val="18"/>
        </w:rPr>
      </w:r>
      <w:r/>
    </w:p>
    <w:p>
      <w:pPr>
        <w:pStyle w:val="1051"/>
        <w:ind w:left="0" w:firstLine="0"/>
        <w:spacing w:before="0" w:after="0" w:line="240" w:lineRule="auto"/>
        <w:rPr>
          <w:rFonts w:ascii="Cambria" w:hAnsi="Cambria" w:cs="Cambria"/>
          <w:sz w:val="18"/>
          <w:szCs w:val="18"/>
        </w:rPr>
      </w:pPr>
      <w:r/>
      <w:bookmarkStart w:id="1" w:name="_Toc135469224"/>
      <w:r>
        <w:rPr>
          <w:rFonts w:ascii="Cambria" w:hAnsi="Cambria" w:cs="Cambria"/>
          <w:sz w:val="18"/>
          <w:szCs w:val="18"/>
        </w:rPr>
        <w:t xml:space="preserve">DO REGISTRO DE PREÇOS </w:t>
      </w:r>
      <w:bookmarkEnd w:id="1"/>
      <w:r/>
      <w:r/>
    </w:p>
    <w:p>
      <w:pPr>
        <w:pStyle w:val="1068"/>
        <w:spacing w:before="0" w:after="0" w:line="240" w:lineRule="auto"/>
        <w:rPr>
          <w:rFonts w:ascii="Cambria" w:hAnsi="Cambria" w:cs="Cambria"/>
          <w:sz w:val="18"/>
          <w:szCs w:val="18"/>
        </w:rPr>
      </w:pPr>
      <w:r>
        <w:rPr>
          <w:rFonts w:ascii="Cambria" w:hAnsi="Cambria" w:cs="Cambria"/>
          <w:sz w:val="18"/>
          <w:szCs w:val="18"/>
        </w:rPr>
        <w:t xml:space="preserve">As regras referentes aos órgãos gerenciadores e participantes, bem como eventuais adesões são as que constam da minuta de Ata de Registro de Preços.</w:t>
      </w:r>
      <w:r/>
    </w:p>
    <w:p>
      <w:pPr>
        <w:pStyle w:val="1068"/>
        <w:numPr>
          <w:ilvl w:val="0"/>
          <w:numId w:val="0"/>
        </w:numPr>
        <w:spacing w:before="0" w:after="0" w:line="240" w:lineRule="auto"/>
        <w:rPr>
          <w:rFonts w:ascii="Cambria" w:hAnsi="Cambria" w:cs="Cambria"/>
          <w:sz w:val="18"/>
          <w:szCs w:val="18"/>
        </w:rPr>
      </w:pPr>
      <w:r>
        <w:rPr>
          <w:rFonts w:ascii="Cambria" w:hAnsi="Cambria" w:cs="Cambria"/>
          <w:sz w:val="18"/>
          <w:szCs w:val="18"/>
        </w:rPr>
      </w:r>
      <w:r/>
    </w:p>
    <w:p>
      <w:pPr>
        <w:pStyle w:val="1051"/>
        <w:ind w:left="0" w:firstLine="0"/>
        <w:spacing w:before="0" w:after="0" w:line="240" w:lineRule="auto"/>
        <w:rPr>
          <w:rFonts w:ascii="Cambria" w:hAnsi="Cambria" w:cs="Cambria"/>
          <w:sz w:val="18"/>
          <w:szCs w:val="18"/>
        </w:rPr>
      </w:pPr>
      <w:r/>
      <w:bookmarkStart w:id="2" w:name="_Toc135469225"/>
      <w:r>
        <w:rPr>
          <w:rFonts w:ascii="Cambria" w:hAnsi="Cambria" w:cs="Cambria"/>
          <w:sz w:val="18"/>
          <w:szCs w:val="18"/>
        </w:rPr>
        <w:t xml:space="preserve">DA PARTICIPAÇÃO NA LICITAÇÃO</w:t>
      </w:r>
      <w:bookmarkEnd w:id="2"/>
      <w:r/>
      <w:r/>
    </w:p>
    <w:p>
      <w:pPr>
        <w:jc w:val="both"/>
        <w:rPr>
          <w:rFonts w:ascii="Cambria" w:hAnsi="Cambria" w:cs="Cambria"/>
          <w:sz w:val="18"/>
          <w:szCs w:val="18"/>
        </w:rPr>
      </w:pPr>
      <w:r/>
      <w:bookmarkStart w:id="3" w:name="_Hlk135302270"/>
      <w:r>
        <w:rPr>
          <w:rFonts w:ascii="Cambria" w:hAnsi="Cambria" w:cs="Cambria"/>
          <w:sz w:val="18"/>
          <w:szCs w:val="18"/>
        </w:rPr>
        <w:t xml:space="preserve">3.1</w:t>
      </w:r>
      <w:r>
        <w:rPr>
          <w:rFonts w:ascii="Cambria" w:hAnsi="Cambria" w:cs="Cambria"/>
          <w:sz w:val="18"/>
          <w:szCs w:val="18"/>
        </w:rPr>
        <w:tab/>
        <w:t xml:space="preserve">Poderão</w:t>
      </w:r>
      <w:r>
        <w:rPr>
          <w:rFonts w:ascii="Cambria" w:hAnsi="Cambria" w:cs="Cambria"/>
          <w:sz w:val="18"/>
          <w:szCs w:val="18"/>
        </w:rPr>
        <w:t xml:space="preserve"> participar deste Pregão os interessados que estiverem previamente</w:t>
      </w:r>
      <w:r>
        <w:rPr>
          <w:rFonts w:ascii="Cambria" w:hAnsi="Cambria" w:cs="Cambria"/>
          <w:sz w:val="18"/>
          <w:szCs w:val="18"/>
        </w:rPr>
        <w:t xml:space="preserve"> credenciados no </w:t>
      </w:r>
      <w:r>
        <w:rPr>
          <w:rFonts w:ascii="Cambria" w:hAnsi="Cambria" w:eastAsia="CIDFont" w:cs="Cambria"/>
          <w:color w:val="000000" w:themeColor="text1"/>
          <w:sz w:val="18"/>
          <w:szCs w:val="18"/>
          <w:lang w:eastAsia="zh-CN" w:bidi="ar"/>
        </w:rPr>
        <w:t xml:space="preserve">ao sistema eletrônico, no site https://pregaobanrisul.com.br/.</w:t>
      </w:r>
      <w:bookmarkEnd w:id="3"/>
      <w:r/>
      <w:r/>
    </w:p>
    <w:p>
      <w:pPr>
        <w:pStyle w:val="1068"/>
        <w:numPr>
          <w:ilvl w:val="1"/>
          <w:numId w:val="0"/>
        </w:numPr>
        <w:spacing w:before="0" w:after="0" w:line="240" w:lineRule="auto"/>
        <w:rPr>
          <w:rFonts w:ascii="Cambria" w:hAnsi="Cambria" w:cs="Cambria"/>
          <w:sz w:val="18"/>
          <w:szCs w:val="18"/>
        </w:rPr>
      </w:pPr>
      <w:r>
        <w:rPr>
          <w:rFonts w:ascii="Cambria" w:hAnsi="Cambria" w:cs="Cambria"/>
          <w:sz w:val="18"/>
          <w:szCs w:val="18"/>
        </w:rPr>
        <w:t xml:space="preserve">3.2</w:t>
      </w:r>
      <w:r>
        <w:rPr>
          <w:rFonts w:ascii="Cambria" w:hAnsi="Cambria" w:cs="Cambria"/>
          <w:sz w:val="18"/>
          <w:szCs w:val="18"/>
        </w:rPr>
        <w:tab/>
        <w:t xml:space="preserve">O licitante responsabiliza-se exclusiva e formalmente pelas transações efetuadas em seu nome, assume como firmes e verdadeiras suas propostas e seus lances, inclusiv</w:t>
      </w:r>
      <w:r>
        <w:rPr>
          <w:rFonts w:ascii="Cambria" w:hAnsi="Cambria" w:cs="Cambria"/>
          <w:sz w:val="18"/>
          <w:szCs w:val="18"/>
        </w:rPr>
        <w:t xml:space="preserve">e os atos praticados diretamente ou por seu representante, excluída a responsabilidade do provedor do sistema ou do órgão ou entidade promotora da licitação por eventuais danos decorrentes de uso indevido das credenciais de acesso, ainda que por terceiros.</w:t>
      </w:r>
      <w:r/>
    </w:p>
    <w:p>
      <w:pPr>
        <w:pStyle w:val="1068"/>
        <w:numPr>
          <w:ilvl w:val="1"/>
          <w:numId w:val="0"/>
        </w:numPr>
        <w:spacing w:before="0" w:after="0" w:line="240" w:lineRule="auto"/>
        <w:rPr>
          <w:rFonts w:ascii="Cambria" w:hAnsi="Cambria" w:cs="Cambria"/>
          <w:sz w:val="18"/>
          <w:szCs w:val="18"/>
        </w:rPr>
      </w:pPr>
      <w:r>
        <w:rPr>
          <w:rFonts w:ascii="Cambria" w:hAnsi="Cambria" w:cs="Cambria"/>
          <w:sz w:val="18"/>
          <w:szCs w:val="18"/>
        </w:rPr>
        <w:t xml:space="preserve">3.3</w:t>
      </w:r>
      <w:r>
        <w:rPr>
          <w:rFonts w:ascii="Cambria" w:hAnsi="Cambria" w:cs="Cambria"/>
          <w:sz w:val="18"/>
          <w:szCs w:val="18"/>
        </w:rPr>
        <w:tab/>
        <w:t xml:space="preserve">É de responsabilidade do cadastrado conferir a exatidão dos seus dados cadastrais nos Sistemas relacionados no item anterior e mantê-los atualizados junto aos órgãos responsáveis pela informação, devendo proceder, imediatamente, à correção ou à altera</w:t>
      </w:r>
      <w:r>
        <w:rPr>
          <w:rFonts w:ascii="Cambria" w:hAnsi="Cambria" w:cs="Cambria"/>
          <w:sz w:val="18"/>
          <w:szCs w:val="18"/>
        </w:rPr>
        <w:t xml:space="preserve">ção dos registros tão logo identifique incorreção ou aqueles se tornem desatualizados.</w:t>
      </w:r>
      <w:r/>
    </w:p>
    <w:p>
      <w:pPr>
        <w:pStyle w:val="1068"/>
        <w:numPr>
          <w:ilvl w:val="1"/>
          <w:numId w:val="0"/>
        </w:numPr>
        <w:spacing w:before="0" w:after="0" w:line="240" w:lineRule="auto"/>
        <w:rPr>
          <w:rFonts w:ascii="Cambria" w:hAnsi="Cambria" w:cs="Cambria"/>
          <w:sz w:val="18"/>
          <w:szCs w:val="18"/>
        </w:rPr>
      </w:pPr>
      <w:r>
        <w:rPr>
          <w:rFonts w:ascii="Cambria" w:hAnsi="Cambria" w:cs="Cambria"/>
          <w:sz w:val="18"/>
          <w:szCs w:val="18"/>
        </w:rPr>
        <w:t xml:space="preserve">3.4</w:t>
      </w:r>
      <w:r>
        <w:rPr>
          <w:rFonts w:ascii="Cambria" w:hAnsi="Cambria" w:cs="Cambria"/>
          <w:sz w:val="18"/>
          <w:szCs w:val="18"/>
        </w:rPr>
        <w:tab/>
        <w:t xml:space="preserve">A não observância do disposto no item anterior poderá ensejar desclassificação no momento da habilitação.</w:t>
      </w:r>
      <w:r/>
    </w:p>
    <w:p>
      <w:pPr>
        <w:pStyle w:val="1068"/>
        <w:numPr>
          <w:ilvl w:val="1"/>
          <w:numId w:val="0"/>
        </w:numPr>
        <w:spacing w:before="0" w:after="0" w:line="240" w:lineRule="auto"/>
        <w:rPr>
          <w:rFonts w:ascii="Cambria" w:hAnsi="Cambria" w:cs="Cambria"/>
          <w:sz w:val="18"/>
          <w:szCs w:val="18"/>
        </w:rPr>
      </w:pPr>
      <w:r>
        <w:rPr>
          <w:rFonts w:ascii="Cambria" w:hAnsi="Cambria" w:cs="Cambria"/>
          <w:color w:val="auto"/>
          <w:sz w:val="18"/>
          <w:szCs w:val="18"/>
        </w:rPr>
        <w:t xml:space="preserve">Será concedido tratamento favorecido para as microempresas </w:t>
      </w:r>
      <w:r>
        <w:rPr>
          <w:rFonts w:ascii="Cambria" w:hAnsi="Cambria" w:cs="Cambria"/>
          <w:color w:val="auto"/>
          <w:sz w:val="18"/>
          <w:szCs w:val="18"/>
        </w:rPr>
        <w:t xml:space="preserve">e empresas de pequeno porte, </w:t>
      </w:r>
      <w:r>
        <w:rPr>
          <w:rFonts w:ascii="Cambria" w:hAnsi="Cambria" w:cs="Cambria"/>
          <w:sz w:val="18"/>
          <w:szCs w:val="18"/>
        </w:rPr>
        <w:t xml:space="preserve">para as sociedades cooperativas </w:t>
      </w:r>
      <w:r>
        <w:rPr>
          <w:rFonts w:ascii="Cambria" w:hAnsi="Cambria" w:eastAsia="Times New Roman" w:cs="Cambria"/>
          <w:sz w:val="18"/>
          <w:szCs w:val="18"/>
        </w:rPr>
        <w:t xml:space="preserve">mencionadas no </w:t>
      </w:r>
      <w:hyperlink r:id="rId18" w:tooltip="http://www.planalto.gov.br/ccivil_03/_ato2019-2022/2021/lei/L14133.htm#art16" w:anchor="art16" w:history="1">
        <w:r>
          <w:rPr>
            <w:rStyle w:val="839"/>
            <w:rFonts w:ascii="Cambria" w:hAnsi="Cambria" w:eastAsia="Times New Roman" w:cs="Cambria"/>
            <w:sz w:val="18"/>
            <w:szCs w:val="18"/>
          </w:rPr>
          <w:t xml:space="preserve">artigo </w:t>
        </w:r>
        <w:r>
          <w:rPr>
            <w:rStyle w:val="839"/>
            <w:rFonts w:ascii="Cambria" w:hAnsi="Cambria" w:cs="Cambria"/>
            <w:sz w:val="18"/>
            <w:szCs w:val="18"/>
          </w:rPr>
          <w:t xml:space="preserve">16 da Lei nº 14.133, de 2021</w:t>
        </w:r>
      </w:hyperlink>
      <w:r>
        <w:rPr>
          <w:rFonts w:ascii="Cambria" w:hAnsi="Cambria" w:cs="Cambria"/>
          <w:color w:val="auto"/>
          <w:sz w:val="18"/>
          <w:szCs w:val="18"/>
        </w:rPr>
        <w:t xml:space="preserve">, para o agricultor familiar, o produtor rur</w:t>
      </w:r>
      <w:r>
        <w:rPr>
          <w:rFonts w:ascii="Cambria" w:hAnsi="Cambria" w:cs="Cambria"/>
          <w:color w:val="auto"/>
          <w:sz w:val="18"/>
          <w:szCs w:val="18"/>
        </w:rPr>
        <w:t xml:space="preserve">al pessoa física e para o microempreendedor individual - MEI, nos limites previstos da </w:t>
      </w:r>
      <w:hyperlink r:id="rId19" w:tooltip="https://www.planalto.gov.br/ccivil_03/leis/lcp/lcp123.htm" w:history="1">
        <w:r>
          <w:rPr>
            <w:rStyle w:val="839"/>
            <w:rFonts w:ascii="Cambria" w:hAnsi="Cambria" w:cs="Cambria"/>
            <w:sz w:val="18"/>
            <w:szCs w:val="18"/>
          </w:rPr>
          <w:t xml:space="preserve">Lei Complementar nº 123, de 2006</w:t>
        </w:r>
      </w:hyperlink>
      <w:r>
        <w:rPr>
          <w:rStyle w:val="839"/>
          <w:rFonts w:ascii="Cambria" w:hAnsi="Cambria" w:cs="Cambria"/>
          <w:sz w:val="18"/>
          <w:szCs w:val="18"/>
        </w:rPr>
        <w:t xml:space="preserve">.</w:t>
      </w:r>
      <w:r/>
    </w:p>
    <w:p>
      <w:pPr>
        <w:pStyle w:val="1068"/>
        <w:numPr>
          <w:ilvl w:val="1"/>
          <w:numId w:val="0"/>
        </w:numPr>
        <w:spacing w:before="0" w:after="0" w:line="240" w:lineRule="auto"/>
        <w:rPr>
          <w:rStyle w:val="839"/>
          <w:rFonts w:ascii="Cambria" w:hAnsi="Cambria" w:cs="Cambria"/>
          <w:sz w:val="18"/>
          <w:szCs w:val="18"/>
        </w:rPr>
      </w:pPr>
      <w:r/>
      <w:bookmarkStart w:id="4" w:name="_Ref117000692"/>
      <w:r>
        <w:rPr>
          <w:rFonts w:ascii="Cambria" w:hAnsi="Cambria" w:cs="Cambria"/>
          <w:color w:val="auto"/>
          <w:sz w:val="18"/>
          <w:szCs w:val="18"/>
        </w:rPr>
        <w:t xml:space="preserve">3.5 </w:t>
      </w:r>
      <w:r>
        <w:rPr>
          <w:rFonts w:ascii="Cambria" w:hAnsi="Cambria" w:cs="Cambria"/>
          <w:color w:val="auto"/>
          <w:sz w:val="18"/>
          <w:szCs w:val="18"/>
        </w:rPr>
        <w:t xml:space="preserve">Será concedido tratamento favorecido para as microempr</w:t>
      </w:r>
      <w:r>
        <w:rPr>
          <w:rFonts w:ascii="Cambria" w:hAnsi="Cambria" w:cs="Cambria"/>
          <w:color w:val="auto"/>
          <w:sz w:val="18"/>
          <w:szCs w:val="18"/>
        </w:rPr>
        <w:t xml:space="preserve">esas e empresas de pequeno porte, </w:t>
      </w:r>
      <w:r>
        <w:rPr>
          <w:rFonts w:ascii="Cambria" w:hAnsi="Cambria" w:cs="Cambria"/>
          <w:sz w:val="18"/>
          <w:szCs w:val="18"/>
        </w:rPr>
        <w:t xml:space="preserve">para as sociedades cooperativas </w:t>
      </w:r>
      <w:r>
        <w:rPr>
          <w:rFonts w:ascii="Cambria" w:hAnsi="Cambria" w:eastAsia="Times New Roman" w:cs="Cambria"/>
          <w:sz w:val="18"/>
          <w:szCs w:val="18"/>
        </w:rPr>
        <w:t xml:space="preserve">mencionadas no </w:t>
      </w:r>
      <w:hyperlink r:id="rId20" w:tooltip="http://www.planalto.gov.br/ccivil_03/_ato2019-2022/2021/lei/L14133.htm#art16" w:anchor="art16" w:history="1">
        <w:r>
          <w:rPr>
            <w:rStyle w:val="839"/>
            <w:rFonts w:ascii="Cambria" w:hAnsi="Cambria" w:eastAsia="Times New Roman" w:cs="Cambria"/>
            <w:sz w:val="18"/>
            <w:szCs w:val="18"/>
          </w:rPr>
          <w:t xml:space="preserve">artigo </w:t>
        </w:r>
        <w:r>
          <w:rPr>
            <w:rStyle w:val="839"/>
            <w:rFonts w:ascii="Cambria" w:hAnsi="Cambria" w:cs="Cambria"/>
            <w:sz w:val="18"/>
            <w:szCs w:val="18"/>
          </w:rPr>
          <w:t xml:space="preserve">16 da Lei nº 14.133, de 2021</w:t>
        </w:r>
      </w:hyperlink>
      <w:r>
        <w:rPr>
          <w:rFonts w:ascii="Cambria" w:hAnsi="Cambria" w:cs="Cambria"/>
          <w:color w:val="auto"/>
          <w:sz w:val="18"/>
          <w:szCs w:val="18"/>
        </w:rPr>
        <w:t xml:space="preserve">, para o agricultor familiar, o produtor rural pessoa física e para o microempreendedor individual - MEI, nos limites previstos da </w:t>
      </w:r>
      <w:hyperlink r:id="rId21" w:tooltip="https://www.planalto.gov.br/ccivil_03/leis/lcp/lcp123.htm" w:history="1">
        <w:r>
          <w:rPr>
            <w:rStyle w:val="839"/>
            <w:rFonts w:ascii="Cambria" w:hAnsi="Cambria" w:cs="Cambria"/>
            <w:sz w:val="18"/>
            <w:szCs w:val="18"/>
          </w:rPr>
          <w:t xml:space="preserve">Lei Complementar nº 123, de 2006</w:t>
        </w:r>
      </w:hyperlink>
      <w:r>
        <w:rPr>
          <w:rStyle w:val="839"/>
          <w:rFonts w:ascii="Cambria" w:hAnsi="Cambria" w:cs="Cambria"/>
          <w:sz w:val="18"/>
          <w:szCs w:val="18"/>
        </w:rPr>
        <w:t xml:space="preserve">.</w:t>
      </w:r>
      <w:r/>
    </w:p>
    <w:p>
      <w:pPr>
        <w:pStyle w:val="1068"/>
        <w:numPr>
          <w:ilvl w:val="1"/>
          <w:numId w:val="0"/>
        </w:numPr>
        <w:spacing w:before="0" w:after="0" w:line="240" w:lineRule="auto"/>
        <w:rPr>
          <w:rFonts w:ascii="Cambria" w:hAnsi="Cambria" w:cs="Cambria"/>
          <w:sz w:val="18"/>
          <w:szCs w:val="18"/>
        </w:rPr>
      </w:pPr>
      <w:r>
        <w:rPr>
          <w:rFonts w:ascii="Cambria" w:hAnsi="Cambria" w:cs="Cambria"/>
          <w:color w:val="auto"/>
          <w:sz w:val="18"/>
          <w:szCs w:val="18"/>
        </w:rPr>
        <w:t xml:space="preserve">3.</w:t>
      </w:r>
      <w:r>
        <w:rPr>
          <w:rFonts w:ascii="Cambria" w:hAnsi="Cambria" w:cs="Cambria"/>
          <w:color w:val="auto"/>
          <w:sz w:val="18"/>
          <w:szCs w:val="18"/>
        </w:rPr>
        <w:t xml:space="preserve">6</w:t>
      </w:r>
      <w:r>
        <w:rPr>
          <w:rFonts w:ascii="Cambria" w:hAnsi="Cambria" w:cs="Cambria"/>
          <w:color w:val="auto"/>
          <w:sz w:val="18"/>
          <w:szCs w:val="18"/>
        </w:rPr>
        <w:tab/>
        <w:t xml:space="preserve">Não</w:t>
      </w:r>
      <w:r>
        <w:rPr>
          <w:rFonts w:ascii="Cambria" w:hAnsi="Cambria" w:cs="Cambria"/>
          <w:color w:val="auto"/>
          <w:sz w:val="18"/>
          <w:szCs w:val="18"/>
        </w:rPr>
        <w:t xml:space="preserve"> </w:t>
      </w:r>
      <w:r>
        <w:rPr>
          <w:rFonts w:ascii="Cambria" w:hAnsi="Cambria" w:cs="Cambria"/>
          <w:sz w:val="18"/>
          <w:szCs w:val="18"/>
        </w:rPr>
        <w:t xml:space="preserve">poderã</w:t>
      </w:r>
      <w:r>
        <w:rPr>
          <w:rFonts w:ascii="Cambria" w:hAnsi="Cambria" w:cs="Cambria"/>
          <w:sz w:val="18"/>
          <w:szCs w:val="18"/>
        </w:rPr>
        <w:t xml:space="preserve">o disputar esta licitação:</w:t>
      </w:r>
      <w:bookmarkEnd w:id="4"/>
      <w:r/>
      <w:r/>
    </w:p>
    <w:p>
      <w:pPr>
        <w:pStyle w:val="1070"/>
        <w:numPr>
          <w:ilvl w:val="2"/>
          <w:numId w:val="0"/>
        </w:numPr>
        <w:spacing w:before="0" w:after="0" w:line="240" w:lineRule="auto"/>
        <w:rPr>
          <w:rFonts w:ascii="Cambria" w:hAnsi="Cambria" w:cs="Cambria"/>
          <w:sz w:val="18"/>
          <w:szCs w:val="18"/>
        </w:rPr>
      </w:pPr>
      <w:r>
        <w:rPr>
          <w:rFonts w:ascii="Cambria" w:hAnsi="Cambria" w:cs="Cambria"/>
          <w:sz w:val="18"/>
          <w:szCs w:val="18"/>
        </w:rPr>
        <w:t xml:space="preserve">3.</w:t>
      </w:r>
      <w:r>
        <w:rPr>
          <w:rFonts w:ascii="Cambria" w:hAnsi="Cambria" w:cs="Cambria"/>
          <w:sz w:val="18"/>
          <w:szCs w:val="18"/>
        </w:rPr>
        <w:t xml:space="preserve">6</w:t>
      </w:r>
      <w:r>
        <w:rPr>
          <w:rFonts w:ascii="Cambria" w:hAnsi="Cambria" w:cs="Cambria"/>
          <w:sz w:val="18"/>
          <w:szCs w:val="18"/>
        </w:rPr>
        <w:t xml:space="preserve">.1</w:t>
      </w:r>
      <w:r>
        <w:rPr>
          <w:rFonts w:ascii="Cambria" w:hAnsi="Cambria" w:cs="Cambria"/>
          <w:sz w:val="18"/>
          <w:szCs w:val="18"/>
        </w:rPr>
        <w:tab/>
        <w:t xml:space="preserve">A</w:t>
      </w:r>
      <w:bookmarkStart w:id="5" w:name="_Ref113883338"/>
      <w:r>
        <w:rPr>
          <w:rFonts w:ascii="Cambria" w:hAnsi="Cambria" w:cs="Cambria"/>
          <w:sz w:val="18"/>
          <w:szCs w:val="18"/>
        </w:rPr>
        <w:t xml:space="preserve">queles que não atendam às condições previstas neste Edital e </w:t>
      </w:r>
      <w:r>
        <w:rPr>
          <w:rFonts w:ascii="Cambria" w:hAnsi="Cambria" w:cs="Cambria"/>
          <w:sz w:val="18"/>
          <w:szCs w:val="18"/>
        </w:rPr>
        <w:t xml:space="preserve">seu(</w:t>
      </w:r>
      <w:r>
        <w:rPr>
          <w:rFonts w:ascii="Cambria" w:hAnsi="Cambria" w:cs="Cambria"/>
          <w:sz w:val="18"/>
          <w:szCs w:val="18"/>
        </w:rPr>
        <w:t xml:space="preserve">s) anexo(s);</w:t>
      </w:r>
      <w:r/>
    </w:p>
    <w:p>
      <w:pPr>
        <w:pStyle w:val="1070"/>
        <w:numPr>
          <w:ilvl w:val="2"/>
          <w:numId w:val="0"/>
        </w:numPr>
        <w:spacing w:before="0" w:after="0" w:line="240" w:lineRule="auto"/>
        <w:rPr>
          <w:rFonts w:ascii="Cambria" w:hAnsi="Cambria" w:cs="Cambria"/>
          <w:sz w:val="18"/>
          <w:szCs w:val="18"/>
        </w:rPr>
      </w:pPr>
      <w:r/>
      <w:bookmarkStart w:id="6" w:name="_Ref114659912"/>
      <w:r>
        <w:rPr>
          <w:rFonts w:ascii="Cambria" w:hAnsi="Cambria" w:cs="Cambria"/>
          <w:sz w:val="18"/>
          <w:szCs w:val="18"/>
        </w:rPr>
        <w:t xml:space="preserve">3.</w:t>
      </w:r>
      <w:r>
        <w:rPr>
          <w:rFonts w:ascii="Cambria" w:hAnsi="Cambria" w:cs="Cambria"/>
          <w:sz w:val="18"/>
          <w:szCs w:val="18"/>
        </w:rPr>
        <w:t xml:space="preserve">6</w:t>
      </w:r>
      <w:r>
        <w:rPr>
          <w:rFonts w:ascii="Cambria" w:hAnsi="Cambria" w:cs="Cambria"/>
          <w:sz w:val="18"/>
          <w:szCs w:val="18"/>
        </w:rPr>
        <w:t xml:space="preserve">.2</w:t>
      </w:r>
      <w:r>
        <w:rPr>
          <w:rFonts w:ascii="Cambria" w:hAnsi="Cambria" w:cs="Cambria"/>
          <w:sz w:val="18"/>
          <w:szCs w:val="18"/>
        </w:rPr>
        <w:tab/>
        <w:t xml:space="preserve">O autor do anteprojeto, do projeto básico ou do projeto executivo, pessoa física ou jurídica, quando a licitação versar sobre serviços ou </w:t>
      </w:r>
      <w:r>
        <w:rPr>
          <w:rFonts w:ascii="Cambria" w:hAnsi="Cambria" w:cs="Cambria"/>
          <w:sz w:val="18"/>
          <w:szCs w:val="18"/>
        </w:rPr>
        <w:t xml:space="preserve">fornecimento de bens a ele relacionados;</w:t>
      </w:r>
      <w:bookmarkEnd w:id="5"/>
      <w:r/>
      <w:bookmarkEnd w:id="6"/>
      <w:r/>
      <w:r/>
    </w:p>
    <w:p>
      <w:pPr>
        <w:pStyle w:val="1070"/>
        <w:numPr>
          <w:ilvl w:val="2"/>
          <w:numId w:val="0"/>
        </w:numPr>
        <w:spacing w:before="0" w:after="0" w:line="240" w:lineRule="auto"/>
        <w:rPr>
          <w:rFonts w:ascii="Cambria" w:hAnsi="Cambria" w:cs="Cambria"/>
          <w:sz w:val="18"/>
          <w:szCs w:val="18"/>
        </w:rPr>
      </w:pPr>
      <w:r/>
      <w:bookmarkStart w:id="7" w:name="_Ref114659913"/>
      <w:r/>
      <w:bookmarkStart w:id="8" w:name="_Ref113883339"/>
      <w:r>
        <w:rPr>
          <w:rFonts w:ascii="Cambria" w:hAnsi="Cambria" w:cs="Cambria"/>
          <w:sz w:val="18"/>
          <w:szCs w:val="18"/>
        </w:rPr>
        <w:t xml:space="preserve">3.</w:t>
      </w:r>
      <w:r>
        <w:rPr>
          <w:rFonts w:ascii="Cambria" w:hAnsi="Cambria" w:cs="Cambria"/>
          <w:sz w:val="18"/>
          <w:szCs w:val="18"/>
        </w:rPr>
        <w:t xml:space="preserve">6</w:t>
      </w:r>
      <w:r>
        <w:rPr>
          <w:rFonts w:ascii="Cambria" w:hAnsi="Cambria" w:cs="Cambria"/>
          <w:sz w:val="18"/>
          <w:szCs w:val="18"/>
        </w:rPr>
        <w:t xml:space="preserve">.3</w:t>
      </w:r>
      <w:r>
        <w:rPr>
          <w:rFonts w:ascii="Cambria" w:hAnsi="Cambria" w:cs="Cambria"/>
          <w:sz w:val="18"/>
          <w:szCs w:val="18"/>
        </w:rPr>
        <w:tab/>
        <w:t xml:space="preserve">A empresa, isoladamente ou em consórcio, responsável pela elaboração do projeto básico ou do projeto executivo, ou empresa da qual o autor do projeto seja dirigente, gerente, controlador, acionista ou detentor</w:t>
      </w:r>
      <w:r>
        <w:rPr>
          <w:rFonts w:ascii="Cambria" w:hAnsi="Cambria" w:cs="Cambria"/>
          <w:sz w:val="18"/>
          <w:szCs w:val="18"/>
        </w:rPr>
        <w:t xml:space="preserve"> de mais de 5% (cinco por cento) do capital com direito a voto, responsável técnico ou subcontratado, quando a licitação versar sobre serviços ou fornecimento de bens a ela necessários;</w:t>
      </w:r>
      <w:bookmarkEnd w:id="7"/>
      <w:r>
        <w:rPr>
          <w:rFonts w:ascii="Cambria" w:hAnsi="Cambria" w:cs="Cambria"/>
          <w:sz w:val="18"/>
          <w:szCs w:val="18"/>
        </w:rPr>
        <w:t xml:space="preserve"> </w:t>
      </w:r>
      <w:bookmarkEnd w:id="8"/>
      <w:r/>
      <w:r/>
    </w:p>
    <w:p>
      <w:pPr>
        <w:pStyle w:val="1070"/>
        <w:numPr>
          <w:ilvl w:val="2"/>
          <w:numId w:val="0"/>
        </w:numPr>
        <w:spacing w:before="0" w:after="0" w:line="240" w:lineRule="auto"/>
        <w:rPr>
          <w:rFonts w:ascii="Cambria" w:hAnsi="Cambria" w:cs="Cambria"/>
          <w:sz w:val="18"/>
          <w:szCs w:val="18"/>
        </w:rPr>
      </w:pPr>
      <w:r/>
      <w:bookmarkStart w:id="9" w:name="_Ref113883003"/>
      <w:r>
        <w:rPr>
          <w:rFonts w:ascii="Cambria" w:hAnsi="Cambria" w:cs="Cambria"/>
          <w:sz w:val="18"/>
          <w:szCs w:val="18"/>
        </w:rPr>
        <w:t xml:space="preserve">3.</w:t>
      </w:r>
      <w:r>
        <w:rPr>
          <w:rFonts w:ascii="Cambria" w:hAnsi="Cambria" w:cs="Cambria"/>
          <w:sz w:val="18"/>
          <w:szCs w:val="18"/>
        </w:rPr>
        <w:t xml:space="preserve">6</w:t>
      </w:r>
      <w:r>
        <w:rPr>
          <w:rFonts w:ascii="Cambria" w:hAnsi="Cambria" w:cs="Cambria"/>
          <w:sz w:val="18"/>
          <w:szCs w:val="18"/>
        </w:rPr>
        <w:t xml:space="preserve">.4</w:t>
      </w:r>
      <w:r>
        <w:rPr>
          <w:rFonts w:ascii="Cambria" w:hAnsi="Cambria" w:cs="Cambria"/>
          <w:sz w:val="18"/>
          <w:szCs w:val="18"/>
        </w:rPr>
        <w:tab/>
        <w:t xml:space="preserve">Pessoa física ou jurídica que se encontre, ao tempo da licitaçã</w:t>
      </w:r>
      <w:r>
        <w:rPr>
          <w:rFonts w:ascii="Cambria" w:hAnsi="Cambria" w:cs="Cambria"/>
          <w:sz w:val="18"/>
          <w:szCs w:val="18"/>
        </w:rPr>
        <w:t xml:space="preserve">o, impossibilitada de participar da licitação em decorrência de sanção que lhe foi imposta;</w:t>
      </w:r>
      <w:bookmarkEnd w:id="9"/>
      <w:r/>
      <w:r/>
    </w:p>
    <w:p>
      <w:pPr>
        <w:pStyle w:val="1070"/>
        <w:numPr>
          <w:ilvl w:val="2"/>
          <w:numId w:val="0"/>
        </w:numPr>
        <w:spacing w:before="0" w:after="0" w:line="240" w:lineRule="auto"/>
        <w:rPr>
          <w:rFonts w:ascii="Cambria" w:hAnsi="Cambria" w:cs="Cambria"/>
          <w:sz w:val="18"/>
          <w:szCs w:val="18"/>
        </w:rPr>
      </w:pPr>
      <w:r>
        <w:rPr>
          <w:rFonts w:ascii="Cambria" w:hAnsi="Cambria" w:cs="Cambria"/>
          <w:sz w:val="18"/>
          <w:szCs w:val="18"/>
        </w:rPr>
        <w:t xml:space="preserve">3.</w:t>
      </w:r>
      <w:r>
        <w:rPr>
          <w:rFonts w:ascii="Cambria" w:hAnsi="Cambria" w:cs="Cambria"/>
          <w:sz w:val="18"/>
          <w:szCs w:val="18"/>
        </w:rPr>
        <w:t xml:space="preserve">6</w:t>
      </w:r>
      <w:r>
        <w:rPr>
          <w:rFonts w:ascii="Cambria" w:hAnsi="Cambria" w:cs="Cambria"/>
          <w:sz w:val="18"/>
          <w:szCs w:val="18"/>
        </w:rPr>
        <w:t xml:space="preserve">.5</w:t>
      </w:r>
      <w:r>
        <w:rPr>
          <w:rFonts w:ascii="Cambria" w:hAnsi="Cambria" w:cs="Cambria"/>
          <w:sz w:val="18"/>
          <w:szCs w:val="18"/>
        </w:rPr>
        <w:tab/>
        <w:t xml:space="preserve">Aquele que mantenha vínculo de natureza técnica, comercial, econômica, financeira, trabalhista ou civil com dirigente do órgão ou entidade contratante ou com </w:t>
      </w:r>
      <w:r>
        <w:rPr>
          <w:rFonts w:ascii="Cambria" w:hAnsi="Cambria" w:cs="Cambria"/>
          <w:sz w:val="18"/>
          <w:szCs w:val="18"/>
        </w:rPr>
        <w:t xml:space="preserve">agente público que desempenhe função na licitação ou atue na fiscalização ou na gestão do contrato, ou que deles seja cônjuge, companheiro ou parente em linha reta, colateral ou por afinidade, até o terceiro grau;</w:t>
      </w:r>
      <w:r/>
    </w:p>
    <w:p>
      <w:pPr>
        <w:pStyle w:val="1070"/>
        <w:numPr>
          <w:ilvl w:val="2"/>
          <w:numId w:val="0"/>
        </w:numPr>
        <w:spacing w:before="0" w:after="0" w:line="240" w:lineRule="auto"/>
        <w:rPr>
          <w:rFonts w:ascii="Cambria" w:hAnsi="Cambria" w:cs="Cambria"/>
          <w:sz w:val="18"/>
          <w:szCs w:val="18"/>
        </w:rPr>
      </w:pPr>
      <w:r>
        <w:rPr>
          <w:rFonts w:ascii="Cambria" w:hAnsi="Cambria" w:cs="Cambria"/>
          <w:sz w:val="18"/>
          <w:szCs w:val="18"/>
        </w:rPr>
        <w:t xml:space="preserve">3.</w:t>
      </w:r>
      <w:r>
        <w:rPr>
          <w:rFonts w:ascii="Cambria" w:hAnsi="Cambria" w:cs="Cambria"/>
          <w:sz w:val="18"/>
          <w:szCs w:val="18"/>
        </w:rPr>
        <w:t xml:space="preserve">6</w:t>
      </w:r>
      <w:r>
        <w:rPr>
          <w:rFonts w:ascii="Cambria" w:hAnsi="Cambria" w:cs="Cambria"/>
          <w:sz w:val="18"/>
          <w:szCs w:val="18"/>
        </w:rPr>
        <w:t xml:space="preserve">.6</w:t>
      </w:r>
      <w:r>
        <w:rPr>
          <w:rFonts w:ascii="Cambria" w:hAnsi="Cambria" w:cs="Cambria"/>
          <w:sz w:val="18"/>
          <w:szCs w:val="18"/>
        </w:rPr>
        <w:tab/>
        <w:t xml:space="preserve">E</w:t>
      </w:r>
      <w:bookmarkStart w:id="10" w:name="_Ref113883579"/>
      <w:r>
        <w:rPr>
          <w:rFonts w:ascii="Cambria" w:hAnsi="Cambria" w:cs="Cambria"/>
          <w:sz w:val="18"/>
          <w:szCs w:val="18"/>
        </w:rPr>
        <w:t xml:space="preserve">mpresas controladoras, controladas </w:t>
      </w:r>
      <w:r>
        <w:rPr>
          <w:rFonts w:ascii="Cambria" w:hAnsi="Cambria" w:cs="Cambria"/>
          <w:sz w:val="18"/>
          <w:szCs w:val="18"/>
        </w:rPr>
        <w:t xml:space="preserve">ou coligadas, nos termos da Lei nº 6.404, de 15 de dezembro de 1976, concorrendo entre si;</w:t>
      </w:r>
      <w:bookmarkEnd w:id="10"/>
      <w:r/>
      <w:r/>
    </w:p>
    <w:p>
      <w:pPr>
        <w:pStyle w:val="1070"/>
        <w:numPr>
          <w:ilvl w:val="2"/>
          <w:numId w:val="0"/>
        </w:numPr>
        <w:spacing w:before="0" w:after="0" w:line="240" w:lineRule="auto"/>
        <w:rPr>
          <w:rFonts w:ascii="Cambria" w:hAnsi="Cambria" w:cs="Cambria"/>
          <w:sz w:val="18"/>
          <w:szCs w:val="18"/>
        </w:rPr>
      </w:pPr>
      <w:r>
        <w:rPr>
          <w:rFonts w:ascii="Cambria" w:hAnsi="Cambria" w:cs="Cambria"/>
          <w:sz w:val="18"/>
          <w:szCs w:val="18"/>
        </w:rPr>
        <w:t xml:space="preserve">3.</w:t>
      </w:r>
      <w:r>
        <w:rPr>
          <w:rFonts w:ascii="Cambria" w:hAnsi="Cambria" w:cs="Cambria"/>
          <w:sz w:val="18"/>
          <w:szCs w:val="18"/>
        </w:rPr>
        <w:t xml:space="preserve">6</w:t>
      </w:r>
      <w:r>
        <w:rPr>
          <w:rFonts w:ascii="Cambria" w:hAnsi="Cambria" w:cs="Cambria"/>
          <w:sz w:val="18"/>
          <w:szCs w:val="18"/>
        </w:rPr>
        <w:t xml:space="preserve">.7</w:t>
      </w:r>
      <w:r>
        <w:rPr>
          <w:rFonts w:ascii="Cambria" w:hAnsi="Cambria" w:cs="Cambria"/>
          <w:sz w:val="18"/>
          <w:szCs w:val="18"/>
        </w:rPr>
        <w:tab/>
        <w:t xml:space="preserve">Pessoa física ou jurídica que, nos 5 (cinco) anos anteriores à divulgação do edital, tenha sido condenada judicialmente, com trânsito em julgado, por exploraçã</w:t>
      </w:r>
      <w:r>
        <w:rPr>
          <w:rFonts w:ascii="Cambria" w:hAnsi="Cambria" w:cs="Cambria"/>
          <w:sz w:val="18"/>
          <w:szCs w:val="18"/>
        </w:rPr>
        <w:t xml:space="preserve">o de trabalho infantil, por submissão de trabalhadores a condições análogas às de escravo ou por contratação de adolescentes nos casos vedados pela legislação trabalhista;</w:t>
      </w:r>
      <w:r/>
    </w:p>
    <w:p>
      <w:pPr>
        <w:pStyle w:val="1070"/>
        <w:numPr>
          <w:ilvl w:val="2"/>
          <w:numId w:val="0"/>
        </w:numPr>
        <w:spacing w:before="0" w:after="0" w:line="240" w:lineRule="auto"/>
        <w:rPr>
          <w:rFonts w:ascii="Cambria" w:hAnsi="Cambria" w:cs="Cambria"/>
          <w:sz w:val="18"/>
          <w:szCs w:val="18"/>
        </w:rPr>
      </w:pPr>
      <w:r/>
      <w:bookmarkStart w:id="11" w:name="_Ref113962336"/>
      <w:r>
        <w:rPr>
          <w:rFonts w:ascii="Cambria" w:hAnsi="Cambria" w:cs="Cambria"/>
          <w:sz w:val="18"/>
          <w:szCs w:val="18"/>
        </w:rPr>
        <w:t xml:space="preserve">3.</w:t>
      </w:r>
      <w:r>
        <w:rPr>
          <w:rFonts w:ascii="Cambria" w:hAnsi="Cambria" w:cs="Cambria"/>
          <w:sz w:val="18"/>
          <w:szCs w:val="18"/>
        </w:rPr>
        <w:t xml:space="preserve">6</w:t>
      </w:r>
      <w:r>
        <w:rPr>
          <w:rFonts w:ascii="Cambria" w:hAnsi="Cambria" w:cs="Cambria"/>
          <w:sz w:val="18"/>
          <w:szCs w:val="18"/>
        </w:rPr>
        <w:t xml:space="preserve">.8</w:t>
      </w:r>
      <w:r>
        <w:rPr>
          <w:rFonts w:ascii="Cambria" w:hAnsi="Cambria" w:cs="Cambria"/>
          <w:sz w:val="18"/>
          <w:szCs w:val="18"/>
        </w:rPr>
        <w:tab/>
        <w:t xml:space="preserve">Agente público do órgão ou entidade licitante;</w:t>
      </w:r>
      <w:bookmarkEnd w:id="11"/>
      <w:r/>
      <w:r/>
    </w:p>
    <w:p>
      <w:pPr>
        <w:pStyle w:val="1116"/>
        <w:numPr>
          <w:ilvl w:val="2"/>
          <w:numId w:val="0"/>
        </w:numPr>
        <w:spacing w:before="0" w:after="0" w:line="240" w:lineRule="auto"/>
        <w:rPr>
          <w:rFonts w:ascii="Cambria" w:hAnsi="Cambria" w:cs="Cambria"/>
          <w:i w:val="0"/>
          <w:iCs w:val="0"/>
          <w:color w:val="auto"/>
          <w:sz w:val="18"/>
          <w:szCs w:val="18"/>
        </w:rPr>
      </w:pPr>
      <w:r>
        <w:rPr>
          <w:rFonts w:ascii="Cambria" w:hAnsi="Cambria" w:cs="Cambria"/>
          <w:i w:val="0"/>
          <w:iCs w:val="0"/>
          <w:color w:val="auto"/>
          <w:sz w:val="18"/>
          <w:szCs w:val="18"/>
        </w:rPr>
        <w:t xml:space="preserve">3.</w:t>
      </w:r>
      <w:r>
        <w:rPr>
          <w:rFonts w:ascii="Cambria" w:hAnsi="Cambria" w:cs="Cambria"/>
          <w:i w:val="0"/>
          <w:iCs w:val="0"/>
          <w:color w:val="auto"/>
          <w:sz w:val="18"/>
          <w:szCs w:val="18"/>
        </w:rPr>
        <w:t xml:space="preserve">6</w:t>
      </w:r>
      <w:r>
        <w:rPr>
          <w:rFonts w:ascii="Cambria" w:hAnsi="Cambria" w:cs="Cambria"/>
          <w:i w:val="0"/>
          <w:iCs w:val="0"/>
          <w:color w:val="auto"/>
          <w:sz w:val="18"/>
          <w:szCs w:val="18"/>
        </w:rPr>
        <w:t xml:space="preserve">.9</w:t>
      </w:r>
      <w:r>
        <w:rPr>
          <w:rFonts w:ascii="Cambria" w:hAnsi="Cambria" w:cs="Cambria"/>
          <w:i w:val="0"/>
          <w:iCs w:val="0"/>
          <w:color w:val="auto"/>
          <w:sz w:val="18"/>
          <w:szCs w:val="18"/>
        </w:rPr>
        <w:tab/>
      </w:r>
      <w:r>
        <w:rPr>
          <w:rFonts w:ascii="Cambria" w:hAnsi="Cambria" w:cs="Cambria"/>
          <w:i w:val="0"/>
          <w:iCs w:val="0"/>
          <w:color w:val="auto"/>
          <w:sz w:val="18"/>
          <w:szCs w:val="18"/>
        </w:rPr>
        <w:t xml:space="preserve">Pessoas jurídicas reunidas em consórcio;</w:t>
      </w:r>
      <w:r/>
    </w:p>
    <w:p>
      <w:pPr>
        <w:pStyle w:val="1070"/>
        <w:numPr>
          <w:ilvl w:val="2"/>
          <w:numId w:val="0"/>
        </w:numPr>
        <w:spacing w:before="0" w:after="0" w:line="240" w:lineRule="auto"/>
        <w:rPr>
          <w:rFonts w:ascii="Cambria" w:hAnsi="Cambria" w:cs="Cambria"/>
          <w:sz w:val="18"/>
          <w:szCs w:val="18"/>
        </w:rPr>
      </w:pPr>
      <w:r>
        <w:rPr>
          <w:rFonts w:ascii="Cambria" w:hAnsi="Cambria" w:cs="Cambria"/>
          <w:sz w:val="18"/>
          <w:szCs w:val="18"/>
        </w:rPr>
        <w:t xml:space="preserve">3.</w:t>
      </w:r>
      <w:r>
        <w:rPr>
          <w:rFonts w:ascii="Cambria" w:hAnsi="Cambria" w:cs="Cambria"/>
          <w:sz w:val="18"/>
          <w:szCs w:val="18"/>
        </w:rPr>
        <w:t xml:space="preserve">6</w:t>
      </w:r>
      <w:r>
        <w:rPr>
          <w:rFonts w:ascii="Cambria" w:hAnsi="Cambria" w:cs="Cambria"/>
          <w:sz w:val="18"/>
          <w:szCs w:val="18"/>
        </w:rPr>
        <w:t xml:space="preserve">.10</w:t>
      </w:r>
      <w:r>
        <w:rPr>
          <w:rFonts w:ascii="Cambria" w:hAnsi="Cambria" w:cs="Cambria"/>
          <w:sz w:val="18"/>
          <w:szCs w:val="18"/>
        </w:rPr>
        <w:tab/>
        <w:t xml:space="preserve">Organizações da Sociedade Civil de Interesse Público - OSCIP, atuando nessa condição;</w:t>
      </w:r>
      <w:r/>
    </w:p>
    <w:p>
      <w:pPr>
        <w:pStyle w:val="1070"/>
        <w:numPr>
          <w:ilvl w:val="2"/>
          <w:numId w:val="0"/>
        </w:numPr>
        <w:spacing w:before="0" w:after="0" w:line="240" w:lineRule="auto"/>
        <w:rPr>
          <w:rFonts w:ascii="Cambria" w:hAnsi="Cambria" w:cs="Cambria"/>
          <w:sz w:val="18"/>
          <w:szCs w:val="18"/>
        </w:rPr>
      </w:pPr>
      <w:r>
        <w:rPr>
          <w:rFonts w:ascii="Cambria" w:hAnsi="Cambria" w:cs="Cambria"/>
          <w:sz w:val="18"/>
          <w:szCs w:val="18"/>
        </w:rPr>
        <w:t xml:space="preserve">3.</w:t>
      </w:r>
      <w:r>
        <w:rPr>
          <w:rFonts w:ascii="Cambria" w:hAnsi="Cambria" w:cs="Cambria"/>
          <w:sz w:val="18"/>
          <w:szCs w:val="18"/>
        </w:rPr>
        <w:t xml:space="preserve">6</w:t>
      </w:r>
      <w:r>
        <w:rPr>
          <w:rFonts w:ascii="Cambria" w:hAnsi="Cambria" w:cs="Cambria"/>
          <w:sz w:val="18"/>
          <w:szCs w:val="18"/>
        </w:rPr>
        <w:t xml:space="preserve">.11</w:t>
      </w:r>
      <w:r>
        <w:rPr>
          <w:rFonts w:ascii="Cambria" w:hAnsi="Cambria" w:cs="Cambria"/>
          <w:sz w:val="18"/>
          <w:szCs w:val="18"/>
        </w:rPr>
        <w:tab/>
        <w:t xml:space="preserve">Não poderá participar, direta ou indiretamente, da licitação ou da execução </w:t>
      </w:r>
      <w:r>
        <w:rPr>
          <w:rFonts w:ascii="Cambria" w:hAnsi="Cambria" w:cs="Cambria"/>
          <w:sz w:val="18"/>
          <w:szCs w:val="18"/>
        </w:rPr>
        <w:t xml:space="preserve">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2" w:tooltip="http://www.planalto.gov.br/ccivil_03/_ato2019-2022/2021/lei/L14133.htm#art9§1" w:anchor="art9§1" w:history="1">
        <w:r>
          <w:rPr>
            <w:rStyle w:val="839"/>
            <w:rFonts w:ascii="Cambria" w:hAnsi="Cambria" w:cs="Cambria"/>
            <w:sz w:val="18"/>
            <w:szCs w:val="18"/>
          </w:rPr>
          <w:t xml:space="preserve">§ 1º do art. 9º da Lei nº 14.133, de 2021</w:t>
        </w:r>
      </w:hyperlink>
      <w:r>
        <w:rPr>
          <w:rFonts w:ascii="Cambria" w:hAnsi="Cambria" w:cs="Cambria"/>
          <w:sz w:val="18"/>
          <w:szCs w:val="18"/>
        </w:rPr>
        <w:t xml:space="preserve">.</w:t>
      </w:r>
      <w:r/>
    </w:p>
    <w:p>
      <w:pPr>
        <w:pStyle w:val="1068"/>
        <w:numPr>
          <w:ilvl w:val="1"/>
          <w:numId w:val="0"/>
        </w:numPr>
        <w:spacing w:before="0" w:after="0" w:line="240" w:lineRule="auto"/>
        <w:rPr>
          <w:rFonts w:ascii="Cambria" w:hAnsi="Cambria" w:cs="Cambria"/>
          <w:sz w:val="18"/>
          <w:szCs w:val="18"/>
        </w:rPr>
      </w:pPr>
      <w:r>
        <w:rPr>
          <w:rFonts w:ascii="Cambria" w:hAnsi="Cambria" w:cs="Cambria"/>
          <w:sz w:val="18"/>
          <w:szCs w:val="18"/>
        </w:rPr>
        <w:t xml:space="preserve">3.</w:t>
      </w:r>
      <w:r>
        <w:rPr>
          <w:rFonts w:ascii="Cambria" w:hAnsi="Cambria" w:cs="Cambria"/>
          <w:sz w:val="18"/>
          <w:szCs w:val="18"/>
        </w:rPr>
        <w:t xml:space="preserve">6</w:t>
      </w:r>
      <w:r>
        <w:rPr>
          <w:rFonts w:ascii="Cambria" w:hAnsi="Cambria" w:cs="Cambria"/>
          <w:sz w:val="18"/>
          <w:szCs w:val="18"/>
        </w:rPr>
        <w:t xml:space="preserve">.12</w:t>
      </w:r>
      <w:r>
        <w:rPr>
          <w:rFonts w:ascii="Cambria" w:hAnsi="Cambria" w:cs="Cambria"/>
          <w:sz w:val="18"/>
          <w:szCs w:val="18"/>
        </w:rPr>
        <w:tab/>
        <w:t xml:space="preserve">O impedimento de que trata o item 3.6.4 será também aplicado ao licitante que atue em substituição a out</w:t>
      </w:r>
      <w:r>
        <w:rPr>
          <w:rFonts w:ascii="Cambria" w:hAnsi="Cambria" w:cs="Cambria"/>
          <w:sz w:val="18"/>
          <w:szCs w:val="18"/>
        </w:rPr>
        <w:t xml:space="preserve">ra pessoa, física ou jurídica, com o intuito de burlar a efetividade da sanção a ela aplicada, inclusive a sua controladora, controlada ou coligada, desde que devidamente comprovado o ilícito ou a utilização fraudulenta da personalidade jurídica do licitan</w:t>
      </w:r>
      <w:r>
        <w:rPr>
          <w:rFonts w:ascii="Cambria" w:hAnsi="Cambria" w:cs="Cambria"/>
          <w:sz w:val="18"/>
          <w:szCs w:val="18"/>
        </w:rPr>
        <w:t xml:space="preserve">te.</w:t>
      </w:r>
      <w:r/>
    </w:p>
    <w:p>
      <w:pPr>
        <w:pStyle w:val="1068"/>
        <w:numPr>
          <w:ilvl w:val="1"/>
          <w:numId w:val="0"/>
        </w:numPr>
        <w:spacing w:before="0" w:after="0" w:line="240" w:lineRule="auto"/>
        <w:rPr>
          <w:rFonts w:ascii="Cambria" w:hAnsi="Cambria" w:cs="Cambria"/>
          <w:sz w:val="18"/>
          <w:szCs w:val="18"/>
        </w:rPr>
      </w:pPr>
      <w:r/>
      <w:bookmarkStart w:id="12" w:name="art14§2"/>
      <w:r/>
      <w:bookmarkStart w:id="13" w:name="art14§3"/>
      <w:r/>
      <w:bookmarkEnd w:id="12"/>
      <w:r/>
      <w:bookmarkEnd w:id="13"/>
      <w:r>
        <w:rPr>
          <w:rFonts w:ascii="Cambria" w:hAnsi="Cambria" w:cs="Cambria"/>
          <w:sz w:val="18"/>
          <w:szCs w:val="18"/>
        </w:rPr>
        <w:t xml:space="preserve">3.</w:t>
      </w:r>
      <w:r>
        <w:rPr>
          <w:rFonts w:ascii="Cambria" w:hAnsi="Cambria" w:cs="Cambria"/>
          <w:sz w:val="18"/>
          <w:szCs w:val="18"/>
        </w:rPr>
        <w:t xml:space="preserve">7</w:t>
      </w:r>
      <w:r>
        <w:rPr>
          <w:rFonts w:ascii="Cambria" w:hAnsi="Cambria" w:cs="Cambria"/>
          <w:sz w:val="18"/>
          <w:szCs w:val="18"/>
        </w:rPr>
        <w:tab/>
        <w:t xml:space="preserve">Equiparam-se</w:t>
      </w:r>
      <w:r>
        <w:rPr>
          <w:rFonts w:ascii="Cambria" w:hAnsi="Cambria" w:cs="Cambria"/>
          <w:sz w:val="18"/>
          <w:szCs w:val="18"/>
        </w:rPr>
        <w:t xml:space="preserve"> aos autores do projeto as empresas integrantes do mesmo grupo econômico.</w:t>
      </w:r>
      <w:r/>
    </w:p>
    <w:p>
      <w:pPr>
        <w:pStyle w:val="1068"/>
        <w:numPr>
          <w:ilvl w:val="1"/>
          <w:numId w:val="0"/>
        </w:numPr>
        <w:spacing w:before="0" w:after="0" w:line="240" w:lineRule="auto"/>
        <w:rPr>
          <w:rFonts w:ascii="Cambria" w:hAnsi="Cambria" w:cs="Cambria"/>
          <w:sz w:val="18"/>
          <w:szCs w:val="18"/>
        </w:rPr>
      </w:pPr>
      <w:r/>
      <w:bookmarkStart w:id="14" w:name="art14§4"/>
      <w:r/>
      <w:bookmarkEnd w:id="14"/>
      <w:r>
        <w:rPr>
          <w:rFonts w:ascii="Cambria" w:hAnsi="Cambria" w:cs="Cambria"/>
          <w:sz w:val="18"/>
          <w:szCs w:val="18"/>
        </w:rPr>
        <w:t xml:space="preserve">3.</w:t>
      </w:r>
      <w:r>
        <w:rPr>
          <w:rFonts w:ascii="Cambria" w:hAnsi="Cambria" w:cs="Cambria"/>
          <w:sz w:val="18"/>
          <w:szCs w:val="18"/>
        </w:rPr>
        <w:t xml:space="preserve">8</w:t>
      </w:r>
      <w:r>
        <w:rPr>
          <w:rFonts w:ascii="Cambria" w:hAnsi="Cambria" w:cs="Cambria"/>
          <w:sz w:val="18"/>
          <w:szCs w:val="18"/>
        </w:rPr>
        <w:tab/>
        <w:t xml:space="preserve">O disposto nos itens </w:t>
      </w:r>
      <w:r>
        <w:rPr>
          <w:rFonts w:ascii="Cambria" w:hAnsi="Cambria" w:cs="Cambria"/>
          <w:sz w:val="18"/>
          <w:szCs w:val="18"/>
        </w:rPr>
        <w:fldChar w:fldCharType="begin"/>
      </w:r>
      <w:r>
        <w:rPr>
          <w:rFonts w:ascii="Cambria" w:hAnsi="Cambria" w:cs="Cambria"/>
          <w:sz w:val="18"/>
          <w:szCs w:val="18"/>
        </w:rPr>
        <w:instrText xml:space="preserve"> REF _Ref114659912 \r \h  \* MERGEFORMAT </w:instrText>
      </w:r>
      <w:r>
        <w:rPr>
          <w:rFonts w:ascii="Cambria" w:hAnsi="Cambria" w:cs="Cambria"/>
          <w:sz w:val="18"/>
          <w:szCs w:val="18"/>
        </w:rPr>
        <w:fldChar w:fldCharType="separate"/>
      </w:r>
      <w:r>
        <w:rPr>
          <w:rFonts w:ascii="Cambria" w:hAnsi="Cambria" w:cs="Cambria"/>
          <w:sz w:val="18"/>
          <w:szCs w:val="18"/>
        </w:rPr>
        <w:t xml:space="preserve">3</w:t>
      </w:r>
      <w:r>
        <w:rPr>
          <w:rFonts w:ascii="Cambria" w:hAnsi="Cambria" w:cs="Cambria"/>
          <w:sz w:val="18"/>
          <w:szCs w:val="18"/>
        </w:rPr>
        <w:fldChar w:fldCharType="end"/>
      </w:r>
      <w:r>
        <w:rPr>
          <w:rFonts w:ascii="Cambria" w:hAnsi="Cambria" w:cs="Cambria"/>
          <w:sz w:val="18"/>
          <w:szCs w:val="18"/>
        </w:rPr>
        <w:t xml:space="preserve">.6.2 e </w:t>
      </w:r>
      <w:r>
        <w:rPr>
          <w:rFonts w:ascii="Cambria" w:hAnsi="Cambria" w:cs="Cambria"/>
          <w:sz w:val="18"/>
          <w:szCs w:val="18"/>
        </w:rPr>
        <w:fldChar w:fldCharType="begin"/>
      </w:r>
      <w:r>
        <w:rPr>
          <w:rFonts w:ascii="Cambria" w:hAnsi="Cambria" w:cs="Cambria"/>
          <w:sz w:val="18"/>
          <w:szCs w:val="18"/>
        </w:rPr>
        <w:instrText xml:space="preserve"> REF _Ref114659913 \r</w:instrText>
      </w:r>
      <w:r>
        <w:rPr>
          <w:rFonts w:ascii="Cambria" w:hAnsi="Cambria" w:cs="Cambria"/>
          <w:sz w:val="18"/>
          <w:szCs w:val="18"/>
        </w:rPr>
        <w:instrText xml:space="preserve"> \h  \* MERGEFORMAT </w:instrText>
      </w:r>
      <w:r>
        <w:rPr>
          <w:rFonts w:ascii="Cambria" w:hAnsi="Cambria" w:cs="Cambria"/>
          <w:sz w:val="18"/>
          <w:szCs w:val="18"/>
        </w:rPr>
        <w:fldChar w:fldCharType="separate"/>
      </w:r>
      <w:r>
        <w:rPr>
          <w:rFonts w:ascii="Cambria" w:hAnsi="Cambria" w:cs="Cambria"/>
          <w:sz w:val="18"/>
          <w:szCs w:val="18"/>
        </w:rPr>
        <w:t xml:space="preserve">3</w:t>
      </w:r>
      <w:r>
        <w:rPr>
          <w:rFonts w:ascii="Cambria" w:hAnsi="Cambria" w:cs="Cambria"/>
          <w:sz w:val="18"/>
          <w:szCs w:val="18"/>
        </w:rPr>
        <w:fldChar w:fldCharType="end"/>
      </w:r>
      <w:r>
        <w:rPr>
          <w:rFonts w:ascii="Cambria" w:hAnsi="Cambria" w:cs="Cambria"/>
          <w:sz w:val="18"/>
          <w:szCs w:val="18"/>
        </w:rPr>
        <w:t xml:space="preserve">.6.3 não impede a licitação ou a contratação de serviço que inclua como encargo do contratado a elaboração do projeto básico e do projeto executivo, nas contratações in</w:t>
      </w:r>
      <w:r>
        <w:rPr>
          <w:rFonts w:ascii="Cambria" w:hAnsi="Cambria" w:cs="Cambria"/>
          <w:sz w:val="18"/>
          <w:szCs w:val="18"/>
        </w:rPr>
        <w:t xml:space="preserve">tegradas, e do projeto executivo, nos demais regimes de execução.</w:t>
      </w:r>
      <w:r/>
    </w:p>
    <w:p>
      <w:pPr>
        <w:pStyle w:val="1068"/>
        <w:numPr>
          <w:ilvl w:val="1"/>
          <w:numId w:val="0"/>
        </w:numPr>
        <w:spacing w:before="0" w:after="0" w:line="240" w:lineRule="auto"/>
        <w:rPr>
          <w:rFonts w:ascii="Cambria" w:hAnsi="Cambria" w:cs="Cambria"/>
          <w:sz w:val="18"/>
          <w:szCs w:val="18"/>
        </w:rPr>
      </w:pPr>
      <w:r/>
      <w:bookmarkStart w:id="15" w:name="art14§5"/>
      <w:r/>
      <w:bookmarkEnd w:id="15"/>
      <w:r>
        <w:rPr>
          <w:rFonts w:ascii="Cambria" w:hAnsi="Cambria" w:cs="Cambria"/>
          <w:sz w:val="18"/>
          <w:szCs w:val="18"/>
        </w:rPr>
        <w:t xml:space="preserve">3.</w:t>
      </w:r>
      <w:r>
        <w:rPr>
          <w:rFonts w:ascii="Cambria" w:hAnsi="Cambria" w:cs="Cambria"/>
          <w:sz w:val="18"/>
          <w:szCs w:val="18"/>
        </w:rPr>
        <w:t xml:space="preserve">9</w:t>
      </w:r>
      <w:r>
        <w:rPr>
          <w:rFonts w:ascii="Cambria" w:hAnsi="Cambria" w:cs="Cambria"/>
          <w:sz w:val="18"/>
          <w:szCs w:val="18"/>
        </w:rPr>
        <w:tab/>
        <w:t xml:space="preserve">Em licitações e contratações realizadas no âmbito de projetos e proLEIVAS DE GRAMA parcialmente financiados por agência oficial de cooperação estrangeira ou por organismo financeiro internacional</w:t>
      </w:r>
      <w:r>
        <w:rPr>
          <w:rFonts w:ascii="Cambria" w:hAnsi="Cambria" w:cs="Cambria"/>
          <w:sz w:val="18"/>
          <w:szCs w:val="18"/>
        </w:rPr>
        <w:t xml:space="preserve"> com recursos do financiamento ou da contrapartida nacional, não poderá participar pessoa física ou jurídica que integre o rol de pessoas sancionadas por essas entidades ou que seja declarada inidônea nos termos da </w:t>
      </w:r>
      <w:hyperlink r:id="rId23" w:tooltip="http://www.planalto.gov.br/ccivil_03/_ato2019-2022/2021/lei/L14133.htm" w:history="1">
        <w:r>
          <w:rPr>
            <w:rStyle w:val="839"/>
            <w:rFonts w:ascii="Cambria" w:hAnsi="Cambria" w:cs="Cambria"/>
            <w:sz w:val="18"/>
            <w:szCs w:val="18"/>
          </w:rPr>
          <w:t xml:space="preserve">Lei nº 14.133/2021</w:t>
        </w:r>
      </w:hyperlink>
      <w:r>
        <w:rPr>
          <w:rFonts w:ascii="Cambria" w:hAnsi="Cambria" w:cs="Cambria"/>
          <w:sz w:val="18"/>
          <w:szCs w:val="18"/>
        </w:rPr>
        <w:t xml:space="preserve">.</w:t>
      </w:r>
      <w:r/>
    </w:p>
    <w:p>
      <w:pPr>
        <w:pStyle w:val="1068"/>
        <w:numPr>
          <w:ilvl w:val="1"/>
          <w:numId w:val="0"/>
        </w:numPr>
        <w:spacing w:before="0" w:after="0" w:line="240" w:lineRule="auto"/>
        <w:rPr>
          <w:rFonts w:ascii="Cambria" w:hAnsi="Cambria" w:cs="Cambria"/>
          <w:sz w:val="18"/>
          <w:szCs w:val="18"/>
        </w:rPr>
      </w:pPr>
      <w:r>
        <w:rPr>
          <w:rFonts w:ascii="Cambria" w:hAnsi="Cambria" w:cs="Cambria"/>
          <w:sz w:val="18"/>
          <w:szCs w:val="18"/>
        </w:rPr>
        <w:t xml:space="preserve">3.</w:t>
      </w:r>
      <w:r>
        <w:rPr>
          <w:rFonts w:ascii="Cambria" w:hAnsi="Cambria" w:cs="Cambria"/>
          <w:sz w:val="18"/>
          <w:szCs w:val="18"/>
        </w:rPr>
        <w:t xml:space="preserve">10</w:t>
      </w:r>
      <w:r>
        <w:rPr>
          <w:rFonts w:ascii="Cambria" w:hAnsi="Cambria" w:cs="Cambria"/>
          <w:sz w:val="18"/>
          <w:szCs w:val="18"/>
        </w:rPr>
        <w:tab/>
        <w:t xml:space="preserve">A vedação de que trata o item </w:t>
      </w:r>
      <w:r>
        <w:rPr>
          <w:rFonts w:ascii="Cambria" w:hAnsi="Cambria" w:cs="Cambria"/>
          <w:sz w:val="18"/>
          <w:szCs w:val="18"/>
        </w:rPr>
        <w:fldChar w:fldCharType="begin"/>
      </w:r>
      <w:r>
        <w:rPr>
          <w:rFonts w:ascii="Cambria" w:hAnsi="Cambria" w:cs="Cambria"/>
          <w:sz w:val="18"/>
          <w:szCs w:val="18"/>
        </w:rPr>
        <w:instrText xml:space="preserve"> REF _Ref113962336 \r \h  \* MERGEFORMAT </w:instrText>
      </w:r>
      <w:r>
        <w:rPr>
          <w:rFonts w:ascii="Cambria" w:hAnsi="Cambria" w:cs="Cambria"/>
          <w:sz w:val="18"/>
          <w:szCs w:val="18"/>
        </w:rPr>
        <w:fldChar w:fldCharType="separate"/>
      </w:r>
      <w:r>
        <w:rPr>
          <w:rFonts w:ascii="Cambria" w:hAnsi="Cambria" w:cs="Cambria"/>
          <w:sz w:val="18"/>
          <w:szCs w:val="18"/>
        </w:rPr>
        <w:t xml:space="preserve">3</w:t>
      </w:r>
      <w:r>
        <w:rPr>
          <w:rFonts w:ascii="Cambria" w:hAnsi="Cambria" w:cs="Cambria"/>
          <w:sz w:val="18"/>
          <w:szCs w:val="18"/>
        </w:rPr>
        <w:fldChar w:fldCharType="end"/>
      </w:r>
      <w:r>
        <w:rPr>
          <w:rFonts w:ascii="Cambria" w:hAnsi="Cambria" w:cs="Cambria"/>
          <w:sz w:val="18"/>
          <w:szCs w:val="18"/>
        </w:rPr>
        <w:t xml:space="preserve">.6.8 estende-se a terceiro que auxilie a condução da contratação na qualidade de integrante de equipe de apoio, profissional especializado ou funcionário ou representante de empresa que preste</w:t>
      </w:r>
      <w:r>
        <w:rPr>
          <w:rFonts w:ascii="Cambria" w:hAnsi="Cambria" w:cs="Cambria"/>
          <w:sz w:val="18"/>
          <w:szCs w:val="18"/>
        </w:rPr>
        <w:t xml:space="preserve"> assessoria técnica.</w:t>
      </w:r>
      <w:r/>
    </w:p>
    <w:p>
      <w:pPr>
        <w:pStyle w:val="1068"/>
        <w:numPr>
          <w:ilvl w:val="1"/>
          <w:numId w:val="0"/>
        </w:numPr>
        <w:spacing w:before="0" w:after="0" w:line="240" w:lineRule="auto"/>
        <w:rPr>
          <w:rFonts w:ascii="Cambria" w:hAnsi="Cambria" w:cs="Cambria"/>
          <w:sz w:val="18"/>
          <w:szCs w:val="18"/>
        </w:rPr>
      </w:pPr>
      <w:r>
        <w:rPr>
          <w:rFonts w:ascii="Cambria" w:hAnsi="Cambria" w:cs="Cambria"/>
          <w:sz w:val="18"/>
          <w:szCs w:val="18"/>
        </w:rPr>
      </w:r>
      <w:r/>
    </w:p>
    <w:p>
      <w:pPr>
        <w:pStyle w:val="1051"/>
        <w:spacing w:before="0" w:after="0" w:line="240" w:lineRule="auto"/>
        <w:rPr>
          <w:rFonts w:ascii="Cambria" w:hAnsi="Cambria" w:cs="Cambria"/>
          <w:sz w:val="18"/>
          <w:szCs w:val="18"/>
        </w:rPr>
      </w:pPr>
      <w:r/>
      <w:bookmarkStart w:id="16" w:name="_Toc135469226"/>
      <w:r>
        <w:rPr>
          <w:rFonts w:ascii="Cambria" w:hAnsi="Cambria" w:cs="Cambria"/>
          <w:sz w:val="18"/>
          <w:szCs w:val="18"/>
        </w:rPr>
        <w:t xml:space="preserve">DA APRESENTAÇÃO DA PROPOSTA E DOS DOCUMENTOS DE HABILITAÇÃO</w:t>
      </w:r>
      <w:bookmarkEnd w:id="16"/>
      <w:r/>
      <w:r/>
    </w:p>
    <w:p>
      <w:pPr>
        <w:pStyle w:val="1115"/>
        <w:spacing w:before="0" w:after="0" w:line="240" w:lineRule="auto"/>
        <w:rPr>
          <w:rFonts w:ascii="Cambria" w:hAnsi="Cambria" w:cs="Cambria"/>
          <w:i w:val="0"/>
          <w:iCs w:val="0"/>
          <w:color w:val="auto"/>
          <w:sz w:val="18"/>
          <w:szCs w:val="18"/>
        </w:rPr>
      </w:pPr>
      <w:r>
        <w:rPr>
          <w:rFonts w:ascii="Cambria" w:hAnsi="Cambria" w:cs="Cambria"/>
          <w:i w:val="0"/>
          <w:iCs w:val="0"/>
          <w:color w:val="auto"/>
          <w:sz w:val="18"/>
          <w:szCs w:val="18"/>
        </w:rPr>
        <w:t xml:space="preserve">Na presente licitação, a fase de habilitação sucederá as fases de apresentação de propostas e lances e de julgamento.</w:t>
      </w:r>
      <w:r/>
    </w:p>
    <w:p>
      <w:pPr>
        <w:pStyle w:val="1115"/>
        <w:spacing w:before="0" w:after="0" w:line="240" w:lineRule="auto"/>
        <w:rPr>
          <w:rFonts w:ascii="Cambria" w:hAnsi="Cambria" w:cs="Cambria"/>
          <w:i w:val="0"/>
          <w:iCs w:val="0"/>
          <w:color w:val="auto"/>
          <w:sz w:val="18"/>
          <w:szCs w:val="18"/>
        </w:rPr>
      </w:pPr>
      <w:r/>
      <w:bookmarkStart w:id="17" w:name="_Ref113886867"/>
      <w:r>
        <w:rPr>
          <w:rFonts w:ascii="Cambria" w:hAnsi="Cambria" w:cs="Cambria"/>
          <w:i w:val="0"/>
          <w:iCs w:val="0"/>
          <w:color w:val="auto"/>
          <w:sz w:val="18"/>
          <w:szCs w:val="18"/>
        </w:rPr>
        <w:t xml:space="preserve">Os licitantes encaminharão, exclusivamente por meio do s</w:t>
      </w:r>
      <w:r>
        <w:rPr>
          <w:rFonts w:ascii="Cambria" w:hAnsi="Cambria" w:cs="Cambria"/>
          <w:i w:val="0"/>
          <w:iCs w:val="0"/>
          <w:color w:val="auto"/>
          <w:sz w:val="18"/>
          <w:szCs w:val="18"/>
        </w:rPr>
        <w:t xml:space="preserve">istema eletrônico, a proposta com o preço ou o percentual de desconto, conforme o critério de julgamento adotado neste Edital, até a data e o horário estabelecidos para abertura da sessão pública.</w:t>
      </w:r>
      <w:bookmarkEnd w:id="17"/>
      <w:r/>
      <w:r/>
    </w:p>
    <w:p>
      <w:pPr>
        <w:pStyle w:val="1115"/>
        <w:spacing w:before="0" w:after="0" w:line="240" w:lineRule="auto"/>
        <w:rPr>
          <w:rFonts w:ascii="Cambria" w:hAnsi="Cambria" w:cs="Cambria"/>
          <w:sz w:val="18"/>
          <w:szCs w:val="18"/>
        </w:rPr>
      </w:pPr>
      <w:r/>
      <w:bookmarkStart w:id="18" w:name="_Ref113889589"/>
      <w:r>
        <w:rPr>
          <w:rFonts w:ascii="Cambria" w:hAnsi="Cambria" w:cs="Cambria"/>
          <w:i w:val="0"/>
          <w:iCs w:val="0"/>
          <w:color w:val="auto"/>
          <w:sz w:val="18"/>
          <w:szCs w:val="18"/>
        </w:rPr>
        <w:t xml:space="preserve">Caso a fase de habilitação anteceda as fases de apresentaçã</w:t>
      </w:r>
      <w:r>
        <w:rPr>
          <w:rFonts w:ascii="Cambria" w:hAnsi="Cambria" w:cs="Cambria"/>
          <w:i w:val="0"/>
          <w:iCs w:val="0"/>
          <w:color w:val="auto"/>
          <w:sz w:val="18"/>
          <w:szCs w:val="18"/>
        </w:rPr>
        <w:t xml:space="preserve">o de propostas e lances, os licitantes encaminharão, na forma e no prazo estabelecidos no item anterior, simultaneamente os documentos de habilitação e a proposta com o preço ou o percentual de desconto.</w:t>
      </w:r>
      <w:bookmarkEnd w:id="18"/>
      <w:r/>
      <w:r/>
    </w:p>
    <w:p>
      <w:pPr>
        <w:pStyle w:val="1115"/>
        <w:spacing w:before="0" w:after="0" w:line="240" w:lineRule="auto"/>
        <w:rPr>
          <w:rFonts w:ascii="Cambria" w:hAnsi="Cambria" w:cs="Cambria"/>
          <w:i w:val="0"/>
          <w:iCs w:val="0"/>
          <w:color w:val="auto"/>
          <w:sz w:val="18"/>
          <w:szCs w:val="18"/>
        </w:rPr>
      </w:pPr>
      <w:r/>
      <w:bookmarkStart w:id="19" w:name="_Ref113968921"/>
      <w:r>
        <w:rPr>
          <w:rFonts w:ascii="Cambria" w:hAnsi="Cambria" w:cs="Cambria"/>
          <w:i w:val="0"/>
          <w:iCs w:val="0"/>
          <w:color w:val="auto"/>
          <w:sz w:val="18"/>
          <w:szCs w:val="18"/>
        </w:rPr>
        <w:t xml:space="preserve">No cadastramento da proposta inicial, o licitante de</w:t>
      </w:r>
      <w:r>
        <w:rPr>
          <w:rFonts w:ascii="Cambria" w:hAnsi="Cambria" w:cs="Cambria"/>
          <w:i w:val="0"/>
          <w:iCs w:val="0"/>
          <w:color w:val="auto"/>
          <w:sz w:val="18"/>
          <w:szCs w:val="18"/>
        </w:rPr>
        <w:t xml:space="preserve">clarará, em campo próprio do sistema, que:</w:t>
      </w:r>
      <w:bookmarkEnd w:id="19"/>
      <w:r/>
      <w:r/>
    </w:p>
    <w:p>
      <w:pPr>
        <w:pStyle w:val="1115"/>
        <w:numPr>
          <w:ilvl w:val="2"/>
          <w:numId w:val="3"/>
        </w:numPr>
        <w:ind w:left="0" w:firstLine="0"/>
        <w:spacing w:before="0" w:after="0" w:line="240" w:lineRule="auto"/>
        <w:rPr>
          <w:rFonts w:ascii="Cambria" w:hAnsi="Cambria" w:cs="Cambria"/>
          <w:sz w:val="18"/>
          <w:szCs w:val="18"/>
        </w:rPr>
      </w:pPr>
      <w:r>
        <w:rPr>
          <w:rFonts w:ascii="Cambria" w:hAnsi="Cambria" w:cs="Cambria"/>
          <w:i w:val="0"/>
          <w:iCs w:val="0"/>
          <w:color w:val="auto"/>
          <w:sz w:val="18"/>
          <w:szCs w:val="18"/>
        </w:rPr>
        <w:t xml:space="preserve">Está ciente e concorda com as condições contidas no edital e seus anexos, bem como de que a proposta apresentada compreende a integralidade dos custos para atendimento dos direitos trabalhistas assegurados na Cons</w:t>
      </w:r>
      <w:r>
        <w:rPr>
          <w:rFonts w:ascii="Cambria" w:hAnsi="Cambria" w:cs="Cambria"/>
          <w:i w:val="0"/>
          <w:iCs w:val="0"/>
          <w:color w:val="auto"/>
          <w:sz w:val="18"/>
          <w:szCs w:val="18"/>
        </w:rPr>
        <w:t xml:space="preserve">tituição Federal, nas leis trabalhistas, nas normas </w:t>
      </w:r>
      <w:r>
        <w:rPr>
          <w:rFonts w:ascii="Cambria" w:hAnsi="Cambria" w:cs="Cambria"/>
          <w:i w:val="0"/>
          <w:iCs w:val="0"/>
          <w:color w:val="auto"/>
          <w:sz w:val="18"/>
          <w:szCs w:val="18"/>
        </w:rPr>
        <w:t xml:space="preserve">infralegais</w:t>
      </w:r>
      <w:r>
        <w:rPr>
          <w:rFonts w:ascii="Cambria" w:hAnsi="Cambria" w:cs="Cambria"/>
          <w:i w:val="0"/>
          <w:iCs w:val="0"/>
          <w:color w:val="auto"/>
          <w:sz w:val="18"/>
          <w:szCs w:val="18"/>
        </w:rPr>
        <w:t xml:space="preserve">, nas convenções coletivas de trabalho e nos termos de ajustamento de conduta vigentes na data de sua entrega em definitivo e que cumpre plenamente os requisitos de habilitação definidos no ins</w:t>
      </w:r>
      <w:r>
        <w:rPr>
          <w:rFonts w:ascii="Cambria" w:hAnsi="Cambria" w:cs="Cambria"/>
          <w:i w:val="0"/>
          <w:iCs w:val="0"/>
          <w:color w:val="auto"/>
          <w:sz w:val="18"/>
          <w:szCs w:val="18"/>
        </w:rPr>
        <w:t xml:space="preserve">trumento convocatório;</w:t>
      </w:r>
      <w:r/>
    </w:p>
    <w:p>
      <w:pPr>
        <w:pStyle w:val="1115"/>
        <w:numPr>
          <w:ilvl w:val="2"/>
          <w:numId w:val="3"/>
        </w:numPr>
        <w:ind w:left="0" w:firstLine="0"/>
        <w:spacing w:before="0" w:after="0" w:line="240" w:lineRule="auto"/>
        <w:rPr>
          <w:rFonts w:ascii="Cambria" w:hAnsi="Cambria" w:cs="Cambria"/>
          <w:i w:val="0"/>
          <w:iCs w:val="0"/>
          <w:color w:val="auto"/>
          <w:sz w:val="18"/>
          <w:szCs w:val="18"/>
        </w:rPr>
      </w:pPr>
      <w:r>
        <w:rPr>
          <w:rFonts w:ascii="Cambria" w:hAnsi="Cambria" w:cs="Cambria"/>
          <w:i w:val="0"/>
          <w:iCs w:val="0"/>
          <w:color w:val="auto"/>
          <w:sz w:val="18"/>
          <w:szCs w:val="18"/>
        </w:rPr>
        <w:t xml:space="preserve">Não emprega menor de 18 anos em trabalho noturno, perigoso ou insalubre e não emprega menor de 16 anos, salvo menor, a partir de 14 anos, na condição de aprendiz, nos termos do </w:t>
      </w:r>
      <w:hyperlink r:id="rId24" w:tooltip="https://www.planalto.gov.br/ccivil_03/constituicao/constituicaocompilado.htm#art7" w:anchor="art7" w:history="1">
        <w:r>
          <w:rPr>
            <w:rStyle w:val="839"/>
            <w:rFonts w:ascii="Cambria" w:hAnsi="Cambria" w:cs="Cambria"/>
            <w:i w:val="0"/>
            <w:iCs w:val="0"/>
            <w:color w:val="auto"/>
            <w:sz w:val="18"/>
            <w:szCs w:val="18"/>
          </w:rPr>
          <w:t xml:space="preserve">artigo 7°, XXXIII, da Constituição</w:t>
        </w:r>
      </w:hyperlink>
      <w:r>
        <w:rPr>
          <w:rFonts w:ascii="Cambria" w:hAnsi="Cambria" w:cs="Cambria"/>
          <w:i w:val="0"/>
          <w:iCs w:val="0"/>
          <w:color w:val="auto"/>
          <w:sz w:val="18"/>
          <w:szCs w:val="18"/>
        </w:rPr>
        <w:t xml:space="preserve">;</w:t>
      </w:r>
      <w:r/>
    </w:p>
    <w:p>
      <w:pPr>
        <w:pStyle w:val="1115"/>
        <w:numPr>
          <w:ilvl w:val="2"/>
          <w:numId w:val="3"/>
        </w:numPr>
        <w:ind w:left="0" w:firstLine="0"/>
        <w:spacing w:before="0" w:after="0" w:line="240" w:lineRule="auto"/>
        <w:rPr>
          <w:rFonts w:ascii="Cambria" w:hAnsi="Cambria" w:cs="Cambria"/>
          <w:sz w:val="18"/>
          <w:szCs w:val="18"/>
        </w:rPr>
      </w:pPr>
      <w:r>
        <w:rPr>
          <w:rFonts w:ascii="Cambria" w:hAnsi="Cambria" w:cs="Cambria"/>
          <w:i w:val="0"/>
          <w:iCs w:val="0"/>
          <w:color w:val="auto"/>
          <w:sz w:val="18"/>
          <w:szCs w:val="18"/>
        </w:rPr>
        <w:t xml:space="preserve">Não possui empregados executando trabalho degradante ou forçado, observando o disposto nos </w:t>
      </w:r>
      <w:hyperlink r:id="rId25" w:tooltip="https://www.planalto.gov.br/ccivil_03/constituicao/constituicaocompilado.htm" w:history="1">
        <w:r>
          <w:rPr>
            <w:rStyle w:val="839"/>
            <w:rFonts w:ascii="Cambria" w:hAnsi="Cambria" w:cs="Cambria"/>
            <w:i w:val="0"/>
            <w:iCs w:val="0"/>
            <w:color w:val="auto"/>
            <w:sz w:val="18"/>
            <w:szCs w:val="18"/>
          </w:rPr>
          <w:t xml:space="preserve">incisos III e IV do art. 1º e no inciso III do art. 5º da Constituição Federal</w:t>
        </w:r>
      </w:hyperlink>
      <w:r>
        <w:rPr>
          <w:rFonts w:ascii="Cambria" w:hAnsi="Cambria" w:cs="Cambria"/>
          <w:i w:val="0"/>
          <w:iCs w:val="0"/>
          <w:color w:val="auto"/>
          <w:sz w:val="18"/>
          <w:szCs w:val="18"/>
        </w:rPr>
        <w:t xml:space="preserve">;</w:t>
      </w:r>
      <w:r/>
    </w:p>
    <w:p>
      <w:pPr>
        <w:pStyle w:val="1115"/>
        <w:numPr>
          <w:ilvl w:val="2"/>
          <w:numId w:val="3"/>
        </w:numPr>
        <w:ind w:left="0" w:firstLine="0"/>
        <w:spacing w:before="0" w:after="0" w:line="240" w:lineRule="auto"/>
        <w:rPr>
          <w:rFonts w:ascii="Cambria" w:hAnsi="Cambria" w:cs="Cambria"/>
          <w:sz w:val="18"/>
          <w:szCs w:val="18"/>
        </w:rPr>
      </w:pPr>
      <w:r>
        <w:rPr>
          <w:rFonts w:ascii="Cambria" w:hAnsi="Cambria" w:cs="Cambria"/>
          <w:i w:val="0"/>
          <w:iCs w:val="0"/>
          <w:color w:val="auto"/>
          <w:sz w:val="18"/>
          <w:szCs w:val="18"/>
        </w:rPr>
        <w:t xml:space="preserve">Cumpre as exigências de reserva de cargos para pessoa com deficiência e para reabilitado da Previdência Social, previstas em lei e em outras normas específicas.</w:t>
      </w:r>
      <w:r/>
    </w:p>
    <w:p>
      <w:pPr>
        <w:pStyle w:val="1115"/>
        <w:numPr>
          <w:ilvl w:val="1"/>
          <w:numId w:val="4"/>
        </w:numPr>
        <w:ind w:left="0" w:firstLine="0"/>
        <w:spacing w:before="0" w:after="0" w:line="240" w:lineRule="auto"/>
        <w:rPr>
          <w:rFonts w:ascii="Cambria" w:hAnsi="Cambria" w:cs="Cambria"/>
          <w:i w:val="0"/>
          <w:iCs w:val="0"/>
          <w:color w:val="auto"/>
          <w:sz w:val="18"/>
          <w:szCs w:val="18"/>
        </w:rPr>
      </w:pPr>
      <w:r>
        <w:rPr>
          <w:rFonts w:ascii="Cambria" w:hAnsi="Cambria" w:cs="Cambria"/>
          <w:i w:val="0"/>
          <w:iCs w:val="0"/>
          <w:color w:val="auto"/>
          <w:sz w:val="18"/>
          <w:szCs w:val="18"/>
        </w:rPr>
        <w:t xml:space="preserve">O licitante organizado em cooperativa deverá declarar, ainda, em campo próprio do sistema eletr</w:t>
      </w:r>
      <w:r>
        <w:rPr>
          <w:rFonts w:ascii="Cambria" w:hAnsi="Cambria" w:cs="Cambria"/>
          <w:i w:val="0"/>
          <w:iCs w:val="0"/>
          <w:color w:val="auto"/>
          <w:sz w:val="18"/>
          <w:szCs w:val="18"/>
        </w:rPr>
        <w:t xml:space="preserve">ônico, que cumpre os requisitos estabelecidos no </w:t>
      </w:r>
      <w:hyperlink r:id="rId26" w:tooltip="http://www.planalto.gov.br/ccivil_03/_ato2019-2022/2021/lei/L14133.htm#art16" w:anchor="art16" w:history="1">
        <w:r>
          <w:rPr>
            <w:rStyle w:val="839"/>
            <w:rFonts w:ascii="Cambria" w:hAnsi="Cambria" w:cs="Cambria"/>
            <w:i w:val="0"/>
            <w:iCs w:val="0"/>
            <w:color w:val="auto"/>
            <w:sz w:val="18"/>
            <w:szCs w:val="18"/>
          </w:rPr>
          <w:t xml:space="preserve">artigo 16 da Lei nº 14.133, de 2021</w:t>
        </w:r>
      </w:hyperlink>
      <w:r>
        <w:rPr>
          <w:rFonts w:ascii="Cambria" w:hAnsi="Cambria" w:cs="Cambria"/>
          <w:i w:val="0"/>
          <w:iCs w:val="0"/>
          <w:color w:val="auto"/>
          <w:sz w:val="18"/>
          <w:szCs w:val="18"/>
        </w:rPr>
        <w:t xml:space="preserve">.</w:t>
      </w:r>
      <w:r/>
    </w:p>
    <w:p>
      <w:pPr>
        <w:pStyle w:val="1115"/>
        <w:numPr>
          <w:ilvl w:val="1"/>
          <w:numId w:val="4"/>
        </w:numPr>
        <w:ind w:left="0" w:firstLine="0"/>
        <w:spacing w:before="0" w:after="0" w:line="240" w:lineRule="auto"/>
        <w:rPr>
          <w:rFonts w:ascii="Cambria" w:hAnsi="Cambria" w:cs="Cambria"/>
          <w:i w:val="0"/>
          <w:iCs w:val="0"/>
          <w:color w:val="auto"/>
          <w:sz w:val="18"/>
          <w:szCs w:val="18"/>
        </w:rPr>
      </w:pPr>
      <w:r/>
      <w:bookmarkStart w:id="20" w:name="_Ref117000019"/>
      <w:r>
        <w:rPr>
          <w:rFonts w:ascii="Cambria" w:hAnsi="Cambria" w:cs="Cambria"/>
          <w:i w:val="0"/>
          <w:iCs w:val="0"/>
          <w:color w:val="auto"/>
          <w:sz w:val="18"/>
          <w:szCs w:val="18"/>
        </w:rPr>
        <w:t xml:space="preserve">O fornecedor enquadrado como microempresa, empresa de pequeno porte ou sociedade cooperativa deverá declarar, ainda, em campo próprio do sistema eletrônico, que cumpre os requisitos estabelecidos no </w:t>
      </w:r>
      <w:hyperlink r:id="rId27" w:tooltip="https://www.planalto.gov.br/ccivil_03/leis/lcp/lcp123.htm#art3" w:anchor="art3" w:history="1">
        <w:r>
          <w:rPr>
            <w:rStyle w:val="839"/>
            <w:rFonts w:ascii="Cambria" w:hAnsi="Cambria" w:cs="Cambria"/>
            <w:i w:val="0"/>
            <w:iCs w:val="0"/>
            <w:color w:val="auto"/>
            <w:sz w:val="18"/>
            <w:szCs w:val="18"/>
          </w:rPr>
          <w:t xml:space="preserve">artigo 3° da Lei Complementar nº 123, de 2006</w:t>
        </w:r>
      </w:hyperlink>
      <w:r>
        <w:rPr>
          <w:rFonts w:ascii="Cambria" w:hAnsi="Cambria" w:cs="Cambria"/>
          <w:i w:val="0"/>
          <w:iCs w:val="0"/>
          <w:color w:val="auto"/>
          <w:sz w:val="18"/>
          <w:szCs w:val="18"/>
        </w:rPr>
        <w:t xml:space="preserve">, estando apto a usufruir do tratamento favorecido estabelecido em seus </w:t>
      </w:r>
      <w:bookmarkEnd w:id="20"/>
      <w:r>
        <w:fldChar w:fldCharType="begin"/>
      </w:r>
      <w:r>
        <w:rPr>
          <w:rFonts w:ascii="Cambria" w:hAnsi="Cambria" w:cs="Cambria"/>
          <w:sz w:val="18"/>
          <w:szCs w:val="18"/>
        </w:rPr>
        <w:instrText xml:space="preserve">HYPERLINK "https://www.planalto.gov.br/ccivil_03/leis/lcp/lcp123.htm" \l "art42"</w:instrText>
      </w:r>
      <w:r>
        <w:fldChar w:fldCharType="separate"/>
      </w:r>
      <w:r>
        <w:rPr>
          <w:rStyle w:val="839"/>
          <w:rFonts w:ascii="Cambria" w:hAnsi="Cambria" w:cs="Cambria"/>
          <w:sz w:val="18"/>
          <w:szCs w:val="18"/>
        </w:rPr>
        <w:t xml:space="preserve">arts</w:t>
      </w:r>
      <w:r>
        <w:rPr>
          <w:rStyle w:val="839"/>
          <w:rFonts w:ascii="Cambria" w:hAnsi="Cambria" w:cs="Cambria"/>
          <w:sz w:val="18"/>
          <w:szCs w:val="18"/>
        </w:rPr>
        <w:t xml:space="preserve">. 42 a 49</w:t>
      </w:r>
      <w:r>
        <w:rPr>
          <w:rStyle w:val="839"/>
          <w:rFonts w:ascii="Cambria" w:hAnsi="Cambria" w:cs="Cambria"/>
          <w:sz w:val="18"/>
          <w:szCs w:val="18"/>
        </w:rPr>
        <w:fldChar w:fldCharType="end"/>
      </w:r>
      <w:r>
        <w:rPr>
          <w:rFonts w:ascii="Cambria" w:hAnsi="Cambria" w:cs="Cambria"/>
          <w:i w:val="0"/>
          <w:iCs w:val="0"/>
          <w:color w:val="auto"/>
          <w:sz w:val="18"/>
          <w:szCs w:val="18"/>
        </w:rPr>
        <w:t xml:space="preserve">, observado o</w:t>
      </w:r>
      <w:r>
        <w:rPr>
          <w:rFonts w:ascii="Cambria" w:hAnsi="Cambria" w:cs="Cambria"/>
          <w:i w:val="0"/>
          <w:iCs w:val="0"/>
          <w:color w:val="auto"/>
          <w:sz w:val="18"/>
          <w:szCs w:val="18"/>
        </w:rPr>
        <w:t xml:space="preserve"> disposto nos </w:t>
      </w:r>
      <w:hyperlink r:id="rId28" w:tooltip="http://www.planalto.gov.br/ccivil_03/_ato2019-2022/2021/lei/L14133.htm#art4§1" w:anchor="art4§1" w:history="1">
        <w:r>
          <w:rPr>
            <w:rStyle w:val="839"/>
            <w:rFonts w:ascii="Cambria" w:hAnsi="Cambria" w:cs="Cambria"/>
            <w:i w:val="0"/>
            <w:iCs w:val="0"/>
            <w:color w:val="auto"/>
            <w:sz w:val="18"/>
            <w:szCs w:val="18"/>
          </w:rPr>
          <w:t xml:space="preserve">§§ 1º ao 3º do art. 4º, da Lei n.º 14.133, de 2021.</w:t>
        </w:r>
      </w:hyperlink>
      <w:r/>
      <w:r/>
    </w:p>
    <w:p>
      <w:pPr>
        <w:pStyle w:val="1115"/>
        <w:numPr>
          <w:ilvl w:val="1"/>
          <w:numId w:val="4"/>
        </w:numPr>
        <w:ind w:left="0" w:firstLine="0"/>
        <w:spacing w:before="0" w:after="0" w:line="240" w:lineRule="auto"/>
        <w:rPr>
          <w:rFonts w:ascii="Cambria" w:hAnsi="Cambria" w:cs="Cambria"/>
          <w:i w:val="0"/>
          <w:iCs w:val="0"/>
          <w:color w:val="auto"/>
          <w:sz w:val="18"/>
          <w:szCs w:val="18"/>
        </w:rPr>
      </w:pPr>
      <w:r>
        <w:rPr>
          <w:rFonts w:ascii="Cambria" w:hAnsi="Cambria" w:cs="Cambria"/>
          <w:i w:val="0"/>
          <w:iCs w:val="0"/>
          <w:color w:val="auto"/>
          <w:sz w:val="18"/>
          <w:szCs w:val="18"/>
        </w:rPr>
        <w:t xml:space="preserve">No item exclusivo para participação de microempresas e empresas de pequeno porte, a assi</w:t>
      </w:r>
      <w:r>
        <w:rPr>
          <w:rFonts w:ascii="Cambria" w:hAnsi="Cambria" w:cs="Cambria"/>
          <w:i w:val="0"/>
          <w:iCs w:val="0"/>
          <w:color w:val="auto"/>
          <w:sz w:val="18"/>
          <w:szCs w:val="18"/>
        </w:rPr>
        <w:t xml:space="preserve">nalação do campo “não” impedirá o prosseguimento no certame, para aquele item;</w:t>
      </w:r>
      <w:r/>
    </w:p>
    <w:p>
      <w:pPr>
        <w:pStyle w:val="1115"/>
        <w:numPr>
          <w:ilvl w:val="1"/>
          <w:numId w:val="4"/>
        </w:numPr>
        <w:ind w:left="0" w:firstLine="0"/>
        <w:spacing w:before="0" w:after="0" w:line="240" w:lineRule="auto"/>
        <w:rPr>
          <w:rFonts w:ascii="Cambria" w:hAnsi="Cambria" w:cs="Cambria"/>
          <w:i w:val="0"/>
          <w:iCs w:val="0"/>
          <w:color w:val="auto"/>
          <w:sz w:val="18"/>
          <w:szCs w:val="18"/>
        </w:rPr>
      </w:pPr>
      <w:r>
        <w:rPr>
          <w:rFonts w:ascii="Cambria" w:hAnsi="Cambria" w:cs="Cambria"/>
          <w:color w:val="auto"/>
          <w:sz w:val="18"/>
          <w:szCs w:val="18"/>
        </w:rPr>
        <w:t xml:space="preserve">Nos itens em que a participação não for exclusiva para microempresas e empresas de pequeno porte, a assinalação do campo “não” apenas produzirá o efeito de o licitante não ter d</w:t>
      </w:r>
      <w:r>
        <w:rPr>
          <w:rFonts w:ascii="Cambria" w:hAnsi="Cambria" w:cs="Cambria"/>
          <w:color w:val="auto"/>
          <w:sz w:val="18"/>
          <w:szCs w:val="18"/>
        </w:rPr>
        <w:t xml:space="preserve">ireito ao tratamento favorecido previsto na </w:t>
      </w:r>
      <w:hyperlink r:id="rId29" w:tooltip="https://www.planalto.gov.br/ccivil_03/leis/lcp/lcp123.htm" w:history="1">
        <w:r>
          <w:rPr>
            <w:rStyle w:val="839"/>
            <w:rFonts w:ascii="Cambria" w:hAnsi="Cambria" w:cs="Cambria"/>
            <w:color w:val="auto"/>
            <w:sz w:val="18"/>
            <w:szCs w:val="18"/>
          </w:rPr>
          <w:t xml:space="preserve">Lei Complementar nº 123, de 2006</w:t>
        </w:r>
      </w:hyperlink>
      <w:r>
        <w:rPr>
          <w:rFonts w:ascii="Cambria" w:hAnsi="Cambria" w:cs="Cambria"/>
          <w:color w:val="auto"/>
          <w:sz w:val="18"/>
          <w:szCs w:val="18"/>
        </w:rPr>
        <w:t xml:space="preserve">, mesmo que microempresa, empresa de pequeno porte ou sociedade cooperativa</w:t>
      </w:r>
      <w:r>
        <w:rPr>
          <w:rFonts w:ascii="Cambria" w:hAnsi="Cambria" w:cs="Cambria"/>
          <w:sz w:val="18"/>
          <w:szCs w:val="18"/>
        </w:rPr>
        <w:t xml:space="preserve">.</w:t>
      </w:r>
      <w:r/>
    </w:p>
    <w:p>
      <w:pPr>
        <w:pStyle w:val="1068"/>
        <w:numPr>
          <w:ilvl w:val="2"/>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A</w:t>
      </w:r>
      <w:r>
        <w:rPr>
          <w:rFonts w:ascii="Cambria" w:hAnsi="Cambria" w:cs="Cambria"/>
          <w:sz w:val="18"/>
          <w:szCs w:val="18"/>
        </w:rPr>
        <w:t xml:space="preserve"> falsidade da declaração </w:t>
      </w:r>
      <w:r>
        <w:rPr>
          <w:rFonts w:ascii="Cambria" w:hAnsi="Cambria" w:cs="Cambria"/>
          <w:sz w:val="18"/>
          <w:szCs w:val="18"/>
        </w:rPr>
        <w:t xml:space="preserve">de que trata os itens </w:t>
      </w:r>
      <w:r>
        <w:rPr>
          <w:rFonts w:ascii="Cambria" w:hAnsi="Cambria" w:cs="Cambria"/>
          <w:sz w:val="18"/>
          <w:szCs w:val="18"/>
        </w:rPr>
        <w:fldChar w:fldCharType="begin"/>
      </w:r>
      <w:r>
        <w:rPr>
          <w:rFonts w:ascii="Cambria" w:hAnsi="Cambria" w:cs="Cambria"/>
          <w:sz w:val="18"/>
          <w:szCs w:val="18"/>
        </w:rPr>
        <w:instrText xml:space="preserve"> REF _Ref113968921 \r \h  \* MERGEFORMAT </w:instrText>
      </w:r>
      <w:r>
        <w:rPr>
          <w:rFonts w:ascii="Cambria" w:hAnsi="Cambria" w:cs="Cambria"/>
          <w:sz w:val="18"/>
          <w:szCs w:val="18"/>
        </w:rPr>
        <w:fldChar w:fldCharType="separate"/>
      </w:r>
      <w:r>
        <w:rPr>
          <w:rFonts w:ascii="Cambria" w:hAnsi="Cambria" w:cs="Cambria"/>
          <w:sz w:val="18"/>
          <w:szCs w:val="18"/>
        </w:rPr>
        <w:t xml:space="preserve">4.4</w:t>
      </w:r>
      <w:r>
        <w:rPr>
          <w:rFonts w:ascii="Cambria" w:hAnsi="Cambria" w:cs="Cambria"/>
          <w:sz w:val="18"/>
          <w:szCs w:val="18"/>
        </w:rPr>
        <w:fldChar w:fldCharType="end"/>
      </w:r>
      <w:r>
        <w:rPr>
          <w:rFonts w:ascii="Cambria" w:hAnsi="Cambria" w:cs="Cambria"/>
          <w:sz w:val="18"/>
          <w:szCs w:val="18"/>
        </w:rPr>
        <w:t xml:space="preserve"> ou </w:t>
      </w:r>
      <w:r>
        <w:rPr>
          <w:rFonts w:ascii="Cambria" w:hAnsi="Cambria" w:cs="Cambria"/>
          <w:sz w:val="18"/>
          <w:szCs w:val="18"/>
        </w:rPr>
        <w:fldChar w:fldCharType="begin"/>
      </w:r>
      <w:r>
        <w:rPr>
          <w:rFonts w:ascii="Cambria" w:hAnsi="Cambria" w:cs="Cambria"/>
          <w:sz w:val="18"/>
          <w:szCs w:val="18"/>
        </w:rPr>
        <w:instrText xml:space="preserve"> REF _Ref117000019 \r \h  \* MERGEFORMAT </w:instrText>
      </w:r>
      <w:r>
        <w:rPr>
          <w:rFonts w:ascii="Cambria" w:hAnsi="Cambria" w:cs="Cambria"/>
          <w:sz w:val="18"/>
          <w:szCs w:val="18"/>
        </w:rPr>
        <w:fldChar w:fldCharType="separate"/>
      </w:r>
      <w:r>
        <w:rPr>
          <w:rFonts w:ascii="Cambria" w:hAnsi="Cambria" w:cs="Cambria"/>
          <w:sz w:val="18"/>
          <w:szCs w:val="18"/>
        </w:rPr>
        <w:t xml:space="preserve">4.6</w:t>
      </w:r>
      <w:r>
        <w:rPr>
          <w:rFonts w:ascii="Cambria" w:hAnsi="Cambria" w:cs="Cambria"/>
          <w:sz w:val="18"/>
          <w:szCs w:val="18"/>
        </w:rPr>
        <w:fldChar w:fldCharType="end"/>
      </w:r>
      <w:r>
        <w:rPr>
          <w:rFonts w:ascii="Cambria" w:hAnsi="Cambria" w:cs="Cambria"/>
          <w:sz w:val="18"/>
          <w:szCs w:val="18"/>
        </w:rPr>
        <w:t xml:space="preserve"> sujeitará o licitante às sanções previstas na </w:t>
      </w:r>
      <w:hyperlink r:id="rId30" w:tooltip="http://www.planalto.gov.br/ccivil_03/_ato2019-2022/2021/lei/L14133.htm" w:history="1">
        <w:r>
          <w:rPr>
            <w:rStyle w:val="839"/>
            <w:rFonts w:ascii="Cambria" w:hAnsi="Cambria" w:cs="Cambria"/>
            <w:sz w:val="18"/>
            <w:szCs w:val="18"/>
          </w:rPr>
          <w:t xml:space="preserve">Lei nº 14.133, de 2021</w:t>
        </w:r>
      </w:hyperlink>
      <w:r>
        <w:rPr>
          <w:rFonts w:ascii="Cambria" w:hAnsi="Cambria" w:cs="Cambria"/>
          <w:sz w:val="18"/>
          <w:szCs w:val="18"/>
        </w:rPr>
        <w:t xml:space="preserve">, e neste Edital.</w:t>
      </w:r>
      <w:r/>
    </w:p>
    <w:p>
      <w:pPr>
        <w:pStyle w:val="1068"/>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Os licitantes pode</w:t>
      </w:r>
      <w:r>
        <w:rPr>
          <w:rFonts w:ascii="Cambria" w:hAnsi="Cambria" w:cs="Cambria"/>
          <w:sz w:val="18"/>
          <w:szCs w:val="18"/>
        </w:rPr>
        <w:t xml:space="preserve">rão retirar ou substituir a proposta ou, na hipótese de a fase de habilitação anteceder as fases de apresentação de propostas e lances e de julgamento, os documentos de habilitação anteriormente inseridos no sistema, até a abertura da sessão pública.</w:t>
      </w:r>
      <w:r/>
    </w:p>
    <w:p>
      <w:pPr>
        <w:pStyle w:val="1068"/>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Não h</w:t>
      </w:r>
      <w:r>
        <w:rPr>
          <w:rFonts w:ascii="Cambria" w:hAnsi="Cambria" w:cs="Cambria"/>
          <w:sz w:val="18"/>
          <w:szCs w:val="18"/>
        </w:rPr>
        <w:t xml:space="preserve">averá ordem de classificação na etapa de apresentação da proposta e dos documentos de habilitação pelo licitante, o que ocorrerá somente após os procedimentos de abertura da sessão pública e da fase de envio de lances.</w:t>
      </w:r>
      <w:r/>
    </w:p>
    <w:p>
      <w:pPr>
        <w:pStyle w:val="1068"/>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Serão disponibilizados para acesso pú</w:t>
      </w:r>
      <w:r>
        <w:rPr>
          <w:rFonts w:ascii="Cambria" w:hAnsi="Cambria" w:cs="Cambria"/>
          <w:sz w:val="18"/>
          <w:szCs w:val="18"/>
        </w:rPr>
        <w:t xml:space="preserve">blico os documentos que compõem a proposta dos licitantes convocados para apresentação de propostas, após a fase de envio de lances.</w:t>
      </w:r>
      <w:r/>
    </w:p>
    <w:p>
      <w:pPr>
        <w:pStyle w:val="1068"/>
        <w:numPr>
          <w:ilvl w:val="1"/>
          <w:numId w:val="4"/>
        </w:numPr>
        <w:ind w:left="0" w:firstLine="0"/>
        <w:spacing w:before="0" w:after="0" w:line="240" w:lineRule="auto"/>
        <w:rPr>
          <w:rFonts w:ascii="Cambria" w:hAnsi="Cambria" w:cs="Cambria"/>
          <w:sz w:val="18"/>
          <w:szCs w:val="18"/>
        </w:rPr>
      </w:pPr>
      <w:r/>
      <w:bookmarkStart w:id="21" w:name="_Ref116992247"/>
      <w:r>
        <w:rPr>
          <w:rFonts w:ascii="Cambria" w:hAnsi="Cambria" w:cs="Cambria"/>
          <w:sz w:val="18"/>
          <w:szCs w:val="18"/>
        </w:rPr>
        <w:t xml:space="preserve">Desde que disponibilizada a funcionalidade no sistema, o licitante poderá parametrizar o seu valor final mínimo ou o seu pe</w:t>
      </w:r>
      <w:r>
        <w:rPr>
          <w:rFonts w:ascii="Cambria" w:hAnsi="Cambria" w:cs="Cambria"/>
          <w:sz w:val="18"/>
          <w:szCs w:val="18"/>
        </w:rPr>
        <w:t xml:space="preserve">rcentual de desconto máximo quando do cadastramento da proposta e obedecerá às seguintes regras:</w:t>
      </w:r>
      <w:bookmarkEnd w:id="21"/>
      <w:r/>
      <w:r/>
    </w:p>
    <w:p>
      <w:pPr>
        <w:pStyle w:val="1070"/>
        <w:numPr>
          <w:ilvl w:val="1"/>
          <w:numId w:val="9"/>
        </w:numPr>
        <w:spacing w:before="0" w:after="0" w:line="240" w:lineRule="auto"/>
        <w:rPr>
          <w:rFonts w:ascii="Cambria" w:hAnsi="Cambria" w:cs="Cambria"/>
          <w:sz w:val="18"/>
          <w:szCs w:val="18"/>
        </w:rPr>
      </w:pPr>
      <w:r>
        <w:rPr>
          <w:rFonts w:ascii="Cambria" w:hAnsi="Cambria" w:cs="Cambria"/>
          <w:sz w:val="18"/>
          <w:szCs w:val="18"/>
        </w:rPr>
        <w:t xml:space="preserve">A aplicação do intervalo mínimo de diferença de valores ou de percentuais entre os lances, que incidirá tanto em relação aos lances intermediários quanto em re</w:t>
      </w:r>
      <w:r>
        <w:rPr>
          <w:rFonts w:ascii="Cambria" w:hAnsi="Cambria" w:cs="Cambria"/>
          <w:sz w:val="18"/>
          <w:szCs w:val="18"/>
        </w:rPr>
        <w:t xml:space="preserve">lação ao lance que cobrir a melhor oferta; e</w:t>
      </w:r>
      <w:r/>
    </w:p>
    <w:p>
      <w:pPr>
        <w:pStyle w:val="1070"/>
        <w:numPr>
          <w:ilvl w:val="2"/>
          <w:numId w:val="9"/>
        </w:numPr>
        <w:ind w:left="0" w:firstLine="0"/>
        <w:spacing w:before="0" w:after="0" w:line="240" w:lineRule="auto"/>
        <w:rPr>
          <w:rFonts w:ascii="Cambria" w:hAnsi="Cambria" w:cs="Cambria"/>
          <w:sz w:val="18"/>
          <w:szCs w:val="18"/>
        </w:rPr>
      </w:pPr>
      <w:r>
        <w:rPr>
          <w:rFonts w:ascii="Cambria" w:hAnsi="Cambria" w:cs="Cambria"/>
          <w:sz w:val="18"/>
          <w:szCs w:val="18"/>
        </w:rPr>
        <w:t xml:space="preserve">Os lances serão de envio automático pelo sistema, respeitado o valor final mínimo, caso estabelecido, e o intervalo de que trata o subitem acima.</w:t>
      </w:r>
      <w:r/>
    </w:p>
    <w:p>
      <w:pPr>
        <w:pStyle w:val="1068"/>
        <w:numPr>
          <w:ilvl w:val="1"/>
          <w:numId w:val="9"/>
        </w:numPr>
        <w:ind w:left="0" w:firstLine="0"/>
        <w:spacing w:before="0" w:after="0" w:line="240" w:lineRule="auto"/>
        <w:rPr>
          <w:rFonts w:ascii="Cambria" w:hAnsi="Cambria" w:cs="Cambria"/>
          <w:sz w:val="18"/>
          <w:szCs w:val="18"/>
        </w:rPr>
      </w:pPr>
      <w:r>
        <w:rPr>
          <w:rFonts w:ascii="Cambria" w:hAnsi="Cambria" w:cs="Cambria"/>
          <w:sz w:val="18"/>
          <w:szCs w:val="18"/>
        </w:rPr>
        <w:t xml:space="preserve">O valor final mínimo ou o percentual de desconto final máximo par</w:t>
      </w:r>
      <w:r>
        <w:rPr>
          <w:rFonts w:ascii="Cambria" w:hAnsi="Cambria" w:cs="Cambria"/>
          <w:sz w:val="18"/>
          <w:szCs w:val="18"/>
        </w:rPr>
        <w:t xml:space="preserve">ametrizado no sistema poderá ser alterado pelo fornecedor durante a fase de disputa, sendo vedado:</w:t>
      </w:r>
      <w:r/>
    </w:p>
    <w:p>
      <w:pPr>
        <w:pStyle w:val="1070"/>
        <w:numPr>
          <w:ilvl w:val="2"/>
          <w:numId w:val="9"/>
        </w:numPr>
        <w:ind w:left="0" w:firstLine="0"/>
        <w:spacing w:before="0" w:after="0" w:line="240" w:lineRule="auto"/>
        <w:rPr>
          <w:rFonts w:ascii="Cambria" w:hAnsi="Cambria" w:cs="Cambria"/>
          <w:sz w:val="18"/>
          <w:szCs w:val="18"/>
        </w:rPr>
      </w:pPr>
      <w:r>
        <w:rPr>
          <w:rFonts w:ascii="Cambria" w:hAnsi="Cambria" w:cs="Cambria"/>
          <w:sz w:val="18"/>
          <w:szCs w:val="18"/>
        </w:rPr>
        <w:t xml:space="preserve">valor</w:t>
      </w:r>
      <w:r>
        <w:rPr>
          <w:rFonts w:ascii="Cambria" w:hAnsi="Cambria" w:cs="Cambria"/>
          <w:sz w:val="18"/>
          <w:szCs w:val="18"/>
        </w:rPr>
        <w:t xml:space="preserve"> superior a lance já registrado pelo fornecedor no sistema, quando adotado o critério de julgamento por menor preço; e</w:t>
      </w:r>
      <w:r/>
    </w:p>
    <w:p>
      <w:pPr>
        <w:pStyle w:val="1070"/>
        <w:numPr>
          <w:ilvl w:val="2"/>
          <w:numId w:val="9"/>
        </w:numPr>
        <w:ind w:left="0" w:firstLine="0"/>
        <w:spacing w:before="0" w:after="0" w:line="240" w:lineRule="auto"/>
        <w:rPr>
          <w:rFonts w:ascii="Cambria" w:hAnsi="Cambria" w:cs="Cambria"/>
          <w:sz w:val="18"/>
          <w:szCs w:val="18"/>
        </w:rPr>
      </w:pPr>
      <w:r>
        <w:rPr>
          <w:rFonts w:ascii="Cambria" w:hAnsi="Cambria" w:cs="Cambria"/>
          <w:sz w:val="18"/>
          <w:szCs w:val="18"/>
        </w:rPr>
        <w:t xml:space="preserve">Percentual de desconto inferior a</w:t>
      </w:r>
      <w:r>
        <w:rPr>
          <w:rFonts w:ascii="Cambria" w:hAnsi="Cambria" w:cs="Cambria"/>
          <w:sz w:val="18"/>
          <w:szCs w:val="18"/>
        </w:rPr>
        <w:t xml:space="preserve"> lance já registrado pelo fornecedor no sistema, quando adotado o critério de julgamento por maior desconto.</w:t>
      </w:r>
      <w:r/>
    </w:p>
    <w:p>
      <w:pPr>
        <w:pStyle w:val="1068"/>
        <w:numPr>
          <w:ilvl w:val="1"/>
          <w:numId w:val="9"/>
        </w:numPr>
        <w:ind w:left="0" w:firstLine="0"/>
        <w:spacing w:before="0" w:after="0" w:line="240" w:lineRule="auto"/>
        <w:rPr>
          <w:rFonts w:ascii="Cambria" w:hAnsi="Cambria" w:cs="Cambria"/>
          <w:sz w:val="18"/>
          <w:szCs w:val="18"/>
        </w:rPr>
      </w:pPr>
      <w:r>
        <w:rPr>
          <w:rFonts w:ascii="Cambria" w:hAnsi="Cambria" w:cs="Cambria"/>
          <w:sz w:val="18"/>
          <w:szCs w:val="18"/>
        </w:rPr>
        <w:t xml:space="preserve">O valor final mínimo ou o percentual de desconto final máximo parametrizado na forma do item </w:t>
      </w:r>
      <w:r>
        <w:rPr>
          <w:rFonts w:ascii="Cambria" w:hAnsi="Cambria" w:cs="Cambria"/>
          <w:sz w:val="18"/>
          <w:szCs w:val="18"/>
        </w:rPr>
        <w:fldChar w:fldCharType="begin"/>
      </w:r>
      <w:r>
        <w:rPr>
          <w:rFonts w:ascii="Cambria" w:hAnsi="Cambria" w:cs="Cambria"/>
          <w:sz w:val="18"/>
          <w:szCs w:val="18"/>
        </w:rPr>
        <w:instrText xml:space="preserve"> REF _Ref116992247 \r \h  \* MERGEFORMAT </w:instrText>
      </w:r>
      <w:r>
        <w:rPr>
          <w:rFonts w:ascii="Cambria" w:hAnsi="Cambria" w:cs="Cambria"/>
          <w:sz w:val="18"/>
          <w:szCs w:val="18"/>
        </w:rPr>
        <w:fldChar w:fldCharType="separate"/>
      </w:r>
      <w:r>
        <w:rPr>
          <w:rFonts w:ascii="Cambria" w:hAnsi="Cambria" w:cs="Cambria"/>
          <w:sz w:val="18"/>
          <w:szCs w:val="18"/>
        </w:rPr>
        <w:t xml:space="preserve">4.11</w:t>
      </w:r>
      <w:r>
        <w:rPr>
          <w:rFonts w:ascii="Cambria" w:hAnsi="Cambria" w:cs="Cambria"/>
          <w:sz w:val="18"/>
          <w:szCs w:val="18"/>
        </w:rPr>
        <w:fldChar w:fldCharType="end"/>
      </w:r>
      <w:r>
        <w:rPr>
          <w:rFonts w:ascii="Cambria" w:hAnsi="Cambria" w:cs="Cambria"/>
          <w:sz w:val="18"/>
          <w:szCs w:val="18"/>
        </w:rPr>
        <w:t xml:space="preserve"> possuirá caráter sigiloso para os demais fornecedores e para o órgão ou entidade promotora da licitação, podendo ser disponibilizado estrita e permanentemente aos órgãos de controle externo e inter</w:t>
      </w:r>
      <w:r>
        <w:rPr>
          <w:rFonts w:ascii="Cambria" w:hAnsi="Cambria" w:cs="Cambria"/>
          <w:sz w:val="18"/>
          <w:szCs w:val="18"/>
        </w:rPr>
        <w:t xml:space="preserve">no.</w:t>
      </w:r>
      <w:r/>
    </w:p>
    <w:p>
      <w:pPr>
        <w:pStyle w:val="1068"/>
        <w:numPr>
          <w:ilvl w:val="1"/>
          <w:numId w:val="9"/>
        </w:numPr>
        <w:ind w:left="0" w:firstLine="0"/>
        <w:spacing w:before="0" w:after="0" w:line="240" w:lineRule="auto"/>
        <w:rPr>
          <w:rFonts w:ascii="Cambria" w:hAnsi="Cambria" w:cs="Cambria"/>
          <w:sz w:val="18"/>
          <w:szCs w:val="18"/>
        </w:rPr>
      </w:pPr>
      <w:r>
        <w:rPr>
          <w:rFonts w:ascii="Cambria" w:hAnsi="Cambria" w:eastAsia="Times New Roman" w:cs="Cambria"/>
          <w:sz w:val="18"/>
          <w:szCs w:val="18"/>
        </w:rPr>
        <w:t xml:space="preserve">Caberá ao licitante interessado em participar </w:t>
      </w:r>
      <w:r>
        <w:rPr>
          <w:rFonts w:ascii="Cambria" w:hAnsi="Cambria" w:eastAsia="Times New Roman" w:cs="Cambria"/>
          <w:sz w:val="18"/>
          <w:szCs w:val="18"/>
        </w:rPr>
        <w:t xml:space="preserve">da</w:t>
      </w:r>
      <w:r>
        <w:rPr>
          <w:rFonts w:ascii="Cambria" w:hAnsi="Cambria" w:eastAsia="Times New Roman" w:cs="Cambria"/>
          <w:sz w:val="18"/>
          <w:szCs w:val="18"/>
        </w:rPr>
        <w:t xml:space="preserve"> licitação </w:t>
      </w:r>
      <w:r>
        <w:rPr>
          <w:rFonts w:ascii="Cambria" w:hAnsi="Cambria" w:cs="Cambria"/>
          <w:sz w:val="18"/>
          <w:szCs w:val="18"/>
        </w:rPr>
        <w:t xml:space="preserve">acompanhar as operações no sistema eletrônico durante o processo licitatório e se responsabilizar pelo ônus decorrente da perda de negócios diante da inobservância de mensagens emitidas pela Ad</w:t>
      </w:r>
      <w:r>
        <w:rPr>
          <w:rFonts w:ascii="Cambria" w:hAnsi="Cambria" w:cs="Cambria"/>
          <w:sz w:val="18"/>
          <w:szCs w:val="18"/>
        </w:rPr>
        <w:t xml:space="preserve">ministração ou de sua desconexão.</w:t>
      </w:r>
      <w:r/>
    </w:p>
    <w:p>
      <w:pPr>
        <w:pStyle w:val="1068"/>
        <w:numPr>
          <w:ilvl w:val="1"/>
          <w:numId w:val="9"/>
        </w:numPr>
        <w:ind w:left="0" w:firstLine="0"/>
        <w:spacing w:before="0" w:after="0" w:line="240" w:lineRule="auto"/>
        <w:rPr>
          <w:rFonts w:ascii="Cambria" w:hAnsi="Cambria" w:cs="Cambria"/>
          <w:sz w:val="18"/>
          <w:szCs w:val="18"/>
        </w:rPr>
      </w:pPr>
      <w:r>
        <w:rPr>
          <w:rFonts w:ascii="Cambria" w:hAnsi="Cambria" w:eastAsia="Times New Roman" w:cs="Cambria"/>
          <w:sz w:val="18"/>
          <w:szCs w:val="18"/>
        </w:rPr>
        <w:t xml:space="preserve">O licitante deverá </w:t>
      </w:r>
      <w:r>
        <w:rPr>
          <w:rFonts w:ascii="Cambria" w:hAnsi="Cambria" w:cs="Cambria"/>
          <w:sz w:val="18"/>
          <w:szCs w:val="18"/>
        </w:rPr>
        <w:t xml:space="preserve">comunicar imediatamente ao provedor do sistema qualquer acontecimento que possa comprometer o sigilo ou a segurança, para imediato bloqueio de acesso.</w:t>
      </w:r>
      <w:r/>
    </w:p>
    <w:p>
      <w:pPr>
        <w:pStyle w:val="1068"/>
        <w:numPr>
          <w:ilvl w:val="0"/>
          <w:numId w:val="0"/>
        </w:numPr>
        <w:ind w:left="360"/>
        <w:spacing w:before="0" w:after="0" w:line="240" w:lineRule="auto"/>
        <w:rPr>
          <w:rFonts w:ascii="Cambria" w:hAnsi="Cambria" w:cs="Cambria"/>
          <w:sz w:val="18"/>
          <w:szCs w:val="18"/>
        </w:rPr>
      </w:pPr>
      <w:r>
        <w:rPr>
          <w:rFonts w:ascii="Cambria" w:hAnsi="Cambria" w:cs="Cambria"/>
          <w:sz w:val="18"/>
          <w:szCs w:val="18"/>
        </w:rPr>
      </w:r>
      <w:r/>
    </w:p>
    <w:p>
      <w:pPr>
        <w:pStyle w:val="1051"/>
        <w:numPr>
          <w:ilvl w:val="0"/>
          <w:numId w:val="9"/>
        </w:numPr>
        <w:spacing w:before="0" w:after="0" w:line="240" w:lineRule="auto"/>
        <w:rPr>
          <w:rFonts w:ascii="Cambria" w:hAnsi="Cambria" w:cs="Cambria"/>
          <w:sz w:val="18"/>
          <w:szCs w:val="18"/>
        </w:rPr>
      </w:pPr>
      <w:r/>
      <w:bookmarkStart w:id="22" w:name="_Toc135469227"/>
      <w:r>
        <w:rPr>
          <w:rFonts w:ascii="Cambria" w:hAnsi="Cambria" w:cs="Cambria"/>
          <w:sz w:val="18"/>
          <w:szCs w:val="18"/>
        </w:rPr>
        <w:t xml:space="preserve">DO PREENCHIMENTO DA PROPOSTA</w:t>
      </w:r>
      <w:bookmarkEnd w:id="22"/>
      <w:r/>
      <w:r/>
    </w:p>
    <w:p>
      <w:pPr>
        <w:pStyle w:val="1068"/>
        <w:numPr>
          <w:ilvl w:val="1"/>
          <w:numId w:val="10"/>
        </w:numPr>
        <w:spacing w:before="0" w:after="0" w:line="240" w:lineRule="auto"/>
        <w:rPr>
          <w:rFonts w:ascii="Cambria" w:hAnsi="Cambria" w:cs="Cambria"/>
          <w:sz w:val="18"/>
          <w:szCs w:val="18"/>
        </w:rPr>
      </w:pPr>
      <w:r>
        <w:rPr>
          <w:rFonts w:ascii="Cambria" w:hAnsi="Cambria" w:cs="Cambria"/>
          <w:sz w:val="18"/>
          <w:szCs w:val="18"/>
        </w:rPr>
        <w:t xml:space="preserve">O licitante deverá env</w:t>
      </w:r>
      <w:r>
        <w:rPr>
          <w:rFonts w:ascii="Cambria" w:hAnsi="Cambria" w:cs="Cambria"/>
          <w:sz w:val="18"/>
          <w:szCs w:val="18"/>
        </w:rPr>
        <w:t xml:space="preserve">iar sua proposta mediante o preenchimento, no sistema eletrônico, dos seguintes campos:</w:t>
      </w:r>
      <w:r/>
    </w:p>
    <w:p>
      <w:pPr>
        <w:pStyle w:val="1116"/>
        <w:numPr>
          <w:ilvl w:val="2"/>
          <w:numId w:val="10"/>
        </w:numPr>
        <w:ind w:left="0" w:firstLine="0"/>
        <w:spacing w:before="0" w:after="0" w:line="240" w:lineRule="auto"/>
        <w:rPr>
          <w:rFonts w:ascii="Cambria" w:hAnsi="Cambria" w:cs="Cambria"/>
          <w:i w:val="0"/>
          <w:iCs w:val="0"/>
          <w:color w:val="auto"/>
          <w:sz w:val="18"/>
          <w:szCs w:val="18"/>
        </w:rPr>
      </w:pPr>
      <w:r>
        <w:rPr>
          <w:rFonts w:ascii="Cambria" w:hAnsi="Cambria" w:cs="Cambria"/>
          <w:i w:val="0"/>
          <w:iCs w:val="0"/>
          <w:color w:val="auto"/>
          <w:sz w:val="18"/>
          <w:szCs w:val="18"/>
        </w:rPr>
        <w:t xml:space="preserve">valor</w:t>
      </w:r>
      <w:r>
        <w:rPr>
          <w:rFonts w:ascii="Cambria" w:hAnsi="Cambria" w:cs="Cambria"/>
          <w:i w:val="0"/>
          <w:iCs w:val="0"/>
          <w:color w:val="auto"/>
          <w:sz w:val="18"/>
          <w:szCs w:val="18"/>
        </w:rPr>
        <w:t xml:space="preserve"> unitário</w:t>
      </w:r>
      <w:r>
        <w:rPr>
          <w:rFonts w:ascii="Cambria" w:hAnsi="Cambria" w:cs="Cambria"/>
          <w:i w:val="0"/>
          <w:iCs w:val="0"/>
          <w:color w:val="auto"/>
          <w:sz w:val="18"/>
          <w:szCs w:val="18"/>
        </w:rPr>
        <w:t xml:space="preserve"> </w:t>
      </w:r>
      <w:r>
        <w:rPr>
          <w:rFonts w:ascii="Cambria" w:hAnsi="Cambria" w:cs="Cambria"/>
          <w:i w:val="0"/>
          <w:iCs w:val="0"/>
          <w:color w:val="auto"/>
          <w:sz w:val="18"/>
          <w:szCs w:val="18"/>
        </w:rPr>
        <w:t xml:space="preserve">do item;</w:t>
      </w:r>
      <w:r/>
    </w:p>
    <w:p>
      <w:pPr>
        <w:pStyle w:val="106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Todas as especificações do objeto contidas na proposta vinculam o licitante.</w:t>
      </w:r>
      <w:r/>
    </w:p>
    <w:p>
      <w:pPr>
        <w:pStyle w:val="1070"/>
        <w:numPr>
          <w:ilvl w:val="2"/>
          <w:numId w:val="0"/>
        </w:numPr>
        <w:spacing w:before="0" w:after="0" w:line="240" w:lineRule="auto"/>
        <w:rPr>
          <w:rFonts w:ascii="Cambria" w:hAnsi="Cambria" w:cs="Cambria"/>
          <w:color w:val="auto"/>
          <w:sz w:val="18"/>
          <w:szCs w:val="18"/>
        </w:rPr>
      </w:pPr>
      <w:r>
        <w:rPr>
          <w:rFonts w:ascii="Cambria" w:hAnsi="Cambria" w:cs="Cambria"/>
          <w:color w:val="auto"/>
          <w:sz w:val="18"/>
          <w:szCs w:val="18"/>
        </w:rPr>
        <w:t xml:space="preserve">5.1.1</w:t>
      </w:r>
      <w:r>
        <w:rPr>
          <w:rFonts w:ascii="Cambria" w:hAnsi="Cambria" w:cs="Cambria"/>
          <w:color w:val="auto"/>
          <w:sz w:val="18"/>
          <w:szCs w:val="18"/>
        </w:rPr>
        <w:tab/>
        <w:t xml:space="preserve"> </w:t>
      </w:r>
      <w:r>
        <w:rPr>
          <w:rStyle w:val="1061"/>
          <w:rFonts w:ascii="Cambria" w:hAnsi="Cambria" w:cs="Cambria"/>
          <w:sz w:val="18"/>
          <w:szCs w:val="18"/>
        </w:rPr>
        <w:t xml:space="preserve">O licitante</w:t>
      </w:r>
      <w:r>
        <w:rPr>
          <w:rStyle w:val="1061"/>
          <w:rFonts w:ascii="Cambria" w:hAnsi="Cambria" w:cs="Cambria"/>
          <w:sz w:val="18"/>
          <w:szCs w:val="18"/>
        </w:rPr>
        <w:t xml:space="preserve"> não</w:t>
      </w:r>
      <w:r>
        <w:rPr>
          <w:rStyle w:val="1061"/>
          <w:rFonts w:ascii="Cambria" w:hAnsi="Cambria" w:cs="Cambria"/>
          <w:sz w:val="18"/>
          <w:szCs w:val="18"/>
        </w:rPr>
        <w:t xml:space="preserve"> poderá oferecer proposta em quantitativo inferior ao máximo previsto para contratação.</w:t>
      </w:r>
      <w:r/>
    </w:p>
    <w:p>
      <w:pPr>
        <w:pStyle w:val="106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Nos valores propostos estarão inclusos todos os custos operacionais, encargos previdenciários, trabalhistas, tributários, comerciais e quaisquer outros que incidam dire</w:t>
      </w:r>
      <w:r>
        <w:rPr>
          <w:rFonts w:ascii="Cambria" w:hAnsi="Cambria" w:cs="Cambria"/>
          <w:sz w:val="18"/>
          <w:szCs w:val="18"/>
        </w:rPr>
        <w:t xml:space="preserve">ta ou indiretamente na execução do objeto.</w:t>
      </w:r>
      <w:r/>
    </w:p>
    <w:p>
      <w:pPr>
        <w:pStyle w:val="106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Os preços ofertados, tanto na proposta inicial, quanto na etapa de lances, serão de exclusiva responsabilidade do licitante, não lhe assistindo o direito de pleitear qualquer alteração, sob alegação de erro, omiss</w:t>
      </w:r>
      <w:r>
        <w:rPr>
          <w:rFonts w:ascii="Cambria" w:hAnsi="Cambria" w:cs="Cambria"/>
          <w:sz w:val="18"/>
          <w:szCs w:val="18"/>
        </w:rPr>
        <w:t xml:space="preserve">ão ou qualquer outro pretexto.</w:t>
      </w:r>
      <w:r/>
    </w:p>
    <w:p>
      <w:pPr>
        <w:pStyle w:val="106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Se o regime tributário da empresa implicar o recolhimento de tributos em percentuais variáveis, a cotação adequada será a que corresponde à média dos efetivos recolhimentos da empresa nos últimos doze meses. </w:t>
      </w:r>
      <w:r/>
    </w:p>
    <w:p>
      <w:pPr>
        <w:pStyle w:val="106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Independentement</w:t>
      </w:r>
      <w:r>
        <w:rPr>
          <w:rFonts w:ascii="Cambria" w:hAnsi="Cambria" w:cs="Cambria"/>
          <w:sz w:val="18"/>
          <w:szCs w:val="18"/>
        </w:rPr>
        <w:t xml:space="preserve">e do percentual de tributo inserido na planilha, no pagamento serão retidos na fonte os percentuais estabelecidos na legislação vigente</w:t>
      </w:r>
      <w:r/>
    </w:p>
    <w:p>
      <w:pPr>
        <w:pStyle w:val="1115"/>
        <w:numPr>
          <w:ilvl w:val="1"/>
          <w:numId w:val="10"/>
        </w:numPr>
        <w:ind w:left="0" w:firstLine="0"/>
        <w:spacing w:before="0" w:after="0" w:line="240" w:lineRule="auto"/>
        <w:rPr>
          <w:rFonts w:ascii="Cambria" w:hAnsi="Cambria" w:cs="Cambria"/>
          <w:i w:val="0"/>
          <w:iCs w:val="0"/>
          <w:color w:val="auto"/>
          <w:sz w:val="18"/>
          <w:szCs w:val="18"/>
        </w:rPr>
      </w:pPr>
      <w:r>
        <w:rPr>
          <w:rFonts w:ascii="Cambria" w:hAnsi="Cambria" w:cs="Cambria"/>
          <w:i w:val="0"/>
          <w:iCs w:val="0"/>
          <w:color w:val="auto"/>
          <w:sz w:val="18"/>
          <w:szCs w:val="18"/>
        </w:rPr>
        <w:t xml:space="preserve">Na presente licitação, a Microempresa e a Empresa de Pequeno Porte poderão se beneficiar do regime de tributação pelo Si</w:t>
      </w:r>
      <w:r>
        <w:rPr>
          <w:rFonts w:ascii="Cambria" w:hAnsi="Cambria" w:cs="Cambria"/>
          <w:i w:val="0"/>
          <w:iCs w:val="0"/>
          <w:color w:val="auto"/>
          <w:sz w:val="18"/>
          <w:szCs w:val="18"/>
        </w:rPr>
        <w:t xml:space="preserve">mples Nacional.</w:t>
      </w:r>
      <w:r/>
    </w:p>
    <w:p>
      <w:pPr>
        <w:pStyle w:val="106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A apresentação das propostas implica obrigatoriedade do cumprimento das disposições nelas contidas, em conformidade com o que dispõe o Termo de Referência, assumindo o proponente o compromisso de executar o objeto licitado nos seus termos, </w:t>
      </w:r>
      <w:r>
        <w:rPr>
          <w:rFonts w:ascii="Cambria" w:hAnsi="Cambria" w:cs="Cambria"/>
          <w:sz w:val="18"/>
          <w:szCs w:val="18"/>
        </w:rPr>
        <w:t xml:space="preserve">bem como de fornecer os materiais, equipamentos, ferramentas e utensílios necessários, em quantidades e qualidades adequadas à perfeita execução contratual, promovendo, quando requerido, sua substituição.</w:t>
      </w:r>
      <w:r/>
    </w:p>
    <w:p>
      <w:pPr>
        <w:pStyle w:val="106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O prazo de validade da proposta não será inferior a </w:t>
      </w:r>
      <w:r>
        <w:rPr>
          <w:rFonts w:ascii="Cambria" w:hAnsi="Cambria" w:cs="Cambria"/>
          <w:b/>
          <w:bCs/>
          <w:color w:val="auto"/>
          <w:sz w:val="18"/>
          <w:szCs w:val="18"/>
        </w:rPr>
        <w:t xml:space="preserve">60 (sessenta)</w:t>
      </w:r>
      <w:r>
        <w:rPr>
          <w:rFonts w:ascii="Cambria" w:hAnsi="Cambria" w:cs="Cambria"/>
          <w:color w:val="ff0000"/>
          <w:sz w:val="18"/>
          <w:szCs w:val="18"/>
        </w:rPr>
        <w:t xml:space="preserve"> </w:t>
      </w:r>
      <w:r>
        <w:rPr>
          <w:rFonts w:ascii="Cambria" w:hAnsi="Cambria" w:cs="Cambria"/>
          <w:sz w:val="18"/>
          <w:szCs w:val="18"/>
        </w:rPr>
        <w:t xml:space="preserve">dias</w:t>
      </w:r>
      <w:r>
        <w:rPr>
          <w:rFonts w:ascii="Cambria" w:hAnsi="Cambria" w:cs="Cambria"/>
          <w:b/>
          <w:bCs/>
          <w:sz w:val="18"/>
          <w:szCs w:val="18"/>
        </w:rPr>
        <w:t xml:space="preserve">,</w:t>
      </w:r>
      <w:r>
        <w:rPr>
          <w:rFonts w:ascii="Cambria" w:hAnsi="Cambria" w:cs="Cambria"/>
          <w:sz w:val="18"/>
          <w:szCs w:val="18"/>
        </w:rPr>
        <w:t xml:space="preserve"> a contar da data de sua apresentação.</w:t>
      </w:r>
      <w:r/>
    </w:p>
    <w:p>
      <w:pPr>
        <w:pStyle w:val="1068"/>
        <w:numPr>
          <w:ilvl w:val="2"/>
          <w:numId w:val="10"/>
        </w:numPr>
        <w:spacing w:before="0" w:after="0" w:line="240" w:lineRule="auto"/>
        <w:rPr>
          <w:rFonts w:ascii="Cambria" w:hAnsi="Cambria" w:cs="Cambria"/>
          <w:sz w:val="18"/>
          <w:szCs w:val="18"/>
        </w:rPr>
      </w:pPr>
      <w:r>
        <w:rPr>
          <w:rFonts w:ascii="Cambria" w:hAnsi="Cambria" w:cs="Cambria"/>
          <w:sz w:val="18"/>
          <w:szCs w:val="18"/>
        </w:rPr>
        <w:t xml:space="preserve">Os licitantes devem respeitar os preços máximos e</w:t>
      </w:r>
      <w:r>
        <w:rPr>
          <w:rFonts w:ascii="Cambria" w:hAnsi="Cambria" w:cs="Cambria"/>
          <w:sz w:val="18"/>
          <w:szCs w:val="18"/>
        </w:rPr>
        <w:t xml:space="preserve">stabelecidos nas normas de regência de contratações públicas federais, quando participarem</w:t>
      </w:r>
      <w:r>
        <w:rPr>
          <w:rFonts w:ascii="Cambria" w:hAnsi="Cambria" w:cs="Cambria"/>
          <w:sz w:val="18"/>
          <w:szCs w:val="18"/>
        </w:rPr>
        <w:t xml:space="preserve"> de licitações públicas;</w:t>
      </w:r>
      <w:r/>
    </w:p>
    <w:p>
      <w:pPr>
        <w:pStyle w:val="106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O</w:t>
      </w:r>
      <w:r>
        <w:rPr>
          <w:rFonts w:ascii="Cambria" w:hAnsi="Cambria" w:cs="Cambria"/>
          <w:sz w:val="18"/>
          <w:szCs w:val="18"/>
        </w:rPr>
        <w:t xml:space="preserve"> descumprimento das regras supramencionadas pela Administração por parte dos contratados pode ensejar a </w:t>
      </w:r>
      <w:r>
        <w:rPr>
          <w:rFonts w:ascii="Cambria" w:hAnsi="Cambria" w:cs="Cambria"/>
          <w:color w:val="000000" w:themeColor="text1"/>
          <w:sz w:val="18"/>
          <w:szCs w:val="18"/>
        </w:rPr>
        <w:t xml:space="preserve">responsabilização pelo</w:t>
      </w:r>
      <w:r>
        <w:rPr>
          <w:rFonts w:ascii="Cambria" w:hAnsi="Cambria" w:cs="Cambria"/>
          <w:sz w:val="18"/>
          <w:szCs w:val="18"/>
        </w:rPr>
        <w:t xml:space="preserve"> Tribunal de Contas da União e, após o devido processo legal, gerar as seguintes consequências: assinatu</w:t>
      </w:r>
      <w:r>
        <w:rPr>
          <w:rFonts w:ascii="Cambria" w:hAnsi="Cambria" w:cs="Cambria"/>
          <w:sz w:val="18"/>
          <w:szCs w:val="18"/>
        </w:rPr>
        <w:t xml:space="preserve">ra de prazo para a adoção das medidas necessárias ao exato cumprimento da lei, nos termos do </w:t>
      </w:r>
      <w:hyperlink r:id="rId31" w:tooltip="https://www.planalto.gov.br/ccivil_03/constituicao/constituicaocompilado.htm" w:history="1">
        <w:r>
          <w:rPr>
            <w:rStyle w:val="839"/>
            <w:rFonts w:ascii="Cambria" w:hAnsi="Cambria" w:cs="Cambria"/>
            <w:sz w:val="18"/>
            <w:szCs w:val="18"/>
          </w:rPr>
          <w:t xml:space="preserve">art. 71, inciso IX, da Constituição</w:t>
        </w:r>
      </w:hyperlink>
      <w:r>
        <w:rPr>
          <w:rFonts w:ascii="Cambria" w:hAnsi="Cambria" w:cs="Cambria"/>
          <w:sz w:val="18"/>
          <w:szCs w:val="18"/>
        </w:rPr>
        <w:t xml:space="preserve">; ou condenação dos agentes públ</w:t>
      </w:r>
      <w:r>
        <w:rPr>
          <w:rFonts w:ascii="Cambria" w:hAnsi="Cambria" w:cs="Cambria"/>
          <w:sz w:val="18"/>
          <w:szCs w:val="18"/>
        </w:rPr>
        <w:t xml:space="preserve">icos responsáveis e da empresa contratada ao pagamento dos prejuízos ao erário, caso verificada a ocorrência de superfaturamento por </w:t>
      </w:r>
      <w:r>
        <w:rPr>
          <w:rFonts w:ascii="Cambria" w:hAnsi="Cambria" w:cs="Cambria"/>
          <w:sz w:val="18"/>
          <w:szCs w:val="18"/>
        </w:rPr>
        <w:t xml:space="preserve">sobre preço</w:t>
      </w:r>
      <w:r>
        <w:rPr>
          <w:rFonts w:ascii="Cambria" w:hAnsi="Cambria" w:cs="Cambria"/>
          <w:sz w:val="18"/>
          <w:szCs w:val="18"/>
        </w:rPr>
        <w:t xml:space="preserve"> na execução do contrato.</w:t>
      </w:r>
      <w:r/>
    </w:p>
    <w:p>
      <w:pPr>
        <w:pStyle w:val="1068"/>
        <w:numPr>
          <w:ilvl w:val="1"/>
          <w:numId w:val="0"/>
        </w:numPr>
        <w:spacing w:before="0" w:after="0" w:line="240" w:lineRule="auto"/>
        <w:rPr>
          <w:rFonts w:ascii="Cambria" w:hAnsi="Cambria" w:cs="Cambria"/>
          <w:color w:val="000000" w:themeColor="text1"/>
          <w:sz w:val="18"/>
          <w:szCs w:val="18"/>
          <w:highlight w:val="yellow"/>
        </w:rPr>
      </w:pPr>
      <w:r>
        <w:rPr>
          <w:rFonts w:ascii="Cambria" w:hAnsi="Cambria" w:cs="Cambria"/>
          <w:color w:val="000000" w:themeColor="text1"/>
          <w:sz w:val="18"/>
          <w:szCs w:val="18"/>
          <w:highlight w:val="yellow"/>
        </w:rPr>
      </w:r>
      <w:r/>
    </w:p>
    <w:p>
      <w:pPr>
        <w:pStyle w:val="1051"/>
        <w:numPr>
          <w:ilvl w:val="0"/>
          <w:numId w:val="10"/>
        </w:numPr>
        <w:ind w:left="0" w:firstLine="0"/>
        <w:spacing w:before="0" w:after="0" w:line="240" w:lineRule="auto"/>
        <w:rPr>
          <w:rFonts w:ascii="Cambria" w:hAnsi="Cambria" w:cs="Cambria"/>
          <w:sz w:val="18"/>
          <w:szCs w:val="18"/>
        </w:rPr>
      </w:pPr>
      <w:r/>
      <w:bookmarkStart w:id="23" w:name="_Toc135469228"/>
      <w:r>
        <w:rPr>
          <w:rFonts w:ascii="Cambria" w:hAnsi="Cambria" w:cs="Cambria"/>
          <w:sz w:val="18"/>
          <w:szCs w:val="18"/>
        </w:rPr>
        <w:t xml:space="preserve">DA ABERTURA DA SESSÃO, CLASSIFICAÇÃO DAS PROPOSTAS E FORMULAÇÃO DE LANCES</w:t>
      </w:r>
      <w:bookmarkEnd w:id="23"/>
      <w:r/>
      <w:r/>
    </w:p>
    <w:p>
      <w:pPr>
        <w:pStyle w:val="1068"/>
        <w:numPr>
          <w:ilvl w:val="1"/>
          <w:numId w:val="10"/>
        </w:numPr>
        <w:ind w:left="0" w:firstLine="0"/>
        <w:spacing w:before="0" w:after="0" w:line="240" w:lineRule="auto"/>
        <w:rPr>
          <w:rFonts w:ascii="Cambria" w:hAnsi="Cambria" w:cs="Cambria"/>
          <w:sz w:val="18"/>
          <w:szCs w:val="18"/>
        </w:rPr>
      </w:pPr>
      <w:r/>
      <w:bookmarkStart w:id="24" w:name="_Hlk114646655"/>
      <w:r>
        <w:rPr>
          <w:rFonts w:ascii="Cambria" w:hAnsi="Cambria" w:cs="Cambria"/>
          <w:sz w:val="18"/>
          <w:szCs w:val="18"/>
        </w:rPr>
        <w:t xml:space="preserve">A abertura da presente licitação dar-se-á automaticamente em sessão pública, por meio de sistema eletrônico, na data, horário e local indicados neste Edital.</w:t>
      </w:r>
      <w:r/>
    </w:p>
    <w:p>
      <w:pPr>
        <w:pStyle w:val="106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Os licitantes poderão retirar ou substituir a proposta ou os documentos de habilitação, quando for</w:t>
      </w:r>
      <w:r>
        <w:rPr>
          <w:rFonts w:ascii="Cambria" w:hAnsi="Cambria" w:cs="Cambria"/>
          <w:sz w:val="18"/>
          <w:szCs w:val="18"/>
        </w:rPr>
        <w:t xml:space="preserve"> o caso, anteriormente inseridos no sistema, até a abertura da sessão pública.</w:t>
      </w:r>
      <w:r/>
    </w:p>
    <w:p>
      <w:pPr>
        <w:pStyle w:val="106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O sistema disponibilizará campo próprio para troca de mensagens entre o Pregoeiro e os licitantes.</w:t>
      </w:r>
      <w:r/>
    </w:p>
    <w:p>
      <w:pPr>
        <w:pStyle w:val="106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Iniciada a etapa competitiva, os licitantes deverão encaminhar lances exclusivamente por meio de sistema eletrônico, sendo imediatamente informados do seu recebimento e do valor consignado no registro. </w:t>
      </w:r>
      <w:r/>
    </w:p>
    <w:p>
      <w:pPr>
        <w:pStyle w:val="106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O lance deverá ser ofertado pelo valor unitário do it</w:t>
      </w:r>
      <w:r>
        <w:rPr>
          <w:rFonts w:ascii="Cambria" w:hAnsi="Cambria" w:cs="Cambria"/>
          <w:sz w:val="18"/>
          <w:szCs w:val="18"/>
        </w:rPr>
        <w:t xml:space="preserve">em</w:t>
      </w:r>
      <w:r/>
    </w:p>
    <w:p>
      <w:pPr>
        <w:pStyle w:val="106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Os licitantes poderão oferecer lances sucessivos, observando o horário fixado para abertura da sessão e as regras estabelecidas no Edital.</w:t>
      </w:r>
      <w:r/>
    </w:p>
    <w:p>
      <w:pPr>
        <w:pStyle w:val="106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O licitante somente poderá oferecer lance</w:t>
      </w:r>
      <w:r>
        <w:rPr>
          <w:rFonts w:ascii="Cambria" w:hAnsi="Cambria" w:cs="Cambria"/>
          <w:color w:val="auto"/>
          <w:sz w:val="18"/>
          <w:szCs w:val="18"/>
        </w:rPr>
        <w:t xml:space="preserve"> de valor inferior ou percentual de desconto superior</w:t>
      </w:r>
      <w:r>
        <w:rPr>
          <w:rFonts w:ascii="Cambria" w:hAnsi="Cambria" w:cs="Cambria"/>
          <w:color w:val="ff0000"/>
          <w:sz w:val="18"/>
          <w:szCs w:val="18"/>
        </w:rPr>
        <w:t xml:space="preserve"> </w:t>
      </w:r>
      <w:r>
        <w:rPr>
          <w:rFonts w:ascii="Cambria" w:hAnsi="Cambria" w:cs="Cambria"/>
          <w:sz w:val="18"/>
          <w:szCs w:val="18"/>
        </w:rPr>
        <w:t xml:space="preserve">ao último por ele o</w:t>
      </w:r>
      <w:r>
        <w:rPr>
          <w:rFonts w:ascii="Cambria" w:hAnsi="Cambria" w:cs="Cambria"/>
          <w:sz w:val="18"/>
          <w:szCs w:val="18"/>
        </w:rPr>
        <w:t xml:space="preserve">fertado e registrado pelo sistema. </w:t>
      </w:r>
      <w:r/>
    </w:p>
    <w:p>
      <w:pPr>
        <w:pStyle w:val="106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O intervalo mínimo de diferença de valores ou percentuais entre os lances, que incidirá tanto em relação aos lances intermediários quanto em relação à proposta que cobrir a melhor oferta deverá ser</w:t>
      </w:r>
      <w:r>
        <w:rPr>
          <w:rFonts w:ascii="Cambria" w:hAnsi="Cambria" w:cs="Cambria"/>
          <w:sz w:val="18"/>
          <w:szCs w:val="18"/>
        </w:rPr>
        <w:t xml:space="preserve"> de 1 centavo.</w:t>
      </w:r>
      <w:r/>
    </w:p>
    <w:p>
      <w:pPr>
        <w:pStyle w:val="106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O licita</w:t>
      </w:r>
      <w:r>
        <w:rPr>
          <w:rFonts w:ascii="Cambria" w:hAnsi="Cambria" w:cs="Cambria"/>
          <w:sz w:val="18"/>
          <w:szCs w:val="18"/>
        </w:rPr>
        <w:t xml:space="preserve">nte poderá, uma única vez, excluir seu último lance ofertado, no intervalo de quinze segundos após o registro no sistema, na hipótese de lance inconsistente ou inexequível.</w:t>
      </w:r>
      <w:r/>
    </w:p>
    <w:p>
      <w:pPr>
        <w:pStyle w:val="106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O procedimento seguirá de acordo com o modo de disputa adotado.</w:t>
      </w:r>
      <w:r/>
    </w:p>
    <w:p>
      <w:pPr>
        <w:pStyle w:val="1068"/>
        <w:numPr>
          <w:ilvl w:val="1"/>
          <w:numId w:val="10"/>
        </w:numPr>
        <w:ind w:left="0" w:firstLine="0"/>
        <w:spacing w:before="0" w:after="0" w:line="240" w:lineRule="auto"/>
        <w:rPr>
          <w:rFonts w:ascii="Cambria" w:hAnsi="Cambria" w:cs="Cambria"/>
          <w:sz w:val="18"/>
          <w:szCs w:val="18"/>
        </w:rPr>
      </w:pPr>
      <w:r/>
      <w:bookmarkStart w:id="25" w:name="_Hlk113697759"/>
      <w:r>
        <w:rPr>
          <w:rFonts w:ascii="Cambria" w:hAnsi="Cambria" w:cs="Cambria"/>
          <w:sz w:val="18"/>
          <w:szCs w:val="18"/>
        </w:rPr>
        <w:t xml:space="preserve">Caso seja adotado p</w:t>
      </w:r>
      <w:r>
        <w:rPr>
          <w:rFonts w:ascii="Cambria" w:hAnsi="Cambria" w:cs="Cambria"/>
          <w:sz w:val="18"/>
          <w:szCs w:val="18"/>
        </w:rPr>
        <w:t xml:space="preserve">ara o envio de lances no pregão eletrônico o modo de disputa “aberto”, os licitantes apresentarão lances públicos e sucessivos, com prorrogações.</w:t>
      </w:r>
      <w:bookmarkEnd w:id="25"/>
      <w:r/>
      <w:r/>
    </w:p>
    <w:p>
      <w:pPr>
        <w:pStyle w:val="1070"/>
        <w:numPr>
          <w:ilvl w:val="2"/>
          <w:numId w:val="10"/>
        </w:numPr>
        <w:ind w:left="0" w:firstLine="0"/>
        <w:spacing w:before="0" w:after="0" w:line="240" w:lineRule="auto"/>
        <w:rPr>
          <w:rFonts w:ascii="Cambria" w:hAnsi="Cambria" w:cs="Cambria"/>
          <w:sz w:val="18"/>
          <w:szCs w:val="18"/>
        </w:rPr>
      </w:pPr>
      <w:r/>
      <w:bookmarkStart w:id="26" w:name="_Hlk113697816"/>
      <w:r>
        <w:rPr>
          <w:rFonts w:ascii="Cambria" w:hAnsi="Cambria" w:cs="Cambria"/>
          <w:sz w:val="18"/>
          <w:szCs w:val="18"/>
        </w:rPr>
        <w:t xml:space="preserve">A etapa de lances da sessão pública terá duração de dez minutos e, após isso, será prorrogada automaticamente </w:t>
      </w:r>
      <w:r>
        <w:rPr>
          <w:rFonts w:ascii="Cambria" w:hAnsi="Cambria" w:cs="Cambria"/>
          <w:sz w:val="18"/>
          <w:szCs w:val="18"/>
        </w:rPr>
        <w:t xml:space="preserve">pelo sistema quando houver lance ofertado nos últimos dois minutos do período de duração da sessão pública.</w:t>
      </w:r>
      <w:r/>
    </w:p>
    <w:p>
      <w:pPr>
        <w:pStyle w:val="1070"/>
        <w:numPr>
          <w:ilvl w:val="2"/>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A prorrogação automática da etapa de lances, de que trata o subitem anterior, será de dois minutos e ocorrerá sucessivamente sempre que houver lance</w:t>
      </w:r>
      <w:r>
        <w:rPr>
          <w:rFonts w:ascii="Cambria" w:hAnsi="Cambria" w:cs="Cambria"/>
          <w:sz w:val="18"/>
          <w:szCs w:val="18"/>
        </w:rPr>
        <w:t xml:space="preserve">s enviados nesse período de prorrogação, inclusive no caso de lances intermediários.</w:t>
      </w:r>
      <w:r/>
    </w:p>
    <w:p>
      <w:pPr>
        <w:pStyle w:val="1070"/>
        <w:numPr>
          <w:ilvl w:val="2"/>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Não havendo novos lances na forma estabelecida nos itens anteriores, a sessão pública encerrar-se-á automaticamente, e o sistema ordenará e divulgará os lances conforme a </w:t>
      </w:r>
      <w:r>
        <w:rPr>
          <w:rFonts w:ascii="Cambria" w:hAnsi="Cambria" w:cs="Cambria"/>
          <w:sz w:val="18"/>
          <w:szCs w:val="18"/>
        </w:rPr>
        <w:t xml:space="preserve">ordem final de classificação.</w:t>
      </w:r>
      <w:r/>
    </w:p>
    <w:p>
      <w:pPr>
        <w:pStyle w:val="1070"/>
        <w:numPr>
          <w:ilvl w:val="2"/>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Definida a melhor proposta, se a diferença em relação à proposta classificada em segundo lugar for de pelo menos 5% (cinco por cento), o pregoeiro, auxiliado pela equipe de apoio, poderá admitir o reinício da disputa aberta, p</w:t>
      </w:r>
      <w:r>
        <w:rPr>
          <w:rFonts w:ascii="Cambria" w:hAnsi="Cambria" w:cs="Cambria"/>
          <w:sz w:val="18"/>
          <w:szCs w:val="18"/>
        </w:rPr>
        <w:t xml:space="preserve">ara a definição das demais colocações.</w:t>
      </w:r>
      <w:r/>
    </w:p>
    <w:p>
      <w:pPr>
        <w:pStyle w:val="1070"/>
        <w:numPr>
          <w:ilvl w:val="2"/>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Após o reinício previsto no item supra, os licitantes serão convocados para apresentar lances intermediários.</w:t>
      </w:r>
      <w:bookmarkStart w:id="27" w:name="_Hlk113631522"/>
      <w:r/>
      <w:bookmarkEnd w:id="26"/>
      <w:r/>
      <w:bookmarkEnd w:id="27"/>
      <w:r/>
      <w:r/>
    </w:p>
    <w:p>
      <w:pPr>
        <w:pStyle w:val="106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Caso seja adotado para o envio de lances no pregão eletrônico o modo de disputa “aberto e fechado”, os lici</w:t>
      </w:r>
      <w:r>
        <w:rPr>
          <w:rFonts w:ascii="Cambria" w:hAnsi="Cambria" w:cs="Cambria"/>
          <w:sz w:val="18"/>
          <w:szCs w:val="18"/>
        </w:rPr>
        <w:t xml:space="preserve">tantes apresentarão lances públicos e sucessivos, com lance final e fechado.</w:t>
      </w:r>
      <w:r/>
    </w:p>
    <w:p>
      <w:pPr>
        <w:pStyle w:val="1070"/>
        <w:numPr>
          <w:ilvl w:val="2"/>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A etapa de lances da sessão pública terá duração inicial de quinze minutos. Após esse prazo, o sistema encaminhará aviso de fechamento iminente dos lances, após o que transcorrerá</w:t>
      </w:r>
      <w:r>
        <w:rPr>
          <w:rFonts w:ascii="Cambria" w:hAnsi="Cambria" w:cs="Cambria"/>
          <w:sz w:val="18"/>
          <w:szCs w:val="18"/>
        </w:rPr>
        <w:t xml:space="preserve"> o período de até dez minutos, aleatoriamente determinado, findo o qual será automaticamente encerrada a recepção de lances.</w:t>
      </w:r>
      <w:r/>
    </w:p>
    <w:p>
      <w:pPr>
        <w:pStyle w:val="1070"/>
        <w:numPr>
          <w:ilvl w:val="2"/>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Encerrado o prazo previsto no subitem anterior, o sistema abrirá oportunidade para que o autor da oferta de valor mais baixo e os d</w:t>
      </w:r>
      <w:r>
        <w:rPr>
          <w:rFonts w:ascii="Cambria" w:hAnsi="Cambria" w:cs="Cambria"/>
          <w:sz w:val="18"/>
          <w:szCs w:val="18"/>
        </w:rPr>
        <w:t xml:space="preserve">as ofertas com preços até 10% (dez por cento) </w:t>
      </w:r>
      <w:r>
        <w:rPr>
          <w:rFonts w:ascii="Cambria" w:hAnsi="Cambria" w:cs="Cambria"/>
          <w:sz w:val="18"/>
          <w:szCs w:val="18"/>
        </w:rPr>
        <w:t xml:space="preserve">superiores</w:t>
      </w:r>
      <w:r>
        <w:rPr>
          <w:rFonts w:ascii="Cambria" w:hAnsi="Cambria" w:cs="Cambria"/>
          <w:sz w:val="18"/>
          <w:szCs w:val="18"/>
        </w:rPr>
        <w:t xml:space="preserve"> àquela possam ofertar um lance final e fechado em até cinco minutos, o qual será sigiloso até o encerramento deste prazo.</w:t>
      </w:r>
      <w:r/>
    </w:p>
    <w:p>
      <w:pPr>
        <w:pStyle w:val="1070"/>
        <w:numPr>
          <w:ilvl w:val="2"/>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No procedimento de que trata o subitem supra, o licitante poderá optar por ma</w:t>
      </w:r>
      <w:r>
        <w:rPr>
          <w:rFonts w:ascii="Cambria" w:hAnsi="Cambria" w:cs="Cambria"/>
          <w:sz w:val="18"/>
          <w:szCs w:val="18"/>
        </w:rPr>
        <w:t xml:space="preserve">nter o seu último lance da etapa aberta, ou por ofertar melhor lance.</w:t>
      </w:r>
      <w:r/>
    </w:p>
    <w:p>
      <w:pPr>
        <w:pStyle w:val="1070"/>
        <w:numPr>
          <w:ilvl w:val="2"/>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Não havendo pelo menos três ofertas nas condições definidas neste item, poderão os autores dos melhores lances subsequentes, na ordem de classificação, até o máximo de três, oferecer um </w:t>
      </w:r>
      <w:r>
        <w:rPr>
          <w:rFonts w:ascii="Cambria" w:hAnsi="Cambria" w:cs="Cambria"/>
          <w:sz w:val="18"/>
          <w:szCs w:val="18"/>
        </w:rPr>
        <w:t xml:space="preserve">lance final e fechado em até cinco minutos, o qual será sigiloso até o encerramento deste prazo.</w:t>
      </w:r>
      <w:r/>
    </w:p>
    <w:p>
      <w:pPr>
        <w:pStyle w:val="1070"/>
        <w:numPr>
          <w:ilvl w:val="2"/>
          <w:numId w:val="10"/>
        </w:numPr>
        <w:ind w:left="0" w:firstLine="0"/>
        <w:spacing w:before="0" w:after="0" w:line="240" w:lineRule="auto"/>
        <w:rPr>
          <w:rFonts w:ascii="Cambria" w:hAnsi="Cambria" w:cs="Cambria"/>
          <w:sz w:val="18"/>
          <w:szCs w:val="18"/>
        </w:rPr>
      </w:pPr>
      <w:r/>
      <w:bookmarkStart w:id="28" w:name="_Hlk113698144"/>
      <w:r>
        <w:rPr>
          <w:rFonts w:ascii="Cambria" w:hAnsi="Cambria" w:cs="Cambria"/>
          <w:sz w:val="18"/>
          <w:szCs w:val="18"/>
        </w:rPr>
        <w:t xml:space="preserve">Após o término dos prazos estabelecidos nos itens anteriores, o sistema ordenará e divulgará os lances segundo a ordem crescente de valores.</w:t>
      </w:r>
      <w:bookmarkEnd w:id="28"/>
      <w:r/>
      <w:r/>
    </w:p>
    <w:p>
      <w:pPr>
        <w:pStyle w:val="1068"/>
        <w:numPr>
          <w:ilvl w:val="1"/>
          <w:numId w:val="10"/>
        </w:numPr>
        <w:ind w:left="0" w:firstLine="0"/>
        <w:spacing w:before="0" w:after="0" w:line="240" w:lineRule="auto"/>
        <w:rPr>
          <w:rFonts w:ascii="Cambria" w:hAnsi="Cambria" w:cs="Cambria"/>
          <w:sz w:val="18"/>
          <w:szCs w:val="18"/>
        </w:rPr>
      </w:pPr>
      <w:r/>
      <w:bookmarkStart w:id="29" w:name="_Ref116973524"/>
      <w:r>
        <w:rPr>
          <w:rFonts w:ascii="Cambria" w:hAnsi="Cambria" w:cs="Cambria"/>
          <w:sz w:val="18"/>
          <w:szCs w:val="18"/>
        </w:rPr>
        <w:t xml:space="preserve">Caso seja adotado </w:t>
      </w:r>
      <w:r>
        <w:rPr>
          <w:rFonts w:ascii="Cambria" w:hAnsi="Cambria" w:cs="Cambria"/>
          <w:sz w:val="18"/>
          <w:szCs w:val="18"/>
        </w:rPr>
        <w:t xml:space="preserve">para o envio de lances no pregão eletrônico o modo de disputa “fechado e aberto”, poderão participar da etapa aberta somente os licitantes que apresentarem a proposta de menor preço/ maior percentual de desconto e os das propostas até 10% (dez por cento) s</w:t>
      </w:r>
      <w:r>
        <w:rPr>
          <w:rFonts w:ascii="Cambria" w:hAnsi="Cambria" w:cs="Cambria"/>
          <w:sz w:val="18"/>
          <w:szCs w:val="18"/>
        </w:rPr>
        <w:t xml:space="preserve">uperiores/inferiores àquela, em que os licitantes apresentarão lances públicos e sucessivos, até o encerramento da sessão e eventuais prorrogações.</w:t>
      </w:r>
      <w:bookmarkEnd w:id="29"/>
      <w:r/>
      <w:r/>
    </w:p>
    <w:p>
      <w:pPr>
        <w:pStyle w:val="1070"/>
        <w:numPr>
          <w:ilvl w:val="2"/>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Não havendo pelo menos 3 (três) propostas nas condições definidas no item </w:t>
      </w:r>
      <w:r>
        <w:rPr>
          <w:rFonts w:ascii="Cambria" w:hAnsi="Cambria" w:cs="Cambria"/>
          <w:sz w:val="18"/>
          <w:szCs w:val="18"/>
        </w:rPr>
        <w:fldChar w:fldCharType="begin"/>
      </w:r>
      <w:r>
        <w:rPr>
          <w:rFonts w:ascii="Cambria" w:hAnsi="Cambria" w:cs="Cambria"/>
          <w:sz w:val="18"/>
          <w:szCs w:val="18"/>
        </w:rPr>
        <w:instrText xml:space="preserve"> REF _Ref116973524 \r \h  \* MERGE</w:instrText>
      </w:r>
      <w:r>
        <w:rPr>
          <w:rFonts w:ascii="Cambria" w:hAnsi="Cambria" w:cs="Cambria"/>
          <w:sz w:val="18"/>
          <w:szCs w:val="18"/>
        </w:rPr>
        <w:instrText xml:space="preserve">FORMAT </w:instrText>
      </w:r>
      <w:r>
        <w:rPr>
          <w:rFonts w:ascii="Cambria" w:hAnsi="Cambria" w:cs="Cambria"/>
          <w:sz w:val="18"/>
          <w:szCs w:val="18"/>
        </w:rPr>
        <w:fldChar w:fldCharType="separate"/>
      </w:r>
      <w:r>
        <w:rPr>
          <w:rFonts w:ascii="Cambria" w:hAnsi="Cambria" w:cs="Cambria"/>
          <w:sz w:val="18"/>
          <w:szCs w:val="18"/>
        </w:rPr>
        <w:t xml:space="preserve">6.13</w:t>
      </w:r>
      <w:r>
        <w:rPr>
          <w:rFonts w:ascii="Cambria" w:hAnsi="Cambria" w:cs="Cambria"/>
          <w:sz w:val="18"/>
          <w:szCs w:val="18"/>
        </w:rPr>
        <w:fldChar w:fldCharType="end"/>
      </w:r>
      <w:r>
        <w:rPr>
          <w:rFonts w:ascii="Cambria" w:hAnsi="Cambria" w:cs="Cambria"/>
          <w:sz w:val="18"/>
          <w:szCs w:val="18"/>
        </w:rPr>
        <w:t xml:space="preserve">, poderão os licitantes que apresentaram as três melhores propostas, consideradas as empatadas, oferecer novos lances sucessivos.</w:t>
      </w:r>
      <w:r/>
    </w:p>
    <w:p>
      <w:pPr>
        <w:pStyle w:val="1070"/>
        <w:numPr>
          <w:ilvl w:val="2"/>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A etapa de lances da sessão pública terá duração de dez minutos e, após isso, será prorrogada automaticamente pelo sistema quando houver lance ofertado nos últimos dois minutos do período de duração da sessão pública.</w:t>
      </w:r>
      <w:r/>
    </w:p>
    <w:p>
      <w:pPr>
        <w:pStyle w:val="1070"/>
        <w:numPr>
          <w:ilvl w:val="2"/>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A prorrogação automática da etapa de l</w:t>
      </w:r>
      <w:r>
        <w:rPr>
          <w:rFonts w:ascii="Cambria" w:hAnsi="Cambria" w:cs="Cambria"/>
          <w:sz w:val="18"/>
          <w:szCs w:val="18"/>
        </w:rPr>
        <w:t xml:space="preserve">ances, de que trata o subitem anterior, será de dois minutos e ocorrerá sucessivamente sempre que houver lances enviados nesse período de prorrogação, inclusive no caso de lances intermediários.</w:t>
      </w:r>
      <w:r/>
    </w:p>
    <w:p>
      <w:pPr>
        <w:pStyle w:val="1070"/>
        <w:numPr>
          <w:ilvl w:val="2"/>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Não havendo novos lances na forma estabelecida nos itens ante</w:t>
      </w:r>
      <w:r>
        <w:rPr>
          <w:rFonts w:ascii="Cambria" w:hAnsi="Cambria" w:cs="Cambria"/>
          <w:sz w:val="18"/>
          <w:szCs w:val="18"/>
        </w:rPr>
        <w:t xml:space="preserve">riores, a sessão pública encerrar-se-á automaticamente, e o sistema ordenará e divulgará os lances conforme a ordem final de classificação.</w:t>
      </w:r>
      <w:r/>
    </w:p>
    <w:p>
      <w:pPr>
        <w:pStyle w:val="1070"/>
        <w:numPr>
          <w:ilvl w:val="2"/>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Definida a melhor proposta, se a diferença em relação à proposta classificada em segundo lugar for de pelo menos 5% </w:t>
      </w:r>
      <w:r>
        <w:rPr>
          <w:rFonts w:ascii="Cambria" w:hAnsi="Cambria" w:cs="Cambria"/>
          <w:sz w:val="18"/>
          <w:szCs w:val="18"/>
        </w:rPr>
        <w:t xml:space="preserve">(cinco por cento), o pregoeiro, auxiliado pela equipe de apoio, poderá admitir o reinício da disputa aberta, para a definição das demais colocações.</w:t>
      </w:r>
      <w:r/>
    </w:p>
    <w:p>
      <w:pPr>
        <w:pStyle w:val="1070"/>
        <w:numPr>
          <w:ilvl w:val="2"/>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Após o reinício previsto no subitem supra, os licitantes serão convocados para apresentar lances intermediários.  </w:t>
      </w:r>
      <w:r/>
    </w:p>
    <w:p>
      <w:pPr>
        <w:pStyle w:val="106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Após o término dos prazos estabelecidos nos subitens anteriores, o sistema ordenará e divulgará os lances segundo a ordem crescente de valore</w:t>
      </w:r>
      <w:r>
        <w:rPr>
          <w:rFonts w:ascii="Cambria" w:hAnsi="Cambria" w:cs="Cambria"/>
          <w:sz w:val="18"/>
          <w:szCs w:val="18"/>
        </w:rPr>
        <w:t xml:space="preserve">s.</w:t>
      </w:r>
      <w:r/>
    </w:p>
    <w:p>
      <w:pPr>
        <w:pStyle w:val="106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Não serão aceitos dois ou mais lances de mesmo valor, prevalecendo aquele que for recebido e registrado em primeiro lugar. </w:t>
      </w:r>
      <w:r/>
    </w:p>
    <w:p>
      <w:pPr>
        <w:pStyle w:val="106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Durante o transcurso da sessão pública, os licitantes serão informados, em tempo real, do valor do menor lance registrado, vedada</w:t>
      </w:r>
      <w:r>
        <w:rPr>
          <w:rFonts w:ascii="Cambria" w:hAnsi="Cambria" w:cs="Cambria"/>
          <w:sz w:val="18"/>
          <w:szCs w:val="18"/>
        </w:rPr>
        <w:t xml:space="preserve"> a identificação do licitante. </w:t>
      </w:r>
      <w:r/>
    </w:p>
    <w:p>
      <w:pPr>
        <w:pStyle w:val="106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No caso de desconexão com o Pregoeiro, no decorrer da etapa competitiva do Pregão, o sistema eletrônico poderá permanecer acessível aos licitantes para a recepção dos lances. </w:t>
      </w:r>
      <w:r/>
    </w:p>
    <w:p>
      <w:pPr>
        <w:pStyle w:val="106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Quando a desconexão do sistema eletrônico para o</w:t>
      </w:r>
      <w:r>
        <w:rPr>
          <w:rFonts w:ascii="Cambria" w:hAnsi="Cambria" w:cs="Cambria"/>
          <w:sz w:val="18"/>
          <w:szCs w:val="18"/>
        </w:rPr>
        <w:t xml:space="preserve"> pregoeiro persistir por tempo superior a dez minutos, a sessão pública será suspensa e reiniciada somente após decorridas vinte e quatro horas da comunicação do fato pelo Pregoeiro aos participantes, no sítio eletrônico utilizado para divulgação.</w:t>
      </w:r>
      <w:r/>
    </w:p>
    <w:p>
      <w:pPr>
        <w:pStyle w:val="106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Caso o l</w:t>
      </w:r>
      <w:r>
        <w:rPr>
          <w:rFonts w:ascii="Cambria" w:hAnsi="Cambria" w:cs="Cambria"/>
          <w:sz w:val="18"/>
          <w:szCs w:val="18"/>
        </w:rPr>
        <w:t xml:space="preserve">icitante não apresente lances, concorrerá com o valor de sua proposta.</w:t>
      </w:r>
      <w:r/>
    </w:p>
    <w:p>
      <w:pPr>
        <w:pStyle w:val="106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Em relação a itens não exclusivos para participação de microempresas e empresas de pequeno porte, uma vez encerrada a etapa de lances</w:t>
      </w:r>
      <w:r>
        <w:rPr>
          <w:rFonts w:ascii="Cambria" w:hAnsi="Cambria" w:eastAsia="Zurich BT" w:cs="Cambria"/>
          <w:sz w:val="18"/>
          <w:szCs w:val="18"/>
        </w:rPr>
        <w:t xml:space="preserve">, será efetivada a verificação automática, junto à R</w:t>
      </w:r>
      <w:r>
        <w:rPr>
          <w:rFonts w:ascii="Cambria" w:hAnsi="Cambria" w:eastAsia="Zurich BT" w:cs="Cambria"/>
          <w:sz w:val="18"/>
          <w:szCs w:val="18"/>
        </w:rPr>
        <w:t xml:space="preserve">eceita Federal, do porte da entidade empresarial. O sistema identificará em coluna própria as microempresas e empresas de pequeno porte </w:t>
      </w:r>
      <w:r>
        <w:rPr>
          <w:rFonts w:ascii="Cambria" w:hAnsi="Cambria" w:cs="Cambria"/>
          <w:sz w:val="18"/>
          <w:szCs w:val="18"/>
        </w:rPr>
        <w:t xml:space="preserve">participantes</w:t>
      </w:r>
      <w:r>
        <w:rPr>
          <w:rFonts w:ascii="Cambria" w:hAnsi="Cambria" w:eastAsia="Zurich BT" w:cs="Cambria"/>
          <w:sz w:val="18"/>
          <w:szCs w:val="18"/>
        </w:rPr>
        <w:t xml:space="preserve">, procedendo à comparação com os valores da primeira colocada, se esta for empresa de maior porte, assim co</w:t>
      </w:r>
      <w:r>
        <w:rPr>
          <w:rFonts w:ascii="Cambria" w:hAnsi="Cambria" w:eastAsia="Zurich BT" w:cs="Cambria"/>
          <w:sz w:val="18"/>
          <w:szCs w:val="18"/>
        </w:rPr>
        <w:t xml:space="preserve">mo das demais classificadas, para o fim de aplicar-se o disposto nos </w:t>
      </w:r>
      <w:hyperlink r:id="rId32" w:tooltip="https://www.planalto.gov.br/ccivil_03/leis/lcp/lcp123.htm#art44" w:anchor="art44" w:history="1">
        <w:r>
          <w:rPr>
            <w:rStyle w:val="839"/>
            <w:rFonts w:ascii="Cambria" w:hAnsi="Cambria" w:eastAsia="Zurich BT" w:cs="Cambria"/>
            <w:sz w:val="18"/>
            <w:szCs w:val="18"/>
          </w:rPr>
          <w:t xml:space="preserve">arts</w:t>
        </w:r>
        <w:r>
          <w:rPr>
            <w:rStyle w:val="839"/>
            <w:rFonts w:ascii="Cambria" w:hAnsi="Cambria" w:eastAsia="Zurich BT" w:cs="Cambria"/>
            <w:sz w:val="18"/>
            <w:szCs w:val="18"/>
          </w:rPr>
          <w:t xml:space="preserve">. 44 e 45 da Lei Complementar nº 123, de 2006</w:t>
        </w:r>
      </w:hyperlink>
      <w:r>
        <w:rPr>
          <w:rStyle w:val="839"/>
          <w:rFonts w:ascii="Cambria" w:hAnsi="Cambria" w:eastAsia="Zurich BT" w:cs="Cambria"/>
          <w:sz w:val="18"/>
          <w:szCs w:val="18"/>
        </w:rPr>
        <w:t xml:space="preserve">.</w:t>
      </w:r>
      <w:r/>
    </w:p>
    <w:p>
      <w:pPr>
        <w:pStyle w:val="1070"/>
        <w:numPr>
          <w:ilvl w:val="2"/>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Nessas condições, as propostas de </w:t>
      </w:r>
      <w:r>
        <w:rPr>
          <w:rFonts w:ascii="Cambria" w:hAnsi="Cambria" w:eastAsia="Zurich BT" w:cs="Cambria"/>
          <w:sz w:val="18"/>
          <w:szCs w:val="18"/>
        </w:rPr>
        <w:t xml:space="preserve">microempresas </w:t>
      </w:r>
      <w:r>
        <w:rPr>
          <w:rFonts w:ascii="Cambria" w:hAnsi="Cambria" w:eastAsia="Zurich BT" w:cs="Cambria"/>
          <w:sz w:val="18"/>
          <w:szCs w:val="18"/>
        </w:rPr>
        <w:t xml:space="preserve">e empresas de pequeno porte </w:t>
      </w:r>
      <w:r>
        <w:rPr>
          <w:rFonts w:ascii="Cambria" w:hAnsi="Cambria" w:cs="Cambria"/>
          <w:sz w:val="18"/>
          <w:szCs w:val="18"/>
        </w:rPr>
        <w:t xml:space="preserve">que se encontrarem na faixa de até 5% (cinco por cento) acima da melhor proposta ou melhor lance serão consideradas empatadas com a primeira colocada.</w:t>
      </w:r>
      <w:r/>
    </w:p>
    <w:p>
      <w:pPr>
        <w:pStyle w:val="1070"/>
        <w:numPr>
          <w:ilvl w:val="2"/>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A melhor classificada nos termos do subitem anterior terá o direito de encami</w:t>
      </w:r>
      <w:r>
        <w:rPr>
          <w:rFonts w:ascii="Cambria" w:hAnsi="Cambria" w:cs="Cambria"/>
          <w:sz w:val="18"/>
          <w:szCs w:val="18"/>
        </w:rPr>
        <w:t xml:space="preserve">nhar uma última oferta para desempate, obrigatoriamente em valor inferior ao da primeira colocada, no prazo de 5 (cinco) minutos controlados pelo sistema, contados após a comunicação automática para tanto.</w:t>
      </w:r>
      <w:r/>
    </w:p>
    <w:p>
      <w:pPr>
        <w:pStyle w:val="1070"/>
        <w:numPr>
          <w:ilvl w:val="2"/>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Caso a </w:t>
      </w:r>
      <w:r>
        <w:rPr>
          <w:rFonts w:ascii="Cambria" w:hAnsi="Cambria" w:eastAsia="Zurich BT" w:cs="Cambria"/>
          <w:sz w:val="18"/>
          <w:szCs w:val="18"/>
        </w:rPr>
        <w:t xml:space="preserve">microempresa ou a empresa de pequeno porte</w:t>
      </w:r>
      <w:r>
        <w:rPr>
          <w:rFonts w:ascii="Cambria" w:hAnsi="Cambria" w:cs="Cambria"/>
          <w:sz w:val="18"/>
          <w:szCs w:val="18"/>
        </w:rPr>
        <w:t xml:space="preserve"> </w:t>
      </w:r>
      <w:r>
        <w:rPr>
          <w:rFonts w:ascii="Cambria" w:hAnsi="Cambria" w:cs="Cambria"/>
          <w:sz w:val="18"/>
          <w:szCs w:val="18"/>
        </w:rPr>
        <w:t xml:space="preserve">melhor classificada desista ou não se manifeste no prazo estabelecido, serão convocadas as demais licitantes </w:t>
      </w:r>
      <w:r>
        <w:rPr>
          <w:rFonts w:ascii="Cambria" w:hAnsi="Cambria" w:eastAsia="Zurich BT" w:cs="Cambria"/>
          <w:sz w:val="18"/>
          <w:szCs w:val="18"/>
        </w:rPr>
        <w:t xml:space="preserve">microempresa e empresa de pequeno porte</w:t>
      </w:r>
      <w:r>
        <w:rPr>
          <w:rFonts w:ascii="Cambria" w:hAnsi="Cambria" w:cs="Cambria"/>
          <w:sz w:val="18"/>
          <w:szCs w:val="18"/>
        </w:rPr>
        <w:t xml:space="preserve"> que se encontrem naquele intervalo de 5% (cinco</w:t>
      </w:r>
      <w:r>
        <w:rPr>
          <w:rFonts w:ascii="Cambria" w:hAnsi="Cambria" w:cs="Cambria"/>
          <w:sz w:val="18"/>
          <w:szCs w:val="18"/>
        </w:rPr>
        <w:t xml:space="preserve"> por cento), na ordem de classificação, para o exercício do </w:t>
      </w:r>
      <w:r>
        <w:rPr>
          <w:rFonts w:ascii="Cambria" w:hAnsi="Cambria" w:cs="Cambria"/>
          <w:sz w:val="18"/>
          <w:szCs w:val="18"/>
        </w:rPr>
        <w:t xml:space="preserve">mesmo direito, no prazo estabelecido no subitem anterior.</w:t>
      </w:r>
      <w:r/>
    </w:p>
    <w:p>
      <w:pPr>
        <w:pStyle w:val="1070"/>
        <w:numPr>
          <w:ilvl w:val="2"/>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No caso de equivalência dos valores apresentados pelas microempresas e empresas de pequeno porte que se encontrem nos intervalos estabelecidos nos subitens anteriores, será realizado sorteio entre e</w:t>
      </w:r>
      <w:r>
        <w:rPr>
          <w:rFonts w:ascii="Cambria" w:hAnsi="Cambria" w:cs="Cambria"/>
          <w:sz w:val="18"/>
          <w:szCs w:val="18"/>
        </w:rPr>
        <w:t xml:space="preserve">las para que se identifique aquela que primeiro poderá apresentar melhor oferta.</w:t>
      </w:r>
      <w:r/>
    </w:p>
    <w:p>
      <w:pPr>
        <w:pStyle w:val="106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Só poderá haver empate entre propostas iguais (não seguidas de lances), ou entre lances finais da fase fechada do modo de disputa aberto e fechado. </w:t>
      </w:r>
      <w:r/>
    </w:p>
    <w:p>
      <w:pPr>
        <w:pStyle w:val="1070"/>
        <w:numPr>
          <w:ilvl w:val="2"/>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Havendo eventual empate en</w:t>
      </w:r>
      <w:r>
        <w:rPr>
          <w:rFonts w:ascii="Cambria" w:hAnsi="Cambria" w:cs="Cambria"/>
          <w:sz w:val="18"/>
          <w:szCs w:val="18"/>
        </w:rPr>
        <w:t xml:space="preserve">tre propostas ou lances, o critério de desempate será aquele previsto no </w:t>
      </w:r>
      <w:hyperlink r:id="rId33" w:tooltip="http://www.planalto.gov.br/ccivil_03/_ato2019-2022/2021/lei/L14133.htm#art60" w:anchor="art60" w:history="1">
        <w:r>
          <w:rPr>
            <w:rStyle w:val="839"/>
            <w:rFonts w:ascii="Cambria" w:hAnsi="Cambria" w:eastAsia="Arial" w:cs="Cambria"/>
            <w:sz w:val="18"/>
            <w:szCs w:val="18"/>
          </w:rPr>
          <w:t xml:space="preserve">art</w:t>
        </w:r>
        <w:r>
          <w:rPr>
            <w:rStyle w:val="839"/>
            <w:rFonts w:ascii="Cambria" w:hAnsi="Cambria" w:cs="Cambria"/>
            <w:sz w:val="18"/>
            <w:szCs w:val="18"/>
          </w:rPr>
          <w:t xml:space="preserve">. 60 da Lei nº 14.133, de 2021</w:t>
        </w:r>
      </w:hyperlink>
      <w:r>
        <w:rPr>
          <w:rFonts w:ascii="Cambria" w:hAnsi="Cambria" w:cs="Cambria"/>
          <w:sz w:val="18"/>
          <w:szCs w:val="18"/>
        </w:rPr>
        <w:t xml:space="preserve">, nesta ordem:</w:t>
      </w:r>
      <w:r/>
    </w:p>
    <w:p>
      <w:pPr>
        <w:pStyle w:val="1071"/>
        <w:numPr>
          <w:ilvl w:val="3"/>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disputa</w:t>
      </w:r>
      <w:r>
        <w:rPr>
          <w:rFonts w:ascii="Cambria" w:hAnsi="Cambria" w:cs="Cambria"/>
          <w:sz w:val="18"/>
          <w:szCs w:val="18"/>
        </w:rPr>
        <w:t xml:space="preserve"> final, hipótese em que os licitantes empatados poderão apresentar nova proposta em ato contínuo à classificação;</w:t>
      </w:r>
      <w:r/>
    </w:p>
    <w:p>
      <w:pPr>
        <w:pStyle w:val="1071"/>
        <w:numPr>
          <w:ilvl w:val="3"/>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avaliação</w:t>
      </w:r>
      <w:r>
        <w:rPr>
          <w:rFonts w:ascii="Cambria" w:hAnsi="Cambria" w:cs="Cambria"/>
          <w:sz w:val="18"/>
          <w:szCs w:val="18"/>
        </w:rPr>
        <w:t xml:space="preserve"> do desempenho contratual prévio dos licitantes, para a qual deverão preferencialmente ser utilizados registros cadastrais par</w:t>
      </w:r>
      <w:r>
        <w:rPr>
          <w:rFonts w:ascii="Cambria" w:hAnsi="Cambria" w:cs="Cambria"/>
          <w:sz w:val="18"/>
          <w:szCs w:val="18"/>
        </w:rPr>
        <w:t xml:space="preserve">a efeito de atesto de cumprimento de obrigações previstos nesta Lei;</w:t>
      </w:r>
      <w:r/>
    </w:p>
    <w:p>
      <w:pPr>
        <w:pStyle w:val="1071"/>
        <w:numPr>
          <w:ilvl w:val="3"/>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desenvolvimento</w:t>
      </w:r>
      <w:r>
        <w:rPr>
          <w:rFonts w:ascii="Cambria" w:hAnsi="Cambria" w:cs="Cambria"/>
          <w:sz w:val="18"/>
          <w:szCs w:val="18"/>
        </w:rPr>
        <w:t xml:space="preserve"> pelo licitante de ações de equidade entre homens e mulheres no ambiente de trabalho, conforme regulamento;</w:t>
      </w:r>
      <w:r/>
    </w:p>
    <w:p>
      <w:pPr>
        <w:pStyle w:val="1071"/>
        <w:numPr>
          <w:ilvl w:val="3"/>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desenvolvimento</w:t>
      </w:r>
      <w:r>
        <w:rPr>
          <w:rFonts w:ascii="Cambria" w:hAnsi="Cambria" w:cs="Cambria"/>
          <w:sz w:val="18"/>
          <w:szCs w:val="18"/>
        </w:rPr>
        <w:t xml:space="preserve"> pelo licitante de programa de integridade, confo</w:t>
      </w:r>
      <w:r>
        <w:rPr>
          <w:rFonts w:ascii="Cambria" w:hAnsi="Cambria" w:cs="Cambria"/>
          <w:sz w:val="18"/>
          <w:szCs w:val="18"/>
        </w:rPr>
        <w:t xml:space="preserve">rme orientações dos órgãos de controle.</w:t>
      </w:r>
      <w:r/>
    </w:p>
    <w:p>
      <w:pPr>
        <w:pStyle w:val="1070"/>
        <w:numPr>
          <w:ilvl w:val="2"/>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Persistindo o empate, será assegurada preferência, sucessivamente, aos bens e serviços produzidos ou prestados por:</w:t>
      </w:r>
      <w:r/>
    </w:p>
    <w:p>
      <w:pPr>
        <w:pStyle w:val="1071"/>
        <w:numPr>
          <w:ilvl w:val="3"/>
          <w:numId w:val="10"/>
        </w:numPr>
        <w:ind w:left="0" w:firstLine="0"/>
        <w:spacing w:before="0" w:after="0" w:line="240" w:lineRule="auto"/>
        <w:rPr>
          <w:rFonts w:ascii="Cambria" w:hAnsi="Cambria" w:cs="Cambria"/>
          <w:sz w:val="18"/>
          <w:szCs w:val="18"/>
        </w:rPr>
      </w:pPr>
      <w:r/>
      <w:bookmarkStart w:id="30" w:name="art60§1i"/>
      <w:r/>
      <w:bookmarkEnd w:id="30"/>
      <w:r>
        <w:rPr>
          <w:rFonts w:ascii="Cambria" w:hAnsi="Cambria" w:cs="Cambria"/>
          <w:sz w:val="18"/>
          <w:szCs w:val="18"/>
        </w:rPr>
        <w:t xml:space="preserve">empresas</w:t>
      </w:r>
      <w:r>
        <w:rPr>
          <w:rFonts w:ascii="Cambria" w:hAnsi="Cambria" w:cs="Cambria"/>
          <w:sz w:val="18"/>
          <w:szCs w:val="18"/>
        </w:rPr>
        <w:t xml:space="preserve"> estabelecidas no território do Estado ou do Distrito Federal do órgão ou entidade da Admini</w:t>
      </w:r>
      <w:r>
        <w:rPr>
          <w:rFonts w:ascii="Cambria" w:hAnsi="Cambria" w:cs="Cambria"/>
          <w:sz w:val="18"/>
          <w:szCs w:val="18"/>
        </w:rPr>
        <w:t xml:space="preserve">stração Pública estadual ou distrital licitante ou, no caso de licitação realizada por órgão ou entidade de Município, no território do Estado em que este se localize;</w:t>
      </w:r>
      <w:r/>
    </w:p>
    <w:p>
      <w:pPr>
        <w:pStyle w:val="1071"/>
        <w:numPr>
          <w:ilvl w:val="3"/>
          <w:numId w:val="10"/>
        </w:numPr>
        <w:ind w:left="0" w:firstLine="0"/>
        <w:spacing w:before="0" w:after="0" w:line="240" w:lineRule="auto"/>
        <w:rPr>
          <w:rFonts w:ascii="Cambria" w:hAnsi="Cambria" w:cs="Cambria"/>
          <w:sz w:val="18"/>
          <w:szCs w:val="18"/>
        </w:rPr>
      </w:pPr>
      <w:r/>
      <w:bookmarkStart w:id="31" w:name="art60§1ii"/>
      <w:r/>
      <w:bookmarkEnd w:id="31"/>
      <w:r>
        <w:rPr>
          <w:rFonts w:ascii="Cambria" w:hAnsi="Cambria" w:cs="Cambria"/>
          <w:sz w:val="18"/>
          <w:szCs w:val="18"/>
        </w:rPr>
        <w:t xml:space="preserve">empresas</w:t>
      </w:r>
      <w:r>
        <w:rPr>
          <w:rFonts w:ascii="Cambria" w:hAnsi="Cambria" w:cs="Cambria"/>
          <w:sz w:val="18"/>
          <w:szCs w:val="18"/>
        </w:rPr>
        <w:t xml:space="preserve"> brasileiras;</w:t>
      </w:r>
      <w:r/>
    </w:p>
    <w:p>
      <w:pPr>
        <w:pStyle w:val="1071"/>
        <w:numPr>
          <w:ilvl w:val="3"/>
          <w:numId w:val="10"/>
        </w:numPr>
        <w:ind w:left="0" w:firstLine="0"/>
        <w:spacing w:before="0" w:after="0" w:line="240" w:lineRule="auto"/>
        <w:rPr>
          <w:rFonts w:ascii="Cambria" w:hAnsi="Cambria" w:cs="Cambria"/>
          <w:sz w:val="18"/>
          <w:szCs w:val="18"/>
        </w:rPr>
      </w:pPr>
      <w:r/>
      <w:bookmarkStart w:id="32" w:name="art60§1iii"/>
      <w:r/>
      <w:bookmarkEnd w:id="32"/>
      <w:r>
        <w:rPr>
          <w:rFonts w:ascii="Cambria" w:hAnsi="Cambria" w:cs="Cambria"/>
          <w:sz w:val="18"/>
          <w:szCs w:val="18"/>
        </w:rPr>
        <w:t xml:space="preserve">empresas</w:t>
      </w:r>
      <w:r>
        <w:rPr>
          <w:rFonts w:ascii="Cambria" w:hAnsi="Cambria" w:cs="Cambria"/>
          <w:sz w:val="18"/>
          <w:szCs w:val="18"/>
        </w:rPr>
        <w:t xml:space="preserve"> que invistam em pesquisa e no desenvolvimento de tecnolog</w:t>
      </w:r>
      <w:r>
        <w:rPr>
          <w:rFonts w:ascii="Cambria" w:hAnsi="Cambria" w:cs="Cambria"/>
          <w:sz w:val="18"/>
          <w:szCs w:val="18"/>
        </w:rPr>
        <w:t xml:space="preserve">ia no País;</w:t>
      </w:r>
      <w:r/>
    </w:p>
    <w:p>
      <w:pPr>
        <w:pStyle w:val="1071"/>
        <w:numPr>
          <w:ilvl w:val="3"/>
          <w:numId w:val="10"/>
        </w:numPr>
        <w:ind w:left="0" w:firstLine="0"/>
        <w:spacing w:before="0" w:after="0" w:line="240" w:lineRule="auto"/>
        <w:rPr>
          <w:rFonts w:ascii="Cambria" w:hAnsi="Cambria" w:cs="Cambria"/>
          <w:sz w:val="18"/>
          <w:szCs w:val="18"/>
        </w:rPr>
      </w:pPr>
      <w:r/>
      <w:bookmarkStart w:id="33" w:name="art60§1iv"/>
      <w:r/>
      <w:bookmarkEnd w:id="33"/>
      <w:r>
        <w:rPr>
          <w:rFonts w:ascii="Cambria" w:hAnsi="Cambria" w:cs="Cambria"/>
          <w:sz w:val="18"/>
          <w:szCs w:val="18"/>
        </w:rPr>
        <w:t xml:space="preserve">empresas que comprovem a prática de mitigação, nos termos da </w:t>
      </w:r>
      <w:hyperlink r:id="rId34" w:tooltip="https://www.planalto.gov.br/ccivil_03/_ato2007-2010/2009/lei/l12187.htm#:~:text=LEI%20N%C2%BA%2012.187%2C%20DE%2029%20DE%20DEZEMBRO%20DE%202009.&amp;text=Institui%20a%20Pol%C3%ADtica%20Nacional%20sobre,PNMC%20e%20d%C3%A1%20outras%20provid%C3%AAncias." w:anchor=":~:text=LEI%20N%C2%BA%2012.187%2C%20DE%2029%20DE%20DEZEMBRO%20DE%202009.&amp;text=Institui%20a%20Pol%C3%ADtica%20Nacional%20sobre,PNMC%20e%20d%C3%A1%20outras%20provid%C3%AAncias." w:history="1">
        <w:r>
          <w:rPr>
            <w:rStyle w:val="839"/>
            <w:rFonts w:ascii="Cambria" w:hAnsi="Cambria" w:cs="Cambria"/>
            <w:sz w:val="18"/>
            <w:szCs w:val="18"/>
          </w:rPr>
          <w:t xml:space="preserve">Lei nº 12.187, de 29 de dezembro de 2009</w:t>
        </w:r>
      </w:hyperlink>
      <w:r>
        <w:rPr>
          <w:rFonts w:ascii="Cambria" w:hAnsi="Cambria" w:cs="Cambria"/>
          <w:sz w:val="18"/>
          <w:szCs w:val="18"/>
        </w:rPr>
        <w:t xml:space="preserve">.</w:t>
      </w:r>
      <w:r/>
    </w:p>
    <w:p>
      <w:pPr>
        <w:pStyle w:val="106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Encerrada a etapa de envio de lances da sessão pública, na hipótese </w:t>
      </w:r>
      <w:r>
        <w:rPr>
          <w:rFonts w:ascii="Cambria" w:hAnsi="Cambria" w:cs="Cambria"/>
          <w:sz w:val="18"/>
          <w:szCs w:val="18"/>
        </w:rPr>
        <w:t xml:space="preserve">da</w:t>
      </w:r>
      <w:r>
        <w:rPr>
          <w:rFonts w:ascii="Cambria" w:hAnsi="Cambria" w:cs="Cambria"/>
          <w:sz w:val="18"/>
          <w:szCs w:val="18"/>
        </w:rPr>
        <w:t xml:space="preserve"> proposta do primeiro colocado permanecer acima do preço máximo ou inferior ao desconto definido para a contratação, o pregoeiro poderá negoc</w:t>
      </w:r>
      <w:r>
        <w:rPr>
          <w:rFonts w:ascii="Cambria" w:hAnsi="Cambria" w:cs="Cambria"/>
          <w:sz w:val="18"/>
          <w:szCs w:val="18"/>
        </w:rPr>
        <w:t xml:space="preserve">iar condições mais vantajosas, após definido o resultado do julgamento.</w:t>
      </w:r>
      <w:r/>
    </w:p>
    <w:p>
      <w:pPr>
        <w:pStyle w:val="1070"/>
        <w:numPr>
          <w:ilvl w:val="2"/>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A negociação poderá ser feita com os demais licitantes, segundo a ordem de classificação inicialmente estabelecida, quando o primeiro colocado, mesmo após a negociação, for desclassifi</w:t>
      </w:r>
      <w:r>
        <w:rPr>
          <w:rFonts w:ascii="Cambria" w:hAnsi="Cambria" w:cs="Cambria"/>
          <w:sz w:val="18"/>
          <w:szCs w:val="18"/>
        </w:rPr>
        <w:t xml:space="preserve">cado em razão de sua proposta permanecer acima do preço máximo definido pela Administração.</w:t>
      </w:r>
      <w:r/>
    </w:p>
    <w:p>
      <w:pPr>
        <w:pStyle w:val="1070"/>
        <w:numPr>
          <w:ilvl w:val="2"/>
          <w:numId w:val="10"/>
        </w:numPr>
        <w:ind w:left="0" w:firstLine="0"/>
        <w:spacing w:before="0" w:after="0" w:line="240" w:lineRule="auto"/>
        <w:rPr>
          <w:rFonts w:ascii="Cambria" w:hAnsi="Cambria" w:cs="Cambria"/>
          <w:sz w:val="18"/>
          <w:szCs w:val="18"/>
        </w:rPr>
      </w:pPr>
      <w:r>
        <w:rPr>
          <w:rFonts w:ascii="Cambria" w:hAnsi="Cambria" w:eastAsia="Times New Roman" w:cs="Cambria"/>
          <w:sz w:val="18"/>
          <w:szCs w:val="18"/>
        </w:rPr>
        <w:t xml:space="preserve">A </w:t>
      </w:r>
      <w:r>
        <w:rPr>
          <w:rFonts w:ascii="Cambria" w:hAnsi="Cambria" w:cs="Cambria"/>
          <w:sz w:val="18"/>
          <w:szCs w:val="18"/>
        </w:rPr>
        <w:t xml:space="preserve">negociação será realizada por meio do sistema, podendo ser acompanhada pelos demais licitantes.</w:t>
      </w:r>
      <w:r/>
    </w:p>
    <w:p>
      <w:pPr>
        <w:pStyle w:val="1070"/>
        <w:numPr>
          <w:ilvl w:val="2"/>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O resultado da negociação será divulgado a todos os licitantes e a</w:t>
      </w:r>
      <w:r>
        <w:rPr>
          <w:rFonts w:ascii="Cambria" w:hAnsi="Cambria" w:cs="Cambria"/>
          <w:sz w:val="18"/>
          <w:szCs w:val="18"/>
        </w:rPr>
        <w:t xml:space="preserve">nexado aos autos do processo licitatório.</w:t>
      </w:r>
      <w:r/>
    </w:p>
    <w:p>
      <w:pPr>
        <w:pStyle w:val="1070"/>
        <w:numPr>
          <w:ilvl w:val="2"/>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O pregoeiro solicitará ao licitante mais bem classificado que, no prazo de</w:t>
      </w:r>
      <w:r>
        <w:rPr>
          <w:rFonts w:ascii="Cambria" w:hAnsi="Cambria" w:cs="Cambria"/>
          <w:color w:val="auto"/>
          <w:sz w:val="18"/>
          <w:szCs w:val="18"/>
        </w:rPr>
        <w:t xml:space="preserve"> 2 (duas) horas,</w:t>
      </w:r>
      <w:r>
        <w:rPr>
          <w:rFonts w:ascii="Cambria" w:hAnsi="Cambria" w:cs="Cambria"/>
          <w:sz w:val="18"/>
          <w:szCs w:val="18"/>
        </w:rPr>
        <w:t xml:space="preserve"> envie a proposta adequada ao último lance ofertado após a negociação realizada, acompanhada, se for o caso, dos documentos </w:t>
      </w:r>
      <w:r>
        <w:rPr>
          <w:rFonts w:ascii="Cambria" w:hAnsi="Cambria" w:cs="Cambria"/>
          <w:sz w:val="18"/>
          <w:szCs w:val="18"/>
        </w:rPr>
        <w:t xml:space="preserve">complementares, quando necessários à confirmação daqueles exigidos neste Edital e já apresentados.</w:t>
      </w:r>
      <w:bookmarkStart w:id="34" w:name="_Hlk117016948"/>
      <w:r/>
      <w:bookmarkEnd w:id="34"/>
      <w:r/>
      <w:r/>
    </w:p>
    <w:p>
      <w:pPr>
        <w:pStyle w:val="1070"/>
        <w:numPr>
          <w:ilvl w:val="2"/>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É facultado ao pregoeiro prorrogar o prazo estabelecido, a partir de solicitação fundamentada feita no chat pelo licitante, antes de findo o prazo.</w:t>
      </w:r>
      <w:r/>
    </w:p>
    <w:p>
      <w:pPr>
        <w:pStyle w:val="1070"/>
        <w:numPr>
          <w:ilvl w:val="2"/>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Após a ne</w:t>
      </w:r>
      <w:r>
        <w:rPr>
          <w:rFonts w:ascii="Cambria" w:hAnsi="Cambria" w:cs="Cambria"/>
          <w:sz w:val="18"/>
          <w:szCs w:val="18"/>
        </w:rPr>
        <w:t xml:space="preserve">gociação do preço, o Pregoeiro iniciará a fase de aceitação e julgamento da proposta.</w:t>
      </w:r>
      <w:bookmarkEnd w:id="24"/>
      <w:r/>
      <w:r/>
    </w:p>
    <w:p>
      <w:pPr>
        <w:pStyle w:val="1070"/>
        <w:numPr>
          <w:ilvl w:val="2"/>
          <w:numId w:val="0"/>
        </w:numPr>
        <w:ind w:left="284"/>
        <w:spacing w:before="0" w:after="0" w:line="240" w:lineRule="auto"/>
        <w:rPr>
          <w:rFonts w:ascii="Cambria" w:hAnsi="Cambria" w:cs="Cambria"/>
          <w:sz w:val="18"/>
          <w:szCs w:val="18"/>
        </w:rPr>
      </w:pPr>
      <w:r>
        <w:rPr>
          <w:rFonts w:ascii="Cambria" w:hAnsi="Cambria" w:cs="Cambria"/>
          <w:sz w:val="18"/>
          <w:szCs w:val="18"/>
        </w:rPr>
      </w:r>
      <w:r/>
    </w:p>
    <w:p>
      <w:pPr>
        <w:pStyle w:val="1051"/>
        <w:numPr>
          <w:ilvl w:val="0"/>
          <w:numId w:val="10"/>
        </w:numPr>
        <w:ind w:left="0" w:firstLine="0"/>
        <w:spacing w:before="0" w:after="0" w:line="240" w:lineRule="auto"/>
        <w:rPr>
          <w:rFonts w:ascii="Cambria" w:hAnsi="Cambria" w:cs="Cambria"/>
          <w:sz w:val="18"/>
          <w:szCs w:val="18"/>
        </w:rPr>
      </w:pPr>
      <w:r/>
      <w:bookmarkStart w:id="35" w:name="_Toc135469229"/>
      <w:r>
        <w:rPr>
          <w:rFonts w:ascii="Cambria" w:hAnsi="Cambria" w:cs="Cambria"/>
          <w:sz w:val="18"/>
          <w:szCs w:val="18"/>
        </w:rPr>
        <w:t xml:space="preserve">DA FASE DE JULGAMENTO</w:t>
      </w:r>
      <w:bookmarkEnd w:id="35"/>
      <w:r/>
      <w:r/>
    </w:p>
    <w:p>
      <w:pPr>
        <w:pStyle w:val="1068"/>
        <w:numPr>
          <w:ilvl w:val="1"/>
          <w:numId w:val="10"/>
        </w:numPr>
        <w:ind w:left="0" w:firstLine="0"/>
        <w:spacing w:before="0" w:after="0" w:line="240" w:lineRule="auto"/>
        <w:rPr>
          <w:rFonts w:ascii="Cambria" w:hAnsi="Cambria" w:cs="Cambria"/>
          <w:sz w:val="18"/>
          <w:szCs w:val="18"/>
        </w:rPr>
      </w:pPr>
      <w:r/>
      <w:bookmarkStart w:id="36" w:name="_Ref117019424"/>
      <w:r>
        <w:rPr>
          <w:rFonts w:ascii="Cambria" w:hAnsi="Cambria" w:cs="Cambria"/>
          <w:sz w:val="18"/>
          <w:szCs w:val="18"/>
        </w:rPr>
        <w:t xml:space="preserve">Encerrada a etapa de negociação, o pregoeiro verificará se o licitante provisoriamente classificado em primeiro lugar atende às condições de partic</w:t>
      </w:r>
      <w:r>
        <w:rPr>
          <w:rFonts w:ascii="Cambria" w:hAnsi="Cambria" w:cs="Cambria"/>
          <w:sz w:val="18"/>
          <w:szCs w:val="18"/>
        </w:rPr>
        <w:t xml:space="preserve">ipação no certame, conforme previsto no </w:t>
      </w:r>
      <w:hyperlink r:id="rId35" w:tooltip="http://www.planalto.gov.br/ccivil_03/_ato2019-2022/2021/lei/L14133.htm#art14" w:anchor="art14" w:history="1">
        <w:r>
          <w:rPr>
            <w:rStyle w:val="839"/>
            <w:rFonts w:ascii="Cambria" w:hAnsi="Cambria" w:cs="Cambria"/>
            <w:sz w:val="18"/>
            <w:szCs w:val="18"/>
          </w:rPr>
          <w:t xml:space="preserve">art. 14 da Lei nº 14.133/2021</w:t>
        </w:r>
      </w:hyperlink>
      <w:r>
        <w:rPr>
          <w:rFonts w:ascii="Cambria" w:hAnsi="Cambria" w:cs="Cambria"/>
          <w:sz w:val="18"/>
          <w:szCs w:val="18"/>
        </w:rPr>
        <w:t xml:space="preserve">, legislação correlata e no item </w:t>
      </w:r>
      <w:r>
        <w:rPr>
          <w:rFonts w:ascii="Cambria" w:hAnsi="Cambria" w:cs="Cambria"/>
          <w:sz w:val="18"/>
          <w:szCs w:val="18"/>
        </w:rPr>
        <w:fldChar w:fldCharType="begin"/>
      </w:r>
      <w:r>
        <w:rPr>
          <w:rFonts w:ascii="Cambria" w:hAnsi="Cambria" w:cs="Cambria"/>
          <w:sz w:val="18"/>
          <w:szCs w:val="18"/>
        </w:rPr>
        <w:instrText xml:space="preserve"> REF _Ref117000692 \r \h  \* MERGEFORMAT </w:instrText>
      </w:r>
      <w:r>
        <w:rPr>
          <w:rFonts w:ascii="Cambria" w:hAnsi="Cambria" w:cs="Cambria"/>
          <w:sz w:val="18"/>
          <w:szCs w:val="18"/>
        </w:rPr>
        <w:fldChar w:fldCharType="separate"/>
      </w:r>
      <w:r>
        <w:rPr>
          <w:rFonts w:ascii="Cambria" w:hAnsi="Cambria" w:cs="Cambria"/>
          <w:sz w:val="18"/>
          <w:szCs w:val="18"/>
        </w:rPr>
        <w:t xml:space="preserve">3.7</w:t>
      </w:r>
      <w:r>
        <w:rPr>
          <w:rFonts w:ascii="Cambria" w:hAnsi="Cambria" w:cs="Cambria"/>
          <w:sz w:val="18"/>
          <w:szCs w:val="18"/>
        </w:rPr>
        <w:fldChar w:fldCharType="end"/>
      </w:r>
      <w:r>
        <w:rPr>
          <w:rFonts w:ascii="Cambria" w:hAnsi="Cambria" w:cs="Cambria"/>
          <w:sz w:val="18"/>
          <w:szCs w:val="18"/>
        </w:rPr>
        <w:t xml:space="preserve"> do edital, </w:t>
      </w:r>
      <w:bookmarkEnd w:id="36"/>
      <w:r>
        <w:rPr>
          <w:rFonts w:ascii="Cambria" w:hAnsi="Cambria" w:cs="Cambria"/>
          <w:color w:val="auto"/>
          <w:sz w:val="18"/>
          <w:szCs w:val="18"/>
          <w:lang w:eastAsia="ar-SA"/>
        </w:rPr>
        <w:t xml:space="preserve">especialmente quanto à existência de sanção que impeça a participação no certame ou a futura contratação,</w:t>
      </w:r>
      <w:r>
        <w:rPr>
          <w:rFonts w:ascii="Cambria" w:hAnsi="Cambria" w:cs="Cambria"/>
          <w:sz w:val="18"/>
          <w:szCs w:val="18"/>
          <w:lang w:eastAsia="ar-SA"/>
        </w:rPr>
        <w:t xml:space="preserve"> mediante a consulta aos seguintes cadastros:</w:t>
      </w:r>
      <w:r/>
    </w:p>
    <w:p>
      <w:pPr>
        <w:pStyle w:val="1070"/>
        <w:numPr>
          <w:ilvl w:val="2"/>
          <w:numId w:val="10"/>
        </w:numPr>
        <w:ind w:left="0" w:firstLine="0"/>
        <w:spacing w:before="0" w:after="0" w:line="240" w:lineRule="auto"/>
        <w:rPr>
          <w:rFonts w:ascii="Cambria" w:hAnsi="Cambria" w:cs="Cambria"/>
          <w:sz w:val="18"/>
          <w:szCs w:val="18"/>
        </w:rPr>
      </w:pPr>
      <w:r>
        <w:rPr>
          <w:rFonts w:ascii="Cambria" w:hAnsi="Cambria" w:cs="Cambria"/>
          <w:sz w:val="18"/>
          <w:szCs w:val="18"/>
          <w:lang w:eastAsia="ar-SA"/>
        </w:rPr>
        <w:t xml:space="preserve">Cadastro Nacional de Empresas Inidôneas e Suspensas - CEIS, mantido pela Controladoria-Geral da União (</w:t>
      </w:r>
      <w:hyperlink r:id="rId36" w:tooltip="https://www.portaltransparencia.gov.br/sancoes/ceis" w:history="1">
        <w:r>
          <w:rPr>
            <w:rStyle w:val="839"/>
            <w:rFonts w:ascii="Cambria" w:hAnsi="Cambria" w:cs="Cambria"/>
            <w:sz w:val="18"/>
            <w:szCs w:val="18"/>
            <w:lang w:eastAsia="ar-SA"/>
          </w:rPr>
          <w:t xml:space="preserve">https://www.portaltransparencia.gov.br/sancoes/ceis</w:t>
        </w:r>
      </w:hyperlink>
      <w:r>
        <w:rPr>
          <w:rFonts w:ascii="Cambria" w:hAnsi="Cambria" w:cs="Cambria"/>
          <w:sz w:val="18"/>
          <w:szCs w:val="18"/>
          <w:lang w:eastAsia="ar-SA"/>
        </w:rPr>
        <w:t xml:space="preserve">); e </w:t>
      </w:r>
      <w:r/>
    </w:p>
    <w:p>
      <w:pPr>
        <w:pStyle w:val="1070"/>
        <w:numPr>
          <w:ilvl w:val="2"/>
          <w:numId w:val="10"/>
        </w:numPr>
        <w:ind w:left="0" w:firstLine="0"/>
        <w:spacing w:before="0" w:after="0" w:line="240" w:lineRule="auto"/>
        <w:rPr>
          <w:rFonts w:ascii="Cambria" w:hAnsi="Cambria" w:cs="Cambria"/>
          <w:sz w:val="18"/>
          <w:szCs w:val="18"/>
        </w:rPr>
      </w:pPr>
      <w:r>
        <w:rPr>
          <w:rFonts w:ascii="Cambria" w:hAnsi="Cambria" w:cs="Cambria"/>
          <w:sz w:val="18"/>
          <w:szCs w:val="18"/>
          <w:lang w:eastAsia="ar-SA"/>
        </w:rPr>
        <w:t xml:space="preserve">Cadastro Nacional de Empr</w:t>
      </w:r>
      <w:r>
        <w:rPr>
          <w:rFonts w:ascii="Cambria" w:hAnsi="Cambria" w:cs="Cambria"/>
          <w:sz w:val="18"/>
          <w:szCs w:val="18"/>
          <w:lang w:eastAsia="ar-SA"/>
        </w:rPr>
        <w:t xml:space="preserve">esas Punidas – CNEP, mantido pela Controladoria-Geral da União (</w:t>
      </w:r>
      <w:hyperlink r:id="rId37" w:tooltip="https://www.portaltransparencia.gov.br/sancoes/cnep" w:history="1">
        <w:r>
          <w:rPr>
            <w:rStyle w:val="839"/>
            <w:rFonts w:ascii="Cambria" w:hAnsi="Cambria" w:cs="Cambria"/>
            <w:sz w:val="18"/>
            <w:szCs w:val="18"/>
            <w:lang w:eastAsia="ar-SA"/>
          </w:rPr>
          <w:t xml:space="preserve">https://www.portaltransparencia.gov.br/sancoes/cnep</w:t>
        </w:r>
      </w:hyperlink>
      <w:r>
        <w:rPr>
          <w:rFonts w:ascii="Cambria" w:hAnsi="Cambria" w:cs="Cambria"/>
          <w:sz w:val="18"/>
          <w:szCs w:val="18"/>
          <w:lang w:eastAsia="ar-SA"/>
        </w:rPr>
        <w:t xml:space="preserve">).</w:t>
      </w:r>
      <w:r/>
    </w:p>
    <w:p>
      <w:pPr>
        <w:pStyle w:val="106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A consulta aos cadastros será realizada em nome da empresa licitant</w:t>
      </w:r>
      <w:r>
        <w:rPr>
          <w:rFonts w:ascii="Cambria" w:hAnsi="Cambria" w:cs="Cambria"/>
          <w:sz w:val="18"/>
          <w:szCs w:val="18"/>
        </w:rPr>
        <w:t xml:space="preserve">e e também de seu sócio majoritário, por força da vedação de que trata o </w:t>
      </w:r>
      <w:hyperlink r:id="rId38" w:tooltip="https://www.planalto.gov.br/ccivil_03/leis/l8429.htm#:~:text=%C3%A0s%20seguintes%20comina%C3%A7%C3%B5es%3A-,Art.,n%C2%BA%2012.120%2C%20de%202009)." w:anchor=":~:text=%C3%A0s%20seguintes%20comina%C3%A7%C3%B5es%3A-,Art.,n%C2%BA%2012.120%2C%20de%202009)." w:history="1">
        <w:r>
          <w:rPr>
            <w:rStyle w:val="839"/>
            <w:rFonts w:ascii="Cambria" w:hAnsi="Cambria" w:cs="Cambria"/>
            <w:sz w:val="18"/>
            <w:szCs w:val="18"/>
          </w:rPr>
          <w:t xml:space="preserve">artigo 12 da Le</w:t>
        </w:r>
        <w:r>
          <w:rPr>
            <w:rStyle w:val="839"/>
            <w:rFonts w:ascii="Cambria" w:hAnsi="Cambria" w:cs="Cambria"/>
            <w:sz w:val="18"/>
            <w:szCs w:val="18"/>
          </w:rPr>
          <w:t xml:space="preserve">i n° 8.429, de 1992</w:t>
        </w:r>
      </w:hyperlink>
      <w:r>
        <w:rPr>
          <w:rFonts w:ascii="Cambria" w:hAnsi="Cambria" w:cs="Cambria"/>
          <w:sz w:val="18"/>
          <w:szCs w:val="18"/>
        </w:rPr>
        <w:t xml:space="preserve">.</w:t>
      </w:r>
      <w:r/>
    </w:p>
    <w:p>
      <w:pPr>
        <w:pStyle w:val="106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Caso conste na Consulta de Situação do l</w:t>
      </w:r>
      <w:r>
        <w:rPr>
          <w:rFonts w:ascii="Cambria" w:hAnsi="Cambria" w:cs="Cambria"/>
          <w:color w:val="auto"/>
          <w:sz w:val="18"/>
          <w:szCs w:val="18"/>
        </w:rPr>
        <w:t xml:space="preserve">icitante </w:t>
      </w:r>
      <w:r>
        <w:rPr>
          <w:rFonts w:ascii="Cambria" w:hAnsi="Cambria" w:cs="Cambria"/>
          <w:sz w:val="18"/>
          <w:szCs w:val="18"/>
        </w:rPr>
        <w:t xml:space="preserve">a existência de Ocorrências Impeditivas Indiretas, o </w:t>
      </w:r>
      <w:r>
        <w:rPr>
          <w:rFonts w:ascii="Cambria" w:hAnsi="Cambria" w:cs="Cambria"/>
          <w:color w:val="auto"/>
          <w:sz w:val="18"/>
          <w:szCs w:val="18"/>
        </w:rPr>
        <w:t xml:space="preserve">Pregoeiro diligenciará para v</w:t>
      </w:r>
      <w:r>
        <w:rPr>
          <w:rFonts w:ascii="Cambria" w:hAnsi="Cambria" w:cs="Cambria"/>
          <w:sz w:val="18"/>
          <w:szCs w:val="18"/>
        </w:rPr>
        <w:t xml:space="preserve">erificar se houve fraude por parte das empresas apontadas no Relatório de Ocorrências Impeditivas Ind</w:t>
      </w:r>
      <w:r>
        <w:rPr>
          <w:rFonts w:ascii="Cambria" w:hAnsi="Cambria" w:cs="Cambria"/>
          <w:sz w:val="18"/>
          <w:szCs w:val="18"/>
        </w:rPr>
        <w:t xml:space="preserve">iretas. (</w:t>
      </w:r>
      <w:hyperlink r:id="rId39" w:tooltip="https://www.gov.br/compras/pt-br/acesso-a-informacao/legislacao/instrucoes-normativas/instrucao-normativa-no-3-de-26-de-abril-de-2018#art29" w:anchor="art29" w:history="1">
        <w:r>
          <w:rPr>
            <w:rStyle w:val="839"/>
            <w:rFonts w:ascii="Cambria" w:hAnsi="Cambria" w:cs="Cambria"/>
            <w:sz w:val="18"/>
            <w:szCs w:val="18"/>
          </w:rPr>
          <w:t xml:space="preserve">IN nº 3/2018, art. 29, </w:t>
        </w:r>
        <w:r>
          <w:rPr>
            <w:rStyle w:val="839"/>
            <w:rFonts w:ascii="Cambria" w:hAnsi="Cambria" w:cs="Cambria"/>
            <w:i/>
            <w:iCs/>
            <w:sz w:val="18"/>
            <w:szCs w:val="18"/>
          </w:rPr>
          <w:t xml:space="preserve">caput</w:t>
        </w:r>
      </w:hyperlink>
      <w:r>
        <w:rPr>
          <w:rFonts w:ascii="Cambria" w:hAnsi="Cambria" w:cs="Cambria"/>
          <w:sz w:val="18"/>
          <w:szCs w:val="18"/>
        </w:rPr>
        <w:t xml:space="preserve">)</w:t>
      </w:r>
      <w:r/>
    </w:p>
    <w:p>
      <w:pPr>
        <w:pStyle w:val="1070"/>
        <w:numPr>
          <w:ilvl w:val="2"/>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A tentativa de burla será verificada por meio dos vín</w:t>
      </w:r>
      <w:r>
        <w:rPr>
          <w:rFonts w:ascii="Cambria" w:hAnsi="Cambria" w:cs="Cambria"/>
          <w:sz w:val="18"/>
          <w:szCs w:val="18"/>
        </w:rPr>
        <w:t xml:space="preserve">culos societários, linhas de fornecimento similares, dentre outros. </w:t>
      </w:r>
      <w:r/>
    </w:p>
    <w:p>
      <w:pPr>
        <w:pStyle w:val="1070"/>
        <w:numPr>
          <w:ilvl w:val="2"/>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O licitante será convocado para manifestação previamente a uma eventual desclassificação. </w:t>
      </w:r>
      <w:r/>
    </w:p>
    <w:p>
      <w:pPr>
        <w:pStyle w:val="1070"/>
        <w:numPr>
          <w:ilvl w:val="2"/>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Constatada a existência de sanção, o licitante será reputado inabilitado, por falta de condição de participação.</w:t>
      </w:r>
      <w:r/>
    </w:p>
    <w:p>
      <w:pPr>
        <w:pStyle w:val="106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Caso o licitante provisoriamente classificado em primeiro lugar tenha se utilizado de algum tratamento favorecido às ME/</w:t>
      </w:r>
      <w:r>
        <w:rPr>
          <w:rFonts w:ascii="Cambria" w:hAnsi="Cambria" w:cs="Cambria"/>
          <w:sz w:val="18"/>
          <w:szCs w:val="18"/>
        </w:rPr>
        <w:t xml:space="preserve">EPPs</w:t>
      </w:r>
      <w:r>
        <w:rPr>
          <w:rFonts w:ascii="Cambria" w:hAnsi="Cambria" w:cs="Cambria"/>
          <w:sz w:val="18"/>
          <w:szCs w:val="18"/>
        </w:rPr>
        <w:t xml:space="preserve">, o pregoeiro verificará se faz jus ao benefício, em conformidade com os itens </w:t>
      </w:r>
      <w:r>
        <w:rPr>
          <w:rFonts w:ascii="Cambria" w:hAnsi="Cambria" w:cs="Cambria"/>
          <w:sz w:val="18"/>
          <w:szCs w:val="18"/>
        </w:rPr>
        <w:fldChar w:fldCharType="begin"/>
      </w:r>
      <w:r>
        <w:rPr>
          <w:rFonts w:ascii="Cambria" w:hAnsi="Cambria" w:cs="Cambria"/>
          <w:sz w:val="18"/>
          <w:szCs w:val="18"/>
        </w:rPr>
        <w:instrText xml:space="preserve"> REF _Ref117015508 \r \h  \* MERGEFORMAT </w:instrText>
      </w:r>
      <w:r>
        <w:rPr>
          <w:rFonts w:ascii="Cambria" w:hAnsi="Cambria" w:cs="Cambria"/>
          <w:sz w:val="18"/>
          <w:szCs w:val="18"/>
        </w:rPr>
        <w:fldChar w:fldCharType="separate"/>
      </w:r>
      <w:r>
        <w:rPr>
          <w:rFonts w:ascii="Cambria" w:hAnsi="Cambria" w:cs="Cambria"/>
          <w:sz w:val="18"/>
          <w:szCs w:val="18"/>
        </w:rPr>
        <w:t xml:space="preserve">3.5.1</w:t>
      </w:r>
      <w:r>
        <w:rPr>
          <w:rFonts w:ascii="Cambria" w:hAnsi="Cambria" w:cs="Cambria"/>
          <w:sz w:val="18"/>
          <w:szCs w:val="18"/>
        </w:rPr>
        <w:fldChar w:fldCharType="end"/>
      </w:r>
      <w:r>
        <w:rPr>
          <w:rFonts w:ascii="Cambria" w:hAnsi="Cambria" w:cs="Cambria"/>
          <w:sz w:val="18"/>
          <w:szCs w:val="18"/>
        </w:rPr>
        <w:t xml:space="preserve"> e </w:t>
      </w:r>
      <w:r>
        <w:rPr>
          <w:rFonts w:ascii="Cambria" w:hAnsi="Cambria" w:cs="Cambria"/>
          <w:sz w:val="18"/>
          <w:szCs w:val="18"/>
        </w:rPr>
        <w:fldChar w:fldCharType="begin"/>
      </w:r>
      <w:r>
        <w:rPr>
          <w:rFonts w:ascii="Cambria" w:hAnsi="Cambria" w:cs="Cambria"/>
          <w:sz w:val="18"/>
          <w:szCs w:val="18"/>
        </w:rPr>
        <w:instrText xml:space="preserve"> REF _Ref117000019 \r \h  \* MERGEFORMAT </w:instrText>
      </w:r>
      <w:r>
        <w:rPr>
          <w:rFonts w:ascii="Cambria" w:hAnsi="Cambria" w:cs="Cambria"/>
          <w:sz w:val="18"/>
          <w:szCs w:val="18"/>
        </w:rPr>
        <w:fldChar w:fldCharType="separate"/>
      </w:r>
      <w:r>
        <w:rPr>
          <w:rFonts w:ascii="Cambria" w:hAnsi="Cambria" w:cs="Cambria"/>
          <w:sz w:val="18"/>
          <w:szCs w:val="18"/>
        </w:rPr>
        <w:t xml:space="preserve">4.6</w:t>
      </w:r>
      <w:r>
        <w:rPr>
          <w:rFonts w:ascii="Cambria" w:hAnsi="Cambria" w:cs="Cambria"/>
          <w:sz w:val="18"/>
          <w:szCs w:val="18"/>
        </w:rPr>
        <w:fldChar w:fldCharType="end"/>
      </w:r>
      <w:r>
        <w:rPr>
          <w:rFonts w:ascii="Cambria" w:hAnsi="Cambria" w:cs="Cambria"/>
          <w:sz w:val="18"/>
          <w:szCs w:val="18"/>
        </w:rPr>
        <w:t xml:space="preserve"> deste edital.</w:t>
      </w:r>
      <w:r/>
    </w:p>
    <w:p>
      <w:pPr>
        <w:pStyle w:val="106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Verificadas as condições de participação e de utilização do tratame</w:t>
      </w:r>
      <w:r>
        <w:rPr>
          <w:rFonts w:ascii="Cambria" w:hAnsi="Cambria" w:cs="Cambria"/>
          <w:sz w:val="18"/>
          <w:szCs w:val="18"/>
        </w:rPr>
        <w:t xml:space="preserve">nto favorecido, o pregoeiro examinará a proposta classificada em primeiro lugar quanto à adequação ao objeto e à compatibilidade do preço em relação ao máximo estipulado para contratação neste Edital e em seus anexos, </w:t>
      </w:r>
      <w:r/>
    </w:p>
    <w:p>
      <w:pPr>
        <w:pStyle w:val="106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Será desclassificada a proposta vence</w:t>
      </w:r>
      <w:r>
        <w:rPr>
          <w:rFonts w:ascii="Cambria" w:hAnsi="Cambria" w:cs="Cambria"/>
          <w:sz w:val="18"/>
          <w:szCs w:val="18"/>
        </w:rPr>
        <w:t xml:space="preserve">dora que: </w:t>
      </w:r>
      <w:r/>
    </w:p>
    <w:p>
      <w:pPr>
        <w:pStyle w:val="1070"/>
        <w:numPr>
          <w:ilvl w:val="2"/>
          <w:numId w:val="10"/>
        </w:numPr>
        <w:ind w:left="0" w:firstLine="0"/>
        <w:spacing w:before="0" w:after="0" w:line="240" w:lineRule="auto"/>
        <w:tabs>
          <w:tab w:val="left" w:pos="850" w:leader="none"/>
        </w:tabs>
        <w:rPr>
          <w:rFonts w:ascii="Cambria" w:hAnsi="Cambria" w:cs="Cambria"/>
          <w:sz w:val="18"/>
          <w:szCs w:val="18"/>
        </w:rPr>
      </w:pPr>
      <w:r>
        <w:rPr>
          <w:rFonts w:ascii="Cambria" w:hAnsi="Cambria" w:cs="Cambria"/>
          <w:sz w:val="18"/>
          <w:szCs w:val="18"/>
        </w:rPr>
        <w:t xml:space="preserve">Contiver vícios insanáveis;</w:t>
      </w:r>
      <w:r/>
    </w:p>
    <w:p>
      <w:pPr>
        <w:pStyle w:val="1070"/>
        <w:numPr>
          <w:ilvl w:val="2"/>
          <w:numId w:val="10"/>
        </w:numPr>
        <w:ind w:left="0" w:firstLine="0"/>
        <w:spacing w:before="0" w:after="0" w:line="240" w:lineRule="auto"/>
        <w:tabs>
          <w:tab w:val="left" w:pos="850" w:leader="none"/>
        </w:tabs>
        <w:rPr>
          <w:rFonts w:ascii="Cambria" w:hAnsi="Cambria" w:cs="Cambria"/>
          <w:sz w:val="18"/>
          <w:szCs w:val="18"/>
        </w:rPr>
      </w:pPr>
      <w:r>
        <w:rPr>
          <w:rFonts w:ascii="Cambria" w:hAnsi="Cambria" w:cs="Cambria"/>
          <w:sz w:val="18"/>
          <w:szCs w:val="18"/>
        </w:rPr>
        <w:t xml:space="preserve">Não obedecer às especificações técnicas contidas no Termo de Referência;</w:t>
      </w:r>
      <w:r/>
    </w:p>
    <w:p>
      <w:pPr>
        <w:pStyle w:val="1070"/>
        <w:numPr>
          <w:ilvl w:val="2"/>
          <w:numId w:val="10"/>
        </w:numPr>
        <w:ind w:left="0" w:firstLine="0"/>
        <w:spacing w:before="0" w:after="0" w:line="240" w:lineRule="auto"/>
        <w:tabs>
          <w:tab w:val="left" w:pos="850" w:leader="none"/>
        </w:tabs>
        <w:rPr>
          <w:rFonts w:ascii="Cambria" w:hAnsi="Cambria" w:cs="Cambria"/>
          <w:sz w:val="18"/>
          <w:szCs w:val="18"/>
        </w:rPr>
      </w:pPr>
      <w:r>
        <w:rPr>
          <w:rFonts w:ascii="Cambria" w:hAnsi="Cambria" w:cs="Cambria"/>
          <w:sz w:val="18"/>
          <w:szCs w:val="18"/>
        </w:rPr>
        <w:t xml:space="preserve">Apresentar preços inexequíveis ou permanecerem acima do preço máximo definido para a contratação;</w:t>
      </w:r>
      <w:r/>
    </w:p>
    <w:p>
      <w:pPr>
        <w:pStyle w:val="1070"/>
        <w:numPr>
          <w:ilvl w:val="2"/>
          <w:numId w:val="10"/>
        </w:numPr>
        <w:ind w:left="0" w:firstLine="0"/>
        <w:spacing w:before="0" w:after="0" w:line="240" w:lineRule="auto"/>
        <w:tabs>
          <w:tab w:val="left" w:pos="850" w:leader="none"/>
        </w:tabs>
        <w:rPr>
          <w:rFonts w:ascii="Cambria" w:hAnsi="Cambria" w:cs="Cambria"/>
          <w:sz w:val="18"/>
          <w:szCs w:val="18"/>
        </w:rPr>
      </w:pPr>
      <w:r>
        <w:rPr>
          <w:rFonts w:ascii="Cambria" w:hAnsi="Cambria" w:cs="Cambria"/>
          <w:sz w:val="18"/>
          <w:szCs w:val="18"/>
        </w:rPr>
        <w:t xml:space="preserve">Não tiverem sua exequibilidade demonstrada, qu</w:t>
      </w:r>
      <w:r>
        <w:rPr>
          <w:rFonts w:ascii="Cambria" w:hAnsi="Cambria" w:cs="Cambria"/>
          <w:sz w:val="18"/>
          <w:szCs w:val="18"/>
        </w:rPr>
        <w:t xml:space="preserve">ando exigido pela Administração;</w:t>
      </w:r>
      <w:r/>
    </w:p>
    <w:p>
      <w:pPr>
        <w:pStyle w:val="1070"/>
        <w:numPr>
          <w:ilvl w:val="2"/>
          <w:numId w:val="10"/>
        </w:numPr>
        <w:ind w:left="0" w:firstLine="0"/>
        <w:spacing w:before="0" w:after="0" w:line="240" w:lineRule="auto"/>
        <w:tabs>
          <w:tab w:val="left" w:pos="850" w:leader="none"/>
        </w:tabs>
        <w:rPr>
          <w:rFonts w:ascii="Cambria" w:hAnsi="Cambria" w:cs="Cambria"/>
          <w:sz w:val="18"/>
          <w:szCs w:val="18"/>
        </w:rPr>
      </w:pPr>
      <w:r>
        <w:rPr>
          <w:rFonts w:ascii="Cambria" w:hAnsi="Cambria" w:cs="Cambria"/>
          <w:sz w:val="18"/>
          <w:szCs w:val="18"/>
        </w:rPr>
        <w:t xml:space="preserve">Apresentar desconformidade com quaisquer outras exigências deste Edital ou seus anexos, desde que insanável.</w:t>
      </w:r>
      <w:r/>
    </w:p>
    <w:p>
      <w:pPr>
        <w:pStyle w:val="106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No caso de bens e serviços em geral, é indício de inexequibilidade das propostas valores inferiores a 50% (cinquen</w:t>
      </w:r>
      <w:r>
        <w:rPr>
          <w:rFonts w:ascii="Cambria" w:hAnsi="Cambria" w:cs="Cambria"/>
          <w:sz w:val="18"/>
          <w:szCs w:val="18"/>
        </w:rPr>
        <w:t xml:space="preserve">ta por cento) do valor orçado pela Administração.</w:t>
      </w:r>
      <w:r/>
    </w:p>
    <w:p>
      <w:pPr>
        <w:pStyle w:val="1070"/>
        <w:numPr>
          <w:ilvl w:val="2"/>
          <w:numId w:val="10"/>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A inexequibilidade, na hipótese de que trata o caput, só será considerada após diligência do pregoeiro, que comprove:</w:t>
      </w:r>
      <w:r/>
    </w:p>
    <w:p>
      <w:pPr>
        <w:pStyle w:val="1071"/>
        <w:numPr>
          <w:ilvl w:val="3"/>
          <w:numId w:val="10"/>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Que o custo do licitante ultrapassa o valor da proposta; e</w:t>
      </w:r>
      <w:r/>
    </w:p>
    <w:p>
      <w:pPr>
        <w:pStyle w:val="1071"/>
        <w:numPr>
          <w:ilvl w:val="3"/>
          <w:numId w:val="10"/>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Inexistirem custos de oportun</w:t>
      </w:r>
      <w:r>
        <w:rPr>
          <w:rFonts w:ascii="Cambria" w:hAnsi="Cambria" w:cs="Cambria"/>
          <w:sz w:val="18"/>
          <w:szCs w:val="18"/>
        </w:rPr>
        <w:t xml:space="preserve">idade capazes de justificar o vulto da oferta.</w:t>
      </w:r>
      <w:r/>
    </w:p>
    <w:p>
      <w:pPr>
        <w:pStyle w:val="1068"/>
        <w:numPr>
          <w:ilvl w:val="1"/>
          <w:numId w:val="10"/>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Em contratação de serviços de engenharia, além das disposições acima, a análise de exequibilidade e </w:t>
      </w:r>
      <w:r>
        <w:rPr>
          <w:rFonts w:ascii="Cambria" w:hAnsi="Cambria" w:cs="Cambria"/>
          <w:sz w:val="18"/>
          <w:szCs w:val="18"/>
        </w:rPr>
        <w:t xml:space="preserve">sobrepreço</w:t>
      </w:r>
      <w:r>
        <w:rPr>
          <w:rFonts w:ascii="Cambria" w:hAnsi="Cambria" w:cs="Cambria"/>
          <w:sz w:val="18"/>
          <w:szCs w:val="18"/>
        </w:rPr>
        <w:t xml:space="preserve"> considerará o seguinte:</w:t>
      </w:r>
      <w:r/>
    </w:p>
    <w:p>
      <w:pPr>
        <w:pStyle w:val="1070"/>
        <w:numPr>
          <w:ilvl w:val="2"/>
          <w:numId w:val="10"/>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Nos regimes de execução por tarefa, empreitada por preço global ou empreit</w:t>
      </w:r>
      <w:r>
        <w:rPr>
          <w:rFonts w:ascii="Cambria" w:hAnsi="Cambria" w:cs="Cambria"/>
          <w:sz w:val="18"/>
          <w:szCs w:val="18"/>
        </w:rPr>
        <w:t xml:space="preserve">ada integral, </w:t>
      </w:r>
      <w:r>
        <w:rPr>
          <w:rFonts w:ascii="Cambria" w:hAnsi="Cambria" w:cs="Cambria"/>
          <w:sz w:val="18"/>
          <w:szCs w:val="18"/>
        </w:rPr>
        <w:t xml:space="preserve">semi-integrada</w:t>
      </w:r>
      <w:r>
        <w:rPr>
          <w:rFonts w:ascii="Cambria" w:hAnsi="Cambria" w:cs="Cambria"/>
          <w:sz w:val="18"/>
          <w:szCs w:val="18"/>
        </w:rPr>
        <w:t xml:space="preserve"> ou integrada, a caracterização do </w:t>
      </w:r>
      <w:r>
        <w:rPr>
          <w:rFonts w:ascii="Cambria" w:hAnsi="Cambria" w:cs="Cambria"/>
          <w:sz w:val="18"/>
          <w:szCs w:val="18"/>
        </w:rPr>
        <w:t xml:space="preserve">sobrepreço</w:t>
      </w:r>
      <w:r>
        <w:rPr>
          <w:rFonts w:ascii="Cambria" w:hAnsi="Cambria" w:cs="Cambria"/>
          <w:sz w:val="18"/>
          <w:szCs w:val="18"/>
        </w:rPr>
        <w:t xml:space="preserve"> se dará pela superação do valor global estimado;</w:t>
      </w:r>
      <w:r/>
    </w:p>
    <w:p>
      <w:pPr>
        <w:pStyle w:val="1070"/>
        <w:numPr>
          <w:ilvl w:val="2"/>
          <w:numId w:val="10"/>
        </w:numPr>
        <w:ind w:left="0" w:firstLine="0"/>
        <w:spacing w:before="0" w:after="0" w:line="240" w:lineRule="auto"/>
        <w:tabs>
          <w:tab w:val="left" w:pos="992" w:leader="none"/>
        </w:tabs>
        <w:rPr>
          <w:rFonts w:ascii="Cambria" w:hAnsi="Cambria" w:cs="Cambria"/>
          <w:color w:val="auto"/>
          <w:sz w:val="18"/>
          <w:szCs w:val="18"/>
        </w:rPr>
      </w:pPr>
      <w:r>
        <w:rPr>
          <w:rFonts w:ascii="Cambria" w:hAnsi="Cambria" w:cs="Cambria"/>
          <w:color w:val="auto"/>
          <w:sz w:val="18"/>
          <w:szCs w:val="18"/>
        </w:rPr>
        <w:t xml:space="preserve">No regime de empreitada por preço unitário, a caracterização do </w:t>
      </w:r>
      <w:r>
        <w:rPr>
          <w:rFonts w:ascii="Cambria" w:hAnsi="Cambria" w:cs="Cambria"/>
          <w:color w:val="auto"/>
          <w:sz w:val="18"/>
          <w:szCs w:val="18"/>
        </w:rPr>
        <w:t xml:space="preserve">sobrepreço</w:t>
      </w:r>
      <w:r>
        <w:rPr>
          <w:rFonts w:ascii="Cambria" w:hAnsi="Cambria" w:cs="Cambria"/>
          <w:color w:val="auto"/>
          <w:sz w:val="18"/>
          <w:szCs w:val="18"/>
        </w:rPr>
        <w:t xml:space="preserve"> se dará pela superação do valor global estimado e pela sup</w:t>
      </w:r>
      <w:r>
        <w:rPr>
          <w:rFonts w:ascii="Cambria" w:hAnsi="Cambria" w:cs="Cambria"/>
          <w:color w:val="auto"/>
          <w:sz w:val="18"/>
          <w:szCs w:val="18"/>
        </w:rPr>
        <w:t xml:space="preserve">eração de custo unitário tido como relevante, conforme planilha anexa ao edital;</w:t>
      </w:r>
      <w:r/>
    </w:p>
    <w:p>
      <w:pPr>
        <w:pStyle w:val="1070"/>
        <w:numPr>
          <w:ilvl w:val="2"/>
          <w:numId w:val="10"/>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No caso de serviços de engenharia, serão consideradas inexequíveis as propostas cujos valores forem inferiores a 75% (setenta e cinco por cento) do valor orçado pela Administr</w:t>
      </w:r>
      <w:r>
        <w:rPr>
          <w:rFonts w:ascii="Cambria" w:hAnsi="Cambria" w:cs="Cambria"/>
          <w:sz w:val="18"/>
          <w:szCs w:val="18"/>
        </w:rPr>
        <w:t xml:space="preserve">ação, independentemente do regime de execução.</w:t>
      </w:r>
      <w:r/>
    </w:p>
    <w:p>
      <w:pPr>
        <w:pStyle w:val="1070"/>
        <w:numPr>
          <w:ilvl w:val="2"/>
          <w:numId w:val="10"/>
        </w:numPr>
        <w:ind w:left="0" w:firstLine="0"/>
        <w:spacing w:before="0" w:after="0" w:line="240" w:lineRule="auto"/>
        <w:tabs>
          <w:tab w:val="left" w:pos="992" w:leader="none"/>
        </w:tabs>
        <w:rPr>
          <w:rFonts w:ascii="Cambria" w:hAnsi="Cambria" w:cs="Cambria"/>
          <w:sz w:val="18"/>
          <w:szCs w:val="18"/>
        </w:rPr>
      </w:pPr>
      <w:r/>
      <w:bookmarkStart w:id="37" w:name="_Hlk135304834"/>
      <w:r>
        <w:rPr>
          <w:rFonts w:ascii="Cambria" w:hAnsi="Cambria" w:cs="Cambria"/>
          <w:sz w:val="18"/>
          <w:szCs w:val="18"/>
        </w:rPr>
        <w:t xml:space="preserve">Será exigida garantia a</w:t>
      </w:r>
      <w:r>
        <w:rPr>
          <w:rFonts w:ascii="Cambria" w:hAnsi="Cambria" w:cs="Cambria"/>
          <w:sz w:val="18"/>
          <w:szCs w:val="18"/>
        </w:rPr>
        <w:t xml:space="preserve">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7"/>
      <w:r>
        <w:rPr>
          <w:rFonts w:ascii="Cambria" w:hAnsi="Cambria" w:cs="Cambria"/>
          <w:sz w:val="18"/>
          <w:szCs w:val="18"/>
        </w:rPr>
        <w:t xml:space="preserve">.</w:t>
      </w:r>
      <w:r/>
    </w:p>
    <w:p>
      <w:pPr>
        <w:pStyle w:val="106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Se houver indícios de inexequibilidade da proposta de preço, ou em caso da necessidade de esclarecimentos complementares, poderão ser efetuadas diligências, para que a empresa comprove a exequibilidade da proposta.</w:t>
      </w:r>
      <w:r/>
    </w:p>
    <w:p>
      <w:pPr>
        <w:pStyle w:val="106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Caso o custo global estimado do objeto </w:t>
      </w:r>
      <w:r>
        <w:rPr>
          <w:rFonts w:ascii="Cambria" w:hAnsi="Cambria" w:cs="Cambria"/>
          <w:sz w:val="18"/>
          <w:szCs w:val="18"/>
        </w:rPr>
        <w:t xml:space="preserve">licitado tenha sido decomposto em seus respectivos custos unitários por meio de Planilha de Custos e Formação de Preços elaborada pela Administração, o licitante classificado em primeiro lugar será convocado para apresentar Planilha por ele elaborada, com </w:t>
      </w:r>
      <w:r>
        <w:rPr>
          <w:rFonts w:ascii="Cambria" w:hAnsi="Cambria" w:cs="Cambria"/>
          <w:sz w:val="18"/>
          <w:szCs w:val="18"/>
        </w:rPr>
        <w:t xml:space="preserve">os respectivos valores adequados ao valor final da sua proposta, sob pena de não aceitação da proposta.</w:t>
      </w:r>
      <w:r/>
    </w:p>
    <w:p>
      <w:pPr>
        <w:pStyle w:val="1070"/>
        <w:numPr>
          <w:ilvl w:val="2"/>
          <w:numId w:val="10"/>
        </w:numPr>
        <w:ind w:left="0" w:firstLine="0"/>
        <w:spacing w:before="0" w:after="0" w:line="240" w:lineRule="auto"/>
        <w:tabs>
          <w:tab w:val="left" w:pos="850" w:leader="none"/>
        </w:tabs>
        <w:rPr>
          <w:rFonts w:ascii="Cambria" w:hAnsi="Cambria" w:cs="Cambria"/>
          <w:sz w:val="18"/>
          <w:szCs w:val="18"/>
        </w:rPr>
      </w:pPr>
      <w:r/>
      <w:bookmarkStart w:id="38" w:name="_Hlk126568356"/>
      <w:r>
        <w:rPr>
          <w:rFonts w:ascii="Cambria" w:hAnsi="Cambria" w:cs="Cambria"/>
          <w:sz w:val="18"/>
          <w:szCs w:val="18"/>
        </w:rPr>
        <w:t xml:space="preserve">Em se tratando de serviços de engenharia, o licitante vencedor será convocado a apresentar à Administração, por meio eletrônico, as planilhas com indica</w:t>
      </w:r>
      <w:r>
        <w:rPr>
          <w:rFonts w:ascii="Cambria" w:hAnsi="Cambria" w:cs="Cambria"/>
          <w:sz w:val="18"/>
          <w:szCs w:val="18"/>
        </w:rPr>
        <w:t xml:space="preserve">ção dos quantitativos e dos custos unitários</w:t>
      </w:r>
      <w:bookmarkEnd w:id="38"/>
      <w:r>
        <w:rPr>
          <w:rFonts w:ascii="Cambria" w:hAnsi="Cambria" w:cs="Cambria"/>
          <w:sz w:val="18"/>
          <w:szCs w:val="18"/>
        </w:rPr>
        <w:t xml:space="preserve">, seguindo o modelo elaborado pela Administração, bem como com detalhamento das Bonificações e Despesas Indiretas (BDI) e dos Encargos Sociais (ES), com os respectivos valores adequados ao valor final da proposta</w:t>
      </w:r>
      <w:r>
        <w:rPr>
          <w:rFonts w:ascii="Cambria" w:hAnsi="Cambria" w:cs="Cambria"/>
          <w:sz w:val="18"/>
          <w:szCs w:val="18"/>
        </w:rPr>
        <w:t xml:space="preserve"> vencedora, admitida a utilização dos preços unitários, no caso de empreitada por preço global, empreitada integral, contratação </w:t>
      </w:r>
      <w:r>
        <w:rPr>
          <w:rFonts w:ascii="Cambria" w:hAnsi="Cambria" w:cs="Cambria"/>
          <w:sz w:val="18"/>
          <w:szCs w:val="18"/>
        </w:rPr>
        <w:t xml:space="preserve">semi-integrada</w:t>
      </w:r>
      <w:r>
        <w:rPr>
          <w:rFonts w:ascii="Cambria" w:hAnsi="Cambria" w:cs="Cambria"/>
          <w:sz w:val="18"/>
          <w:szCs w:val="18"/>
        </w:rPr>
        <w:t xml:space="preserve"> e contratação integrada, exclusivamente para eventuais adequações indispensáveis no cronograma físico-financeiro</w:t>
      </w:r>
      <w:r>
        <w:rPr>
          <w:rFonts w:ascii="Cambria" w:hAnsi="Cambria" w:cs="Cambria"/>
          <w:sz w:val="18"/>
          <w:szCs w:val="18"/>
        </w:rPr>
        <w:t xml:space="preserve"> e para balizar excepcional aditamento posterior do contrato.</w:t>
      </w:r>
      <w:r/>
    </w:p>
    <w:p>
      <w:pPr>
        <w:pStyle w:val="106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Erros no preenchimento da planilha não constituem motivo para a desclassificação da proposta. A planilha poderá́ ser ajustada pelo fornecedor, no prazo indicado pelo sistema, desde que não haja </w:t>
      </w:r>
      <w:r>
        <w:rPr>
          <w:rFonts w:ascii="Cambria" w:hAnsi="Cambria" w:cs="Cambria"/>
          <w:sz w:val="18"/>
          <w:szCs w:val="18"/>
        </w:rPr>
        <w:t xml:space="preserve">majoração do preço e que se comprove que este é o bastante para arcar com todos os custos da contratação;</w:t>
      </w:r>
      <w:r/>
    </w:p>
    <w:p>
      <w:pPr>
        <w:pStyle w:val="1070"/>
        <w:numPr>
          <w:ilvl w:val="2"/>
          <w:numId w:val="10"/>
        </w:numPr>
        <w:ind w:left="0" w:firstLine="0"/>
        <w:spacing w:before="0" w:after="0" w:line="240" w:lineRule="auto"/>
        <w:tabs>
          <w:tab w:val="left" w:pos="850" w:leader="none"/>
        </w:tabs>
        <w:rPr>
          <w:rFonts w:ascii="Cambria" w:hAnsi="Cambria" w:cs="Cambria"/>
          <w:sz w:val="18"/>
          <w:szCs w:val="18"/>
        </w:rPr>
      </w:pPr>
      <w:r>
        <w:rPr>
          <w:rFonts w:ascii="Cambria" w:hAnsi="Cambria" w:cs="Cambria"/>
          <w:sz w:val="18"/>
          <w:szCs w:val="18"/>
        </w:rPr>
        <w:t xml:space="preserve">O ajuste de que trata este dispositivo se limita a sanar erros ou falhas que não alterem a substância das propostas;</w:t>
      </w:r>
      <w:r/>
    </w:p>
    <w:p>
      <w:pPr>
        <w:pStyle w:val="1070"/>
        <w:numPr>
          <w:ilvl w:val="2"/>
          <w:numId w:val="10"/>
        </w:numPr>
        <w:ind w:left="0" w:firstLine="0"/>
        <w:spacing w:before="0" w:after="0" w:line="240" w:lineRule="auto"/>
        <w:tabs>
          <w:tab w:val="left" w:pos="850" w:leader="none"/>
        </w:tabs>
        <w:rPr>
          <w:rFonts w:ascii="Cambria" w:hAnsi="Cambria" w:cs="Cambria"/>
          <w:sz w:val="18"/>
          <w:szCs w:val="18"/>
        </w:rPr>
      </w:pPr>
      <w:r>
        <w:rPr>
          <w:rFonts w:ascii="Cambria" w:hAnsi="Cambria" w:cs="Cambria"/>
          <w:sz w:val="18"/>
          <w:szCs w:val="18"/>
        </w:rPr>
        <w:t xml:space="preserve">Considera-se erro no preenchiment</w:t>
      </w:r>
      <w:r>
        <w:rPr>
          <w:rFonts w:ascii="Cambria" w:hAnsi="Cambria" w:cs="Cambria"/>
          <w:sz w:val="18"/>
          <w:szCs w:val="18"/>
        </w:rPr>
        <w:t xml:space="preserve">o da planilha passível de correção a indicação de recolhimento de impostos e contribuições na forma do Simples Nacional, quando não cabível esse regime.</w:t>
      </w:r>
      <w:r/>
    </w:p>
    <w:p>
      <w:pPr>
        <w:pStyle w:val="106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Caso o Termo de Referência exija a apresentação de amostra, o licitante classificado em primeiro lugar </w:t>
      </w:r>
      <w:r>
        <w:rPr>
          <w:rFonts w:ascii="Cambria" w:hAnsi="Cambria" w:cs="Cambria"/>
          <w:sz w:val="18"/>
          <w:szCs w:val="18"/>
        </w:rPr>
        <w:t xml:space="preserve">deverá apresentá-la, conforme disciplinado no Termo de Referência, sob pena de não aceitação da proposta.</w:t>
      </w:r>
      <w:r/>
    </w:p>
    <w:p>
      <w:pPr>
        <w:pStyle w:val="106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Por meio de mensagem no sistema, será divulgado o local e horário de realização do procedimento para a avaliação das amostras, cuja presença será facultada a todos os interessados, incluindo os demais licitantes.</w:t>
      </w:r>
      <w:r/>
    </w:p>
    <w:p>
      <w:pPr>
        <w:pStyle w:val="106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Os resultados das avaliações serão divulgad</w:t>
      </w:r>
      <w:r>
        <w:rPr>
          <w:rFonts w:ascii="Cambria" w:hAnsi="Cambria" w:cs="Cambria"/>
          <w:sz w:val="18"/>
          <w:szCs w:val="18"/>
        </w:rPr>
        <w:t xml:space="preserve">os por meio de mensagem no sistema.</w:t>
      </w:r>
      <w:r/>
    </w:p>
    <w:p>
      <w:pPr>
        <w:pStyle w:val="106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No caso de não haver entrega da amostra ou ocorrer atraso na entrega, sem justificativa aceita pelo Pregoeiro, ou havendo entrega de amostra fora das especificações previstas neste Edital, a proposta do licitante será re</w:t>
      </w:r>
      <w:r>
        <w:rPr>
          <w:rFonts w:ascii="Cambria" w:hAnsi="Cambria" w:cs="Cambria"/>
          <w:sz w:val="18"/>
          <w:szCs w:val="18"/>
        </w:rPr>
        <w:t xml:space="preserve">cusada.</w:t>
      </w:r>
      <w:r/>
    </w:p>
    <w:p>
      <w:pPr>
        <w:pStyle w:val="106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Se </w:t>
      </w:r>
      <w:r>
        <w:rPr>
          <w:rFonts w:ascii="Cambria" w:hAnsi="Cambria" w:cs="Cambria"/>
          <w:sz w:val="18"/>
          <w:szCs w:val="18"/>
        </w:rPr>
        <w:t xml:space="preserve">a(</w:t>
      </w:r>
      <w:r>
        <w:rPr>
          <w:rFonts w:ascii="Cambria" w:hAnsi="Cambria" w:cs="Cambria"/>
          <w:sz w:val="18"/>
          <w:szCs w:val="18"/>
        </w:rPr>
        <w:t xml:space="preserve">s) amostra(s) apresentada(s) pelo primeiro classificado não for(em) aceita(s), o Pregoeiro analisará a aceitabilidade da proposta ou lance ofertado pelo segundo classificado. Seguir-se-á com a verificação </w:t>
      </w:r>
      <w:r>
        <w:rPr>
          <w:rFonts w:ascii="Cambria" w:hAnsi="Cambria" w:cs="Cambria"/>
          <w:sz w:val="18"/>
          <w:szCs w:val="18"/>
        </w:rPr>
        <w:t xml:space="preserve">da(</w:t>
      </w:r>
      <w:r>
        <w:rPr>
          <w:rFonts w:ascii="Cambria" w:hAnsi="Cambria" w:cs="Cambria"/>
          <w:sz w:val="18"/>
          <w:szCs w:val="18"/>
        </w:rPr>
        <w:t xml:space="preserve">s) amostra(s) e, assim, sucessivame</w:t>
      </w:r>
      <w:r>
        <w:rPr>
          <w:rFonts w:ascii="Cambria" w:hAnsi="Cambria" w:cs="Cambria"/>
          <w:sz w:val="18"/>
          <w:szCs w:val="18"/>
        </w:rPr>
        <w:t xml:space="preserve">nte, até a verificação de uma que atenda às especificações constantes no Termo de Referência. </w:t>
      </w:r>
      <w:r/>
    </w:p>
    <w:p>
      <w:pPr>
        <w:pStyle w:val="1068"/>
        <w:numPr>
          <w:ilvl w:val="1"/>
          <w:numId w:val="0"/>
        </w:numPr>
        <w:spacing w:before="0" w:after="0" w:line="240" w:lineRule="auto"/>
        <w:rPr>
          <w:rFonts w:ascii="Cambria" w:hAnsi="Cambria" w:cs="Cambria"/>
          <w:sz w:val="18"/>
          <w:szCs w:val="18"/>
        </w:rPr>
      </w:pPr>
      <w:r>
        <w:rPr>
          <w:rFonts w:ascii="Cambria" w:hAnsi="Cambria" w:cs="Cambria"/>
          <w:sz w:val="18"/>
          <w:szCs w:val="18"/>
        </w:rPr>
      </w:r>
      <w:r/>
    </w:p>
    <w:p>
      <w:pPr>
        <w:pStyle w:val="1051"/>
        <w:numPr>
          <w:ilvl w:val="0"/>
          <w:numId w:val="10"/>
        </w:numPr>
        <w:ind w:left="0" w:firstLine="0"/>
        <w:spacing w:before="0" w:after="0" w:line="240" w:lineRule="auto"/>
        <w:rPr>
          <w:rFonts w:ascii="Cambria" w:hAnsi="Cambria" w:cs="Cambria"/>
          <w:sz w:val="18"/>
          <w:szCs w:val="18"/>
        </w:rPr>
      </w:pPr>
      <w:r/>
      <w:bookmarkStart w:id="39" w:name="_Toc135469230"/>
      <w:r>
        <w:rPr>
          <w:rFonts w:ascii="Cambria" w:hAnsi="Cambria" w:cs="Cambria"/>
          <w:sz w:val="18"/>
          <w:szCs w:val="18"/>
        </w:rPr>
        <w:t xml:space="preserve">DA FASE DE HABILITAÇÃO</w:t>
      </w:r>
      <w:bookmarkEnd w:id="39"/>
      <w:r/>
      <w:r/>
    </w:p>
    <w:p>
      <w:pPr>
        <w:pStyle w:val="106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Os documentos previstos no Termo de Referência, necessários e suficientes para demonstrar a capacidade do licitante de realizar o objeto </w:t>
      </w:r>
      <w:r>
        <w:rPr>
          <w:rFonts w:ascii="Cambria" w:hAnsi="Cambria" w:cs="Cambria"/>
          <w:sz w:val="18"/>
          <w:szCs w:val="18"/>
        </w:rPr>
        <w:t xml:space="preserve">da licitação, serão exigidos para fins de habilitação, nos termos dos </w:t>
      </w:r>
      <w:hyperlink r:id="rId40" w:tooltip="http://www.planalto.gov.br/ccivil_03/_ato2019-2022/2021/lei/L14133.htm#art62" w:anchor="art62" w:history="1">
        <w:r>
          <w:rPr>
            <w:rStyle w:val="839"/>
            <w:rFonts w:ascii="Cambria" w:hAnsi="Cambria" w:cs="Cambria"/>
            <w:sz w:val="18"/>
            <w:szCs w:val="18"/>
          </w:rPr>
          <w:t xml:space="preserve">arts</w:t>
        </w:r>
        <w:r>
          <w:rPr>
            <w:rStyle w:val="839"/>
            <w:rFonts w:ascii="Cambria" w:hAnsi="Cambria" w:cs="Cambria"/>
            <w:sz w:val="18"/>
            <w:szCs w:val="18"/>
          </w:rPr>
          <w:t xml:space="preserve">. 62 a 70 da Lei nº 14.133, de 2021</w:t>
        </w:r>
      </w:hyperlink>
      <w:r>
        <w:rPr>
          <w:rFonts w:ascii="Cambria" w:hAnsi="Cambria" w:cs="Cambria"/>
          <w:sz w:val="18"/>
          <w:szCs w:val="18"/>
        </w:rPr>
        <w:t xml:space="preserve">.</w:t>
      </w:r>
      <w:r/>
    </w:p>
    <w:p>
      <w:pPr>
        <w:pStyle w:val="1068"/>
        <w:numPr>
          <w:ilvl w:val="1"/>
          <w:numId w:val="10"/>
        </w:numPr>
        <w:ind w:left="0" w:firstLine="0"/>
        <w:spacing w:before="0" w:after="0" w:line="240" w:lineRule="auto"/>
        <w:tabs>
          <w:tab w:val="left" w:pos="850" w:leader="none"/>
        </w:tabs>
        <w:rPr>
          <w:rFonts w:ascii="Cambria" w:hAnsi="Cambria" w:cs="Cambria"/>
          <w:i/>
          <w:iCs/>
          <w:sz w:val="18"/>
          <w:szCs w:val="18"/>
        </w:rPr>
      </w:pPr>
      <w:r>
        <w:rPr>
          <w:rFonts w:ascii="Cambria" w:hAnsi="Cambria" w:cs="Cambria"/>
          <w:color w:val="auto"/>
          <w:sz w:val="18"/>
          <w:szCs w:val="18"/>
        </w:rPr>
        <w:t xml:space="preserve">Quando </w:t>
      </w:r>
      <w:r>
        <w:rPr>
          <w:rFonts w:ascii="Cambria" w:hAnsi="Cambria" w:cs="Cambria"/>
          <w:sz w:val="18"/>
          <w:szCs w:val="18"/>
        </w:rPr>
        <w:t xml:space="preserve">permitida</w:t>
      </w:r>
      <w:r>
        <w:rPr>
          <w:rFonts w:ascii="Cambria" w:hAnsi="Cambria" w:cs="Cambria"/>
          <w:color w:val="auto"/>
          <w:sz w:val="18"/>
          <w:szCs w:val="18"/>
        </w:rPr>
        <w:t xml:space="preserve"> a </w:t>
      </w:r>
      <w:r>
        <w:rPr>
          <w:rFonts w:ascii="Cambria" w:hAnsi="Cambria" w:cs="Cambria"/>
          <w:sz w:val="18"/>
          <w:szCs w:val="18"/>
        </w:rPr>
        <w:t xml:space="preserve">participação de empresas estrangeiras que não funcionem no País, as exigências de habilitação serão atendidas mediante documentos equivalentes, inicialmente apresentados em tradução livre.</w:t>
      </w:r>
      <w:r/>
    </w:p>
    <w:p>
      <w:pPr>
        <w:pStyle w:val="1068"/>
        <w:numPr>
          <w:ilvl w:val="1"/>
          <w:numId w:val="10"/>
        </w:numPr>
        <w:ind w:left="0" w:firstLine="0"/>
        <w:spacing w:before="0" w:after="0" w:line="240" w:lineRule="auto"/>
        <w:tabs>
          <w:tab w:val="left" w:pos="850" w:leader="none"/>
        </w:tabs>
        <w:rPr>
          <w:rFonts w:ascii="Cambria" w:hAnsi="Cambria" w:cs="Cambria"/>
          <w:i/>
          <w:iCs/>
          <w:sz w:val="18"/>
          <w:szCs w:val="18"/>
        </w:rPr>
      </w:pPr>
      <w:r>
        <w:rPr>
          <w:rFonts w:ascii="Cambria" w:hAnsi="Cambria" w:cs="Cambria"/>
          <w:sz w:val="18"/>
          <w:szCs w:val="18"/>
        </w:rPr>
        <w:t xml:space="preserve">Na hipótese de o licitante vencedor ser empresa estrangeira que não</w:t>
      </w:r>
      <w:r>
        <w:rPr>
          <w:rFonts w:ascii="Cambria" w:hAnsi="Cambria" w:cs="Cambria"/>
          <w:sz w:val="18"/>
          <w:szCs w:val="18"/>
        </w:rPr>
        <w:t xml:space="preserve"> funcione no País, para </w:t>
      </w:r>
      <w:r>
        <w:rPr>
          <w:rFonts w:ascii="Cambria" w:hAnsi="Cambria" w:cs="Cambria"/>
          <w:sz w:val="18"/>
          <w:szCs w:val="18"/>
        </w:rPr>
        <w:t xml:space="preserve">ﬁns</w:t>
      </w:r>
      <w:r>
        <w:rPr>
          <w:rFonts w:ascii="Cambria" w:hAnsi="Cambria" w:cs="Cambria"/>
          <w:sz w:val="18"/>
          <w:szCs w:val="18"/>
        </w:rPr>
        <w:t xml:space="preserve"> de assinatura do contrato ou da ata de registro de preços, os documentos exigidos para a habilitação serão traduzidos por tradutor juramentado no País e apostilados nos termos do disposto no </w:t>
      </w:r>
      <w:r>
        <w:rPr>
          <w:rFonts w:ascii="Cambria" w:hAnsi="Cambria" w:cs="Cambria"/>
          <w:color w:val="auto"/>
          <w:sz w:val="18"/>
          <w:szCs w:val="18"/>
        </w:rPr>
        <w:t xml:space="preserve">Decreto nº 8.660, de 29 de janeiro de</w:t>
      </w:r>
      <w:r>
        <w:rPr>
          <w:rFonts w:ascii="Cambria" w:hAnsi="Cambria" w:cs="Cambria"/>
          <w:color w:val="auto"/>
          <w:sz w:val="18"/>
          <w:szCs w:val="18"/>
        </w:rPr>
        <w:t xml:space="preserve"> 2016</w:t>
      </w:r>
      <w:r>
        <w:rPr>
          <w:rFonts w:ascii="Cambria" w:hAnsi="Cambria" w:cs="Cambria"/>
          <w:sz w:val="18"/>
          <w:szCs w:val="18"/>
        </w:rPr>
        <w:t xml:space="preserve">, ou de outro que venha a substituí-lo, ou </w:t>
      </w:r>
      <w:r>
        <w:rPr>
          <w:rFonts w:ascii="Cambria" w:hAnsi="Cambria" w:cs="Cambria"/>
          <w:sz w:val="18"/>
          <w:szCs w:val="18"/>
        </w:rPr>
        <w:t xml:space="preserve">consularizados</w:t>
      </w:r>
      <w:r>
        <w:rPr>
          <w:rFonts w:ascii="Cambria" w:hAnsi="Cambria" w:cs="Cambria"/>
          <w:sz w:val="18"/>
          <w:szCs w:val="18"/>
        </w:rPr>
        <w:t xml:space="preserve"> pelos respectivos consulados ou embaixadas.</w:t>
      </w:r>
      <w:r/>
    </w:p>
    <w:p>
      <w:pPr>
        <w:pStyle w:val="1068"/>
        <w:numPr>
          <w:ilvl w:val="1"/>
          <w:numId w:val="10"/>
        </w:numPr>
        <w:ind w:left="0" w:firstLine="0"/>
        <w:spacing w:before="0" w:after="0" w:line="240" w:lineRule="auto"/>
        <w:tabs>
          <w:tab w:val="left" w:pos="850" w:leader="none"/>
        </w:tabs>
        <w:rPr>
          <w:rFonts w:ascii="Cambria" w:hAnsi="Cambria" w:cs="Cambria"/>
          <w:i/>
          <w:iCs/>
          <w:sz w:val="18"/>
          <w:szCs w:val="18"/>
        </w:rPr>
      </w:pPr>
      <w:r>
        <w:rPr>
          <w:rFonts w:ascii="Cambria" w:hAnsi="Cambria" w:cs="Cambria"/>
          <w:sz w:val="18"/>
          <w:szCs w:val="18"/>
        </w:rPr>
        <w:t xml:space="preserve">Quando permitida a participação de consórcio de empresas, a habilitação técnica, quando exigida, será feita por meio do somatório dos quantitativos d</w:t>
      </w:r>
      <w:r>
        <w:rPr>
          <w:rFonts w:ascii="Cambria" w:hAnsi="Cambria" w:cs="Cambria"/>
          <w:sz w:val="18"/>
          <w:szCs w:val="18"/>
        </w:rPr>
        <w:t xml:space="preserve">e cada consorciado e, para efeito de habilitação econômico-financeira, quando exigida, será observado o somatório dos valores de cada consorciado.</w:t>
      </w:r>
      <w:r/>
    </w:p>
    <w:p>
      <w:pPr>
        <w:pStyle w:val="1070"/>
        <w:numPr>
          <w:ilvl w:val="2"/>
          <w:numId w:val="10"/>
        </w:numPr>
        <w:ind w:left="0" w:firstLine="0"/>
        <w:spacing w:before="0" w:after="0" w:line="240" w:lineRule="auto"/>
        <w:tabs>
          <w:tab w:val="left" w:pos="850" w:leader="none"/>
        </w:tabs>
        <w:rPr>
          <w:rFonts w:ascii="Cambria" w:hAnsi="Cambria" w:cs="Cambria"/>
          <w:i/>
          <w:iCs/>
          <w:sz w:val="18"/>
          <w:szCs w:val="18"/>
        </w:rPr>
      </w:pPr>
      <w:r>
        <w:rPr>
          <w:rFonts w:ascii="Cambria" w:hAnsi="Cambria" w:cs="Cambria"/>
          <w:sz w:val="18"/>
          <w:szCs w:val="18"/>
        </w:rPr>
        <w:t xml:space="preserve">Se o consórcio não for formado integralmente por microempresas ou empresas de pequeno porte e o termo de refe</w:t>
      </w:r>
      <w:r>
        <w:rPr>
          <w:rFonts w:ascii="Cambria" w:hAnsi="Cambria" w:cs="Cambria"/>
          <w:sz w:val="18"/>
          <w:szCs w:val="18"/>
        </w:rPr>
        <w:t xml:space="preserve">rência exigir requisitos de habilitação econômico-financeira, haverá um acréscimo de</w:t>
      </w:r>
      <w:r>
        <w:rPr>
          <w:rFonts w:ascii="Cambria" w:hAnsi="Cambria" w:cs="Cambria"/>
          <w:sz w:val="18"/>
          <w:szCs w:val="18"/>
        </w:rPr>
        <w:t xml:space="preserve"> 30%</w:t>
      </w:r>
      <w:r>
        <w:rPr>
          <w:rFonts w:ascii="Cambria" w:hAnsi="Cambria" w:cs="Cambria"/>
          <w:sz w:val="18"/>
          <w:szCs w:val="18"/>
        </w:rPr>
        <w:t xml:space="preserve"> </w:t>
      </w:r>
      <w:r>
        <w:rPr>
          <w:rFonts w:ascii="Cambria" w:hAnsi="Cambria" w:cs="Cambria"/>
          <w:color w:val="auto"/>
          <w:sz w:val="18"/>
          <w:szCs w:val="18"/>
        </w:rPr>
        <w:t xml:space="preserve">para o consórcio em relação ao valor exigido para os licitantes individuais.</w:t>
      </w:r>
      <w:r/>
    </w:p>
    <w:p>
      <w:pPr>
        <w:pStyle w:val="106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Os documentos exigidos para fins de habilitação poderão ser apresentados em original, por </w:t>
      </w:r>
      <w:r>
        <w:rPr>
          <w:rFonts w:ascii="Cambria" w:hAnsi="Cambria" w:cs="Cambria"/>
          <w:sz w:val="18"/>
          <w:szCs w:val="18"/>
        </w:rPr>
        <w:t xml:space="preserve">cópia.</w:t>
      </w:r>
      <w:r/>
    </w:p>
    <w:p>
      <w:pPr>
        <w:pStyle w:val="1068"/>
        <w:numPr>
          <w:ilvl w:val="1"/>
          <w:numId w:val="10"/>
        </w:numPr>
        <w:ind w:left="0" w:firstLine="0"/>
        <w:spacing w:before="0" w:after="0" w:line="240" w:lineRule="auto"/>
        <w:rPr>
          <w:rFonts w:ascii="Cambria" w:hAnsi="Cambria" w:cs="Cambria"/>
          <w:i/>
          <w:iCs/>
          <w:sz w:val="18"/>
          <w:szCs w:val="18"/>
        </w:rPr>
      </w:pPr>
      <w:r>
        <w:rPr>
          <w:rFonts w:ascii="Cambria" w:hAnsi="Cambria" w:cs="Cambria"/>
          <w:sz w:val="18"/>
          <w:szCs w:val="18"/>
        </w:rPr>
        <w:t xml:space="preserve">Os documentos exigidos para fins de habilitação poderão ser substituídos por registro cadastral emitido por órgão ou entidade pública, desde que o registro tenha sido feito em obediência ao disposto na Lei nº 14.133/2021.</w:t>
      </w:r>
      <w:r/>
    </w:p>
    <w:p>
      <w:pPr>
        <w:pStyle w:val="106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Será verificado se o licita</w:t>
      </w:r>
      <w:r>
        <w:rPr>
          <w:rFonts w:ascii="Cambria" w:hAnsi="Cambria" w:cs="Cambria"/>
          <w:sz w:val="18"/>
          <w:szCs w:val="18"/>
        </w:rPr>
        <w:t xml:space="preserve">nte apresentou declaração de que atende aos requisitos de habilitação, e o declarante responderá pela veracidade das informações prestadas, na forma da lei (</w:t>
      </w:r>
      <w:hyperlink r:id="rId41" w:tooltip="http://www.planalto.gov.br/ccivil_03/_ato2019-2022/2021/lei/L14133.htm#art63" w:anchor="art63" w:history="1">
        <w:r>
          <w:rPr>
            <w:rStyle w:val="839"/>
            <w:rFonts w:ascii="Cambria" w:hAnsi="Cambria" w:cs="Cambria"/>
            <w:sz w:val="18"/>
            <w:szCs w:val="18"/>
          </w:rPr>
          <w:t xml:space="preserve">a</w:t>
        </w:r>
        <w:r>
          <w:rPr>
            <w:rStyle w:val="839"/>
            <w:rFonts w:ascii="Cambria" w:hAnsi="Cambria" w:cs="Cambria"/>
            <w:sz w:val="18"/>
            <w:szCs w:val="18"/>
          </w:rPr>
          <w:t xml:space="preserve">rt. 63, I, da Lei nº 14.133/2021</w:t>
        </w:r>
      </w:hyperlink>
      <w:r>
        <w:rPr>
          <w:rFonts w:ascii="Cambria" w:hAnsi="Cambria" w:cs="Cambria"/>
          <w:sz w:val="18"/>
          <w:szCs w:val="18"/>
        </w:rPr>
        <w:t xml:space="preserve">).</w:t>
      </w:r>
      <w:r/>
    </w:p>
    <w:p>
      <w:pPr>
        <w:pStyle w:val="1068"/>
        <w:numPr>
          <w:ilvl w:val="1"/>
          <w:numId w:val="10"/>
        </w:numPr>
        <w:ind w:left="0" w:firstLine="0"/>
        <w:spacing w:before="0" w:after="0" w:line="240" w:lineRule="auto"/>
        <w:rPr>
          <w:rFonts w:ascii="Cambria" w:hAnsi="Cambria" w:cs="Cambria"/>
          <w:i/>
          <w:iCs/>
          <w:sz w:val="18"/>
          <w:szCs w:val="18"/>
        </w:rPr>
      </w:pPr>
      <w:r>
        <w:rPr>
          <w:rFonts w:ascii="Cambria" w:hAnsi="Cambria" w:cs="Cambria"/>
          <w:sz w:val="18"/>
          <w:szCs w:val="18"/>
        </w:rPr>
        <w:t xml:space="preserve">Será verificado se o licitante apresentou no sistema, sob pena de inabilitação, a declaração de que cumpre as exigências de reserva de cargos para pessoa com deficiência e para reabilitado da Previdência Social, previs</w:t>
      </w:r>
      <w:r>
        <w:rPr>
          <w:rFonts w:ascii="Cambria" w:hAnsi="Cambria" w:cs="Cambria"/>
          <w:sz w:val="18"/>
          <w:szCs w:val="18"/>
        </w:rPr>
        <w:t xml:space="preserve">tas em lei e em outras normas específicas.</w:t>
      </w:r>
      <w:r/>
    </w:p>
    <w:p>
      <w:pPr>
        <w:pStyle w:val="1068"/>
        <w:numPr>
          <w:ilvl w:val="1"/>
          <w:numId w:val="10"/>
        </w:numPr>
        <w:ind w:left="0" w:firstLine="0"/>
        <w:spacing w:before="0" w:after="0" w:line="240" w:lineRule="auto"/>
        <w:rPr>
          <w:rFonts w:ascii="Cambria" w:hAnsi="Cambria" w:cs="Cambria"/>
          <w:i/>
          <w:iCs/>
          <w:sz w:val="18"/>
          <w:szCs w:val="18"/>
        </w:rPr>
      </w:pPr>
      <w:r>
        <w:rPr>
          <w:rFonts w:ascii="Cambria" w:hAnsi="Cambria" w:cs="Cambria"/>
          <w:sz w:val="18"/>
          <w:szCs w:val="18"/>
        </w:rPr>
        <w:t xml:space="preserve">O licitante deverá apresentar, sob pena de desclassificação, declaração de que suas propostas econômicas compreendem a integralidade dos custos para atendimento dos direitos trabalhistas assegurados na Constituiçã</w:t>
      </w:r>
      <w:r>
        <w:rPr>
          <w:rFonts w:ascii="Cambria" w:hAnsi="Cambria" w:cs="Cambria"/>
          <w:sz w:val="18"/>
          <w:szCs w:val="18"/>
        </w:rPr>
        <w:t xml:space="preserve">o Federal, nas leis trabalhistas, nas normas </w:t>
      </w:r>
      <w:r>
        <w:rPr>
          <w:rFonts w:ascii="Cambria" w:hAnsi="Cambria" w:cs="Cambria"/>
          <w:sz w:val="18"/>
          <w:szCs w:val="18"/>
        </w:rPr>
        <w:t xml:space="preserve">infralegais</w:t>
      </w:r>
      <w:r>
        <w:rPr>
          <w:rFonts w:ascii="Cambria" w:hAnsi="Cambria" w:cs="Cambria"/>
          <w:sz w:val="18"/>
          <w:szCs w:val="18"/>
        </w:rPr>
        <w:t xml:space="preserve">, nas convenções coletivas de trabalho e nos termos de ajustamento de conduta vigentes na data de entrega das propostas.</w:t>
      </w:r>
      <w:r/>
    </w:p>
    <w:p>
      <w:pPr>
        <w:pStyle w:val="106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Somente haverá a necessidade de comprovação do preenchimento de requisitos medi</w:t>
      </w:r>
      <w:r>
        <w:rPr>
          <w:rFonts w:ascii="Cambria" w:hAnsi="Cambria" w:cs="Cambria"/>
          <w:sz w:val="18"/>
          <w:szCs w:val="18"/>
        </w:rPr>
        <w:t xml:space="preserve">ante apresentação dos documentos de habilitação originais não-digitais quando houver dúvida em relação à integridade do documento digital ou quando a lei expressamente o exigir. </w:t>
      </w:r>
      <w:r/>
    </w:p>
    <w:p>
      <w:pPr>
        <w:pStyle w:val="106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É de responsabilidade do licitante conferir a exatidão dos seus dados cadastr</w:t>
      </w:r>
      <w:r>
        <w:rPr>
          <w:rFonts w:ascii="Cambria" w:hAnsi="Cambria" w:cs="Cambria"/>
          <w:sz w:val="18"/>
          <w:szCs w:val="18"/>
        </w:rPr>
        <w:t xml:space="preserve">ais e mantê-los atualizados junto aos órgãos responsáveis pela informação, devendo proceder, imediatamente, à correção ou à alteração dos registros tão logo identifique incorreção ou aqueles se tornem desatualizados.</w:t>
      </w:r>
      <w:r/>
    </w:p>
    <w:p>
      <w:pPr>
        <w:pStyle w:val="1070"/>
        <w:numPr>
          <w:ilvl w:val="2"/>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A não observância do disposto no item a</w:t>
      </w:r>
      <w:r>
        <w:rPr>
          <w:rFonts w:ascii="Cambria" w:hAnsi="Cambria" w:cs="Cambria"/>
          <w:sz w:val="18"/>
          <w:szCs w:val="18"/>
        </w:rPr>
        <w:t xml:space="preserve">nterior poderá ensejar desclassificação no momento da habilitação. </w:t>
      </w:r>
      <w:r/>
    </w:p>
    <w:p>
      <w:pPr>
        <w:pStyle w:val="1068"/>
        <w:numPr>
          <w:ilvl w:val="1"/>
          <w:numId w:val="10"/>
        </w:numPr>
        <w:ind w:left="0" w:firstLine="0"/>
        <w:spacing w:before="0" w:after="0" w:line="240" w:lineRule="auto"/>
        <w:rPr>
          <w:rFonts w:ascii="Cambria" w:hAnsi="Cambria" w:cs="Cambria"/>
          <w:i/>
          <w:iCs/>
          <w:sz w:val="18"/>
          <w:szCs w:val="18"/>
        </w:rPr>
      </w:pPr>
      <w:r>
        <w:rPr>
          <w:rFonts w:ascii="Cambria" w:hAnsi="Cambria" w:cs="Cambria"/>
          <w:sz w:val="18"/>
          <w:szCs w:val="18"/>
        </w:rPr>
        <w:t xml:space="preserve">A verificação pelo pregoeiro, em sítios eletrônicos oficiais de órgãos e entidades emissores de certidões constitui meio legal de prova, para fins de habilitação.</w:t>
      </w:r>
      <w:r/>
    </w:p>
    <w:p>
      <w:pPr>
        <w:pStyle w:val="1070"/>
        <w:numPr>
          <w:ilvl w:val="2"/>
          <w:numId w:val="10"/>
        </w:numPr>
        <w:ind w:left="0" w:firstLine="0"/>
        <w:spacing w:before="0" w:after="0" w:line="240" w:lineRule="auto"/>
        <w:rPr>
          <w:rFonts w:ascii="Cambria" w:hAnsi="Cambria" w:cs="Cambria"/>
          <w:i/>
          <w:iCs/>
          <w:sz w:val="18"/>
          <w:szCs w:val="18"/>
        </w:rPr>
      </w:pPr>
      <w:r/>
      <w:bookmarkStart w:id="40" w:name="_Ref114663151"/>
      <w:r>
        <w:rPr>
          <w:rFonts w:ascii="Cambria" w:hAnsi="Cambria" w:cs="Cambria"/>
          <w:sz w:val="18"/>
          <w:szCs w:val="18"/>
        </w:rPr>
        <w:t xml:space="preserve">Os documentos exigidos pa</w:t>
      </w:r>
      <w:r>
        <w:rPr>
          <w:rFonts w:ascii="Cambria" w:hAnsi="Cambria" w:cs="Cambria"/>
          <w:sz w:val="18"/>
          <w:szCs w:val="18"/>
        </w:rPr>
        <w:t xml:space="preserve">ra habilitação serão enviados por meio do sistema, em formato digital, no prazo de</w:t>
      </w:r>
      <w:r>
        <w:rPr>
          <w:rFonts w:ascii="Cambria" w:hAnsi="Cambria" w:cs="Cambria"/>
          <w:sz w:val="18"/>
          <w:szCs w:val="18"/>
        </w:rPr>
        <w:t xml:space="preserve"> duas horas</w:t>
      </w:r>
      <w:r>
        <w:rPr>
          <w:rFonts w:ascii="Cambria" w:hAnsi="Cambria" w:cs="Cambria"/>
          <w:sz w:val="18"/>
          <w:szCs w:val="18"/>
        </w:rPr>
        <w:t xml:space="preserve">, prorrogável por igual período, contado da solicitação do pregoeiro.</w:t>
      </w:r>
      <w:bookmarkEnd w:id="40"/>
      <w:r/>
      <w:r/>
    </w:p>
    <w:p>
      <w:pPr>
        <w:pStyle w:val="1070"/>
        <w:numPr>
          <w:ilvl w:val="2"/>
          <w:numId w:val="10"/>
        </w:numPr>
        <w:ind w:left="0" w:firstLine="0"/>
        <w:spacing w:before="0" w:after="0" w:line="240" w:lineRule="auto"/>
        <w:rPr>
          <w:rFonts w:ascii="Cambria" w:hAnsi="Cambria" w:cs="Cambria"/>
          <w:i/>
          <w:iCs/>
          <w:sz w:val="18"/>
          <w:szCs w:val="18"/>
        </w:rPr>
      </w:pPr>
      <w:r>
        <w:rPr>
          <w:rFonts w:ascii="Cambria" w:hAnsi="Cambria" w:cs="Cambria"/>
          <w:sz w:val="18"/>
          <w:szCs w:val="18"/>
        </w:rPr>
        <w:t xml:space="preserve">Na hipótese de a fase de habilitação anteceder a fase de apresentação de propostas e lances, </w:t>
      </w:r>
      <w:r>
        <w:rPr>
          <w:rFonts w:ascii="Cambria" w:hAnsi="Cambria" w:cs="Cambria"/>
          <w:sz w:val="18"/>
          <w:szCs w:val="18"/>
        </w:rPr>
        <w:t xml:space="preserve">os licitantes encaminharão, por meio do sistema, simultaneamente os documentos de habilitação e a proposta com o preço ou o percentual de desconto.</w:t>
      </w:r>
      <w:r/>
    </w:p>
    <w:p>
      <w:pPr>
        <w:pStyle w:val="1068"/>
        <w:numPr>
          <w:ilvl w:val="1"/>
          <w:numId w:val="10"/>
        </w:numPr>
        <w:ind w:left="0" w:firstLine="0"/>
        <w:spacing w:before="0" w:after="0" w:line="240" w:lineRule="auto"/>
        <w:rPr>
          <w:rFonts w:ascii="Cambria" w:hAnsi="Cambria" w:cs="Cambria"/>
          <w:i/>
          <w:iCs/>
          <w:sz w:val="18"/>
          <w:szCs w:val="18"/>
        </w:rPr>
      </w:pPr>
      <w:r>
        <w:rPr>
          <w:rFonts w:ascii="Cambria" w:hAnsi="Cambria" w:cs="Cambria"/>
          <w:sz w:val="18"/>
          <w:szCs w:val="18"/>
        </w:rPr>
        <w:t xml:space="preserve">A verificação da habilitação somente será feita em relação ao licitante vencedor.</w:t>
      </w:r>
      <w:r/>
    </w:p>
    <w:p>
      <w:pPr>
        <w:pStyle w:val="1070"/>
        <w:numPr>
          <w:ilvl w:val="2"/>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Os documentos relativos à regularidade fiscal que constem do Termo de Referência somente serão exigidos, em qualquer caso, em momento posterior ao julgamento das propostas, e apenas do licitante mais bem classificado.</w:t>
      </w:r>
      <w:r/>
    </w:p>
    <w:p>
      <w:pPr>
        <w:pStyle w:val="1070"/>
        <w:numPr>
          <w:ilvl w:val="2"/>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Respeitada a exceção do subitem anteri</w:t>
      </w:r>
      <w:r>
        <w:rPr>
          <w:rFonts w:ascii="Cambria" w:hAnsi="Cambria" w:cs="Cambria"/>
          <w:sz w:val="18"/>
          <w:szCs w:val="18"/>
        </w:rPr>
        <w:t xml:space="preserve">or, relativa à regularidade fiscal, quando a fase de habilitação anteceder as fases de apresentação de propostas e lances e de julgamento, a verificação ou exigência do presente subitem ocorrerá em relação a todos os licitantes.</w:t>
      </w:r>
      <w:r/>
    </w:p>
    <w:p>
      <w:pPr>
        <w:pStyle w:val="1068"/>
        <w:numPr>
          <w:ilvl w:val="1"/>
          <w:numId w:val="10"/>
        </w:numPr>
        <w:ind w:left="0" w:firstLine="0"/>
        <w:spacing w:before="0" w:after="0" w:line="240" w:lineRule="auto"/>
        <w:rPr>
          <w:rFonts w:ascii="Cambria" w:hAnsi="Cambria" w:cs="Cambria"/>
          <w:i/>
          <w:iCs/>
          <w:sz w:val="18"/>
          <w:szCs w:val="18"/>
        </w:rPr>
      </w:pPr>
      <w:r>
        <w:rPr>
          <w:rFonts w:ascii="Cambria" w:hAnsi="Cambria" w:cs="Cambria"/>
          <w:sz w:val="18"/>
          <w:szCs w:val="18"/>
        </w:rPr>
        <w:t xml:space="preserve">Após a entrega dos document</w:t>
      </w:r>
      <w:r>
        <w:rPr>
          <w:rFonts w:ascii="Cambria" w:hAnsi="Cambria" w:cs="Cambria"/>
          <w:sz w:val="18"/>
          <w:szCs w:val="18"/>
        </w:rPr>
        <w:t xml:space="preserve">os para habilitação, não será permitida a substituição ou a apresentação de novos documentos, salvo em sede de diligência, para (</w:t>
      </w:r>
      <w:hyperlink r:id="rId42" w:tooltip="http://www.planalto.gov.br/ccivil_03/_ato2019-2022/2021/lei/L14133.htm#art64" w:anchor="art64" w:history="1">
        <w:r>
          <w:rPr>
            <w:rStyle w:val="839"/>
            <w:rFonts w:ascii="Cambria" w:hAnsi="Cambria" w:cs="Cambria"/>
            <w:sz w:val="18"/>
            <w:szCs w:val="18"/>
          </w:rPr>
          <w:t xml:space="preserve">Lei 14.133/21, art. 64</w:t>
        </w:r>
      </w:hyperlink>
      <w:r>
        <w:rPr>
          <w:rStyle w:val="839"/>
          <w:rFonts w:ascii="Cambria" w:hAnsi="Cambria" w:cs="Cambria"/>
          <w:sz w:val="18"/>
          <w:szCs w:val="18"/>
        </w:rPr>
        <w:t xml:space="preserve">)</w:t>
      </w:r>
      <w:r/>
    </w:p>
    <w:p>
      <w:pPr>
        <w:pStyle w:val="1070"/>
        <w:numPr>
          <w:ilvl w:val="2"/>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complementação</w:t>
      </w:r>
      <w:r>
        <w:rPr>
          <w:rFonts w:ascii="Cambria" w:hAnsi="Cambria" w:cs="Cambria"/>
          <w:sz w:val="18"/>
          <w:szCs w:val="18"/>
        </w:rPr>
        <w:t xml:space="preserve"> de informações acerca dos documentos já apresentados pelos licitantes e desde que necessária para apurar fatos existentes à época da abertura do certame; e</w:t>
      </w:r>
      <w:r/>
    </w:p>
    <w:p>
      <w:pPr>
        <w:pStyle w:val="1070"/>
        <w:numPr>
          <w:ilvl w:val="2"/>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atualização</w:t>
      </w:r>
      <w:r>
        <w:rPr>
          <w:rFonts w:ascii="Cambria" w:hAnsi="Cambria" w:cs="Cambria"/>
          <w:sz w:val="18"/>
          <w:szCs w:val="18"/>
        </w:rPr>
        <w:t xml:space="preserve"> de documentos cuja validade tenha expirado após a data de recebimento das</w:t>
      </w:r>
      <w:r>
        <w:rPr>
          <w:rFonts w:ascii="Cambria" w:hAnsi="Cambria" w:cs="Cambria"/>
          <w:sz w:val="18"/>
          <w:szCs w:val="18"/>
        </w:rPr>
        <w:t xml:space="preserve"> propostas;</w:t>
      </w:r>
      <w:r/>
    </w:p>
    <w:p>
      <w:pPr>
        <w:pStyle w:val="1068"/>
        <w:numPr>
          <w:ilvl w:val="1"/>
          <w:numId w:val="10"/>
        </w:numPr>
        <w:ind w:left="0" w:firstLine="0"/>
        <w:spacing w:before="0" w:after="0" w:line="240" w:lineRule="auto"/>
        <w:rPr>
          <w:rFonts w:ascii="Cambria" w:hAnsi="Cambria" w:cs="Cambria"/>
          <w:sz w:val="18"/>
          <w:szCs w:val="18"/>
        </w:rPr>
      </w:pPr>
      <w:r/>
      <w:bookmarkStart w:id="41" w:name="_Ref114670319"/>
      <w:r>
        <w:rPr>
          <w:rFonts w:ascii="Cambria" w:hAnsi="Cambria" w:cs="Cambria"/>
          <w:sz w:val="18"/>
          <w:szCs w:val="18"/>
        </w:rPr>
        <w:t xml:space="preserve">Na análise dos documentos de habilitação, a comissão de contratação poderá sanar erros ou falhas, que não alterem a substância dos documentos e sua validade jurídica, mediante decisão fundamentada, registrada em ata e acessível a todos, atribui</w:t>
      </w:r>
      <w:r>
        <w:rPr>
          <w:rFonts w:ascii="Cambria" w:hAnsi="Cambria" w:cs="Cambria"/>
          <w:sz w:val="18"/>
          <w:szCs w:val="18"/>
        </w:rPr>
        <w:t xml:space="preserve">ndo-lhes </w:t>
      </w:r>
      <w:r>
        <w:rPr>
          <w:rFonts w:ascii="Cambria" w:hAnsi="Cambria" w:cs="Cambria"/>
          <w:sz w:val="18"/>
          <w:szCs w:val="18"/>
        </w:rPr>
        <w:t xml:space="preserve">eﬁcácia</w:t>
      </w:r>
      <w:r>
        <w:rPr>
          <w:rFonts w:ascii="Cambria" w:hAnsi="Cambria" w:cs="Cambria"/>
          <w:sz w:val="18"/>
          <w:szCs w:val="18"/>
        </w:rPr>
        <w:t xml:space="preserve"> para fins de habilitação e classificação.</w:t>
      </w:r>
      <w:bookmarkEnd w:id="41"/>
      <w:r/>
      <w:r/>
    </w:p>
    <w:p>
      <w:pPr>
        <w:pStyle w:val="1068"/>
        <w:numPr>
          <w:ilvl w:val="1"/>
          <w:numId w:val="10"/>
        </w:numPr>
        <w:ind w:left="0" w:firstLine="0"/>
        <w:spacing w:before="0" w:after="0" w:line="240" w:lineRule="auto"/>
        <w:rPr>
          <w:rFonts w:ascii="Cambria" w:hAnsi="Cambria" w:cs="Cambria"/>
          <w:sz w:val="18"/>
          <w:szCs w:val="18"/>
        </w:rPr>
      </w:pPr>
      <w:r/>
      <w:bookmarkStart w:id="42" w:name="_Ref114665528"/>
      <w:r>
        <w:rPr>
          <w:rFonts w:ascii="Cambria" w:hAnsi="Cambria" w:cs="Cambria"/>
          <w:sz w:val="18"/>
          <w:szCs w:val="18"/>
        </w:rPr>
        <w:t xml:space="preserve">Na hipótese de o licitante não atender às exigências para habilitação, o pregoeiro examinará a proposta subsequente e assim sucessivamente, na ordem de classificação, até a apuração de uma proposta</w:t>
      </w:r>
      <w:r>
        <w:rPr>
          <w:rFonts w:ascii="Cambria" w:hAnsi="Cambria" w:cs="Cambria"/>
          <w:sz w:val="18"/>
          <w:szCs w:val="18"/>
        </w:rPr>
        <w:t xml:space="preserve"> que atenda ao presente edital, observado o prazo disposto no subitem </w:t>
      </w:r>
      <w:r>
        <w:rPr>
          <w:rFonts w:ascii="Cambria" w:hAnsi="Cambria" w:cs="Cambria"/>
          <w:sz w:val="18"/>
          <w:szCs w:val="18"/>
        </w:rPr>
        <w:fldChar w:fldCharType="begin"/>
      </w:r>
      <w:r>
        <w:rPr>
          <w:rFonts w:ascii="Cambria" w:hAnsi="Cambria" w:cs="Cambria"/>
          <w:sz w:val="18"/>
          <w:szCs w:val="18"/>
        </w:rPr>
        <w:instrText xml:space="preserve"> REF _Ref114663151 \r \h  \* MERGEFORMAT </w:instrText>
      </w:r>
      <w:r>
        <w:rPr>
          <w:rFonts w:ascii="Cambria" w:hAnsi="Cambria" w:cs="Cambria"/>
          <w:sz w:val="18"/>
          <w:szCs w:val="18"/>
        </w:rPr>
        <w:fldChar w:fldCharType="separate"/>
      </w:r>
      <w:r>
        <w:rPr>
          <w:rFonts w:ascii="Cambria" w:hAnsi="Cambria" w:cs="Cambria"/>
          <w:sz w:val="18"/>
          <w:szCs w:val="18"/>
        </w:rPr>
        <w:t xml:space="preserve">8.13.1</w:t>
      </w:r>
      <w:r>
        <w:rPr>
          <w:rFonts w:ascii="Cambria" w:hAnsi="Cambria" w:cs="Cambria"/>
          <w:sz w:val="18"/>
          <w:szCs w:val="18"/>
        </w:rPr>
        <w:fldChar w:fldCharType="end"/>
      </w:r>
      <w:r>
        <w:rPr>
          <w:rFonts w:ascii="Cambria" w:hAnsi="Cambria" w:cs="Cambria"/>
          <w:sz w:val="18"/>
          <w:szCs w:val="18"/>
        </w:rPr>
        <w:t xml:space="preserve">.</w:t>
      </w:r>
      <w:bookmarkEnd w:id="42"/>
      <w:r/>
      <w:r/>
    </w:p>
    <w:p>
      <w:pPr>
        <w:pStyle w:val="1068"/>
        <w:numPr>
          <w:ilvl w:val="1"/>
          <w:numId w:val="10"/>
        </w:numPr>
        <w:ind w:left="0" w:firstLine="0"/>
        <w:spacing w:before="0" w:after="0" w:line="240" w:lineRule="auto"/>
        <w:rPr>
          <w:rFonts w:ascii="Cambria" w:hAnsi="Cambria" w:cs="Cambria"/>
          <w:sz w:val="18"/>
          <w:szCs w:val="18"/>
        </w:rPr>
      </w:pPr>
      <w:r/>
      <w:bookmarkStart w:id="43" w:name="_Ref114665515"/>
      <w:r>
        <w:rPr>
          <w:rFonts w:ascii="Cambria" w:hAnsi="Cambria" w:cs="Cambria"/>
          <w:sz w:val="18"/>
          <w:szCs w:val="18"/>
        </w:rPr>
        <w:t xml:space="preserve">Somente serão disponibilizados para acesso público os documentos de ha</w:t>
      </w:r>
      <w:r>
        <w:rPr>
          <w:rFonts w:ascii="Cambria" w:hAnsi="Cambria" w:cs="Cambria"/>
          <w:sz w:val="18"/>
          <w:szCs w:val="18"/>
        </w:rPr>
        <w:t xml:space="preserve">bilitação do licitante cuja proposta atenda ao edital de licitação, após concluídos os procedimentos de que trata o subitem anterior</w:t>
      </w:r>
      <w:bookmarkEnd w:id="43"/>
      <w:r>
        <w:rPr>
          <w:rFonts w:ascii="Cambria" w:hAnsi="Cambria" w:cs="Cambria"/>
          <w:sz w:val="18"/>
          <w:szCs w:val="18"/>
        </w:rPr>
        <w:t xml:space="preserve">.</w:t>
      </w:r>
      <w:r/>
    </w:p>
    <w:p>
      <w:pPr>
        <w:pStyle w:val="106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A comprovação de regularidade fiscal e trabalhista das microempresas e das empresas de pequeno porte somente será exigida </w:t>
      </w:r>
      <w:r>
        <w:rPr>
          <w:rFonts w:ascii="Cambria" w:hAnsi="Cambria" w:cs="Cambria"/>
          <w:sz w:val="18"/>
          <w:szCs w:val="18"/>
        </w:rPr>
        <w:t xml:space="preserve">para efeito de contratação, e não como condição para participação na licitação.</w:t>
      </w:r>
      <w:r/>
    </w:p>
    <w:p>
      <w:pPr>
        <w:pStyle w:val="106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Quando a fase de habilitação anteceder a de julgamento e já tiver sido encerrada, não caberá exclusão de licitante por motivo relacionado à habilitação, salvo em razão de fatos</w:t>
      </w:r>
      <w:r>
        <w:rPr>
          <w:rFonts w:ascii="Cambria" w:hAnsi="Cambria" w:cs="Cambria"/>
          <w:sz w:val="18"/>
          <w:szCs w:val="18"/>
        </w:rPr>
        <w:t xml:space="preserve"> supervenientes ou só conhecidos após o julgamento.</w:t>
      </w:r>
      <w:r/>
    </w:p>
    <w:p>
      <w:pPr>
        <w:pStyle w:val="1068"/>
        <w:numPr>
          <w:ilvl w:val="1"/>
          <w:numId w:val="0"/>
        </w:numPr>
        <w:spacing w:before="0" w:after="0" w:line="240" w:lineRule="auto"/>
        <w:rPr>
          <w:rFonts w:ascii="Cambria" w:hAnsi="Cambria" w:cs="Cambria"/>
          <w:color w:val="000000" w:themeColor="text1"/>
          <w:sz w:val="18"/>
          <w:szCs w:val="18"/>
        </w:rPr>
      </w:pPr>
      <w:r>
        <w:rPr>
          <w:rFonts w:ascii="Cambria" w:hAnsi="Cambria" w:cs="Cambria"/>
          <w:color w:val="000000" w:themeColor="text1"/>
          <w:sz w:val="18"/>
          <w:szCs w:val="18"/>
        </w:rPr>
      </w:r>
      <w:r/>
    </w:p>
    <w:p>
      <w:pPr>
        <w:pStyle w:val="1051"/>
        <w:numPr>
          <w:ilvl w:val="0"/>
          <w:numId w:val="10"/>
        </w:numPr>
        <w:ind w:left="0" w:firstLine="0"/>
        <w:spacing w:before="0" w:after="0" w:line="240" w:lineRule="auto"/>
        <w:rPr>
          <w:rFonts w:ascii="Cambria" w:hAnsi="Cambria" w:cs="Cambria"/>
          <w:sz w:val="18"/>
          <w:szCs w:val="18"/>
        </w:rPr>
      </w:pPr>
      <w:r/>
      <w:bookmarkStart w:id="44" w:name="_Toc135469231"/>
      <w:r>
        <w:rPr>
          <w:rFonts w:ascii="Cambria" w:hAnsi="Cambria" w:cs="Cambria"/>
          <w:sz w:val="18"/>
          <w:szCs w:val="18"/>
        </w:rPr>
        <w:t xml:space="preserve">DA ATA DE REGISTRO DE PREÇOS</w:t>
      </w:r>
      <w:bookmarkEnd w:id="44"/>
      <w:r/>
      <w:r/>
    </w:p>
    <w:p>
      <w:pPr>
        <w:pStyle w:val="106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Homologado o resultado da licitação, o licitante mais bem classificado terá o prazo de </w:t>
      </w:r>
      <w:r>
        <w:rPr>
          <w:rFonts w:ascii="Cambria" w:hAnsi="Cambria" w:cs="Cambria"/>
          <w:sz w:val="18"/>
          <w:szCs w:val="18"/>
        </w:rPr>
        <w:t xml:space="preserve">05</w:t>
      </w:r>
      <w:r>
        <w:rPr>
          <w:rFonts w:ascii="Cambria" w:hAnsi="Cambria" w:cs="Cambria"/>
          <w:sz w:val="18"/>
          <w:szCs w:val="18"/>
        </w:rPr>
        <w:t xml:space="preserve"> dias, contados a partir da data de sua convocação, para assinar a Ata de Registro de</w:t>
      </w:r>
      <w:r>
        <w:rPr>
          <w:rFonts w:ascii="Cambria" w:hAnsi="Cambria" w:cs="Cambria"/>
          <w:sz w:val="18"/>
          <w:szCs w:val="18"/>
        </w:rPr>
        <w:t xml:space="preserve"> Preços, cujo prazo de validade encontra-se nela fixado, sob pena de decadência do direito à contratação, sem prejuízo das sanções previstas na Lei nº 14.133, de 2021. </w:t>
      </w:r>
      <w:r/>
    </w:p>
    <w:p>
      <w:pPr>
        <w:pStyle w:val="106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O prazo de convocação poderá ser prorrogado uma vez, por igual período, mediante solici</w:t>
      </w:r>
      <w:r>
        <w:rPr>
          <w:rFonts w:ascii="Cambria" w:hAnsi="Cambria" w:cs="Cambria"/>
          <w:sz w:val="18"/>
          <w:szCs w:val="18"/>
        </w:rPr>
        <w:t xml:space="preserve">tação do licitante mais bem classificado ou do fornecedor convocado, desde que:</w:t>
      </w:r>
      <w:r/>
    </w:p>
    <w:p>
      <w:pPr>
        <w:pStyle w:val="1068"/>
        <w:numPr>
          <w:ilvl w:val="1"/>
          <w:numId w:val="0"/>
        </w:numPr>
        <w:spacing w:before="0" w:after="0" w:line="240" w:lineRule="auto"/>
        <w:rPr>
          <w:rFonts w:ascii="Cambria" w:hAnsi="Cambria" w:cs="Cambria"/>
          <w:color w:val="auto"/>
          <w:sz w:val="18"/>
          <w:szCs w:val="18"/>
        </w:rPr>
      </w:pPr>
      <w:r>
        <w:rPr>
          <w:rFonts w:ascii="Cambria" w:hAnsi="Cambria" w:cs="Cambria"/>
          <w:color w:val="auto"/>
          <w:sz w:val="18"/>
          <w:szCs w:val="18"/>
        </w:rPr>
        <w:t xml:space="preserve">(a) a solicitação seja devidamente justificada e apresentada dentro do prazo; e</w:t>
      </w:r>
      <w:r/>
    </w:p>
    <w:p>
      <w:pPr>
        <w:pStyle w:val="1068"/>
        <w:numPr>
          <w:ilvl w:val="1"/>
          <w:numId w:val="0"/>
        </w:numPr>
        <w:spacing w:before="0" w:after="0" w:line="240" w:lineRule="auto"/>
        <w:rPr>
          <w:rFonts w:ascii="Cambria" w:hAnsi="Cambria" w:cs="Cambria"/>
          <w:color w:val="auto"/>
          <w:sz w:val="18"/>
          <w:szCs w:val="18"/>
        </w:rPr>
      </w:pPr>
      <w:r>
        <w:rPr>
          <w:rFonts w:ascii="Cambria" w:hAnsi="Cambria" w:cs="Cambria"/>
          <w:color w:val="auto"/>
          <w:sz w:val="18"/>
          <w:szCs w:val="18"/>
        </w:rPr>
        <w:t xml:space="preserve">(b) a justificativa apresentada seja aceita pela Administração.</w:t>
      </w:r>
      <w:r/>
    </w:p>
    <w:p>
      <w:pPr>
        <w:pStyle w:val="106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A ata de registro de preços será assinada por meio de assinatura digital e disponibilizada no sistema de registro de preços.</w:t>
      </w:r>
      <w:r/>
    </w:p>
    <w:p>
      <w:pPr>
        <w:pStyle w:val="106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Serão formalizadas tantas Atas de Registro de Preços quantas forem necessárias para o registro de todos os itens constantes no Term</w:t>
      </w:r>
      <w:r>
        <w:rPr>
          <w:rFonts w:ascii="Cambria" w:hAnsi="Cambria" w:cs="Cambria"/>
          <w:sz w:val="18"/>
          <w:szCs w:val="18"/>
        </w:rPr>
        <w:t xml:space="preserve">o de Referência, com a indicação do licitante vencedor, a descrição </w:t>
      </w:r>
      <w:r>
        <w:rPr>
          <w:rFonts w:ascii="Cambria" w:hAnsi="Cambria" w:cs="Cambria"/>
          <w:sz w:val="18"/>
          <w:szCs w:val="18"/>
        </w:rPr>
        <w:t xml:space="preserve">do(</w:t>
      </w:r>
      <w:r>
        <w:rPr>
          <w:rFonts w:ascii="Cambria" w:hAnsi="Cambria" w:cs="Cambria"/>
          <w:sz w:val="18"/>
          <w:szCs w:val="18"/>
        </w:rPr>
        <w:t xml:space="preserve">s) item(</w:t>
      </w:r>
      <w:r>
        <w:rPr>
          <w:rFonts w:ascii="Cambria" w:hAnsi="Cambria" w:cs="Cambria"/>
          <w:sz w:val="18"/>
          <w:szCs w:val="18"/>
        </w:rPr>
        <w:t xml:space="preserve">ns</w:t>
      </w:r>
      <w:r>
        <w:rPr>
          <w:rFonts w:ascii="Cambria" w:hAnsi="Cambria" w:cs="Cambria"/>
          <w:sz w:val="18"/>
          <w:szCs w:val="18"/>
        </w:rPr>
        <w:t xml:space="preserve">), as respectivas quantidades, preços registrados e demais condições.</w:t>
      </w:r>
      <w:r/>
    </w:p>
    <w:p>
      <w:pPr>
        <w:pStyle w:val="106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O preço registrado, com a indicação dos fornecedores, será divulgado no PNCP e disponibilizado durante a </w:t>
      </w:r>
      <w:r>
        <w:rPr>
          <w:rFonts w:ascii="Cambria" w:hAnsi="Cambria" w:cs="Cambria"/>
          <w:sz w:val="18"/>
          <w:szCs w:val="18"/>
        </w:rPr>
        <w:t xml:space="preserve">vigência da ata de registro de preços.</w:t>
      </w:r>
      <w:r/>
    </w:p>
    <w:p>
      <w:pPr>
        <w:pStyle w:val="106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A existência de preços registrados implicará compromisso de fornecimento nas condições estabelecidas, mas não obrigará a Administração a contratar, facultada a realização de licitação específica para a aquisição prete</w:t>
      </w:r>
      <w:r>
        <w:rPr>
          <w:rFonts w:ascii="Cambria" w:hAnsi="Cambria" w:cs="Cambria"/>
          <w:sz w:val="18"/>
          <w:szCs w:val="18"/>
        </w:rPr>
        <w:t xml:space="preserve">ndida, desde que devidamente justificada.</w:t>
      </w:r>
      <w:r/>
    </w:p>
    <w:p>
      <w:pPr>
        <w:pStyle w:val="106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Na hipótese de o convocado não assinar a ata de registro de preços no prazo e nas condições estabelecidas, fica facultado à Administração convocar os licitantes remanescentes do cadastro de reserva, na ordem de cla</w:t>
      </w:r>
      <w:r>
        <w:rPr>
          <w:rFonts w:ascii="Cambria" w:hAnsi="Cambria" w:cs="Cambria"/>
          <w:sz w:val="18"/>
          <w:szCs w:val="18"/>
        </w:rPr>
        <w:t xml:space="preserve">ssificação, para fazê-lo em igual prazo e nas condições propostas pelo primeiro classificado.</w:t>
      </w:r>
      <w:r/>
    </w:p>
    <w:p>
      <w:pPr>
        <w:pStyle w:val="1068"/>
        <w:numPr>
          <w:ilvl w:val="1"/>
          <w:numId w:val="0"/>
        </w:numPr>
        <w:spacing w:before="0" w:after="0" w:line="240" w:lineRule="auto"/>
        <w:rPr>
          <w:rFonts w:ascii="Cambria" w:hAnsi="Cambria" w:cs="Cambria"/>
          <w:color w:val="000000" w:themeColor="text1"/>
          <w:sz w:val="18"/>
          <w:szCs w:val="18"/>
        </w:rPr>
      </w:pPr>
      <w:r>
        <w:rPr>
          <w:rFonts w:ascii="Cambria" w:hAnsi="Cambria" w:cs="Cambria"/>
          <w:color w:val="000000" w:themeColor="text1"/>
          <w:sz w:val="18"/>
          <w:szCs w:val="18"/>
        </w:rPr>
      </w:r>
      <w:r/>
    </w:p>
    <w:p>
      <w:pPr>
        <w:pStyle w:val="1051"/>
        <w:numPr>
          <w:ilvl w:val="0"/>
          <w:numId w:val="10"/>
        </w:numPr>
        <w:ind w:left="0" w:firstLine="0"/>
        <w:spacing w:before="0" w:after="0" w:line="240" w:lineRule="auto"/>
        <w:rPr>
          <w:rFonts w:ascii="Cambria" w:hAnsi="Cambria" w:cs="Cambria"/>
          <w:sz w:val="18"/>
          <w:szCs w:val="18"/>
        </w:rPr>
      </w:pPr>
      <w:r/>
      <w:bookmarkStart w:id="45" w:name="_Toc135469232"/>
      <w:r>
        <w:rPr>
          <w:rFonts w:ascii="Cambria" w:hAnsi="Cambria" w:cs="Cambria"/>
          <w:sz w:val="18"/>
          <w:szCs w:val="18"/>
        </w:rPr>
        <w:t xml:space="preserve">DA FORMAÇÃO DO CADASTRO DE RESERVA</w:t>
      </w:r>
      <w:bookmarkEnd w:id="45"/>
      <w:r/>
      <w:r/>
    </w:p>
    <w:p>
      <w:pPr>
        <w:pStyle w:val="1051"/>
        <w:numPr>
          <w:ilvl w:val="1"/>
          <w:numId w:val="10"/>
        </w:numPr>
        <w:spacing w:before="0" w:after="0" w:line="240" w:lineRule="auto"/>
        <w:rPr>
          <w:rFonts w:cs="Cambria" w:asciiTheme="minorHAnsi" w:hAnsiTheme="minorHAnsi"/>
          <w:b w:val="0"/>
          <w:sz w:val="18"/>
          <w:szCs w:val="18"/>
        </w:rPr>
      </w:pPr>
      <w:r>
        <w:rPr>
          <w:rFonts w:asciiTheme="minorHAnsi" w:hAnsiTheme="minorHAnsi"/>
          <w:b w:val="0"/>
          <w:sz w:val="18"/>
        </w:rPr>
        <w:t xml:space="preserve">Após a homologação da licitação, será incluído na ata, na forma de anexo, o </w:t>
      </w:r>
      <w:r>
        <w:rPr>
          <w:rFonts w:asciiTheme="minorHAnsi" w:hAnsiTheme="minorHAnsi"/>
          <w:b w:val="0"/>
          <w:sz w:val="18"/>
        </w:rPr>
        <w:t xml:space="preserve">registro:.</w:t>
      </w:r>
      <w:r/>
    </w:p>
    <w:p>
      <w:pPr>
        <w:pStyle w:val="1070"/>
        <w:numPr>
          <w:ilvl w:val="2"/>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d</w:t>
      </w:r>
      <w:r>
        <w:rPr>
          <w:rFonts w:ascii="Cambria" w:hAnsi="Cambria" w:cs="Cambria"/>
          <w:sz w:val="18"/>
          <w:szCs w:val="18"/>
        </w:rPr>
        <w:t xml:space="preserve">os</w:t>
      </w:r>
      <w:r>
        <w:rPr>
          <w:rFonts w:ascii="Cambria" w:hAnsi="Cambria" w:cs="Cambria"/>
          <w:sz w:val="18"/>
          <w:szCs w:val="18"/>
        </w:rPr>
        <w:t xml:space="preserve"> licitantes </w:t>
      </w:r>
      <w:bookmarkStart w:id="46" w:name="_Hlk132991372"/>
      <w:r>
        <w:rPr>
          <w:rFonts w:ascii="Cambria" w:hAnsi="Cambria" w:cs="Cambria"/>
          <w:sz w:val="18"/>
          <w:szCs w:val="18"/>
        </w:rPr>
        <w:t xml:space="preserve">que </w:t>
      </w:r>
      <w:bookmarkStart w:id="47" w:name="_Hlk132989696"/>
      <w:r>
        <w:rPr>
          <w:rFonts w:ascii="Cambria" w:hAnsi="Cambria" w:cs="Cambria"/>
          <w:sz w:val="18"/>
          <w:szCs w:val="18"/>
        </w:rPr>
        <w:t xml:space="preserve">aceitarem cotar o objeto com preço igual ao do adjudicatári</w:t>
      </w:r>
      <w:bookmarkEnd w:id="46"/>
      <w:r>
        <w:rPr>
          <w:rFonts w:ascii="Cambria" w:hAnsi="Cambria" w:cs="Cambria"/>
          <w:sz w:val="18"/>
          <w:szCs w:val="18"/>
        </w:rPr>
        <w:t xml:space="preserve">o</w:t>
      </w:r>
      <w:bookmarkEnd w:id="47"/>
      <w:r>
        <w:rPr>
          <w:rFonts w:ascii="Cambria" w:hAnsi="Cambria" w:cs="Cambria"/>
          <w:sz w:val="18"/>
          <w:szCs w:val="18"/>
        </w:rPr>
        <w:t xml:space="preserve">, observada a classificação na licitação; e </w:t>
      </w:r>
      <w:r/>
    </w:p>
    <w:p>
      <w:pPr>
        <w:pStyle w:val="1070"/>
        <w:numPr>
          <w:ilvl w:val="2"/>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dos</w:t>
      </w:r>
      <w:r>
        <w:rPr>
          <w:rFonts w:ascii="Cambria" w:hAnsi="Cambria" w:cs="Cambria"/>
          <w:sz w:val="18"/>
          <w:szCs w:val="18"/>
        </w:rPr>
        <w:t xml:space="preserve"> licitantes que mantiverem sua proposta original</w:t>
      </w:r>
      <w:r/>
    </w:p>
    <w:p>
      <w:pPr>
        <w:pStyle w:val="1068"/>
        <w:numPr>
          <w:ilvl w:val="1"/>
          <w:numId w:val="10"/>
        </w:numPr>
        <w:ind w:left="0" w:firstLine="0"/>
        <w:spacing w:before="0" w:after="0" w:line="240" w:lineRule="auto"/>
        <w:rPr>
          <w:rFonts w:ascii="Cambria" w:hAnsi="Cambria" w:cs="Cambria"/>
          <w:i/>
          <w:iCs/>
          <w:sz w:val="18"/>
          <w:szCs w:val="18"/>
        </w:rPr>
      </w:pPr>
      <w:r>
        <w:rPr>
          <w:rFonts w:ascii="Cambria" w:hAnsi="Cambria" w:cs="Cambria"/>
          <w:sz w:val="18"/>
          <w:szCs w:val="18"/>
        </w:rPr>
        <w:t xml:space="preserve">          Será respeitada, nas contratações, a ordem de classificação dos licitantes ou fornecedore</w:t>
      </w:r>
      <w:r>
        <w:rPr>
          <w:rFonts w:ascii="Cambria" w:hAnsi="Cambria" w:cs="Cambria"/>
          <w:sz w:val="18"/>
          <w:szCs w:val="18"/>
        </w:rPr>
        <w:t xml:space="preserve">s registrados na ata.</w:t>
      </w:r>
      <w:r/>
    </w:p>
    <w:p>
      <w:pPr>
        <w:pStyle w:val="1068"/>
        <w:numPr>
          <w:ilvl w:val="1"/>
          <w:numId w:val="10"/>
        </w:numPr>
        <w:ind w:left="0" w:firstLine="0"/>
        <w:spacing w:before="0" w:after="0" w:line="240" w:lineRule="auto"/>
        <w:rPr>
          <w:rFonts w:ascii="Cambria" w:hAnsi="Cambria" w:cs="Cambria"/>
          <w:i/>
          <w:iCs/>
          <w:sz w:val="18"/>
          <w:szCs w:val="18"/>
        </w:rPr>
      </w:pPr>
      <w:r>
        <w:rPr>
          <w:rFonts w:ascii="Cambria" w:hAnsi="Cambria" w:cs="Cambria"/>
          <w:sz w:val="18"/>
          <w:szCs w:val="18"/>
        </w:rPr>
        <w:t xml:space="preserve">A apresentação de novas propostas na forma deste item não prejudicará o resultado do certame em relação ao licitante mais bem classificado.</w:t>
      </w:r>
      <w:r/>
    </w:p>
    <w:p>
      <w:pPr>
        <w:pStyle w:val="1068"/>
        <w:numPr>
          <w:ilvl w:val="2"/>
          <w:numId w:val="10"/>
        </w:numPr>
        <w:spacing w:before="0" w:after="0" w:line="240" w:lineRule="auto"/>
        <w:rPr>
          <w:rFonts w:ascii="Cambria" w:hAnsi="Cambria" w:cs="Cambria"/>
          <w:i/>
          <w:iCs/>
          <w:sz w:val="18"/>
          <w:szCs w:val="18"/>
        </w:rPr>
      </w:pPr>
      <w:r>
        <w:rPr>
          <w:rFonts w:ascii="Cambria" w:hAnsi="Cambria" w:cs="Cambria"/>
          <w:sz w:val="18"/>
          <w:szCs w:val="18"/>
        </w:rPr>
        <w:t xml:space="preserve">Para fins da ordem de classificação, os licitantes ou fornecedores que aceitarem cotar o objet</w:t>
      </w:r>
      <w:r>
        <w:rPr>
          <w:rFonts w:ascii="Cambria" w:hAnsi="Cambria" w:cs="Cambria"/>
          <w:sz w:val="18"/>
          <w:szCs w:val="18"/>
        </w:rPr>
        <w:t xml:space="preserve">o com preço igual ao do adjudicatário antecederão aqueles que mantiverem sua proposta original.</w:t>
      </w:r>
      <w:r/>
    </w:p>
    <w:p>
      <w:pPr>
        <w:pStyle w:val="1068"/>
        <w:numPr>
          <w:ilvl w:val="1"/>
          <w:numId w:val="10"/>
        </w:numPr>
        <w:ind w:left="0" w:firstLine="0"/>
        <w:spacing w:before="0" w:after="0" w:line="240" w:lineRule="auto"/>
        <w:rPr>
          <w:rFonts w:ascii="Cambria" w:hAnsi="Cambria" w:cs="Cambria"/>
          <w:color w:val="ff0000"/>
          <w:sz w:val="18"/>
          <w:szCs w:val="18"/>
        </w:rPr>
      </w:pPr>
      <w:r>
        <w:rPr>
          <w:rFonts w:ascii="Cambria" w:hAnsi="Cambria" w:cs="Cambria"/>
          <w:color w:val="ff0000"/>
          <w:sz w:val="18"/>
          <w:szCs w:val="18"/>
        </w:rPr>
        <w:t xml:space="preserve"> </w:t>
      </w:r>
      <w:r>
        <w:rPr>
          <w:rFonts w:ascii="Cambria" w:hAnsi="Cambria" w:cs="Cambria"/>
          <w:sz w:val="18"/>
          <w:szCs w:val="18"/>
        </w:rPr>
        <w:t xml:space="preserve">A habilitação dos licitantes que comporão o cadastro de reserva será efetuada quando houver necessidade de contratação dos licitantes remanescentes, nas seguin</w:t>
      </w:r>
      <w:r>
        <w:rPr>
          <w:rFonts w:ascii="Cambria" w:hAnsi="Cambria" w:cs="Cambria"/>
          <w:sz w:val="18"/>
          <w:szCs w:val="18"/>
        </w:rPr>
        <w:t xml:space="preserve">tes hipóteses:</w:t>
      </w:r>
      <w:r/>
    </w:p>
    <w:p>
      <w:pPr>
        <w:pStyle w:val="1070"/>
        <w:numPr>
          <w:ilvl w:val="2"/>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 </w:t>
      </w:r>
      <w:r>
        <w:rPr>
          <w:rFonts w:ascii="Cambria" w:hAnsi="Cambria" w:cs="Cambria"/>
          <w:sz w:val="18"/>
          <w:szCs w:val="18"/>
        </w:rPr>
        <w:t xml:space="preserve">quando</w:t>
      </w:r>
      <w:r>
        <w:rPr>
          <w:rFonts w:ascii="Cambria" w:hAnsi="Cambria" w:cs="Cambria"/>
          <w:sz w:val="18"/>
          <w:szCs w:val="18"/>
        </w:rPr>
        <w:t xml:space="preserve"> o licitante vencedor não assinar a ata de registro de preços no prazo e nas condições estabelecidos no edital; ou</w:t>
      </w:r>
      <w:r/>
    </w:p>
    <w:p>
      <w:pPr>
        <w:pStyle w:val="1070"/>
        <w:numPr>
          <w:ilvl w:val="2"/>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quando</w:t>
      </w:r>
      <w:r>
        <w:rPr>
          <w:rFonts w:ascii="Cambria" w:hAnsi="Cambria" w:cs="Cambria"/>
          <w:sz w:val="18"/>
          <w:szCs w:val="18"/>
        </w:rPr>
        <w:t xml:space="preserve"> houver o cancelamento do registro do fornecedor ou do registro de preços, nas hipóteses previstas nos art. 28 e </w:t>
      </w:r>
      <w:r>
        <w:rPr>
          <w:rFonts w:ascii="Cambria" w:hAnsi="Cambria" w:cs="Cambria"/>
          <w:sz w:val="18"/>
          <w:szCs w:val="18"/>
        </w:rPr>
        <w:t xml:space="preserve">art. 29 do Decreto nº 11.462/23.</w:t>
      </w:r>
      <w:r/>
    </w:p>
    <w:p>
      <w:pPr>
        <w:pStyle w:val="106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Na hipótese de nenhum dos licitantes que aceitaram cotar o objeto com preço igual ao do adjudicatário concordar com a contratação nos termos em igual prazo e nas condições propostas pelo primeiro classificado, a Administraç</w:t>
      </w:r>
      <w:r>
        <w:rPr>
          <w:rFonts w:ascii="Cambria" w:hAnsi="Cambria" w:cs="Cambria"/>
          <w:sz w:val="18"/>
          <w:szCs w:val="18"/>
        </w:rPr>
        <w:t xml:space="preserve">ão, observados o valor estimado e a sua eventual atualização na forma prevista no edital, poderá:</w:t>
      </w:r>
      <w:r/>
    </w:p>
    <w:p>
      <w:pPr>
        <w:pStyle w:val="1070"/>
        <w:numPr>
          <w:ilvl w:val="2"/>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 </w:t>
      </w:r>
      <w:r>
        <w:rPr>
          <w:rFonts w:ascii="Cambria" w:hAnsi="Cambria" w:cs="Cambria"/>
          <w:sz w:val="18"/>
          <w:szCs w:val="18"/>
        </w:rPr>
        <w:t xml:space="preserve">convocar</w:t>
      </w:r>
      <w:r>
        <w:rPr>
          <w:rFonts w:ascii="Cambria" w:hAnsi="Cambria" w:cs="Cambria"/>
          <w:sz w:val="18"/>
          <w:szCs w:val="18"/>
        </w:rPr>
        <w:t xml:space="preserve"> os licitantes que mantiveram sua proposta original para negociação, na ordem de classificação, com vistas à obtenção de preço melhor, mesmo que acim</w:t>
      </w:r>
      <w:r>
        <w:rPr>
          <w:rFonts w:ascii="Cambria" w:hAnsi="Cambria" w:cs="Cambria"/>
          <w:sz w:val="18"/>
          <w:szCs w:val="18"/>
        </w:rPr>
        <w:t xml:space="preserve">a do preço do adjudicatário; ou</w:t>
      </w:r>
      <w:r/>
    </w:p>
    <w:p>
      <w:pPr>
        <w:pStyle w:val="1070"/>
        <w:numPr>
          <w:ilvl w:val="2"/>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 </w:t>
      </w:r>
      <w:r>
        <w:rPr>
          <w:rFonts w:ascii="Cambria" w:hAnsi="Cambria" w:cs="Cambria"/>
          <w:sz w:val="18"/>
          <w:szCs w:val="18"/>
        </w:rPr>
        <w:t xml:space="preserve">adjudicar</w:t>
      </w:r>
      <w:r>
        <w:rPr>
          <w:rFonts w:ascii="Cambria" w:hAnsi="Cambria" w:cs="Cambria"/>
          <w:sz w:val="18"/>
          <w:szCs w:val="18"/>
        </w:rPr>
        <w:t xml:space="preserve"> e firmar o contrato nas condições ofertadas pelos licitantes remanescentes, observada a ordem de classificação, quando frustrada a negociação de melhor condição.</w:t>
      </w:r>
      <w:r/>
    </w:p>
    <w:p>
      <w:pPr>
        <w:pStyle w:val="1070"/>
        <w:numPr>
          <w:ilvl w:val="2"/>
          <w:numId w:val="0"/>
        </w:numPr>
        <w:ind w:left="283"/>
        <w:spacing w:before="0" w:after="0" w:line="240" w:lineRule="auto"/>
        <w:rPr>
          <w:rFonts w:ascii="Cambria" w:hAnsi="Cambria" w:cs="Cambria"/>
          <w:sz w:val="18"/>
          <w:szCs w:val="18"/>
          <w:highlight w:val="cyan"/>
        </w:rPr>
      </w:pPr>
      <w:r>
        <w:rPr>
          <w:rFonts w:ascii="Cambria" w:hAnsi="Cambria" w:cs="Cambria"/>
          <w:sz w:val="18"/>
          <w:szCs w:val="18"/>
          <w:highlight w:val="cyan"/>
        </w:rPr>
      </w:r>
      <w:r/>
    </w:p>
    <w:p>
      <w:pPr>
        <w:pStyle w:val="1051"/>
        <w:numPr>
          <w:ilvl w:val="0"/>
          <w:numId w:val="10"/>
        </w:numPr>
        <w:ind w:left="0" w:firstLine="0"/>
        <w:spacing w:before="0" w:after="0" w:line="240" w:lineRule="auto"/>
        <w:rPr>
          <w:rFonts w:ascii="Cambria" w:hAnsi="Cambria" w:cs="Cambria"/>
          <w:sz w:val="18"/>
          <w:szCs w:val="18"/>
        </w:rPr>
      </w:pPr>
      <w:r/>
      <w:bookmarkStart w:id="48" w:name="_Toc135469233"/>
      <w:r>
        <w:rPr>
          <w:rFonts w:ascii="Cambria" w:hAnsi="Cambria" w:cs="Cambria"/>
          <w:sz w:val="18"/>
          <w:szCs w:val="18"/>
        </w:rPr>
        <w:t xml:space="preserve">DOS RECURSOS</w:t>
      </w:r>
      <w:bookmarkEnd w:id="48"/>
      <w:r/>
      <w:r/>
    </w:p>
    <w:p>
      <w:pPr>
        <w:pStyle w:val="106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A interposição de recurso referente ao julgamento das propostas, à habilitação ou inabilitação de licitantes, à anulação ou revogação da licitação, observará o disposto no </w:t>
      </w:r>
      <w:hyperlink r:id="rId43" w:tooltip="http://www.planalto.gov.br/ccivil_03/_ato2019-2022/2021/lei/L14133.htm#art165" w:anchor="art165" w:history="1">
        <w:r>
          <w:rPr>
            <w:rStyle w:val="839"/>
            <w:rFonts w:ascii="Cambria" w:hAnsi="Cambria" w:cs="Cambria"/>
            <w:color w:val="000000" w:themeColor="text1"/>
            <w:sz w:val="18"/>
            <w:szCs w:val="18"/>
            <w:u w:val="none"/>
          </w:rPr>
          <w:t xml:space="preserve">art. 165 da Lei nº 14.133, de 2021</w:t>
        </w:r>
      </w:hyperlink>
      <w:r>
        <w:rPr>
          <w:rFonts w:ascii="Cambria" w:hAnsi="Cambria" w:cs="Cambria"/>
          <w:sz w:val="18"/>
          <w:szCs w:val="18"/>
        </w:rPr>
        <w:t xml:space="preserve">.</w:t>
      </w:r>
      <w:r/>
    </w:p>
    <w:p>
      <w:pPr>
        <w:pStyle w:val="106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O prazo recursal é de 3 (três) dias úteis, contados da data de intimação ou de lavratura da ata.</w:t>
      </w:r>
      <w:r/>
    </w:p>
    <w:p>
      <w:pPr>
        <w:pStyle w:val="106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Quando o recurso apresentado impugnar o julgamento das propostas ou o ato de habilitação ou inabilitação do licitante:</w:t>
      </w:r>
      <w:r/>
    </w:p>
    <w:p>
      <w:pPr>
        <w:pStyle w:val="1070"/>
        <w:numPr>
          <w:ilvl w:val="2"/>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a</w:t>
      </w:r>
      <w:r>
        <w:rPr>
          <w:rFonts w:ascii="Cambria" w:hAnsi="Cambria" w:cs="Cambria"/>
          <w:sz w:val="18"/>
          <w:szCs w:val="18"/>
        </w:rPr>
        <w:t xml:space="preserve"> intenção de recorrer deverá ser manifestada imediatamente, sob pena de preclusão;</w:t>
      </w:r>
      <w:r/>
    </w:p>
    <w:p>
      <w:pPr>
        <w:pStyle w:val="1070"/>
        <w:numPr>
          <w:ilvl w:val="2"/>
          <w:numId w:val="10"/>
        </w:numPr>
        <w:ind w:left="0" w:firstLine="0"/>
        <w:spacing w:before="0" w:after="0" w:line="240" w:lineRule="auto"/>
        <w:rPr>
          <w:rFonts w:ascii="Cambria" w:hAnsi="Cambria" w:cs="Cambria"/>
          <w:sz w:val="18"/>
          <w:szCs w:val="18"/>
        </w:rPr>
      </w:pPr>
      <w:r/>
      <w:bookmarkStart w:id="49" w:name="_Hlk135315794"/>
      <w:r/>
      <w:bookmarkStart w:id="50" w:name="_Hlk135318381"/>
      <w:r>
        <w:rPr>
          <w:rFonts w:ascii="Cambria" w:hAnsi="Cambria" w:cs="Cambria"/>
          <w:sz w:val="18"/>
          <w:szCs w:val="18"/>
        </w:rPr>
        <w:t xml:space="preserve">o</w:t>
      </w:r>
      <w:r>
        <w:rPr>
          <w:rFonts w:ascii="Cambria" w:hAnsi="Cambria" w:cs="Cambria"/>
          <w:sz w:val="18"/>
          <w:szCs w:val="18"/>
        </w:rPr>
        <w:t xml:space="preserve"> prazo para a manifestação da intenção de recorrer n</w:t>
      </w:r>
      <w:r>
        <w:rPr>
          <w:rFonts w:ascii="Cambria" w:hAnsi="Cambria" w:cs="Cambria"/>
          <w:sz w:val="18"/>
          <w:szCs w:val="18"/>
        </w:rPr>
        <w:t xml:space="preserve">ão será inferior a 60 (sessenta) minutos.</w:t>
      </w:r>
      <w:bookmarkEnd w:id="49"/>
      <w:r/>
      <w:bookmarkEnd w:id="50"/>
      <w:r/>
      <w:r/>
    </w:p>
    <w:p>
      <w:pPr>
        <w:pStyle w:val="1070"/>
        <w:numPr>
          <w:ilvl w:val="2"/>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O prazo para apresentação das razões recursais será iniciado na data de intimação ou de lavratura da ata de habilitação ou inabilitação;</w:t>
      </w:r>
      <w:r/>
    </w:p>
    <w:p>
      <w:pPr>
        <w:pStyle w:val="1070"/>
        <w:numPr>
          <w:ilvl w:val="2"/>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Na hipótese de adoção da inversão de fases prevista no </w:t>
      </w:r>
      <w:hyperlink r:id="rId44" w:tooltip="http://www.planalto.gov.br/ccivil_03/_ato2019-2022/2021/lei/L14133.htm#art17§1" w:anchor="art17§1" w:history="1">
        <w:r>
          <w:rPr>
            <w:rStyle w:val="839"/>
            <w:rFonts w:ascii="Cambria" w:hAnsi="Cambria" w:cs="Cambria"/>
            <w:color w:val="000000" w:themeColor="text1"/>
            <w:sz w:val="18"/>
            <w:szCs w:val="18"/>
            <w:u w:val="none"/>
          </w:rPr>
          <w:t xml:space="preserve">§ 1º do art. 17 da Lei nº 14.133, de 2021</w:t>
        </w:r>
      </w:hyperlink>
      <w:r>
        <w:rPr>
          <w:rFonts w:ascii="Cambria" w:hAnsi="Cambria" w:cs="Cambria"/>
          <w:sz w:val="18"/>
          <w:szCs w:val="18"/>
        </w:rPr>
        <w:t xml:space="preserve">, o prazo para apresentação das razões recursais será iniciado na data de intimação da ata de julgamento.</w:t>
      </w:r>
      <w:r/>
    </w:p>
    <w:p>
      <w:pPr>
        <w:pStyle w:val="106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Os recursos deverão ser enca</w:t>
      </w:r>
      <w:r>
        <w:rPr>
          <w:rFonts w:ascii="Cambria" w:hAnsi="Cambria" w:cs="Cambria"/>
          <w:sz w:val="18"/>
          <w:szCs w:val="18"/>
        </w:rPr>
        <w:t xml:space="preserve">minhados em campo próprio do sistema.</w:t>
      </w:r>
      <w:r/>
    </w:p>
    <w:p>
      <w:pPr>
        <w:pStyle w:val="106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O recurso será dirigido à autoridade que tiver editado o ato ou proferido a decisão recorrida, a qual poderá reconsiderar sua decisão no prazo de 3 (três) dias úteis, ou, nesse mesmo prazo, encaminhar recurso para a au</w:t>
      </w:r>
      <w:r>
        <w:rPr>
          <w:rFonts w:ascii="Cambria" w:hAnsi="Cambria" w:cs="Cambria"/>
          <w:sz w:val="18"/>
          <w:szCs w:val="18"/>
        </w:rPr>
        <w:t xml:space="preserve">toridade superior, a qual deverá proferir sua decisão no prazo de 10 (dez) dias úteis, contado do recebimento dos autos.</w:t>
      </w:r>
      <w:r/>
    </w:p>
    <w:p>
      <w:pPr>
        <w:pStyle w:val="106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Os recursos interpostos fora do prazo não serão conhecidos. </w:t>
      </w:r>
      <w:r/>
    </w:p>
    <w:p>
      <w:pPr>
        <w:pStyle w:val="106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O prazo para apresentação de contrarrazões ao recurso pelos demais licitan</w:t>
      </w:r>
      <w:r>
        <w:rPr>
          <w:rFonts w:ascii="Cambria" w:hAnsi="Cambria" w:cs="Cambria"/>
          <w:sz w:val="18"/>
          <w:szCs w:val="18"/>
        </w:rPr>
        <w:t xml:space="preserve">tes será de 3 (três) dias úteis, contados da data da intimação pessoal ou da divulgação da interposição do recurso, assegurada a vista imediata dos elementos indispensáveis à defesa de seus interesses.</w:t>
      </w:r>
      <w:r/>
    </w:p>
    <w:p>
      <w:pPr>
        <w:pStyle w:val="106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O recurso e o pedido de reconsideração terão efeito su</w:t>
      </w:r>
      <w:r>
        <w:rPr>
          <w:rFonts w:ascii="Cambria" w:hAnsi="Cambria" w:cs="Cambria"/>
          <w:sz w:val="18"/>
          <w:szCs w:val="18"/>
        </w:rPr>
        <w:t xml:space="preserve">spensivo do ato ou da decisão recorrida até que sobrevenha decisão final da autoridade competente. </w:t>
      </w:r>
      <w:r/>
    </w:p>
    <w:p>
      <w:pPr>
        <w:pStyle w:val="106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O acolhimento do recurso invalida tão somente os atos insuscetíveis de aproveitamento. </w:t>
      </w:r>
      <w:r/>
    </w:p>
    <w:p>
      <w:pPr>
        <w:pStyle w:val="1068"/>
        <w:numPr>
          <w:ilvl w:val="1"/>
          <w:numId w:val="10"/>
        </w:numPr>
        <w:ind w:left="0" w:firstLine="0"/>
        <w:spacing w:before="0" w:after="0" w:line="240" w:lineRule="auto"/>
        <w:tabs>
          <w:tab w:val="left" w:pos="850" w:leader="none"/>
        </w:tabs>
        <w:rPr>
          <w:rFonts w:ascii="Cambria" w:hAnsi="Cambria" w:cs="Cambria"/>
          <w:sz w:val="18"/>
          <w:szCs w:val="18"/>
        </w:rPr>
      </w:pPr>
      <w:r>
        <w:rPr>
          <w:rFonts w:ascii="Cambria" w:hAnsi="Cambria" w:cs="Cambria"/>
          <w:sz w:val="18"/>
          <w:szCs w:val="18"/>
        </w:rPr>
        <w:t xml:space="preserve">Os autos do processo permanecerão com vista franqueada aos interessa</w:t>
      </w:r>
      <w:r>
        <w:rPr>
          <w:rFonts w:ascii="Cambria" w:hAnsi="Cambria" w:cs="Cambria"/>
          <w:sz w:val="18"/>
          <w:szCs w:val="18"/>
        </w:rPr>
        <w:t xml:space="preserve">dos no sítio eletrônico</w:t>
      </w:r>
      <w:r>
        <w:rPr>
          <w:rFonts w:ascii="Cambria" w:hAnsi="Cambria" w:cs="Cambria"/>
          <w:sz w:val="18"/>
          <w:szCs w:val="18"/>
        </w:rPr>
        <w:t xml:space="preserve"> </w:t>
      </w:r>
      <w:r>
        <w:rPr>
          <w:rFonts w:ascii="Cambria" w:hAnsi="Cambria" w:cs="Cambria"/>
          <w:sz w:val="18"/>
          <w:szCs w:val="18"/>
        </w:rPr>
        <w:t xml:space="preserve">https://www.santabarbaradosul.rs.gov.br/site/licitacoes</w:t>
      </w:r>
      <w:r>
        <w:rPr>
          <w:rFonts w:ascii="Cambria" w:hAnsi="Cambria" w:cs="Cambria"/>
          <w:color w:val="auto"/>
          <w:sz w:val="18"/>
          <w:szCs w:val="18"/>
        </w:rPr>
        <w:t xml:space="preserve">.</w:t>
      </w:r>
      <w:r/>
    </w:p>
    <w:p>
      <w:pPr>
        <w:pStyle w:val="1068"/>
        <w:numPr>
          <w:ilvl w:val="1"/>
          <w:numId w:val="0"/>
        </w:numPr>
        <w:ind w:left="283"/>
        <w:spacing w:before="0" w:after="0" w:line="240" w:lineRule="auto"/>
        <w:tabs>
          <w:tab w:val="left" w:pos="850" w:leader="none"/>
        </w:tabs>
        <w:rPr>
          <w:rFonts w:ascii="Cambria" w:hAnsi="Cambria" w:cs="Cambria"/>
          <w:sz w:val="18"/>
          <w:szCs w:val="18"/>
        </w:rPr>
      </w:pPr>
      <w:r>
        <w:rPr>
          <w:rFonts w:ascii="Cambria" w:hAnsi="Cambria" w:cs="Cambria"/>
          <w:sz w:val="18"/>
          <w:szCs w:val="18"/>
        </w:rPr>
      </w:r>
      <w:r/>
    </w:p>
    <w:p>
      <w:pPr>
        <w:pStyle w:val="1051"/>
        <w:numPr>
          <w:ilvl w:val="0"/>
          <w:numId w:val="10"/>
        </w:numPr>
        <w:ind w:left="0" w:firstLine="0"/>
        <w:spacing w:before="0" w:after="0" w:line="240" w:lineRule="auto"/>
        <w:tabs>
          <w:tab w:val="clear" w:pos="567" w:leader="none"/>
          <w:tab w:val="left" w:pos="850" w:leader="none"/>
        </w:tabs>
        <w:rPr>
          <w:rFonts w:ascii="Cambria" w:hAnsi="Cambria" w:cs="Cambria"/>
          <w:sz w:val="18"/>
          <w:szCs w:val="18"/>
        </w:rPr>
      </w:pPr>
      <w:r/>
      <w:bookmarkStart w:id="51" w:name="_Toc135469234"/>
      <w:r>
        <w:rPr>
          <w:rFonts w:ascii="Cambria" w:hAnsi="Cambria" w:cs="Cambria"/>
          <w:sz w:val="18"/>
          <w:szCs w:val="18"/>
        </w:rPr>
        <w:t xml:space="preserve">DAS INFRAÇÕES ADMINISTRATIVAS E SANÇÕES</w:t>
      </w:r>
      <w:bookmarkEnd w:id="51"/>
      <w:r/>
      <w:r/>
    </w:p>
    <w:p>
      <w:pPr>
        <w:pStyle w:val="1068"/>
        <w:numPr>
          <w:ilvl w:val="1"/>
          <w:numId w:val="10"/>
        </w:numPr>
        <w:ind w:left="0" w:firstLine="0"/>
        <w:spacing w:before="0" w:after="0" w:line="240" w:lineRule="auto"/>
        <w:tabs>
          <w:tab w:val="left" w:pos="850" w:leader="none"/>
        </w:tabs>
        <w:rPr>
          <w:rFonts w:ascii="Cambria" w:hAnsi="Cambria" w:cs="Cambria"/>
          <w:sz w:val="18"/>
          <w:szCs w:val="18"/>
        </w:rPr>
      </w:pPr>
      <w:r>
        <w:rPr>
          <w:rFonts w:ascii="Cambria" w:hAnsi="Cambria" w:cs="Cambria"/>
          <w:sz w:val="18"/>
          <w:szCs w:val="18"/>
        </w:rPr>
        <w:t xml:space="preserve">Comete infração administrativa, nos termos da lei, o licitante que, com dolo ou culpa: </w:t>
      </w:r>
      <w:r/>
    </w:p>
    <w:p>
      <w:pPr>
        <w:pStyle w:val="1070"/>
        <w:numPr>
          <w:ilvl w:val="2"/>
          <w:numId w:val="10"/>
        </w:numPr>
        <w:ind w:left="0" w:firstLine="0"/>
        <w:spacing w:before="0" w:after="0" w:line="240" w:lineRule="auto"/>
        <w:tabs>
          <w:tab w:val="left" w:pos="850" w:leader="none"/>
        </w:tabs>
        <w:rPr>
          <w:rFonts w:ascii="Cambria" w:hAnsi="Cambria" w:cs="Cambria"/>
          <w:sz w:val="18"/>
          <w:szCs w:val="18"/>
        </w:rPr>
      </w:pPr>
      <w:r/>
      <w:bookmarkStart w:id="52" w:name="_Ref114668085"/>
      <w:r/>
      <w:bookmarkStart w:id="53" w:name="_Hlk114652595"/>
      <w:r>
        <w:rPr>
          <w:rFonts w:ascii="Cambria" w:hAnsi="Cambria" w:cs="Cambria"/>
          <w:sz w:val="18"/>
          <w:szCs w:val="18"/>
        </w:rPr>
        <w:t xml:space="preserve">deixar</w:t>
      </w:r>
      <w:r>
        <w:rPr>
          <w:rFonts w:ascii="Cambria" w:hAnsi="Cambria" w:cs="Cambria"/>
          <w:sz w:val="18"/>
          <w:szCs w:val="18"/>
        </w:rPr>
        <w:t xml:space="preserve"> de entregar a documentação exigida para o certame ou não entregar qualquer documento que tenha sido solicitado pelo/a pregoeiro/a durante o certame;</w:t>
      </w:r>
      <w:bookmarkEnd w:id="52"/>
      <w:r/>
      <w:r/>
    </w:p>
    <w:p>
      <w:pPr>
        <w:pStyle w:val="1070"/>
        <w:numPr>
          <w:ilvl w:val="2"/>
          <w:numId w:val="10"/>
        </w:numPr>
        <w:ind w:left="0" w:firstLine="0"/>
        <w:spacing w:before="0" w:after="0" w:line="240" w:lineRule="auto"/>
        <w:tabs>
          <w:tab w:val="left" w:pos="850" w:leader="none"/>
        </w:tabs>
        <w:rPr>
          <w:rFonts w:ascii="Cambria" w:hAnsi="Cambria" w:cs="Cambria"/>
          <w:sz w:val="18"/>
          <w:szCs w:val="18"/>
        </w:rPr>
      </w:pPr>
      <w:r/>
      <w:bookmarkStart w:id="54" w:name="_Ref114668108"/>
      <w:r>
        <w:rPr>
          <w:rFonts w:ascii="Cambria" w:hAnsi="Cambria" w:cs="Cambria"/>
          <w:sz w:val="18"/>
          <w:szCs w:val="18"/>
        </w:rPr>
        <w:t xml:space="preserve">Salvo em decorrência de fato superveniente devidamente justificado, não mantiver a proposta em espec</w:t>
      </w:r>
      <w:r>
        <w:rPr>
          <w:rFonts w:ascii="Cambria" w:hAnsi="Cambria" w:cs="Cambria"/>
          <w:sz w:val="18"/>
          <w:szCs w:val="18"/>
        </w:rPr>
        <w:t xml:space="preserve">ial quando:</w:t>
      </w:r>
      <w:bookmarkEnd w:id="54"/>
      <w:r/>
      <w:r/>
    </w:p>
    <w:p>
      <w:pPr>
        <w:pStyle w:val="1071"/>
        <w:numPr>
          <w:ilvl w:val="3"/>
          <w:numId w:val="10"/>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Não enviar a proposta adequada ao último lance ofertado ou após a negociação; </w:t>
      </w:r>
      <w:r/>
    </w:p>
    <w:p>
      <w:pPr>
        <w:pStyle w:val="1071"/>
        <w:numPr>
          <w:ilvl w:val="3"/>
          <w:numId w:val="10"/>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Recusar-se a enviar o detalhamento da proposta quando exigível; </w:t>
      </w:r>
      <w:r/>
    </w:p>
    <w:p>
      <w:pPr>
        <w:pStyle w:val="1071"/>
        <w:numPr>
          <w:ilvl w:val="3"/>
          <w:numId w:val="10"/>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Pedir para ser desclassificado quando encerrada a etapa competitiva; ou </w:t>
      </w:r>
      <w:r/>
    </w:p>
    <w:p>
      <w:pPr>
        <w:pStyle w:val="1071"/>
        <w:numPr>
          <w:ilvl w:val="3"/>
          <w:numId w:val="10"/>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Deixar de apresentar amostr</w:t>
      </w:r>
      <w:r>
        <w:rPr>
          <w:rFonts w:ascii="Cambria" w:hAnsi="Cambria" w:cs="Cambria"/>
          <w:sz w:val="18"/>
          <w:szCs w:val="18"/>
        </w:rPr>
        <w:t xml:space="preserve">a;</w:t>
      </w:r>
      <w:r/>
    </w:p>
    <w:p>
      <w:pPr>
        <w:pStyle w:val="1071"/>
        <w:numPr>
          <w:ilvl w:val="3"/>
          <w:numId w:val="10"/>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Apresentar proposta ou amostra em desacordo com as especificações do edital; </w:t>
      </w:r>
      <w:r/>
    </w:p>
    <w:p>
      <w:pPr>
        <w:pStyle w:val="1070"/>
        <w:numPr>
          <w:ilvl w:val="2"/>
          <w:numId w:val="10"/>
        </w:numPr>
        <w:ind w:left="0" w:firstLine="0"/>
        <w:spacing w:before="0" w:after="0" w:line="240" w:lineRule="auto"/>
        <w:tabs>
          <w:tab w:val="left" w:pos="850" w:leader="none"/>
        </w:tabs>
        <w:rPr>
          <w:rFonts w:ascii="Cambria" w:hAnsi="Cambria" w:cs="Cambria"/>
          <w:sz w:val="18"/>
          <w:szCs w:val="18"/>
        </w:rPr>
      </w:pPr>
      <w:r/>
      <w:bookmarkStart w:id="55" w:name="_Ref114668139"/>
      <w:r>
        <w:rPr>
          <w:rFonts w:ascii="Cambria" w:hAnsi="Cambria" w:cs="Cambria"/>
          <w:sz w:val="18"/>
          <w:szCs w:val="18"/>
        </w:rPr>
        <w:t xml:space="preserve">Não celebrar o contrato ou não entregar a documentação exigida para a contratação, quando convocado dentro do prazo de validade de sua proposta;</w:t>
      </w:r>
      <w:bookmarkEnd w:id="55"/>
      <w:r/>
      <w:r/>
    </w:p>
    <w:p>
      <w:pPr>
        <w:pStyle w:val="1071"/>
        <w:numPr>
          <w:ilvl w:val="3"/>
          <w:numId w:val="10"/>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Recusar-se, sem justificativa,</w:t>
      </w:r>
      <w:r>
        <w:rPr>
          <w:rFonts w:ascii="Cambria" w:hAnsi="Cambria" w:cs="Cambria"/>
          <w:sz w:val="18"/>
          <w:szCs w:val="18"/>
        </w:rPr>
        <w:t xml:space="preserve"> a assinar o contrato ou a ata de registro de preço, ou a aceitar ou retirar o instrumento equivalente no prazo estabelecido pela Administração;</w:t>
      </w:r>
      <w:r/>
    </w:p>
    <w:p>
      <w:pPr>
        <w:pStyle w:val="1070"/>
        <w:numPr>
          <w:ilvl w:val="2"/>
          <w:numId w:val="10"/>
        </w:numPr>
        <w:ind w:left="0" w:firstLine="0"/>
        <w:spacing w:before="0" w:after="0" w:line="240" w:lineRule="auto"/>
        <w:tabs>
          <w:tab w:val="left" w:pos="850" w:leader="none"/>
        </w:tabs>
        <w:rPr>
          <w:rFonts w:ascii="Cambria" w:hAnsi="Cambria" w:cs="Cambria"/>
          <w:sz w:val="18"/>
          <w:szCs w:val="18"/>
        </w:rPr>
      </w:pPr>
      <w:r/>
      <w:bookmarkStart w:id="56" w:name="_Ref114668249"/>
      <w:r>
        <w:rPr>
          <w:rFonts w:ascii="Cambria" w:hAnsi="Cambria" w:cs="Cambria"/>
          <w:sz w:val="18"/>
          <w:szCs w:val="18"/>
        </w:rPr>
        <w:t xml:space="preserve">Apresentar declaração ou documentação falsa exigida para o certame ou prestar declaração falsa durante a licita</w:t>
      </w:r>
      <w:r>
        <w:rPr>
          <w:rFonts w:ascii="Cambria" w:hAnsi="Cambria" w:cs="Cambria"/>
          <w:sz w:val="18"/>
          <w:szCs w:val="18"/>
        </w:rPr>
        <w:t xml:space="preserve">ção</w:t>
      </w:r>
      <w:bookmarkEnd w:id="56"/>
      <w:r>
        <w:rPr>
          <w:rFonts w:ascii="Cambria" w:hAnsi="Cambria" w:cs="Cambria"/>
          <w:sz w:val="18"/>
          <w:szCs w:val="18"/>
        </w:rPr>
        <w:t xml:space="preserve">;</w:t>
      </w:r>
      <w:r/>
    </w:p>
    <w:p>
      <w:pPr>
        <w:pStyle w:val="1070"/>
        <w:numPr>
          <w:ilvl w:val="2"/>
          <w:numId w:val="10"/>
        </w:numPr>
        <w:ind w:left="0" w:firstLine="0"/>
        <w:spacing w:before="0" w:after="0" w:line="240" w:lineRule="auto"/>
        <w:tabs>
          <w:tab w:val="left" w:pos="850" w:leader="none"/>
        </w:tabs>
        <w:rPr>
          <w:rFonts w:ascii="Cambria" w:hAnsi="Cambria" w:cs="Cambria"/>
          <w:sz w:val="18"/>
          <w:szCs w:val="18"/>
        </w:rPr>
      </w:pPr>
      <w:r/>
      <w:bookmarkStart w:id="57" w:name="_Ref114668245"/>
      <w:r>
        <w:rPr>
          <w:rFonts w:ascii="Cambria" w:hAnsi="Cambria" w:cs="Cambria"/>
          <w:sz w:val="18"/>
          <w:szCs w:val="18"/>
        </w:rPr>
        <w:t xml:space="preserve">Fraudar a licitação</w:t>
      </w:r>
      <w:bookmarkEnd w:id="57"/>
      <w:r>
        <w:rPr>
          <w:rFonts w:ascii="Cambria" w:hAnsi="Cambria" w:cs="Cambria"/>
          <w:sz w:val="18"/>
          <w:szCs w:val="18"/>
        </w:rPr>
        <w:t xml:space="preserve">,</w:t>
      </w:r>
      <w:r/>
    </w:p>
    <w:p>
      <w:pPr>
        <w:pStyle w:val="1070"/>
        <w:numPr>
          <w:ilvl w:val="2"/>
          <w:numId w:val="10"/>
        </w:numPr>
        <w:ind w:left="0" w:firstLine="0"/>
        <w:spacing w:before="0" w:after="0" w:line="240" w:lineRule="auto"/>
        <w:tabs>
          <w:tab w:val="left" w:pos="850" w:leader="none"/>
        </w:tabs>
        <w:rPr>
          <w:rFonts w:ascii="Cambria" w:hAnsi="Cambria" w:cs="Cambria"/>
          <w:sz w:val="18"/>
          <w:szCs w:val="18"/>
        </w:rPr>
      </w:pPr>
      <w:r/>
      <w:bookmarkStart w:id="58" w:name="_Ref114668247"/>
      <w:r>
        <w:rPr>
          <w:rFonts w:ascii="Cambria" w:hAnsi="Cambria" w:cs="Cambria"/>
          <w:sz w:val="18"/>
          <w:szCs w:val="18"/>
        </w:rPr>
        <w:t xml:space="preserve">Comportar-se de modo inidôneo ou cometer fraude de qualquer natureza, em especial quando:</w:t>
      </w:r>
      <w:bookmarkEnd w:id="58"/>
      <w:r/>
      <w:r/>
    </w:p>
    <w:p>
      <w:pPr>
        <w:pStyle w:val="1071"/>
        <w:numPr>
          <w:ilvl w:val="3"/>
          <w:numId w:val="10"/>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Agir em conluio ou em desconformidade com a lei; </w:t>
      </w:r>
      <w:r/>
    </w:p>
    <w:p>
      <w:pPr>
        <w:pStyle w:val="1071"/>
        <w:numPr>
          <w:ilvl w:val="3"/>
          <w:numId w:val="10"/>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Induzir deliberadamente a erro no julgamento; </w:t>
      </w:r>
      <w:r/>
    </w:p>
    <w:p>
      <w:pPr>
        <w:pStyle w:val="1071"/>
        <w:numPr>
          <w:ilvl w:val="3"/>
          <w:numId w:val="10"/>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   Apresentar amostra falsificada ou deteri</w:t>
      </w:r>
      <w:r>
        <w:rPr>
          <w:rFonts w:ascii="Cambria" w:hAnsi="Cambria" w:cs="Cambria"/>
          <w:sz w:val="18"/>
          <w:szCs w:val="18"/>
        </w:rPr>
        <w:t xml:space="preserve">orada; </w:t>
      </w:r>
      <w:r/>
    </w:p>
    <w:p>
      <w:pPr>
        <w:pStyle w:val="1070"/>
        <w:numPr>
          <w:ilvl w:val="2"/>
          <w:numId w:val="10"/>
        </w:numPr>
        <w:ind w:left="0" w:firstLine="0"/>
        <w:spacing w:before="0" w:after="0" w:line="240" w:lineRule="auto"/>
        <w:tabs>
          <w:tab w:val="left" w:pos="992" w:leader="none"/>
        </w:tabs>
        <w:rPr>
          <w:rFonts w:ascii="Cambria" w:hAnsi="Cambria" w:cs="Cambria"/>
          <w:sz w:val="18"/>
          <w:szCs w:val="18"/>
        </w:rPr>
      </w:pPr>
      <w:r/>
      <w:bookmarkStart w:id="59" w:name="_Ref114668251"/>
      <w:r>
        <w:rPr>
          <w:rFonts w:ascii="Cambria" w:hAnsi="Cambria" w:cs="Cambria"/>
          <w:sz w:val="18"/>
          <w:szCs w:val="18"/>
        </w:rPr>
        <w:t xml:space="preserve">Praticar atos ilícitos com vistas a frustrar os objetivos da licitação</w:t>
      </w:r>
      <w:bookmarkEnd w:id="59"/>
      <w:r/>
      <w:r/>
    </w:p>
    <w:p>
      <w:pPr>
        <w:pStyle w:val="1070"/>
        <w:numPr>
          <w:ilvl w:val="2"/>
          <w:numId w:val="10"/>
        </w:numPr>
        <w:ind w:left="0" w:firstLine="0"/>
        <w:spacing w:before="0" w:after="0" w:line="240" w:lineRule="auto"/>
        <w:tabs>
          <w:tab w:val="left" w:pos="992" w:leader="none"/>
        </w:tabs>
        <w:rPr>
          <w:rFonts w:ascii="Cambria" w:hAnsi="Cambria" w:cs="Cambria"/>
          <w:sz w:val="18"/>
          <w:szCs w:val="18"/>
        </w:rPr>
      </w:pPr>
      <w:r/>
      <w:bookmarkStart w:id="60" w:name="_Ref114668252"/>
      <w:r>
        <w:rPr>
          <w:rFonts w:ascii="Cambria" w:hAnsi="Cambria" w:cs="Cambria"/>
          <w:sz w:val="18"/>
          <w:szCs w:val="18"/>
        </w:rPr>
        <w:t xml:space="preserve">Praticar ato lesivo previsto no </w:t>
      </w:r>
      <w:hyperlink r:id="rId45" w:tooltip="https://www.planalto.gov.br/ccivil_03/_ato2011-2014/2013/lei/l12846.htm#art5" w:anchor="art5" w:history="1">
        <w:r>
          <w:rPr>
            <w:rStyle w:val="839"/>
            <w:rFonts w:ascii="Cambria" w:hAnsi="Cambria" w:cs="Cambria"/>
            <w:color w:val="000000" w:themeColor="text1"/>
            <w:sz w:val="18"/>
            <w:szCs w:val="18"/>
            <w:u w:val="none"/>
          </w:rPr>
          <w:t xml:space="preserve">art. 5º da Lei n.º 12.846, de 2013</w:t>
        </w:r>
      </w:hyperlink>
      <w:r>
        <w:rPr>
          <w:rFonts w:ascii="Cambria" w:hAnsi="Cambria" w:cs="Cambria"/>
          <w:sz w:val="18"/>
          <w:szCs w:val="18"/>
        </w:rPr>
        <w:t xml:space="preserve">.</w:t>
      </w:r>
      <w:bookmarkEnd w:id="53"/>
      <w:r/>
      <w:bookmarkEnd w:id="60"/>
      <w:r/>
      <w:r/>
    </w:p>
    <w:p>
      <w:pPr>
        <w:pStyle w:val="1068"/>
        <w:numPr>
          <w:ilvl w:val="1"/>
          <w:numId w:val="10"/>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Com fulc</w:t>
      </w:r>
      <w:r>
        <w:rPr>
          <w:rFonts w:ascii="Cambria" w:hAnsi="Cambria" w:cs="Cambria"/>
          <w:sz w:val="18"/>
          <w:szCs w:val="18"/>
        </w:rPr>
        <w:t xml:space="preserve">ro na </w:t>
      </w:r>
      <w:hyperlink r:id="rId46" w:tooltip="http://www.planalto.gov.br/ccivil_03/_ato2019-2022/2021/lei/L14133.htm" w:history="1">
        <w:r>
          <w:rPr>
            <w:rStyle w:val="839"/>
            <w:rFonts w:ascii="Cambria" w:hAnsi="Cambria" w:cs="Cambria"/>
            <w:sz w:val="18"/>
            <w:szCs w:val="18"/>
          </w:rPr>
          <w:t xml:space="preserve">Lei nº 14.133, de 2021</w:t>
        </w:r>
      </w:hyperlink>
      <w:r>
        <w:rPr>
          <w:rFonts w:ascii="Cambria" w:hAnsi="Cambria" w:cs="Cambria"/>
          <w:sz w:val="18"/>
          <w:szCs w:val="18"/>
        </w:rPr>
        <w:t xml:space="preserve">, a Administração poderá, garantida a prévia defesa, aplicar aos licitantes e/ou adjudicatários as seguintes sanções, sem prejuízo das responsabilidades civil e criminal: </w:t>
      </w:r>
      <w:r/>
    </w:p>
    <w:p>
      <w:pPr>
        <w:pStyle w:val="1070"/>
        <w:numPr>
          <w:ilvl w:val="2"/>
          <w:numId w:val="10"/>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Advertência; </w:t>
      </w:r>
      <w:r/>
    </w:p>
    <w:p>
      <w:pPr>
        <w:pStyle w:val="1070"/>
        <w:numPr>
          <w:ilvl w:val="2"/>
          <w:numId w:val="10"/>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Multa;</w:t>
      </w:r>
      <w:r/>
    </w:p>
    <w:p>
      <w:pPr>
        <w:pStyle w:val="1070"/>
        <w:numPr>
          <w:ilvl w:val="2"/>
          <w:numId w:val="10"/>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Impedimento de licitar e contratar e</w:t>
      </w:r>
      <w:r/>
    </w:p>
    <w:p>
      <w:pPr>
        <w:pStyle w:val="1070"/>
        <w:numPr>
          <w:ilvl w:val="2"/>
          <w:numId w:val="10"/>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Declaração de inidoneidade para licitar ou contratar, enquanto perdurarem os motivos determinantes da punição ou até que seja promovida sua reabilitação perante a própria autoridade que aplicou a penalidade.</w:t>
      </w:r>
      <w:r/>
    </w:p>
    <w:p>
      <w:pPr>
        <w:pStyle w:val="1068"/>
        <w:numPr>
          <w:ilvl w:val="1"/>
          <w:numId w:val="10"/>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Na aplicação das sanções serão considerados:</w:t>
      </w:r>
      <w:r/>
    </w:p>
    <w:p>
      <w:pPr>
        <w:pStyle w:val="1070"/>
        <w:numPr>
          <w:ilvl w:val="2"/>
          <w:numId w:val="10"/>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A n</w:t>
      </w:r>
      <w:r>
        <w:rPr>
          <w:rFonts w:ascii="Cambria" w:hAnsi="Cambria" w:cs="Cambria"/>
          <w:sz w:val="18"/>
          <w:szCs w:val="18"/>
        </w:rPr>
        <w:t xml:space="preserve">atureza e a gravidade da infração cometida.</w:t>
      </w:r>
      <w:r/>
    </w:p>
    <w:p>
      <w:pPr>
        <w:pStyle w:val="1070"/>
        <w:numPr>
          <w:ilvl w:val="2"/>
          <w:numId w:val="10"/>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As peculiaridades do caso concreto</w:t>
      </w:r>
      <w:r/>
    </w:p>
    <w:p>
      <w:pPr>
        <w:pStyle w:val="1070"/>
        <w:numPr>
          <w:ilvl w:val="2"/>
          <w:numId w:val="10"/>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As circunstâncias agravantes ou atenuantes</w:t>
      </w:r>
      <w:r/>
    </w:p>
    <w:p>
      <w:pPr>
        <w:pStyle w:val="1070"/>
        <w:numPr>
          <w:ilvl w:val="2"/>
          <w:numId w:val="10"/>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Os danos que dela provierem para a Administração Pública</w:t>
      </w:r>
      <w:r/>
    </w:p>
    <w:p>
      <w:pPr>
        <w:pStyle w:val="1070"/>
        <w:numPr>
          <w:ilvl w:val="2"/>
          <w:numId w:val="10"/>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A implantação ou o aperfeiçoamento de programa de integridade, conforme norma</w:t>
      </w:r>
      <w:r>
        <w:rPr>
          <w:rFonts w:ascii="Cambria" w:hAnsi="Cambria" w:cs="Cambria"/>
          <w:sz w:val="18"/>
          <w:szCs w:val="18"/>
        </w:rPr>
        <w:t xml:space="preserve">s e orientações dos órgãos de controle.</w:t>
      </w:r>
      <w:r/>
    </w:p>
    <w:p>
      <w:pPr>
        <w:pStyle w:val="106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A multa será recolhida em percentual de 0,5% a 30% incidente sobre o valor do contrato licitado, recolhida no prazo máximo </w:t>
      </w:r>
      <w:r>
        <w:rPr>
          <w:rFonts w:ascii="Cambria" w:hAnsi="Cambria" w:cs="Cambria"/>
          <w:sz w:val="18"/>
          <w:szCs w:val="18"/>
        </w:rPr>
        <w:t xml:space="preserve">de</w:t>
      </w:r>
      <w:r>
        <w:rPr>
          <w:rFonts w:ascii="Cambria" w:hAnsi="Cambria" w:cs="Cambria"/>
          <w:sz w:val="18"/>
          <w:szCs w:val="18"/>
        </w:rPr>
        <w:t xml:space="preserve">  </w:t>
      </w:r>
      <w:r>
        <w:rPr>
          <w:rFonts w:ascii="Cambria" w:hAnsi="Cambria" w:cs="Cambria"/>
          <w:color w:val="auto"/>
          <w:sz w:val="18"/>
          <w:szCs w:val="18"/>
        </w:rPr>
        <w:t xml:space="preserve">5</w:t>
      </w:r>
      <w:r>
        <w:rPr>
          <w:rFonts w:ascii="Cambria" w:hAnsi="Cambria" w:cs="Cambria"/>
          <w:color w:val="auto"/>
          <w:sz w:val="18"/>
          <w:szCs w:val="18"/>
        </w:rPr>
        <w:t xml:space="preserve">  </w:t>
      </w:r>
      <w:r>
        <w:rPr>
          <w:rFonts w:ascii="Cambria" w:hAnsi="Cambria" w:cs="Cambria"/>
          <w:color w:val="auto"/>
          <w:sz w:val="18"/>
          <w:szCs w:val="18"/>
        </w:rPr>
        <w:t xml:space="preserve">dias</w:t>
      </w:r>
      <w:r>
        <w:rPr>
          <w:rFonts w:ascii="Cambria" w:hAnsi="Cambria" w:cs="Cambria"/>
          <w:color w:val="ff0000"/>
          <w:sz w:val="18"/>
          <w:szCs w:val="18"/>
        </w:rPr>
        <w:t xml:space="preserve"> </w:t>
      </w:r>
      <w:r>
        <w:rPr>
          <w:rFonts w:ascii="Cambria" w:hAnsi="Cambria" w:cs="Cambria"/>
          <w:sz w:val="18"/>
          <w:szCs w:val="18"/>
        </w:rPr>
        <w:t xml:space="preserve">úteis, a contar da comunicação oficial. </w:t>
      </w:r>
      <w:r/>
    </w:p>
    <w:p>
      <w:pPr>
        <w:pStyle w:val="1070"/>
        <w:numPr>
          <w:ilvl w:val="2"/>
          <w:numId w:val="10"/>
        </w:numPr>
        <w:ind w:left="0" w:firstLine="0"/>
        <w:spacing w:before="0" w:after="0" w:line="240" w:lineRule="auto"/>
        <w:tabs>
          <w:tab w:val="left" w:pos="992" w:leader="none"/>
        </w:tabs>
        <w:rPr>
          <w:rFonts w:ascii="Cambria" w:hAnsi="Cambria" w:cs="Cambria"/>
          <w:sz w:val="18"/>
          <w:szCs w:val="18"/>
        </w:rPr>
      </w:pPr>
      <w:r/>
      <w:bookmarkStart w:id="61" w:name="_Hlk113876035"/>
      <w:r>
        <w:rPr>
          <w:rFonts w:ascii="Cambria" w:hAnsi="Cambria" w:cs="Cambria"/>
          <w:sz w:val="18"/>
          <w:szCs w:val="18"/>
        </w:rPr>
        <w:t xml:space="preserve">Para as infrações previstas nos itens </w:t>
      </w:r>
      <w:r>
        <w:rPr>
          <w:rFonts w:ascii="Cambria" w:hAnsi="Cambria" w:cs="Cambria"/>
          <w:sz w:val="18"/>
          <w:szCs w:val="18"/>
        </w:rPr>
        <w:fldChar w:fldCharType="begin"/>
      </w:r>
      <w:r>
        <w:rPr>
          <w:rFonts w:ascii="Cambria" w:hAnsi="Cambria" w:cs="Cambria"/>
          <w:sz w:val="18"/>
          <w:szCs w:val="18"/>
        </w:rPr>
        <w:instrText xml:space="preserve"> R</w:instrText>
      </w:r>
      <w:r>
        <w:rPr>
          <w:rFonts w:ascii="Cambria" w:hAnsi="Cambria" w:cs="Cambria"/>
          <w:sz w:val="18"/>
          <w:szCs w:val="18"/>
        </w:rPr>
        <w:instrText xml:space="preserve">EF _Ref114668085 \r \h  \* MERGEFORMAT </w:instrText>
      </w:r>
      <w:r>
        <w:rPr>
          <w:rFonts w:ascii="Cambria" w:hAnsi="Cambria" w:cs="Cambria"/>
          <w:sz w:val="18"/>
          <w:szCs w:val="18"/>
        </w:rPr>
        <w:fldChar w:fldCharType="separate"/>
      </w:r>
      <w:r>
        <w:rPr>
          <w:rFonts w:ascii="Cambria" w:hAnsi="Cambria" w:cs="Cambria"/>
          <w:sz w:val="18"/>
          <w:szCs w:val="18"/>
        </w:rPr>
        <w:t xml:space="preserve">12.1.1</w:t>
      </w:r>
      <w:r>
        <w:rPr>
          <w:rFonts w:ascii="Cambria" w:hAnsi="Cambria" w:cs="Cambria"/>
          <w:sz w:val="18"/>
          <w:szCs w:val="18"/>
        </w:rPr>
        <w:fldChar w:fldCharType="end"/>
      </w:r>
      <w:r>
        <w:rPr>
          <w:rFonts w:ascii="Cambria" w:hAnsi="Cambria" w:cs="Cambria"/>
          <w:sz w:val="18"/>
          <w:szCs w:val="18"/>
        </w:rPr>
        <w:t xml:space="preserve">, </w:t>
      </w:r>
      <w:r>
        <w:rPr>
          <w:rFonts w:ascii="Cambria" w:hAnsi="Cambria" w:cs="Cambria"/>
          <w:sz w:val="18"/>
          <w:szCs w:val="18"/>
        </w:rPr>
        <w:fldChar w:fldCharType="begin"/>
      </w:r>
      <w:r>
        <w:rPr>
          <w:rFonts w:ascii="Cambria" w:hAnsi="Cambria" w:cs="Cambria"/>
          <w:sz w:val="18"/>
          <w:szCs w:val="18"/>
        </w:rPr>
        <w:instrText xml:space="preserve"> REF _Ref114668108 \r \h  \* MERGEFORMAT </w:instrText>
      </w:r>
      <w:r>
        <w:rPr>
          <w:rFonts w:ascii="Cambria" w:hAnsi="Cambria" w:cs="Cambria"/>
          <w:sz w:val="18"/>
          <w:szCs w:val="18"/>
        </w:rPr>
        <w:fldChar w:fldCharType="separate"/>
      </w:r>
      <w:r>
        <w:rPr>
          <w:rFonts w:ascii="Cambria" w:hAnsi="Cambria" w:cs="Cambria"/>
          <w:sz w:val="18"/>
          <w:szCs w:val="18"/>
        </w:rPr>
        <w:t xml:space="preserve">12.1.2</w:t>
      </w:r>
      <w:r>
        <w:rPr>
          <w:rFonts w:ascii="Cambria" w:hAnsi="Cambria" w:cs="Cambria"/>
          <w:sz w:val="18"/>
          <w:szCs w:val="18"/>
        </w:rPr>
        <w:fldChar w:fldCharType="end"/>
      </w:r>
      <w:r>
        <w:rPr>
          <w:rFonts w:ascii="Cambria" w:hAnsi="Cambria" w:cs="Cambria"/>
          <w:sz w:val="18"/>
          <w:szCs w:val="18"/>
        </w:rPr>
        <w:t xml:space="preserve"> e </w:t>
      </w:r>
      <w:r>
        <w:rPr>
          <w:rFonts w:ascii="Cambria" w:hAnsi="Cambria" w:cs="Cambria"/>
          <w:sz w:val="18"/>
          <w:szCs w:val="18"/>
        </w:rPr>
        <w:fldChar w:fldCharType="begin"/>
      </w:r>
      <w:r>
        <w:rPr>
          <w:rFonts w:ascii="Cambria" w:hAnsi="Cambria" w:cs="Cambria"/>
          <w:sz w:val="18"/>
          <w:szCs w:val="18"/>
        </w:rPr>
        <w:instrText xml:space="preserve"> REF _Ref114668139 \r \h  \* MERGEFORMAT </w:instrText>
      </w:r>
      <w:r>
        <w:rPr>
          <w:rFonts w:ascii="Cambria" w:hAnsi="Cambria" w:cs="Cambria"/>
          <w:sz w:val="18"/>
          <w:szCs w:val="18"/>
        </w:rPr>
        <w:fldChar w:fldCharType="separate"/>
      </w:r>
      <w:r>
        <w:rPr>
          <w:rFonts w:ascii="Cambria" w:hAnsi="Cambria" w:cs="Cambria"/>
          <w:sz w:val="18"/>
          <w:szCs w:val="18"/>
        </w:rPr>
        <w:t xml:space="preserve">12.1.3</w:t>
      </w:r>
      <w:r>
        <w:rPr>
          <w:rFonts w:ascii="Cambria" w:hAnsi="Cambria" w:cs="Cambria"/>
          <w:sz w:val="18"/>
          <w:szCs w:val="18"/>
        </w:rPr>
        <w:fldChar w:fldCharType="end"/>
      </w:r>
      <w:r>
        <w:rPr>
          <w:rFonts w:ascii="Cambria" w:hAnsi="Cambria" w:cs="Cambria"/>
          <w:sz w:val="18"/>
          <w:szCs w:val="18"/>
        </w:rPr>
        <w:t xml:space="preserve">, a multa será de </w:t>
      </w:r>
      <w:r>
        <w:rPr>
          <w:rFonts w:ascii="Cambria" w:hAnsi="Cambria" w:cs="Cambria"/>
          <w:color w:val="auto"/>
          <w:sz w:val="18"/>
          <w:szCs w:val="18"/>
        </w:rPr>
        <w:t xml:space="preserve">0,5% a 15% </w:t>
      </w:r>
      <w:r>
        <w:rPr>
          <w:rFonts w:ascii="Cambria" w:hAnsi="Cambria" w:cs="Cambria"/>
          <w:sz w:val="18"/>
          <w:szCs w:val="18"/>
        </w:rPr>
        <w:t xml:space="preserve">do valor do contrato licitado.</w:t>
      </w:r>
      <w:bookmarkEnd w:id="61"/>
      <w:r/>
      <w:r/>
    </w:p>
    <w:p>
      <w:pPr>
        <w:pStyle w:val="1070"/>
        <w:numPr>
          <w:ilvl w:val="2"/>
          <w:numId w:val="10"/>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Para as infrações previstas nos itens </w:t>
      </w:r>
      <w:r>
        <w:rPr>
          <w:rFonts w:ascii="Cambria" w:hAnsi="Cambria" w:cs="Cambria"/>
          <w:sz w:val="18"/>
          <w:szCs w:val="18"/>
        </w:rPr>
        <w:fldChar w:fldCharType="begin"/>
      </w:r>
      <w:r>
        <w:rPr>
          <w:rFonts w:ascii="Cambria" w:hAnsi="Cambria" w:cs="Cambria"/>
          <w:sz w:val="18"/>
          <w:szCs w:val="18"/>
        </w:rPr>
        <w:instrText xml:space="preserve"> REF _Ref114668249 \r \h  \* MERGEFORMAT </w:instrText>
      </w:r>
      <w:r>
        <w:rPr>
          <w:rFonts w:ascii="Cambria" w:hAnsi="Cambria" w:cs="Cambria"/>
          <w:sz w:val="18"/>
          <w:szCs w:val="18"/>
        </w:rPr>
        <w:fldChar w:fldCharType="separate"/>
      </w:r>
      <w:r>
        <w:rPr>
          <w:rFonts w:ascii="Cambria" w:hAnsi="Cambria" w:cs="Cambria"/>
          <w:sz w:val="18"/>
          <w:szCs w:val="18"/>
        </w:rPr>
        <w:t xml:space="preserve">12.</w:t>
      </w:r>
      <w:r>
        <w:rPr>
          <w:rFonts w:ascii="Cambria" w:hAnsi="Cambria" w:cs="Cambria"/>
          <w:sz w:val="18"/>
          <w:szCs w:val="18"/>
        </w:rPr>
        <w:t xml:space="preserve">1.4</w:t>
      </w:r>
      <w:r>
        <w:rPr>
          <w:rFonts w:ascii="Cambria" w:hAnsi="Cambria" w:cs="Cambria"/>
          <w:sz w:val="18"/>
          <w:szCs w:val="18"/>
        </w:rPr>
        <w:fldChar w:fldCharType="end"/>
      </w:r>
      <w:r>
        <w:rPr>
          <w:rFonts w:ascii="Cambria" w:hAnsi="Cambria" w:cs="Cambria"/>
          <w:sz w:val="18"/>
          <w:szCs w:val="18"/>
        </w:rPr>
        <w:t xml:space="preserve">, </w:t>
      </w:r>
      <w:r>
        <w:rPr>
          <w:rFonts w:ascii="Cambria" w:hAnsi="Cambria" w:cs="Cambria"/>
          <w:sz w:val="18"/>
          <w:szCs w:val="18"/>
        </w:rPr>
        <w:fldChar w:fldCharType="begin"/>
      </w:r>
      <w:r>
        <w:rPr>
          <w:rFonts w:ascii="Cambria" w:hAnsi="Cambria" w:cs="Cambria"/>
          <w:sz w:val="18"/>
          <w:szCs w:val="18"/>
        </w:rPr>
        <w:instrText xml:space="preserve"> REF _Ref114668245 \r \h  \* MERGEFORMAT </w:instrText>
      </w:r>
      <w:r>
        <w:rPr>
          <w:rFonts w:ascii="Cambria" w:hAnsi="Cambria" w:cs="Cambria"/>
          <w:sz w:val="18"/>
          <w:szCs w:val="18"/>
        </w:rPr>
        <w:fldChar w:fldCharType="separate"/>
      </w:r>
      <w:r>
        <w:rPr>
          <w:rFonts w:ascii="Cambria" w:hAnsi="Cambria" w:cs="Cambria"/>
          <w:sz w:val="18"/>
          <w:szCs w:val="18"/>
        </w:rPr>
        <w:t xml:space="preserve">12.1.5</w:t>
      </w:r>
      <w:r>
        <w:rPr>
          <w:rFonts w:ascii="Cambria" w:hAnsi="Cambria" w:cs="Cambria"/>
          <w:sz w:val="18"/>
          <w:szCs w:val="18"/>
        </w:rPr>
        <w:fldChar w:fldCharType="end"/>
      </w:r>
      <w:r>
        <w:rPr>
          <w:rFonts w:ascii="Cambria" w:hAnsi="Cambria" w:cs="Cambria"/>
          <w:sz w:val="18"/>
          <w:szCs w:val="18"/>
        </w:rPr>
        <w:t xml:space="preserve">, </w:t>
      </w:r>
      <w:r>
        <w:rPr>
          <w:rFonts w:ascii="Cambria" w:hAnsi="Cambria" w:cs="Cambria"/>
          <w:sz w:val="18"/>
          <w:szCs w:val="18"/>
        </w:rPr>
        <w:fldChar w:fldCharType="begin"/>
      </w:r>
      <w:r>
        <w:rPr>
          <w:rFonts w:ascii="Cambria" w:hAnsi="Cambria" w:cs="Cambria"/>
          <w:sz w:val="18"/>
          <w:szCs w:val="18"/>
        </w:rPr>
        <w:instrText xml:space="preserve"> REF _Ref114668247 \r \h  \* MERGEFORMAT </w:instrText>
      </w:r>
      <w:r>
        <w:rPr>
          <w:rFonts w:ascii="Cambria" w:hAnsi="Cambria" w:cs="Cambria"/>
          <w:sz w:val="18"/>
          <w:szCs w:val="18"/>
        </w:rPr>
        <w:fldChar w:fldCharType="separate"/>
      </w:r>
      <w:r>
        <w:rPr>
          <w:rFonts w:ascii="Cambria" w:hAnsi="Cambria" w:cs="Cambria"/>
          <w:sz w:val="18"/>
          <w:szCs w:val="18"/>
        </w:rPr>
        <w:t xml:space="preserve">12.1.6</w:t>
      </w:r>
      <w:r>
        <w:rPr>
          <w:rFonts w:ascii="Cambria" w:hAnsi="Cambria" w:cs="Cambria"/>
          <w:sz w:val="18"/>
          <w:szCs w:val="18"/>
        </w:rPr>
        <w:fldChar w:fldCharType="end"/>
      </w:r>
      <w:r>
        <w:rPr>
          <w:rFonts w:ascii="Cambria" w:hAnsi="Cambria" w:cs="Cambria"/>
          <w:sz w:val="18"/>
          <w:szCs w:val="18"/>
        </w:rPr>
        <w:t xml:space="preserve">, </w:t>
      </w:r>
      <w:r>
        <w:rPr>
          <w:rFonts w:ascii="Cambria" w:hAnsi="Cambria" w:cs="Cambria"/>
          <w:sz w:val="18"/>
          <w:szCs w:val="18"/>
        </w:rPr>
        <w:fldChar w:fldCharType="begin"/>
      </w:r>
      <w:r>
        <w:rPr>
          <w:rFonts w:ascii="Cambria" w:hAnsi="Cambria" w:cs="Cambria"/>
          <w:sz w:val="18"/>
          <w:szCs w:val="18"/>
        </w:rPr>
        <w:instrText xml:space="preserve"> REF _Ref114668251 \r \h  \* MERGEFORMAT </w:instrText>
      </w:r>
      <w:r>
        <w:rPr>
          <w:rFonts w:ascii="Cambria" w:hAnsi="Cambria" w:cs="Cambria"/>
          <w:sz w:val="18"/>
          <w:szCs w:val="18"/>
        </w:rPr>
        <w:fldChar w:fldCharType="separate"/>
      </w:r>
      <w:r>
        <w:rPr>
          <w:rFonts w:ascii="Cambria" w:hAnsi="Cambria" w:cs="Cambria"/>
          <w:sz w:val="18"/>
          <w:szCs w:val="18"/>
        </w:rPr>
        <w:t xml:space="preserve">12.1.7</w:t>
      </w:r>
      <w:r>
        <w:rPr>
          <w:rFonts w:ascii="Cambria" w:hAnsi="Cambria" w:cs="Cambria"/>
          <w:sz w:val="18"/>
          <w:szCs w:val="18"/>
        </w:rPr>
        <w:fldChar w:fldCharType="end"/>
      </w:r>
      <w:r>
        <w:rPr>
          <w:rFonts w:ascii="Cambria" w:hAnsi="Cambria" w:cs="Cambria"/>
          <w:sz w:val="18"/>
          <w:szCs w:val="18"/>
        </w:rPr>
        <w:t xml:space="preserve"> e </w:t>
      </w:r>
      <w:r>
        <w:rPr>
          <w:rFonts w:ascii="Cambria" w:hAnsi="Cambria" w:cs="Cambria"/>
          <w:sz w:val="18"/>
          <w:szCs w:val="18"/>
        </w:rPr>
        <w:fldChar w:fldCharType="begin"/>
      </w:r>
      <w:r>
        <w:rPr>
          <w:rFonts w:ascii="Cambria" w:hAnsi="Cambria" w:cs="Cambria"/>
          <w:sz w:val="18"/>
          <w:szCs w:val="18"/>
        </w:rPr>
        <w:instrText xml:space="preserve"> REF _Ref114668252 \r \h  \* MERGEFORMAT </w:instrText>
      </w:r>
      <w:r>
        <w:rPr>
          <w:rFonts w:ascii="Cambria" w:hAnsi="Cambria" w:cs="Cambria"/>
          <w:sz w:val="18"/>
          <w:szCs w:val="18"/>
        </w:rPr>
        <w:fldChar w:fldCharType="separate"/>
      </w:r>
      <w:r>
        <w:rPr>
          <w:rFonts w:ascii="Cambria" w:hAnsi="Cambria" w:cs="Cambria"/>
          <w:sz w:val="18"/>
          <w:szCs w:val="18"/>
        </w:rPr>
        <w:t xml:space="preserve">12.1.8</w:t>
      </w:r>
      <w:r>
        <w:rPr>
          <w:rFonts w:ascii="Cambria" w:hAnsi="Cambria" w:cs="Cambria"/>
          <w:sz w:val="18"/>
          <w:szCs w:val="18"/>
        </w:rPr>
        <w:fldChar w:fldCharType="end"/>
      </w:r>
      <w:r>
        <w:rPr>
          <w:rFonts w:ascii="Cambria" w:hAnsi="Cambria" w:cs="Cambria"/>
          <w:sz w:val="18"/>
          <w:szCs w:val="18"/>
        </w:rPr>
        <w:t xml:space="preserve">, a multa será de</w:t>
      </w:r>
      <w:r>
        <w:rPr>
          <w:rFonts w:ascii="Cambria" w:hAnsi="Cambria" w:cs="Cambria"/>
          <w:color w:val="auto"/>
          <w:sz w:val="18"/>
          <w:szCs w:val="18"/>
        </w:rPr>
        <w:t xml:space="preserve"> 15% a 30%</w:t>
      </w:r>
      <w:r>
        <w:rPr>
          <w:rFonts w:ascii="Cambria" w:hAnsi="Cambria" w:cs="Cambria"/>
          <w:color w:val="0000ff"/>
          <w:sz w:val="18"/>
          <w:szCs w:val="18"/>
        </w:rPr>
        <w:t xml:space="preserve"> </w:t>
      </w:r>
      <w:r>
        <w:rPr>
          <w:rFonts w:ascii="Cambria" w:hAnsi="Cambria" w:cs="Cambria"/>
          <w:sz w:val="18"/>
          <w:szCs w:val="18"/>
        </w:rPr>
        <w:t xml:space="preserve">do valor do contrato licitado.</w:t>
      </w:r>
      <w:r/>
    </w:p>
    <w:p>
      <w:pPr>
        <w:pStyle w:val="106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As sanções de advertência, impedimento de licitar e contratar e declaração de inidoneidade para licitar ou contratar poderão ser aplicadas, cumulativamente ou não, à penalidade de multa.</w:t>
      </w:r>
      <w:r/>
    </w:p>
    <w:p>
      <w:pPr>
        <w:pStyle w:val="106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Na aplicação da sanção de multa será facultada a defesa do interessad</w:t>
      </w:r>
      <w:r>
        <w:rPr>
          <w:rFonts w:ascii="Cambria" w:hAnsi="Cambria" w:cs="Cambria"/>
          <w:sz w:val="18"/>
          <w:szCs w:val="18"/>
        </w:rPr>
        <w:t xml:space="preserve">o no prazo de 15 (quinze) dias úteis, contado da data de sua intimação.</w:t>
      </w:r>
      <w:r/>
    </w:p>
    <w:p>
      <w:pPr>
        <w:pStyle w:val="106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A sanção de impedimento de licitar e contratar será aplicada ao responsável em decorrência das infrações administrativas relacionadas nos itens </w:t>
      </w:r>
      <w:r>
        <w:rPr>
          <w:rFonts w:ascii="Cambria" w:hAnsi="Cambria" w:cs="Cambria"/>
          <w:sz w:val="18"/>
          <w:szCs w:val="18"/>
        </w:rPr>
        <w:fldChar w:fldCharType="begin"/>
      </w:r>
      <w:r>
        <w:rPr>
          <w:rFonts w:ascii="Cambria" w:hAnsi="Cambria" w:cs="Cambria"/>
          <w:sz w:val="18"/>
          <w:szCs w:val="18"/>
        </w:rPr>
        <w:instrText xml:space="preserve"> REF _Ref114668085 \r \h  \* MERGEFORMAT</w:instrText>
      </w:r>
      <w:r>
        <w:rPr>
          <w:rFonts w:ascii="Cambria" w:hAnsi="Cambria" w:cs="Cambria"/>
          <w:sz w:val="18"/>
          <w:szCs w:val="18"/>
        </w:rPr>
        <w:instrText xml:space="preserve"> </w:instrText>
      </w:r>
      <w:r>
        <w:rPr>
          <w:rFonts w:ascii="Cambria" w:hAnsi="Cambria" w:cs="Cambria"/>
          <w:sz w:val="18"/>
          <w:szCs w:val="18"/>
        </w:rPr>
        <w:fldChar w:fldCharType="separate"/>
      </w:r>
      <w:r>
        <w:rPr>
          <w:rFonts w:ascii="Cambria" w:hAnsi="Cambria" w:cs="Cambria"/>
          <w:sz w:val="18"/>
          <w:szCs w:val="18"/>
        </w:rPr>
        <w:t xml:space="preserve">12.1.1</w:t>
      </w:r>
      <w:r>
        <w:rPr>
          <w:rFonts w:ascii="Cambria" w:hAnsi="Cambria" w:cs="Cambria"/>
          <w:sz w:val="18"/>
          <w:szCs w:val="18"/>
        </w:rPr>
        <w:fldChar w:fldCharType="end"/>
      </w:r>
      <w:r>
        <w:rPr>
          <w:rFonts w:ascii="Cambria" w:hAnsi="Cambria" w:cs="Cambria"/>
          <w:sz w:val="18"/>
          <w:szCs w:val="18"/>
        </w:rPr>
        <w:t xml:space="preserve">, </w:t>
      </w:r>
      <w:r>
        <w:rPr>
          <w:rFonts w:ascii="Cambria" w:hAnsi="Cambria" w:cs="Cambria"/>
          <w:sz w:val="18"/>
          <w:szCs w:val="18"/>
        </w:rPr>
        <w:fldChar w:fldCharType="begin"/>
      </w:r>
      <w:r>
        <w:rPr>
          <w:rFonts w:ascii="Cambria" w:hAnsi="Cambria" w:cs="Cambria"/>
          <w:sz w:val="18"/>
          <w:szCs w:val="18"/>
        </w:rPr>
        <w:instrText xml:space="preserve"> REF _Ref114668108 \r \h  \* MERGEFORMAT </w:instrText>
      </w:r>
      <w:r>
        <w:rPr>
          <w:rFonts w:ascii="Cambria" w:hAnsi="Cambria" w:cs="Cambria"/>
          <w:sz w:val="18"/>
          <w:szCs w:val="18"/>
        </w:rPr>
        <w:fldChar w:fldCharType="separate"/>
      </w:r>
      <w:r>
        <w:rPr>
          <w:rFonts w:ascii="Cambria" w:hAnsi="Cambria" w:cs="Cambria"/>
          <w:sz w:val="18"/>
          <w:szCs w:val="18"/>
        </w:rPr>
        <w:t xml:space="preserve">12.1.2</w:t>
      </w:r>
      <w:r>
        <w:rPr>
          <w:rFonts w:ascii="Cambria" w:hAnsi="Cambria" w:cs="Cambria"/>
          <w:sz w:val="18"/>
          <w:szCs w:val="18"/>
        </w:rPr>
        <w:fldChar w:fldCharType="end"/>
      </w:r>
      <w:r>
        <w:rPr>
          <w:rFonts w:ascii="Cambria" w:hAnsi="Cambria" w:cs="Cambria"/>
          <w:sz w:val="18"/>
          <w:szCs w:val="18"/>
        </w:rPr>
        <w:t xml:space="preserve"> e </w:t>
      </w:r>
      <w:r>
        <w:rPr>
          <w:rFonts w:ascii="Cambria" w:hAnsi="Cambria" w:cs="Cambria"/>
          <w:sz w:val="18"/>
          <w:szCs w:val="18"/>
        </w:rPr>
        <w:fldChar w:fldCharType="begin"/>
      </w:r>
      <w:r>
        <w:rPr>
          <w:rFonts w:ascii="Cambria" w:hAnsi="Cambria" w:cs="Cambria"/>
          <w:sz w:val="18"/>
          <w:szCs w:val="18"/>
        </w:rPr>
        <w:instrText xml:space="preserve"> REF _Ref114668139 \r \h  \* MERGEFORMAT </w:instrText>
      </w:r>
      <w:r>
        <w:rPr>
          <w:rFonts w:ascii="Cambria" w:hAnsi="Cambria" w:cs="Cambria"/>
          <w:sz w:val="18"/>
          <w:szCs w:val="18"/>
        </w:rPr>
        <w:fldChar w:fldCharType="separate"/>
      </w:r>
      <w:r>
        <w:rPr>
          <w:rFonts w:ascii="Cambria" w:hAnsi="Cambria" w:cs="Cambria"/>
          <w:sz w:val="18"/>
          <w:szCs w:val="18"/>
        </w:rPr>
        <w:t xml:space="preserve">12.1.3</w:t>
      </w:r>
      <w:r>
        <w:rPr>
          <w:rFonts w:ascii="Cambria" w:hAnsi="Cambria" w:cs="Cambria"/>
          <w:sz w:val="18"/>
          <w:szCs w:val="18"/>
        </w:rPr>
        <w:fldChar w:fldCharType="end"/>
      </w:r>
      <w:r>
        <w:rPr>
          <w:rFonts w:ascii="Cambria" w:hAnsi="Cambria" w:cs="Cambria"/>
          <w:sz w:val="18"/>
          <w:szCs w:val="18"/>
        </w:rPr>
        <w:t xml:space="preserve">, quando não se justificar a imposição de penalidade mais grave, e impedirá o responsável de licitar e contratar no âmbito da Administração Pública direta e indireta do ente federativo a qual pertencer o </w:t>
      </w:r>
      <w:r>
        <w:rPr>
          <w:rFonts w:ascii="Cambria" w:hAnsi="Cambria" w:cs="Cambria"/>
          <w:sz w:val="18"/>
          <w:szCs w:val="18"/>
        </w:rPr>
        <w:t xml:space="preserve">órgão ou entidade, pelo prazo máximo de 3 (três) anos.</w:t>
      </w:r>
      <w:r/>
    </w:p>
    <w:p>
      <w:pPr>
        <w:pStyle w:val="106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Poderá ser aplicada ao responsável a sanção de declaração de inidoneidade para licitar ou contratar, em decorrência da prática das infrações dispostas nos itens </w:t>
      </w:r>
      <w:r>
        <w:rPr>
          <w:rFonts w:ascii="Cambria" w:hAnsi="Cambria" w:cs="Cambria"/>
          <w:sz w:val="18"/>
          <w:szCs w:val="18"/>
        </w:rPr>
        <w:fldChar w:fldCharType="begin"/>
      </w:r>
      <w:r>
        <w:rPr>
          <w:rFonts w:ascii="Cambria" w:hAnsi="Cambria" w:cs="Cambria"/>
          <w:sz w:val="18"/>
          <w:szCs w:val="18"/>
        </w:rPr>
        <w:instrText xml:space="preserve"> REF _Ref114668249 \r \h  \* MERGEFORMAT</w:instrText>
      </w:r>
      <w:r>
        <w:rPr>
          <w:rFonts w:ascii="Cambria" w:hAnsi="Cambria" w:cs="Cambria"/>
          <w:sz w:val="18"/>
          <w:szCs w:val="18"/>
        </w:rPr>
        <w:instrText xml:space="preserve"> </w:instrText>
      </w:r>
      <w:r>
        <w:rPr>
          <w:rFonts w:ascii="Cambria" w:hAnsi="Cambria" w:cs="Cambria"/>
          <w:sz w:val="18"/>
          <w:szCs w:val="18"/>
        </w:rPr>
        <w:fldChar w:fldCharType="separate"/>
      </w:r>
      <w:r>
        <w:rPr>
          <w:rFonts w:ascii="Cambria" w:hAnsi="Cambria" w:cs="Cambria"/>
          <w:sz w:val="18"/>
          <w:szCs w:val="18"/>
        </w:rPr>
        <w:t xml:space="preserve">12.1.4</w:t>
      </w:r>
      <w:r>
        <w:rPr>
          <w:rFonts w:ascii="Cambria" w:hAnsi="Cambria" w:cs="Cambria"/>
          <w:sz w:val="18"/>
          <w:szCs w:val="18"/>
        </w:rPr>
        <w:fldChar w:fldCharType="end"/>
      </w:r>
      <w:r>
        <w:rPr>
          <w:rFonts w:ascii="Cambria" w:hAnsi="Cambria" w:cs="Cambria"/>
          <w:sz w:val="18"/>
          <w:szCs w:val="18"/>
        </w:rPr>
        <w:t xml:space="preserve">, </w:t>
      </w:r>
      <w:r>
        <w:rPr>
          <w:rFonts w:ascii="Cambria" w:hAnsi="Cambria" w:cs="Cambria"/>
          <w:sz w:val="18"/>
          <w:szCs w:val="18"/>
        </w:rPr>
        <w:fldChar w:fldCharType="begin"/>
      </w:r>
      <w:r>
        <w:rPr>
          <w:rFonts w:ascii="Cambria" w:hAnsi="Cambria" w:cs="Cambria"/>
          <w:sz w:val="18"/>
          <w:szCs w:val="18"/>
        </w:rPr>
        <w:instrText xml:space="preserve"> REF _Ref114668245 \r \h  \* MERGEFORMAT </w:instrText>
      </w:r>
      <w:r>
        <w:rPr>
          <w:rFonts w:ascii="Cambria" w:hAnsi="Cambria" w:cs="Cambria"/>
          <w:sz w:val="18"/>
          <w:szCs w:val="18"/>
        </w:rPr>
        <w:fldChar w:fldCharType="separate"/>
      </w:r>
      <w:r>
        <w:rPr>
          <w:rFonts w:ascii="Cambria" w:hAnsi="Cambria" w:cs="Cambria"/>
          <w:sz w:val="18"/>
          <w:szCs w:val="18"/>
        </w:rPr>
        <w:t xml:space="preserve">12.1.5</w:t>
      </w:r>
      <w:r>
        <w:rPr>
          <w:rFonts w:ascii="Cambria" w:hAnsi="Cambria" w:cs="Cambria"/>
          <w:sz w:val="18"/>
          <w:szCs w:val="18"/>
        </w:rPr>
        <w:fldChar w:fldCharType="end"/>
      </w:r>
      <w:r>
        <w:rPr>
          <w:rFonts w:ascii="Cambria" w:hAnsi="Cambria" w:cs="Cambria"/>
          <w:sz w:val="18"/>
          <w:szCs w:val="18"/>
        </w:rPr>
        <w:t xml:space="preserve">, </w:t>
      </w:r>
      <w:r>
        <w:rPr>
          <w:rFonts w:ascii="Cambria" w:hAnsi="Cambria" w:cs="Cambria"/>
          <w:sz w:val="18"/>
          <w:szCs w:val="18"/>
        </w:rPr>
        <w:fldChar w:fldCharType="begin"/>
      </w:r>
      <w:r>
        <w:rPr>
          <w:rFonts w:ascii="Cambria" w:hAnsi="Cambria" w:cs="Cambria"/>
          <w:sz w:val="18"/>
          <w:szCs w:val="18"/>
        </w:rPr>
        <w:instrText xml:space="preserve"> REF _Ref114668247 \r \h  \* MERGEFORMAT </w:instrText>
      </w:r>
      <w:r>
        <w:rPr>
          <w:rFonts w:ascii="Cambria" w:hAnsi="Cambria" w:cs="Cambria"/>
          <w:sz w:val="18"/>
          <w:szCs w:val="18"/>
        </w:rPr>
        <w:fldChar w:fldCharType="separate"/>
      </w:r>
      <w:r>
        <w:rPr>
          <w:rFonts w:ascii="Cambria" w:hAnsi="Cambria" w:cs="Cambria"/>
          <w:sz w:val="18"/>
          <w:szCs w:val="18"/>
        </w:rPr>
        <w:t xml:space="preserve">12.1.6</w:t>
      </w:r>
      <w:r>
        <w:rPr>
          <w:rFonts w:ascii="Cambria" w:hAnsi="Cambria" w:cs="Cambria"/>
          <w:sz w:val="18"/>
          <w:szCs w:val="18"/>
        </w:rPr>
        <w:fldChar w:fldCharType="end"/>
      </w:r>
      <w:r>
        <w:rPr>
          <w:rFonts w:ascii="Cambria" w:hAnsi="Cambria" w:cs="Cambria"/>
          <w:sz w:val="18"/>
          <w:szCs w:val="18"/>
        </w:rPr>
        <w:t xml:space="preserve">, </w:t>
      </w:r>
      <w:r>
        <w:rPr>
          <w:rFonts w:ascii="Cambria" w:hAnsi="Cambria" w:cs="Cambria"/>
          <w:sz w:val="18"/>
          <w:szCs w:val="18"/>
        </w:rPr>
        <w:fldChar w:fldCharType="begin"/>
      </w:r>
      <w:r>
        <w:rPr>
          <w:rFonts w:ascii="Cambria" w:hAnsi="Cambria" w:cs="Cambria"/>
          <w:sz w:val="18"/>
          <w:szCs w:val="18"/>
        </w:rPr>
        <w:instrText xml:space="preserve"> REF _Ref114668251 \r \h  \* MERGEFORMAT </w:instrText>
      </w:r>
      <w:r>
        <w:rPr>
          <w:rFonts w:ascii="Cambria" w:hAnsi="Cambria" w:cs="Cambria"/>
          <w:sz w:val="18"/>
          <w:szCs w:val="18"/>
        </w:rPr>
        <w:fldChar w:fldCharType="separate"/>
      </w:r>
      <w:r>
        <w:rPr>
          <w:rFonts w:ascii="Cambria" w:hAnsi="Cambria" w:cs="Cambria"/>
          <w:sz w:val="18"/>
          <w:szCs w:val="18"/>
        </w:rPr>
        <w:t xml:space="preserve">12.1.7</w:t>
      </w:r>
      <w:r>
        <w:rPr>
          <w:rFonts w:ascii="Cambria" w:hAnsi="Cambria" w:cs="Cambria"/>
          <w:sz w:val="18"/>
          <w:szCs w:val="18"/>
        </w:rPr>
        <w:fldChar w:fldCharType="end"/>
      </w:r>
      <w:r>
        <w:rPr>
          <w:rFonts w:ascii="Cambria" w:hAnsi="Cambria" w:cs="Cambria"/>
          <w:sz w:val="18"/>
          <w:szCs w:val="18"/>
        </w:rPr>
        <w:t xml:space="preserve"> e </w:t>
      </w:r>
      <w:r>
        <w:rPr>
          <w:rFonts w:ascii="Cambria" w:hAnsi="Cambria" w:cs="Cambria"/>
          <w:sz w:val="18"/>
          <w:szCs w:val="18"/>
        </w:rPr>
        <w:fldChar w:fldCharType="begin"/>
      </w:r>
      <w:r>
        <w:rPr>
          <w:rFonts w:ascii="Cambria" w:hAnsi="Cambria" w:cs="Cambria"/>
          <w:sz w:val="18"/>
          <w:szCs w:val="18"/>
        </w:rPr>
        <w:instrText xml:space="preserve"> REF _Ref114668252 \r \h  \* MERGEFORMAT </w:instrText>
      </w:r>
      <w:r>
        <w:rPr>
          <w:rFonts w:ascii="Cambria" w:hAnsi="Cambria" w:cs="Cambria"/>
          <w:sz w:val="18"/>
          <w:szCs w:val="18"/>
        </w:rPr>
        <w:fldChar w:fldCharType="separate"/>
      </w:r>
      <w:r>
        <w:rPr>
          <w:rFonts w:ascii="Cambria" w:hAnsi="Cambria" w:cs="Cambria"/>
          <w:sz w:val="18"/>
          <w:szCs w:val="18"/>
        </w:rPr>
        <w:t xml:space="preserve">12.1.8</w:t>
      </w:r>
      <w:r>
        <w:rPr>
          <w:rFonts w:ascii="Cambria" w:hAnsi="Cambria" w:cs="Cambria"/>
          <w:sz w:val="18"/>
          <w:szCs w:val="18"/>
        </w:rPr>
        <w:fldChar w:fldCharType="end"/>
      </w:r>
      <w:r>
        <w:rPr>
          <w:rFonts w:ascii="Cambria" w:hAnsi="Cambria" w:cs="Cambria"/>
          <w:sz w:val="18"/>
          <w:szCs w:val="18"/>
        </w:rPr>
        <w:t xml:space="preserve">, bem como pelas infrações administrativas previstas nos itens </w:t>
      </w:r>
      <w:r>
        <w:rPr>
          <w:rFonts w:ascii="Cambria" w:hAnsi="Cambria" w:cs="Cambria"/>
          <w:sz w:val="18"/>
          <w:szCs w:val="18"/>
        </w:rPr>
        <w:fldChar w:fldCharType="begin"/>
      </w:r>
      <w:r>
        <w:rPr>
          <w:rFonts w:ascii="Cambria" w:hAnsi="Cambria" w:cs="Cambria"/>
          <w:sz w:val="18"/>
          <w:szCs w:val="18"/>
        </w:rPr>
        <w:instrText xml:space="preserve"> REF _Ref114668085 \r \h  \* MERGEFORMAT </w:instrText>
      </w:r>
      <w:r>
        <w:rPr>
          <w:rFonts w:ascii="Cambria" w:hAnsi="Cambria" w:cs="Cambria"/>
          <w:sz w:val="18"/>
          <w:szCs w:val="18"/>
        </w:rPr>
        <w:fldChar w:fldCharType="separate"/>
      </w:r>
      <w:r>
        <w:rPr>
          <w:rFonts w:ascii="Cambria" w:hAnsi="Cambria" w:cs="Cambria"/>
          <w:sz w:val="18"/>
          <w:szCs w:val="18"/>
        </w:rPr>
        <w:t xml:space="preserve">12.1.1</w:t>
      </w:r>
      <w:r>
        <w:rPr>
          <w:rFonts w:ascii="Cambria" w:hAnsi="Cambria" w:cs="Cambria"/>
          <w:sz w:val="18"/>
          <w:szCs w:val="18"/>
        </w:rPr>
        <w:fldChar w:fldCharType="end"/>
      </w:r>
      <w:r>
        <w:rPr>
          <w:rFonts w:ascii="Cambria" w:hAnsi="Cambria" w:cs="Cambria"/>
          <w:sz w:val="18"/>
          <w:szCs w:val="18"/>
        </w:rPr>
        <w:t xml:space="preserve">, </w:t>
      </w:r>
      <w:r>
        <w:rPr>
          <w:rFonts w:ascii="Cambria" w:hAnsi="Cambria" w:cs="Cambria"/>
          <w:sz w:val="18"/>
          <w:szCs w:val="18"/>
        </w:rPr>
        <w:fldChar w:fldCharType="begin"/>
      </w:r>
      <w:r>
        <w:rPr>
          <w:rFonts w:ascii="Cambria" w:hAnsi="Cambria" w:cs="Cambria"/>
          <w:sz w:val="18"/>
          <w:szCs w:val="18"/>
        </w:rPr>
        <w:instrText xml:space="preserve"> REF _Ref114</w:instrText>
      </w:r>
      <w:r>
        <w:rPr>
          <w:rFonts w:ascii="Cambria" w:hAnsi="Cambria" w:cs="Cambria"/>
          <w:sz w:val="18"/>
          <w:szCs w:val="18"/>
        </w:rPr>
        <w:instrText xml:space="preserve">668108 \r \h  \* MERGEFORMAT </w:instrText>
      </w:r>
      <w:r>
        <w:rPr>
          <w:rFonts w:ascii="Cambria" w:hAnsi="Cambria" w:cs="Cambria"/>
          <w:sz w:val="18"/>
          <w:szCs w:val="18"/>
        </w:rPr>
        <w:fldChar w:fldCharType="separate"/>
      </w:r>
      <w:r>
        <w:rPr>
          <w:rFonts w:ascii="Cambria" w:hAnsi="Cambria" w:cs="Cambria"/>
          <w:sz w:val="18"/>
          <w:szCs w:val="18"/>
        </w:rPr>
        <w:t xml:space="preserve">12.1.2</w:t>
      </w:r>
      <w:r>
        <w:rPr>
          <w:rFonts w:ascii="Cambria" w:hAnsi="Cambria" w:cs="Cambria"/>
          <w:sz w:val="18"/>
          <w:szCs w:val="18"/>
        </w:rPr>
        <w:fldChar w:fldCharType="end"/>
      </w:r>
      <w:r>
        <w:rPr>
          <w:rFonts w:ascii="Cambria" w:hAnsi="Cambria" w:cs="Cambria"/>
          <w:sz w:val="18"/>
          <w:szCs w:val="18"/>
        </w:rPr>
        <w:t xml:space="preserve"> e </w:t>
      </w:r>
      <w:r>
        <w:rPr>
          <w:rFonts w:ascii="Cambria" w:hAnsi="Cambria" w:cs="Cambria"/>
          <w:sz w:val="18"/>
          <w:szCs w:val="18"/>
        </w:rPr>
        <w:fldChar w:fldCharType="begin"/>
      </w:r>
      <w:r>
        <w:rPr>
          <w:rFonts w:ascii="Cambria" w:hAnsi="Cambria" w:cs="Cambria"/>
          <w:sz w:val="18"/>
          <w:szCs w:val="18"/>
        </w:rPr>
        <w:instrText xml:space="preserve"> REF _Ref114668139 \r \h  \* MERGEFORMAT </w:instrText>
      </w:r>
      <w:r>
        <w:rPr>
          <w:rFonts w:ascii="Cambria" w:hAnsi="Cambria" w:cs="Cambria"/>
          <w:sz w:val="18"/>
          <w:szCs w:val="18"/>
        </w:rPr>
        <w:fldChar w:fldCharType="separate"/>
      </w:r>
      <w:r>
        <w:rPr>
          <w:rFonts w:ascii="Cambria" w:hAnsi="Cambria" w:cs="Cambria"/>
          <w:sz w:val="18"/>
          <w:szCs w:val="18"/>
        </w:rPr>
        <w:t xml:space="preserve">12.1.3</w:t>
      </w:r>
      <w:r>
        <w:rPr>
          <w:rFonts w:ascii="Cambria" w:hAnsi="Cambria" w:cs="Cambria"/>
          <w:sz w:val="18"/>
          <w:szCs w:val="18"/>
        </w:rPr>
        <w:fldChar w:fldCharType="end"/>
      </w:r>
      <w:r>
        <w:rPr>
          <w:rFonts w:ascii="Cambria" w:hAnsi="Cambria" w:cs="Cambria"/>
          <w:sz w:val="18"/>
          <w:szCs w:val="18"/>
        </w:rPr>
        <w:t xml:space="preserve"> que justifiquem a imposição de pena</w:t>
      </w:r>
      <w:r>
        <w:rPr>
          <w:rFonts w:ascii="Cambria" w:hAnsi="Cambria" w:cs="Cambria"/>
          <w:sz w:val="18"/>
          <w:szCs w:val="18"/>
        </w:rPr>
        <w:t xml:space="preserve">lidade mais grave que a sanção de impedimento de licitar e contratar, cuja duração observará o prazo previsto no </w:t>
      </w:r>
      <w:hyperlink r:id="rId47" w:tooltip="http://www.planalto.gov.br/ccivil_03/_ato2019-2022/2021/lei/L14133.htm#art156§5" w:anchor="art156§5" w:history="1">
        <w:r>
          <w:rPr>
            <w:rStyle w:val="839"/>
            <w:rFonts w:ascii="Cambria" w:hAnsi="Cambria" w:cs="Cambria"/>
            <w:color w:val="000000"/>
            <w:sz w:val="18"/>
            <w:szCs w:val="18"/>
            <w:u w:val="none"/>
          </w:rPr>
          <w:t xml:space="preserve">art. 156, §5º, da Lei n.º 14.133/2021</w:t>
        </w:r>
      </w:hyperlink>
      <w:r>
        <w:rPr>
          <w:rFonts w:ascii="Cambria" w:hAnsi="Cambria" w:cs="Cambria"/>
          <w:sz w:val="18"/>
          <w:szCs w:val="18"/>
        </w:rPr>
        <w:t xml:space="preserve">.</w:t>
      </w:r>
      <w:r/>
    </w:p>
    <w:p>
      <w:pPr>
        <w:pStyle w:val="106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A r</w:t>
      </w:r>
      <w:r>
        <w:rPr>
          <w:rFonts w:ascii="Cambria" w:hAnsi="Cambria" w:cs="Cambria"/>
          <w:sz w:val="18"/>
          <w:szCs w:val="18"/>
        </w:rPr>
        <w:t xml:space="preserve">ecusa injustificada do adjudicatário em assinar o contrato ou a ata de registro de preço, ou em aceitar ou retirar o instrumento equivalente no prazo estabelecido pela Administração, descrita no item </w:t>
      </w:r>
      <w:r>
        <w:rPr>
          <w:rFonts w:ascii="Cambria" w:hAnsi="Cambria" w:cs="Cambria"/>
          <w:sz w:val="18"/>
          <w:szCs w:val="18"/>
        </w:rPr>
        <w:fldChar w:fldCharType="begin"/>
      </w:r>
      <w:r>
        <w:rPr>
          <w:rFonts w:ascii="Cambria" w:hAnsi="Cambria" w:cs="Cambria"/>
          <w:sz w:val="18"/>
          <w:szCs w:val="18"/>
        </w:rPr>
        <w:instrText xml:space="preserve"> REF _Ref114668139 \r \h  \* MERGEFORMAT </w:instrText>
      </w:r>
      <w:r>
        <w:rPr>
          <w:rFonts w:ascii="Cambria" w:hAnsi="Cambria" w:cs="Cambria"/>
          <w:sz w:val="18"/>
          <w:szCs w:val="18"/>
        </w:rPr>
        <w:fldChar w:fldCharType="separate"/>
      </w:r>
      <w:r>
        <w:rPr>
          <w:rFonts w:ascii="Cambria" w:hAnsi="Cambria" w:cs="Cambria"/>
          <w:sz w:val="18"/>
          <w:szCs w:val="18"/>
        </w:rPr>
        <w:t xml:space="preserve">12.1.3</w:t>
      </w:r>
      <w:r>
        <w:rPr>
          <w:rFonts w:ascii="Cambria" w:hAnsi="Cambria" w:cs="Cambria"/>
          <w:sz w:val="18"/>
          <w:szCs w:val="18"/>
        </w:rPr>
        <w:fldChar w:fldCharType="end"/>
      </w:r>
      <w:r>
        <w:rPr>
          <w:rFonts w:ascii="Cambria" w:hAnsi="Cambria" w:cs="Cambria"/>
          <w:sz w:val="18"/>
          <w:szCs w:val="18"/>
        </w:rPr>
        <w:t xml:space="preserve">, caracterizará o descumprimento total da obrigação assumida e o sujeitará às penalidades e à imediata perda da garantia de proposta em favor do órgão ou entidade promotora da licitação, nos termos </w:t>
      </w:r>
      <w:r>
        <w:rPr>
          <w:rFonts w:ascii="Cambria" w:hAnsi="Cambria" w:cs="Cambria"/>
          <w:sz w:val="18"/>
          <w:szCs w:val="18"/>
        </w:rPr>
        <w:t xml:space="preserve">do </w:t>
      </w:r>
      <w:hyperlink r:id="rId48" w:tooltip="https://www.gov.br/compras/pt-br/acesso-a-informacao/legislacao/instrucoes-normativas/instrucao-normativa-seges-me-no-73-de-30-de-setembro-de-2022" w:history="1">
        <w:r>
          <w:rPr>
            <w:rStyle w:val="839"/>
            <w:rFonts w:ascii="Cambria" w:hAnsi="Cambria" w:cs="Cambria"/>
            <w:color w:val="000000"/>
            <w:sz w:val="18"/>
            <w:szCs w:val="18"/>
            <w:u w:val="none"/>
          </w:rPr>
          <w:t xml:space="preserve">art. 45, §4º da IN SEGES/ME n.º 73, de 2022</w:t>
        </w:r>
      </w:hyperlink>
      <w:r>
        <w:rPr>
          <w:rFonts w:ascii="Cambria" w:hAnsi="Cambria" w:cs="Cambria"/>
          <w:sz w:val="18"/>
          <w:szCs w:val="18"/>
        </w:rPr>
        <w:t xml:space="preserve">. </w:t>
      </w:r>
      <w:r/>
    </w:p>
    <w:p>
      <w:pPr>
        <w:pStyle w:val="1068"/>
        <w:numPr>
          <w:ilvl w:val="1"/>
          <w:numId w:val="10"/>
        </w:numPr>
        <w:ind w:left="0" w:firstLine="0"/>
        <w:spacing w:before="0" w:after="0" w:line="240" w:lineRule="auto"/>
        <w:tabs>
          <w:tab w:val="left" w:pos="850" w:leader="none"/>
        </w:tabs>
        <w:rPr>
          <w:rFonts w:ascii="Cambria" w:hAnsi="Cambria" w:cs="Cambria"/>
          <w:sz w:val="18"/>
          <w:szCs w:val="18"/>
        </w:rPr>
      </w:pPr>
      <w:r>
        <w:rPr>
          <w:rFonts w:ascii="Cambria" w:hAnsi="Cambria" w:cs="Cambria"/>
          <w:sz w:val="18"/>
          <w:szCs w:val="18"/>
        </w:rPr>
        <w:t xml:space="preserve">A apuração de </w:t>
      </w:r>
      <w:r>
        <w:rPr>
          <w:rFonts w:ascii="Cambria" w:hAnsi="Cambria" w:cs="Cambria"/>
          <w:sz w:val="18"/>
          <w:szCs w:val="18"/>
        </w:rPr>
        <w:t xml:space="preserve">responsabilidade relacionadas às sanções de impedimento de licitar e contratar e de declaração de inidoneidade para licitar ou contratar demandará a instauração de processo de responsabilização a ser conduzido por comissão composta por 2 (dois) ou mais ser</w:t>
      </w:r>
      <w:r>
        <w:rPr>
          <w:rFonts w:ascii="Cambria" w:hAnsi="Cambria" w:cs="Cambria"/>
          <w:sz w:val="18"/>
          <w:szCs w:val="18"/>
        </w:rPr>
        <w:t xml:space="preserve">vidores estáveis, que avaliará fatos e circunstâncias conhecidos e intimará o licitante ou o adjudicatário para, no prazo de 15 (quinze) dias úteis, contado da data de sua intimação, apresentar defesa escrita e especificar as provas que pretenda produzir. </w:t>
      </w:r>
      <w:r/>
    </w:p>
    <w:p>
      <w:pPr>
        <w:pStyle w:val="1068"/>
        <w:numPr>
          <w:ilvl w:val="1"/>
          <w:numId w:val="10"/>
        </w:numPr>
        <w:ind w:left="0" w:firstLine="0"/>
        <w:spacing w:before="0" w:after="0" w:line="240" w:lineRule="auto"/>
        <w:tabs>
          <w:tab w:val="left" w:pos="850" w:leader="none"/>
        </w:tabs>
        <w:rPr>
          <w:rFonts w:ascii="Cambria" w:hAnsi="Cambria" w:cs="Cambria"/>
          <w:sz w:val="18"/>
          <w:szCs w:val="18"/>
        </w:rPr>
      </w:pPr>
      <w:r>
        <w:rPr>
          <w:rFonts w:ascii="Cambria" w:hAnsi="Cambria" w:cs="Cambria"/>
          <w:sz w:val="18"/>
          <w:szCs w:val="18"/>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w:t>
      </w:r>
      <w:r>
        <w:rPr>
          <w:rFonts w:ascii="Cambria" w:hAnsi="Cambria" w:cs="Cambria"/>
          <w:sz w:val="18"/>
          <w:szCs w:val="18"/>
        </w:rPr>
        <w:t xml:space="preserve">econsiderar no prazo de 5 (cinco) dias úteis, encaminhará o recurso com sua motivação </w:t>
      </w:r>
      <w:r>
        <w:rPr>
          <w:rFonts w:ascii="Cambria" w:hAnsi="Cambria" w:cs="Cambria"/>
          <w:sz w:val="18"/>
          <w:szCs w:val="18"/>
        </w:rPr>
        <w:t xml:space="preserve">à autoridade superior, que deverá proferir sua decisão no prazo máximo de 20 (vinte) dias úteis, contado do recebimento dos autos.</w:t>
      </w:r>
      <w:r/>
    </w:p>
    <w:p>
      <w:pPr>
        <w:pStyle w:val="1068"/>
        <w:numPr>
          <w:ilvl w:val="1"/>
          <w:numId w:val="10"/>
        </w:numPr>
        <w:ind w:left="0" w:firstLine="0"/>
        <w:spacing w:before="0" w:after="0" w:line="240" w:lineRule="auto"/>
        <w:tabs>
          <w:tab w:val="left" w:pos="850" w:leader="none"/>
        </w:tabs>
        <w:rPr>
          <w:rFonts w:ascii="Cambria" w:hAnsi="Cambria" w:cs="Cambria"/>
          <w:sz w:val="18"/>
          <w:szCs w:val="18"/>
        </w:rPr>
      </w:pPr>
      <w:r>
        <w:rPr>
          <w:rFonts w:ascii="Cambria" w:hAnsi="Cambria" w:cs="Cambria"/>
          <w:sz w:val="18"/>
          <w:szCs w:val="18"/>
        </w:rPr>
        <w:t xml:space="preserve">Caberá a apresentação de pedido de reco</w:t>
      </w:r>
      <w:r>
        <w:rPr>
          <w:rFonts w:ascii="Cambria" w:hAnsi="Cambria" w:cs="Cambria"/>
          <w:sz w:val="18"/>
          <w:szCs w:val="18"/>
        </w:rPr>
        <w:t xml:space="preserve">nsideração da aplicação da sanção de declaração de inidoneidade para licitar ou contratar no prazo de 15 (quinze) dias úteis, contado da data da intimação, e decidido no prazo máximo de 20 (vinte) dias úteis, contado do seu recebimento.</w:t>
      </w:r>
      <w:r/>
    </w:p>
    <w:p>
      <w:pPr>
        <w:pStyle w:val="1068"/>
        <w:numPr>
          <w:ilvl w:val="1"/>
          <w:numId w:val="10"/>
        </w:numPr>
        <w:ind w:left="0" w:firstLine="0"/>
        <w:spacing w:before="0" w:after="0" w:line="240" w:lineRule="auto"/>
        <w:tabs>
          <w:tab w:val="left" w:pos="850" w:leader="none"/>
        </w:tabs>
        <w:rPr>
          <w:rFonts w:ascii="Cambria" w:hAnsi="Cambria" w:cs="Cambria"/>
          <w:sz w:val="18"/>
          <w:szCs w:val="18"/>
        </w:rPr>
      </w:pPr>
      <w:r>
        <w:rPr>
          <w:rFonts w:ascii="Cambria" w:hAnsi="Cambria" w:cs="Cambria"/>
          <w:sz w:val="18"/>
          <w:szCs w:val="18"/>
        </w:rPr>
        <w:t xml:space="preserve">O recurso e o pedid</w:t>
      </w:r>
      <w:r>
        <w:rPr>
          <w:rFonts w:ascii="Cambria" w:hAnsi="Cambria" w:cs="Cambria"/>
          <w:sz w:val="18"/>
          <w:szCs w:val="18"/>
        </w:rPr>
        <w:t xml:space="preserve">o de reconsideração terão efeito suspensivo do ato ou da decisão recorrida até que sobrevenha decisão final da autoridade competente.</w:t>
      </w:r>
      <w:r/>
    </w:p>
    <w:p>
      <w:pPr>
        <w:pStyle w:val="1068"/>
        <w:numPr>
          <w:ilvl w:val="1"/>
          <w:numId w:val="10"/>
        </w:numPr>
        <w:ind w:left="0" w:firstLine="0"/>
        <w:spacing w:before="0" w:after="0" w:line="240" w:lineRule="auto"/>
        <w:tabs>
          <w:tab w:val="left" w:pos="850" w:leader="none"/>
        </w:tabs>
        <w:rPr>
          <w:rFonts w:ascii="Cambria" w:hAnsi="Cambria" w:cs="Cambria"/>
          <w:sz w:val="18"/>
          <w:szCs w:val="18"/>
        </w:rPr>
      </w:pPr>
      <w:r>
        <w:rPr>
          <w:rFonts w:ascii="Cambria" w:hAnsi="Cambria" w:cs="Cambria"/>
          <w:sz w:val="18"/>
          <w:szCs w:val="18"/>
        </w:rPr>
        <w:t xml:space="preserve">A aplicação das sanções previstas neste edital não exclui, em hipótese alguma, a obrigação de reparação integral dos danos</w:t>
      </w:r>
      <w:r>
        <w:rPr>
          <w:rFonts w:ascii="Cambria" w:hAnsi="Cambria" w:cs="Cambria"/>
          <w:sz w:val="18"/>
          <w:szCs w:val="18"/>
        </w:rPr>
        <w:t xml:space="preserve"> causados.</w:t>
      </w:r>
      <w:r/>
    </w:p>
    <w:p>
      <w:pPr>
        <w:pStyle w:val="1068"/>
        <w:numPr>
          <w:ilvl w:val="1"/>
          <w:numId w:val="0"/>
        </w:numPr>
        <w:ind w:left="283"/>
        <w:spacing w:before="0" w:after="0" w:line="240" w:lineRule="auto"/>
        <w:tabs>
          <w:tab w:val="left" w:pos="850" w:leader="none"/>
        </w:tabs>
        <w:rPr>
          <w:rFonts w:ascii="Cambria" w:hAnsi="Cambria" w:cs="Cambria"/>
          <w:sz w:val="18"/>
          <w:szCs w:val="18"/>
        </w:rPr>
      </w:pPr>
      <w:r>
        <w:rPr>
          <w:rFonts w:ascii="Cambria" w:hAnsi="Cambria" w:cs="Cambria"/>
          <w:sz w:val="18"/>
          <w:szCs w:val="18"/>
        </w:rPr>
      </w:r>
      <w:r/>
    </w:p>
    <w:p>
      <w:pPr>
        <w:pStyle w:val="1051"/>
        <w:numPr>
          <w:ilvl w:val="0"/>
          <w:numId w:val="10"/>
        </w:numPr>
        <w:ind w:left="0" w:firstLine="0"/>
        <w:spacing w:before="0" w:after="0" w:line="240" w:lineRule="auto"/>
        <w:tabs>
          <w:tab w:val="clear" w:pos="567" w:leader="none"/>
          <w:tab w:val="left" w:pos="850" w:leader="none"/>
        </w:tabs>
        <w:rPr>
          <w:rFonts w:ascii="Cambria" w:hAnsi="Cambria" w:cs="Cambria"/>
          <w:sz w:val="18"/>
          <w:szCs w:val="18"/>
        </w:rPr>
      </w:pPr>
      <w:r/>
      <w:bookmarkStart w:id="62" w:name="_Toc135469235"/>
      <w:r>
        <w:rPr>
          <w:rFonts w:ascii="Cambria" w:hAnsi="Cambria" w:cs="Cambria"/>
          <w:sz w:val="18"/>
          <w:szCs w:val="18"/>
        </w:rPr>
        <w:t xml:space="preserve">DA IMPUGNAÇÃO AO EDITAL E DO PEDIDO DE ESCLARECIMENTO</w:t>
      </w:r>
      <w:bookmarkEnd w:id="62"/>
      <w:r/>
      <w:r/>
    </w:p>
    <w:p>
      <w:pPr>
        <w:pStyle w:val="106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Qualquer pessoa é parte legítima para impugnar este Edital por irregularidade na aplicação da </w:t>
      </w:r>
      <w:hyperlink r:id="rId49" w:tooltip="http://www.planalto.gov.br/ccivil_03/_ato2019-2022/2021/lei/L14133.htm" w:history="1">
        <w:r>
          <w:rPr>
            <w:rStyle w:val="839"/>
            <w:rFonts w:ascii="Cambria" w:hAnsi="Cambria" w:cs="Cambria"/>
            <w:color w:val="000000" w:themeColor="text1"/>
            <w:sz w:val="18"/>
            <w:szCs w:val="18"/>
            <w:u w:val="none"/>
          </w:rPr>
          <w:t xml:space="preserve">Lei nº 14</w:t>
        </w:r>
        <w:r>
          <w:rPr>
            <w:rStyle w:val="839"/>
            <w:rFonts w:ascii="Cambria" w:hAnsi="Cambria" w:cs="Cambria"/>
            <w:color w:val="000000" w:themeColor="text1"/>
            <w:sz w:val="18"/>
            <w:szCs w:val="18"/>
            <w:u w:val="none"/>
          </w:rPr>
          <w:t xml:space="preserve">.133, de 2021</w:t>
        </w:r>
      </w:hyperlink>
      <w:r>
        <w:rPr>
          <w:rFonts w:ascii="Cambria" w:hAnsi="Cambria" w:cs="Cambria"/>
          <w:sz w:val="18"/>
          <w:szCs w:val="18"/>
        </w:rPr>
        <w:t xml:space="preserve">, devendo protocolar o pedido até 3 (três) dias úteis antes da data da abertura do certame.</w:t>
      </w:r>
      <w:r/>
    </w:p>
    <w:p>
      <w:pPr>
        <w:pStyle w:val="106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A resposta à impugnação ou ao pedido de esclarecimento será divulgado em sítio eletrônico oficial no prazo de até 3 (três) dias úteis, limitado ao ú</w:t>
      </w:r>
      <w:r>
        <w:rPr>
          <w:rFonts w:ascii="Cambria" w:hAnsi="Cambria" w:cs="Cambria"/>
          <w:sz w:val="18"/>
          <w:szCs w:val="18"/>
        </w:rPr>
        <w:t xml:space="preserve">ltimo dia útil anterior à data da abertura do certame.</w:t>
      </w:r>
      <w:r/>
    </w:p>
    <w:p>
      <w:pPr>
        <w:pStyle w:val="106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A impugnação e o pedido de esclarecimento poderão ser realizados por forma eletrônica,</w:t>
      </w:r>
      <w:r>
        <w:rPr>
          <w:rFonts w:ascii="Cambria" w:hAnsi="Cambria" w:cs="Cambria"/>
          <w:sz w:val="18"/>
          <w:szCs w:val="18"/>
        </w:rPr>
        <w:t xml:space="preserve"> </w:t>
      </w:r>
      <w:r>
        <w:rPr>
          <w:rFonts w:ascii="Cambria" w:hAnsi="Cambria" w:cs="Cambria"/>
          <w:color w:val="auto"/>
          <w:sz w:val="18"/>
          <w:szCs w:val="18"/>
        </w:rPr>
        <w:t xml:space="preserve">pelos seguintes meios: </w:t>
      </w:r>
      <w:r>
        <w:rPr>
          <w:rFonts w:ascii="Cambria" w:hAnsi="Cambria" w:cs="Cambria"/>
          <w:sz w:val="18"/>
          <w:szCs w:val="18"/>
        </w:rPr>
        <w:t xml:space="preserve">email</w:t>
      </w:r>
      <w:r>
        <w:rPr>
          <w:rFonts w:ascii="Cambria" w:hAnsi="Cambria" w:cs="Cambria"/>
          <w:sz w:val="18"/>
          <w:szCs w:val="18"/>
        </w:rPr>
        <w:t xml:space="preserve">: </w:t>
      </w:r>
      <w:hyperlink r:id="rId50" w:tooltip="http://licita@santabarbaradosul.rs.gov.br" w:history="1">
        <w:r>
          <w:rPr>
            <w:rStyle w:val="839"/>
            <w:rFonts w:ascii="Cambria" w:hAnsi="Cambria" w:cs="Cambria"/>
            <w:sz w:val="18"/>
            <w:szCs w:val="18"/>
          </w:rPr>
          <w:t xml:space="preserve">licita@santabarbaradosul.rs.gov.br</w:t>
        </w:r>
      </w:hyperlink>
      <w:r>
        <w:rPr>
          <w:rFonts w:ascii="Cambria" w:hAnsi="Cambria" w:cs="Cambria"/>
          <w:sz w:val="18"/>
          <w:szCs w:val="18"/>
        </w:rPr>
        <w:t xml:space="preserve"> ou </w:t>
      </w:r>
      <w:hyperlink r:id="rId51" w:tooltip="https://pregaobanrisul.com.br/" w:history="1">
        <w:r>
          <w:rPr>
            <w:rStyle w:val="839"/>
            <w:rFonts w:ascii="Cambria" w:hAnsi="Cambria" w:eastAsia="CIDFont" w:cs="Cambria"/>
            <w:color w:val="000000" w:themeColor="text1"/>
            <w:sz w:val="18"/>
            <w:szCs w:val="18"/>
            <w:lang w:eastAsia="zh-CN" w:bidi="ar"/>
          </w:rPr>
          <w:t xml:space="preserve">https://pregaobanrisul.com.br/</w:t>
        </w:r>
      </w:hyperlink>
      <w:r>
        <w:rPr>
          <w:rFonts w:ascii="Cambria" w:hAnsi="Cambria" w:eastAsia="CIDFont" w:cs="Cambria"/>
          <w:color w:val="000000" w:themeColor="text1"/>
          <w:sz w:val="18"/>
          <w:szCs w:val="18"/>
          <w:lang w:eastAsia="zh-CN" w:bidi="ar"/>
        </w:rPr>
        <w:t xml:space="preserve">  .</w:t>
      </w:r>
      <w:r/>
    </w:p>
    <w:p>
      <w:pPr>
        <w:pStyle w:val="106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As impugnações e pedidos de esclarecimentos não suspendem os prazos previstos no certame.</w:t>
      </w:r>
      <w:r/>
    </w:p>
    <w:p>
      <w:pPr>
        <w:pStyle w:val="1070"/>
        <w:numPr>
          <w:ilvl w:val="2"/>
          <w:numId w:val="10"/>
        </w:numPr>
        <w:ind w:left="0" w:firstLine="0"/>
        <w:spacing w:before="0" w:after="0" w:line="240" w:lineRule="auto"/>
        <w:tabs>
          <w:tab w:val="left" w:pos="850" w:leader="none"/>
        </w:tabs>
        <w:rPr>
          <w:rFonts w:ascii="Cambria" w:hAnsi="Cambria" w:cs="Cambria"/>
          <w:sz w:val="18"/>
          <w:szCs w:val="18"/>
        </w:rPr>
      </w:pPr>
      <w:r>
        <w:rPr>
          <w:rFonts w:ascii="Cambria" w:hAnsi="Cambria" w:cs="Cambria"/>
          <w:sz w:val="18"/>
          <w:szCs w:val="18"/>
        </w:rPr>
        <w:t xml:space="preserve">A concessão de efeito suspensivo à impugnação é medida excepcional e deverá ser motivada pelo agente de contratação, nos autos do processo de licitação.</w:t>
      </w:r>
      <w:r/>
    </w:p>
    <w:p>
      <w:pPr>
        <w:pStyle w:val="106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Acolhida a impugnação, será definida e publicada nova data para a realização do certame.</w:t>
      </w:r>
      <w:r/>
    </w:p>
    <w:p>
      <w:pPr>
        <w:pStyle w:val="1068"/>
        <w:numPr>
          <w:ilvl w:val="1"/>
          <w:numId w:val="0"/>
        </w:numPr>
        <w:spacing w:before="0" w:after="0" w:line="240" w:lineRule="auto"/>
        <w:rPr>
          <w:rFonts w:ascii="Cambria" w:hAnsi="Cambria" w:cs="Cambria"/>
          <w:sz w:val="18"/>
          <w:szCs w:val="18"/>
        </w:rPr>
      </w:pPr>
      <w:r>
        <w:rPr>
          <w:rFonts w:ascii="Cambria" w:hAnsi="Cambria" w:cs="Cambria"/>
          <w:sz w:val="18"/>
          <w:szCs w:val="18"/>
        </w:rPr>
      </w:r>
      <w:r/>
    </w:p>
    <w:p>
      <w:pPr>
        <w:pStyle w:val="1051"/>
        <w:numPr>
          <w:ilvl w:val="0"/>
          <w:numId w:val="10"/>
        </w:numPr>
        <w:ind w:left="0" w:firstLine="0"/>
        <w:spacing w:before="0" w:after="0" w:line="240" w:lineRule="auto"/>
        <w:rPr>
          <w:rFonts w:ascii="Cambria" w:hAnsi="Cambria" w:cs="Cambria"/>
          <w:sz w:val="18"/>
          <w:szCs w:val="18"/>
        </w:rPr>
      </w:pPr>
      <w:r/>
      <w:bookmarkStart w:id="63" w:name="_Toc135469236"/>
      <w:r>
        <w:rPr>
          <w:rFonts w:ascii="Cambria" w:hAnsi="Cambria" w:cs="Cambria"/>
          <w:sz w:val="18"/>
          <w:szCs w:val="18"/>
        </w:rPr>
        <w:t xml:space="preserve">DAS DISPOSIÇÕES GERAIS</w:t>
      </w:r>
      <w:bookmarkEnd w:id="63"/>
      <w:r/>
      <w:r/>
    </w:p>
    <w:p>
      <w:pPr>
        <w:pStyle w:val="1068"/>
        <w:numPr>
          <w:ilvl w:val="1"/>
          <w:numId w:val="10"/>
        </w:numPr>
        <w:ind w:left="0" w:firstLine="0"/>
        <w:spacing w:before="0" w:after="0" w:line="240" w:lineRule="auto"/>
        <w:rPr>
          <w:rFonts w:ascii="Cambria" w:hAnsi="Cambria" w:cs="Cambria"/>
          <w:sz w:val="18"/>
          <w:szCs w:val="18"/>
        </w:rPr>
      </w:pPr>
      <w:r/>
      <w:bookmarkStart w:id="64" w:name="_Hlk82473550"/>
      <w:r>
        <w:rPr>
          <w:rFonts w:ascii="Cambria" w:hAnsi="Cambria" w:cs="Cambria"/>
          <w:sz w:val="18"/>
          <w:szCs w:val="18"/>
        </w:rPr>
        <w:t xml:space="preserve">Será divulgada ata da sessão pública no sistema eletrônico.</w:t>
      </w:r>
      <w:r/>
    </w:p>
    <w:p>
      <w:pPr>
        <w:pStyle w:val="106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Não havendo expediente ou ocorrendo qualquer fato superveniente que impeça a realização do certame na data marcada, a sessão será automaticamente transferida para o primeiro</w:t>
      </w:r>
      <w:r>
        <w:rPr>
          <w:rFonts w:ascii="Cambria" w:hAnsi="Cambria" w:cs="Cambria"/>
          <w:sz w:val="18"/>
          <w:szCs w:val="18"/>
        </w:rPr>
        <w:t xml:space="preserve"> dia útil subsequente, no mesmo horário anteriormente estabelecido, desde que não haja comunicação em contrário, pelo Pregoeiro.</w:t>
      </w:r>
      <w:r/>
    </w:p>
    <w:p>
      <w:pPr>
        <w:pStyle w:val="106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Todas as referências de tempo no Edital, no aviso e durante a sessão pública observarão o horário de Brasília/ DF.</w:t>
      </w:r>
      <w:r/>
    </w:p>
    <w:p>
      <w:pPr>
        <w:pStyle w:val="106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A homologaçã</w:t>
      </w:r>
      <w:r>
        <w:rPr>
          <w:rFonts w:ascii="Cambria" w:hAnsi="Cambria" w:cs="Cambria"/>
          <w:sz w:val="18"/>
          <w:szCs w:val="18"/>
        </w:rPr>
        <w:t xml:space="preserve">o do resultado desta licitação não implicará direito à contratação.</w:t>
      </w:r>
      <w:r/>
    </w:p>
    <w:p>
      <w:pPr>
        <w:pStyle w:val="106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As normas disciplinadoras da licitação serão sempre interpretadas em favor da ampliação da disputa entre os interessados, desde que não comprometam o interesse da Administração, o princípi</w:t>
      </w:r>
      <w:r>
        <w:rPr>
          <w:rFonts w:ascii="Cambria" w:hAnsi="Cambria" w:cs="Cambria"/>
          <w:sz w:val="18"/>
          <w:szCs w:val="18"/>
        </w:rPr>
        <w:t xml:space="preserve">o da isonomia, a finalidade e a segurança da contratação. </w:t>
      </w:r>
      <w:r/>
    </w:p>
    <w:p>
      <w:pPr>
        <w:pStyle w:val="106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Os licitantes assumem todos os custos de preparação e apresentação de suas propostas e a Administração não será, em nenhum caso, responsável por esses custos, independentemente da condução ou do re</w:t>
      </w:r>
      <w:r>
        <w:rPr>
          <w:rFonts w:ascii="Cambria" w:hAnsi="Cambria" w:cs="Cambria"/>
          <w:sz w:val="18"/>
          <w:szCs w:val="18"/>
        </w:rPr>
        <w:t xml:space="preserve">sultado do processo licitatório.</w:t>
      </w:r>
      <w:r/>
    </w:p>
    <w:p>
      <w:pPr>
        <w:pStyle w:val="106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Na contagem dos prazos estabelecidos neste Edital e seus Anexos, excluir-se-á o dia do início e incluir-se-á o do vencimento. Só se iniciam e vencem os prazos em dias de expediente na Administração.</w:t>
      </w:r>
      <w:r/>
    </w:p>
    <w:p>
      <w:pPr>
        <w:pStyle w:val="106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O desatendimento de exig</w:t>
      </w:r>
      <w:r>
        <w:rPr>
          <w:rFonts w:ascii="Cambria" w:hAnsi="Cambria" w:cs="Cambria"/>
          <w:sz w:val="18"/>
          <w:szCs w:val="18"/>
        </w:rPr>
        <w:t xml:space="preserve">ências formais não essenciais não importará o afastamento do licitante, desde que seja possível o aproveitamento do ato, observados os princípios da isonomia e do interesse público.</w:t>
      </w:r>
      <w:r/>
    </w:p>
    <w:p>
      <w:pPr>
        <w:pStyle w:val="1068"/>
        <w:numPr>
          <w:ilvl w:val="1"/>
          <w:numId w:val="10"/>
        </w:numPr>
        <w:ind w:left="0" w:firstLine="0"/>
        <w:spacing w:before="0" w:after="0" w:line="240" w:lineRule="auto"/>
        <w:rPr>
          <w:rFonts w:ascii="Cambria" w:hAnsi="Cambria" w:cs="Cambria"/>
          <w:sz w:val="18"/>
          <w:szCs w:val="18"/>
        </w:rPr>
      </w:pPr>
      <w:r>
        <w:rPr>
          <w:rFonts w:ascii="Cambria" w:hAnsi="Cambria" w:cs="Cambria"/>
          <w:sz w:val="18"/>
          <w:szCs w:val="18"/>
        </w:rPr>
        <w:t xml:space="preserve">Em caso de divergência entre disposições deste Edital e de seus anexos ou </w:t>
      </w:r>
      <w:r>
        <w:rPr>
          <w:rFonts w:ascii="Cambria" w:hAnsi="Cambria" w:cs="Cambria"/>
          <w:sz w:val="18"/>
          <w:szCs w:val="18"/>
        </w:rPr>
        <w:t xml:space="preserve">demais peças que compõem o processo, prevalecerá as deste Edital.</w:t>
      </w:r>
      <w:r/>
    </w:p>
    <w:p>
      <w:pPr>
        <w:pStyle w:val="1068"/>
        <w:numPr>
          <w:ilvl w:val="1"/>
          <w:numId w:val="10"/>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O Edital e seus anexos estão disponíveis, na íntegra, no Portal Nacional de Contratações Públicas (PNCP) e endereço eletrônico</w:t>
      </w:r>
      <w:r>
        <w:rPr>
          <w:rFonts w:ascii="Cambria" w:hAnsi="Cambria" w:cs="Cambria"/>
          <w:sz w:val="18"/>
          <w:szCs w:val="18"/>
        </w:rPr>
        <w:t xml:space="preserve">:</w:t>
      </w:r>
      <w:r>
        <w:rPr>
          <w:rFonts w:ascii="Cambria" w:hAnsi="Cambria" w:eastAsia="CIDFont" w:cs="Cambria"/>
          <w:color w:val="000000" w:themeColor="text1"/>
          <w:sz w:val="18"/>
          <w:szCs w:val="18"/>
          <w:lang w:eastAsia="zh-CN" w:bidi="ar"/>
        </w:rPr>
        <w:t xml:space="preserve"> </w:t>
      </w:r>
      <w:hyperlink r:id="rId52" w:tooltip="https://pregaobanrisul.com.br/" w:history="1">
        <w:r>
          <w:rPr>
            <w:rStyle w:val="839"/>
            <w:rFonts w:ascii="Cambria" w:hAnsi="Cambria" w:eastAsia="CIDFont" w:cs="Cambria"/>
            <w:color w:val="000000" w:themeColor="text1"/>
            <w:sz w:val="18"/>
            <w:szCs w:val="18"/>
            <w:lang w:eastAsia="zh-CN" w:bidi="ar"/>
          </w:rPr>
          <w:t xml:space="preserve">https://pregaobanr</w:t>
        </w:r>
        <w:r>
          <w:rPr>
            <w:rStyle w:val="839"/>
            <w:rFonts w:ascii="Cambria" w:hAnsi="Cambria" w:eastAsia="CIDFont" w:cs="Cambria"/>
            <w:color w:val="000000" w:themeColor="text1"/>
            <w:sz w:val="18"/>
            <w:szCs w:val="18"/>
            <w:lang w:eastAsia="zh-CN" w:bidi="ar"/>
          </w:rPr>
          <w:t xml:space="preserve">isul.com.br/</w:t>
        </w:r>
      </w:hyperlink>
      <w:r>
        <w:rPr>
          <w:rFonts w:ascii="Cambria" w:hAnsi="Cambria" w:eastAsia="CIDFont" w:cs="Cambria"/>
          <w:color w:val="000000" w:themeColor="text1"/>
          <w:sz w:val="18"/>
          <w:szCs w:val="18"/>
          <w:lang w:eastAsia="zh-CN" w:bidi="ar"/>
        </w:rPr>
        <w:t xml:space="preserve"> ou </w:t>
      </w:r>
      <w:hyperlink r:id="rId53" w:tooltip="https://www.santabarbaradosul.rs.gov.br/site/licitacoes" w:history="1">
        <w:r>
          <w:rPr>
            <w:rStyle w:val="839"/>
            <w:rFonts w:ascii="Cambria" w:hAnsi="Cambria" w:eastAsia="CIDFont" w:cs="Cambria"/>
            <w:color w:val="000000" w:themeColor="text1"/>
            <w:sz w:val="18"/>
            <w:szCs w:val="18"/>
            <w:lang w:eastAsia="zh-CN"/>
          </w:rPr>
          <w:t xml:space="preserve">https://www.santabarbaradosul.rs.gov.br/site/licitacoes</w:t>
        </w:r>
      </w:hyperlink>
      <w:r>
        <w:rPr>
          <w:rFonts w:ascii="Cambria" w:hAnsi="Cambria" w:eastAsia="CIDFont" w:cs="Cambria"/>
          <w:color w:val="000000" w:themeColor="text1"/>
          <w:sz w:val="18"/>
          <w:szCs w:val="18"/>
          <w:lang w:eastAsia="zh-CN"/>
        </w:rPr>
        <w:t xml:space="preserve"> .</w:t>
      </w:r>
      <w:r/>
    </w:p>
    <w:p>
      <w:pPr>
        <w:pStyle w:val="1068"/>
        <w:numPr>
          <w:ilvl w:val="1"/>
          <w:numId w:val="10"/>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Integram este Edital, para todos os fins e efeitos, os seguintes anexos:</w:t>
      </w:r>
      <w:r/>
    </w:p>
    <w:p>
      <w:pPr>
        <w:pStyle w:val="1070"/>
        <w:numPr>
          <w:ilvl w:val="2"/>
          <w:numId w:val="10"/>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ANEXO I - Termo de Referência.</w:t>
      </w:r>
      <w:r/>
    </w:p>
    <w:p>
      <w:pPr>
        <w:pStyle w:val="1071"/>
        <w:numPr>
          <w:ilvl w:val="2"/>
          <w:numId w:val="10"/>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Apêndice do Anexo I – Estudo Técnico Preliminar.</w:t>
      </w:r>
      <w:r/>
    </w:p>
    <w:p>
      <w:pPr>
        <w:pStyle w:val="1070"/>
        <w:numPr>
          <w:ilvl w:val="2"/>
          <w:numId w:val="10"/>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ANEXO II – Minuta de Termo de Contrato.</w:t>
      </w:r>
      <w:r/>
    </w:p>
    <w:p>
      <w:pPr>
        <w:pStyle w:val="1070"/>
        <w:numPr>
          <w:ilvl w:val="2"/>
          <w:numId w:val="10"/>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ANEXO III – Minuta de Ata de Registro de Preços.</w:t>
      </w:r>
      <w:r/>
    </w:p>
    <w:p>
      <w:pPr>
        <w:pStyle w:val="1116"/>
        <w:numPr>
          <w:ilvl w:val="2"/>
          <w:numId w:val="10"/>
        </w:numPr>
        <w:ind w:left="0" w:firstLine="0"/>
        <w:spacing w:before="0" w:after="0" w:line="240" w:lineRule="auto"/>
        <w:tabs>
          <w:tab w:val="left" w:pos="992" w:leader="none"/>
        </w:tabs>
        <w:rPr>
          <w:rFonts w:ascii="Cambria" w:hAnsi="Cambria" w:cs="Cambria"/>
          <w:i w:val="0"/>
          <w:iCs w:val="0"/>
          <w:color w:val="auto"/>
          <w:sz w:val="18"/>
          <w:szCs w:val="18"/>
        </w:rPr>
      </w:pPr>
      <w:r>
        <w:rPr>
          <w:rFonts w:ascii="Cambria" w:hAnsi="Cambria" w:cs="Cambria"/>
          <w:i w:val="0"/>
          <w:iCs w:val="0"/>
          <w:color w:val="auto"/>
          <w:sz w:val="18"/>
          <w:szCs w:val="18"/>
        </w:rPr>
        <w:t xml:space="preserve">ANEXO IV –Autorização da Autoridade Competente</w:t>
      </w:r>
      <w:r/>
    </w:p>
    <w:p>
      <w:pPr>
        <w:pStyle w:val="1116"/>
        <w:numPr>
          <w:ilvl w:val="2"/>
          <w:numId w:val="10"/>
        </w:numPr>
        <w:ind w:left="0" w:firstLine="0"/>
        <w:spacing w:before="0" w:after="0" w:line="240" w:lineRule="auto"/>
        <w:tabs>
          <w:tab w:val="left" w:pos="992" w:leader="none"/>
        </w:tabs>
        <w:rPr>
          <w:rFonts w:ascii="Cambria" w:hAnsi="Cambria" w:cs="Cambria"/>
          <w:i w:val="0"/>
          <w:color w:val="auto"/>
          <w:sz w:val="18"/>
          <w:szCs w:val="18"/>
        </w:rPr>
      </w:pPr>
      <w:r>
        <w:rPr>
          <w:rFonts w:ascii="Cambria" w:hAnsi="Cambria" w:cs="Cambria"/>
          <w:i w:val="0"/>
          <w:iCs w:val="0"/>
          <w:color w:val="auto"/>
          <w:sz w:val="18"/>
          <w:szCs w:val="18"/>
        </w:rPr>
        <w:t xml:space="preserve">ANEXO V – Extrato de Publicação</w:t>
      </w:r>
      <w:r/>
    </w:p>
    <w:p>
      <w:pPr>
        <w:jc w:val="both"/>
        <w:tabs>
          <w:tab w:val="left" w:pos="992" w:leader="none"/>
        </w:tabs>
        <w:rPr>
          <w:rFonts w:ascii="Cambria" w:hAnsi="Cambria" w:cs="Cambria"/>
          <w:sz w:val="18"/>
          <w:szCs w:val="18"/>
          <w:highlight w:val="cyan"/>
        </w:rPr>
      </w:pPr>
      <w:r>
        <w:rPr>
          <w:rFonts w:ascii="Cambria" w:hAnsi="Cambria" w:cs="Cambria"/>
          <w:sz w:val="18"/>
          <w:szCs w:val="18"/>
          <w:highlight w:val="cyan"/>
        </w:rPr>
      </w:r>
      <w:r/>
    </w:p>
    <w:p>
      <w:pPr>
        <w:jc w:val="center"/>
        <w:rPr>
          <w:rFonts w:ascii="Cambria" w:hAnsi="Cambria" w:cs="Cambria"/>
          <w:color w:val="000000"/>
          <w:sz w:val="18"/>
          <w:szCs w:val="18"/>
        </w:rPr>
      </w:pPr>
      <w:r>
        <w:rPr>
          <w:rFonts w:ascii="Cambria" w:hAnsi="Cambria" w:eastAsia="MS Mincho" w:cs="Cambria"/>
          <w:color w:val="000000"/>
          <w:sz w:val="18"/>
          <w:szCs w:val="18"/>
        </w:rPr>
        <w:t xml:space="preserve">.</w:t>
      </w:r>
      <w:r/>
    </w:p>
    <w:p>
      <w:pPr>
        <w:jc w:val="center"/>
        <w:rPr>
          <w:rFonts w:ascii="Cambria" w:hAnsi="Cambria" w:cs="Cambria"/>
          <w:sz w:val="18"/>
          <w:szCs w:val="18"/>
        </w:rPr>
      </w:pPr>
      <w:r>
        <w:rPr>
          <w:rFonts w:ascii="Cambria" w:hAnsi="Cambria" w:cs="Cambria"/>
          <w:sz w:val="18"/>
          <w:szCs w:val="18"/>
        </w:rPr>
      </w:r>
      <w:r/>
    </w:p>
    <w:p>
      <w:pPr>
        <w:jc w:val="center"/>
        <w:rPr>
          <w:rFonts w:ascii="Cambria" w:hAnsi="Cambria" w:cs="Cambria"/>
          <w:color w:val="000000"/>
          <w:sz w:val="18"/>
          <w:szCs w:val="18"/>
        </w:rPr>
      </w:pPr>
      <w:r>
        <w:rPr>
          <w:rFonts w:ascii="Cambria" w:hAnsi="Cambria" w:cs="Cambria"/>
          <w:color w:val="000000"/>
          <w:sz w:val="18"/>
          <w:szCs w:val="18"/>
        </w:rPr>
      </w:r>
      <w:r/>
    </w:p>
    <w:p>
      <w:pPr>
        <w:jc w:val="center"/>
        <w:rPr>
          <w:rFonts w:ascii="Cambria" w:hAnsi="Cambria" w:cs="Cambria"/>
          <w:color w:val="000000"/>
          <w:sz w:val="18"/>
          <w:szCs w:val="18"/>
        </w:rPr>
      </w:pPr>
      <w:r>
        <w:rPr>
          <w:rFonts w:ascii="Cambria" w:hAnsi="Cambria" w:cs="Cambria"/>
          <w:color w:val="000000"/>
          <w:sz w:val="18"/>
          <w:szCs w:val="18"/>
        </w:rPr>
      </w:r>
      <w:r/>
    </w:p>
    <w:p>
      <w:pPr>
        <w:jc w:val="center"/>
        <w:rPr>
          <w:rFonts w:ascii="Cambria" w:hAnsi="Cambria" w:cs="Cambria"/>
          <w:color w:val="000000"/>
          <w:sz w:val="18"/>
          <w:szCs w:val="18"/>
        </w:rPr>
      </w:pPr>
      <w:r>
        <w:rPr>
          <w:rFonts w:ascii="Cambria" w:hAnsi="Cambria" w:cs="Cambria"/>
          <w:color w:val="000000"/>
          <w:sz w:val="18"/>
          <w:szCs w:val="18"/>
        </w:rPr>
      </w:r>
      <w:r/>
    </w:p>
    <w:p>
      <w:pPr>
        <w:ind w:left="4956" w:firstLine="708"/>
        <w:jc w:val="center"/>
        <w:rPr>
          <w:rFonts w:ascii="Cambria" w:hAnsi="Cambria" w:cs="Cambria"/>
          <w:color w:val="000000"/>
          <w:sz w:val="18"/>
          <w:szCs w:val="18"/>
        </w:rPr>
      </w:pPr>
      <w:r>
        <w:rPr>
          <w:rFonts w:ascii="Cambria" w:hAnsi="Cambria" w:eastAsia="MS Mincho" w:cs="Cambria"/>
          <w:color w:val="000000"/>
          <w:sz w:val="18"/>
          <w:szCs w:val="18"/>
        </w:rPr>
        <w:t xml:space="preserve">Santa Barbara do </w:t>
      </w:r>
      <w:r>
        <w:rPr>
          <w:rFonts w:ascii="Cambria" w:hAnsi="Cambria" w:eastAsia="MS Mincho" w:cs="Cambria"/>
          <w:color w:val="000000"/>
          <w:sz w:val="18"/>
          <w:szCs w:val="18"/>
        </w:rPr>
        <w:t xml:space="preserve">Sul</w:t>
      </w:r>
      <w:r>
        <w:rPr>
          <w:rFonts w:ascii="Cambria" w:hAnsi="Cambria" w:eastAsia="MS Mincho" w:cs="Cambria"/>
          <w:color w:val="000000"/>
          <w:sz w:val="18"/>
          <w:szCs w:val="18"/>
        </w:rPr>
        <w:t xml:space="preserve"> ,</w:t>
      </w:r>
      <w:r>
        <w:rPr>
          <w:rFonts w:ascii="Cambria" w:hAnsi="Cambria" w:eastAsia="MS Mincho" w:cs="Cambria"/>
          <w:color w:val="000000"/>
          <w:sz w:val="18"/>
          <w:szCs w:val="18"/>
        </w:rPr>
        <w:t xml:space="preserve"> </w:t>
      </w:r>
      <w:r>
        <w:rPr>
          <w:rFonts w:ascii="Cambria" w:hAnsi="Cambria" w:eastAsia="MS Mincho" w:cs="Cambria"/>
          <w:color w:val="000000"/>
          <w:sz w:val="18"/>
          <w:szCs w:val="18"/>
        </w:rPr>
        <w:t xml:space="preserve">18 de março</w:t>
      </w:r>
      <w:r>
        <w:rPr>
          <w:rFonts w:ascii="Cambria" w:hAnsi="Cambria" w:eastAsia="MS Mincho" w:cs="Cambria"/>
          <w:color w:val="000000"/>
          <w:sz w:val="18"/>
          <w:szCs w:val="18"/>
        </w:rPr>
        <w:t xml:space="preserve"> de 20</w:t>
      </w:r>
      <w:r>
        <w:rPr>
          <w:rFonts w:ascii="Cambria" w:hAnsi="Cambria" w:eastAsia="MS Mincho" w:cs="Cambria"/>
          <w:color w:val="000000"/>
          <w:sz w:val="18"/>
          <w:szCs w:val="18"/>
        </w:rPr>
        <w:t xml:space="preserve">24</w:t>
      </w:r>
      <w:r/>
    </w:p>
    <w:p>
      <w:pPr>
        <w:jc w:val="both"/>
        <w:rPr>
          <w:rFonts w:ascii="Cambria" w:hAnsi="Cambria" w:cs="Cambria"/>
          <w:color w:val="000000"/>
          <w:sz w:val="18"/>
          <w:szCs w:val="18"/>
        </w:rPr>
      </w:pPr>
      <w:r>
        <w:rPr>
          <w:rFonts w:ascii="Cambria" w:hAnsi="Cambria" w:cs="Cambria"/>
          <w:color w:val="000000"/>
          <w:sz w:val="18"/>
          <w:szCs w:val="18"/>
        </w:rPr>
      </w:r>
      <w:r/>
    </w:p>
    <w:p>
      <w:pPr>
        <w:jc w:val="center"/>
        <w:rPr>
          <w:rFonts w:ascii="Cambria" w:hAnsi="Cambria" w:cs="Cambria"/>
          <w:color w:val="000000"/>
          <w:sz w:val="18"/>
          <w:szCs w:val="18"/>
        </w:rPr>
      </w:pPr>
      <w:r>
        <w:rPr>
          <w:rFonts w:ascii="Cambria" w:hAnsi="Cambria" w:cs="Cambria"/>
          <w:color w:val="000000"/>
          <w:sz w:val="18"/>
          <w:szCs w:val="18"/>
        </w:rPr>
      </w:r>
      <w:r/>
    </w:p>
    <w:p>
      <w:pPr>
        <w:jc w:val="center"/>
        <w:rPr>
          <w:rFonts w:ascii="Cambria" w:hAnsi="Cambria" w:cs="Cambria"/>
          <w:color w:val="000000"/>
          <w:sz w:val="18"/>
          <w:szCs w:val="18"/>
        </w:rPr>
      </w:pPr>
      <w:r>
        <w:rPr>
          <w:rFonts w:ascii="Cambria" w:hAnsi="Cambria" w:cs="Cambria"/>
          <w:color w:val="000000"/>
          <w:sz w:val="18"/>
          <w:szCs w:val="18"/>
        </w:rPr>
      </w:r>
      <w:r/>
    </w:p>
    <w:p>
      <w:pPr>
        <w:jc w:val="center"/>
        <w:rPr>
          <w:rFonts w:ascii="Cambria" w:hAnsi="Cambria" w:cs="Cambria"/>
          <w:color w:val="000000"/>
          <w:sz w:val="18"/>
          <w:szCs w:val="18"/>
        </w:rPr>
      </w:pPr>
      <w:r>
        <w:rPr>
          <w:rFonts w:ascii="Cambria" w:hAnsi="Cambria" w:cs="Cambria"/>
          <w:color w:val="000000"/>
          <w:sz w:val="18"/>
          <w:szCs w:val="18"/>
        </w:rPr>
      </w:r>
      <w:bookmarkEnd w:id="64"/>
      <w:r/>
      <w:r/>
    </w:p>
    <w:p>
      <w:pPr>
        <w:jc w:val="center"/>
        <w:rPr>
          <w:rFonts w:ascii="Cambria" w:hAnsi="Cambria" w:cs="Cambria"/>
          <w:color w:val="000000"/>
          <w:sz w:val="18"/>
          <w:szCs w:val="18"/>
        </w:rPr>
      </w:pPr>
      <w:r>
        <w:rPr>
          <w:rFonts w:ascii="Cambria" w:hAnsi="Cambria" w:cs="Cambria"/>
          <w:color w:val="000000"/>
          <w:sz w:val="18"/>
          <w:szCs w:val="18"/>
        </w:rPr>
      </w:r>
      <w:r/>
    </w:p>
    <w:p>
      <w:pPr>
        <w:ind w:firstLine="567"/>
        <w:jc w:val="center"/>
        <w:rPr>
          <w:rFonts w:ascii="Cambria" w:hAnsi="Cambria" w:cs="Cambria"/>
          <w:color w:val="000000"/>
          <w:sz w:val="18"/>
          <w:szCs w:val="18"/>
        </w:rPr>
      </w:pPr>
      <w:r>
        <w:rPr>
          <w:rFonts w:ascii="Cambria" w:hAnsi="Cambria" w:cs="Cambria"/>
          <w:color w:val="000000"/>
          <w:sz w:val="18"/>
          <w:szCs w:val="18"/>
        </w:rPr>
      </w:r>
      <w:r/>
    </w:p>
    <w:p>
      <w:pPr>
        <w:jc w:val="center"/>
        <w:rPr>
          <w:rFonts w:ascii="Cambria" w:hAnsi="Cambria" w:cs="Cambria"/>
          <w:b/>
          <w:sz w:val="18"/>
          <w:szCs w:val="18"/>
        </w:rPr>
      </w:pPr>
      <w:r>
        <w:rPr>
          <w:rFonts w:ascii="Cambria" w:hAnsi="Cambria" w:eastAsia="MS Mincho" w:cs="Cambria"/>
          <w:b/>
          <w:sz w:val="18"/>
          <w:szCs w:val="18"/>
        </w:rPr>
        <w:t xml:space="preserve">Mário Roberto </w:t>
      </w:r>
      <w:r>
        <w:rPr>
          <w:rFonts w:ascii="Cambria" w:hAnsi="Cambria" w:eastAsia="MS Mincho" w:cs="Cambria"/>
          <w:b/>
          <w:sz w:val="18"/>
          <w:szCs w:val="18"/>
        </w:rPr>
        <w:t xml:space="preserve">Utzig</w:t>
      </w:r>
      <w:r>
        <w:rPr>
          <w:rFonts w:ascii="Cambria" w:hAnsi="Cambria" w:eastAsia="MS Mincho" w:cs="Cambria"/>
          <w:b/>
          <w:sz w:val="18"/>
          <w:szCs w:val="18"/>
        </w:rPr>
        <w:t xml:space="preserve"> Filho</w:t>
      </w:r>
      <w:r/>
    </w:p>
    <w:p>
      <w:pPr>
        <w:jc w:val="center"/>
        <w:rPr>
          <w:rFonts w:ascii="Cambria" w:hAnsi="Cambria" w:cs="Cambria"/>
          <w:b/>
          <w:bCs/>
          <w:sz w:val="18"/>
          <w:szCs w:val="18"/>
        </w:rPr>
      </w:pPr>
      <w:r>
        <w:rPr>
          <w:rFonts w:ascii="Cambria" w:hAnsi="Cambria" w:eastAsia="MS Mincho" w:cs="Cambria"/>
          <w:b/>
          <w:sz w:val="18"/>
          <w:szCs w:val="18"/>
        </w:rPr>
        <w:t xml:space="preserve">Prefeito Municipal</w:t>
      </w:r>
      <w:r/>
    </w:p>
    <w:p>
      <w:pPr>
        <w:jc w:val="center"/>
        <w:rPr>
          <w:rFonts w:ascii="Cambria" w:hAnsi="Cambria" w:cs="Cambria"/>
          <w:b/>
          <w:bCs/>
          <w:sz w:val="18"/>
          <w:szCs w:val="18"/>
        </w:rPr>
      </w:pPr>
      <w:r>
        <w:rPr>
          <w:rFonts w:ascii="Cambria" w:hAnsi="Cambria" w:cs="Cambria"/>
          <w:b/>
          <w:bCs/>
          <w:sz w:val="18"/>
          <w:szCs w:val="18"/>
        </w:rPr>
      </w:r>
      <w:r/>
    </w:p>
    <w:p>
      <w:pPr>
        <w:jc w:val="center"/>
        <w:rPr>
          <w:rFonts w:ascii="Cambria" w:hAnsi="Cambria" w:cs="Cambria"/>
          <w:b/>
          <w:bCs/>
          <w:sz w:val="18"/>
          <w:szCs w:val="18"/>
        </w:rPr>
      </w:pPr>
      <w:r>
        <w:rPr>
          <w:rFonts w:ascii="Cambria" w:hAnsi="Cambria" w:cs="Cambria"/>
          <w:b/>
          <w:bCs/>
          <w:sz w:val="18"/>
          <w:szCs w:val="18"/>
        </w:rPr>
      </w:r>
      <w:r/>
    </w:p>
    <w:p>
      <w:pPr>
        <w:jc w:val="center"/>
        <w:rPr>
          <w:rFonts w:ascii="Cambria" w:hAnsi="Cambria" w:cs="Cambria"/>
          <w:b/>
          <w:bCs/>
          <w:sz w:val="18"/>
          <w:szCs w:val="18"/>
        </w:rPr>
      </w:pPr>
      <w:r>
        <w:rPr>
          <w:rFonts w:ascii="Cambria" w:hAnsi="Cambria" w:cs="Cambria"/>
          <w:b/>
          <w:bCs/>
          <w:sz w:val="18"/>
          <w:szCs w:val="18"/>
        </w:rPr>
      </w:r>
      <w:r/>
    </w:p>
    <w:p>
      <w:pPr>
        <w:jc w:val="center"/>
        <w:rPr>
          <w:rFonts w:ascii="Cambria" w:hAnsi="Cambria" w:cs="Cambria"/>
          <w:b/>
          <w:bCs/>
          <w:sz w:val="18"/>
          <w:szCs w:val="18"/>
        </w:rPr>
      </w:pPr>
      <w:r>
        <w:rPr>
          <w:rFonts w:ascii="Cambria" w:hAnsi="Cambria" w:cs="Cambria"/>
          <w:b/>
          <w:bCs/>
          <w:sz w:val="18"/>
          <w:szCs w:val="18"/>
        </w:rPr>
      </w:r>
      <w:r/>
    </w:p>
    <w:p>
      <w:pPr>
        <w:jc w:val="center"/>
        <w:rPr>
          <w:rFonts w:ascii="Cambria" w:hAnsi="Cambria" w:cs="Cambria"/>
          <w:b/>
          <w:bCs/>
          <w:sz w:val="18"/>
          <w:szCs w:val="18"/>
        </w:rPr>
      </w:pPr>
      <w:r>
        <w:rPr>
          <w:rFonts w:ascii="Cambria" w:hAnsi="Cambria" w:cs="Cambria"/>
          <w:b/>
          <w:bCs/>
          <w:sz w:val="18"/>
          <w:szCs w:val="18"/>
        </w:rPr>
      </w:r>
      <w:r/>
    </w:p>
    <w:p>
      <w:pPr>
        <w:jc w:val="center"/>
        <w:rPr>
          <w:rFonts w:ascii="Cambria" w:hAnsi="Cambria" w:cs="Cambria"/>
          <w:b/>
          <w:bCs/>
          <w:sz w:val="18"/>
          <w:szCs w:val="18"/>
        </w:rPr>
      </w:pPr>
      <w:r>
        <w:rPr>
          <w:rFonts w:ascii="Cambria" w:hAnsi="Cambria" w:cs="Cambria"/>
          <w:b/>
          <w:bCs/>
          <w:sz w:val="18"/>
          <w:szCs w:val="18"/>
        </w:rPr>
        <w:t xml:space="preserve">Eroni</w:t>
      </w:r>
      <w:r>
        <w:rPr>
          <w:rFonts w:ascii="Cambria" w:hAnsi="Cambria" w:cs="Cambria"/>
          <w:b/>
          <w:bCs/>
          <w:sz w:val="18"/>
          <w:szCs w:val="18"/>
        </w:rPr>
        <w:t xml:space="preserve"> Barbosa</w:t>
      </w:r>
      <w:r/>
    </w:p>
    <w:p>
      <w:pPr>
        <w:jc w:val="center"/>
        <w:rPr>
          <w:rFonts w:ascii="Cambria" w:hAnsi="Cambria" w:cs="Cambria"/>
          <w:b/>
          <w:bCs/>
          <w:sz w:val="18"/>
          <w:szCs w:val="18"/>
        </w:rPr>
      </w:pPr>
      <w:r>
        <w:rPr>
          <w:rFonts w:ascii="Cambria" w:hAnsi="Cambria" w:cs="Cambria"/>
          <w:b/>
          <w:bCs/>
          <w:sz w:val="18"/>
          <w:szCs w:val="18"/>
        </w:rPr>
        <w:t xml:space="preserve">Assessora de Compras, Licitações e Contratos</w:t>
      </w:r>
      <w:r/>
    </w:p>
    <w:p>
      <w:pPr>
        <w:jc w:val="center"/>
        <w:rPr>
          <w:rFonts w:ascii="Cambria" w:hAnsi="Cambria" w:cs="Cambria"/>
          <w:b/>
          <w:bCs/>
          <w:sz w:val="18"/>
          <w:szCs w:val="18"/>
        </w:rPr>
      </w:pPr>
      <w:r>
        <w:rPr>
          <w:rFonts w:ascii="Cambria" w:hAnsi="Cambria" w:cs="Cambria"/>
          <w:b/>
          <w:bCs/>
          <w:sz w:val="18"/>
          <w:szCs w:val="18"/>
        </w:rPr>
      </w:r>
      <w:r/>
    </w:p>
    <w:p>
      <w:pPr>
        <w:pStyle w:val="853"/>
        <w:spacing w:line="312" w:lineRule="auto"/>
        <w:rPr>
          <w:rFonts w:ascii="Cambria" w:hAnsi="Cambria" w:cs="Cambria"/>
          <w:sz w:val="18"/>
          <w:szCs w:val="18"/>
        </w:rPr>
      </w:pPr>
      <w:r>
        <w:rPr>
          <w:rFonts w:ascii="Cambria" w:hAnsi="Cambria" w:cs="Cambria"/>
          <w:sz w:val="18"/>
          <w:szCs w:val="18"/>
        </w:rPr>
      </w:r>
      <w:r/>
    </w:p>
    <w:p>
      <w:pPr>
        <w:pStyle w:val="853"/>
        <w:jc w:val="center"/>
        <w:spacing w:line="312" w:lineRule="auto"/>
        <w:rPr>
          <w:rFonts w:ascii="Cambria" w:hAnsi="Cambria" w:cs="Cambria"/>
          <w:sz w:val="18"/>
          <w:szCs w:val="18"/>
        </w:rPr>
      </w:pPr>
      <w:r>
        <w:rPr>
          <w:rFonts w:ascii="Cambria" w:hAnsi="Cambria" w:cs="Cambria"/>
          <w:b/>
          <w:bCs/>
          <w:sz w:val="18"/>
          <w:szCs w:val="18"/>
        </w:rPr>
        <w:t xml:space="preserve">Anexo I</w:t>
      </w:r>
      <w:r/>
    </w:p>
    <w:p>
      <w:pPr>
        <w:pStyle w:val="853"/>
        <w:jc w:val="center"/>
        <w:spacing w:line="312" w:lineRule="auto"/>
        <w:rPr>
          <w:rFonts w:ascii="Cambria" w:hAnsi="Cambria" w:cs="Cambria"/>
          <w:sz w:val="18"/>
          <w:szCs w:val="18"/>
        </w:rPr>
      </w:pPr>
      <w:r>
        <w:rPr>
          <w:rFonts w:ascii="Cambria" w:hAnsi="Cambria" w:cs="Cambria"/>
          <w:b/>
          <w:bCs/>
          <w:sz w:val="18"/>
          <w:szCs w:val="18"/>
        </w:rPr>
        <w:t xml:space="preserve"> TERMO DE REFERÊNCIA</w:t>
      </w:r>
      <w:r/>
    </w:p>
    <w:p>
      <w:pPr>
        <w:pStyle w:val="853"/>
        <w:jc w:val="center"/>
        <w:spacing w:line="312" w:lineRule="auto"/>
        <w:rPr>
          <w:rFonts w:ascii="Cambria" w:hAnsi="Cambria" w:cs="Cambria"/>
          <w:sz w:val="18"/>
          <w:szCs w:val="18"/>
        </w:rPr>
      </w:pPr>
      <w:r>
        <w:rPr>
          <w:rFonts w:ascii="Cambria" w:hAnsi="Cambria" w:cs="Cambria"/>
          <w:b/>
          <w:bCs/>
          <w:sz w:val="18"/>
          <w:szCs w:val="18"/>
        </w:rPr>
        <w:t xml:space="preserve">AQUISIÇÃO DE LEIVAS DE GRAMA</w:t>
      </w:r>
      <w:r/>
    </w:p>
    <w:p>
      <w:pPr>
        <w:jc w:val="center"/>
        <w:spacing w:line="312" w:lineRule="auto"/>
        <w:rPr>
          <w:rFonts w:ascii="Cambria" w:hAnsi="Cambria" w:cs="Cambria"/>
          <w:sz w:val="18"/>
          <w:szCs w:val="18"/>
        </w:rPr>
      </w:pPr>
      <w:r>
        <w:rPr>
          <w:rFonts w:ascii="Cambria" w:hAnsi="Cambria" w:cs="Cambria"/>
          <w:b/>
          <w:bCs/>
          <w:color w:val="000000"/>
          <w:sz w:val="18"/>
          <w:szCs w:val="18"/>
        </w:rPr>
        <w:t xml:space="preserve">(Processo Administrativo n°</w:t>
      </w:r>
      <w:r>
        <w:rPr>
          <w:rFonts w:ascii="Cambria" w:hAnsi="Cambria" w:cs="Cambria"/>
          <w:b/>
          <w:bCs/>
          <w:color w:val="000000"/>
          <w:sz w:val="18"/>
          <w:szCs w:val="18"/>
        </w:rPr>
        <w:t xml:space="preserve"> 055/2024</w:t>
      </w:r>
      <w:r>
        <w:rPr>
          <w:rFonts w:ascii="Cambria" w:hAnsi="Cambria" w:cs="Cambria"/>
          <w:b/>
          <w:bCs/>
          <w:color w:val="000000"/>
          <w:sz w:val="18"/>
          <w:szCs w:val="18"/>
        </w:rPr>
        <w:t xml:space="preserve">)</w:t>
      </w:r>
      <w:r/>
    </w:p>
    <w:p>
      <w:pPr>
        <w:jc w:val="center"/>
        <w:spacing w:line="312" w:lineRule="auto"/>
        <w:rPr>
          <w:rFonts w:ascii="Cambria" w:hAnsi="Cambria" w:cs="Cambria"/>
          <w:sz w:val="18"/>
          <w:szCs w:val="18"/>
        </w:rPr>
      </w:pPr>
      <w:r>
        <w:rPr>
          <w:rFonts w:ascii="Cambria" w:hAnsi="Cambria" w:cs="Cambria"/>
          <w:sz w:val="18"/>
          <w:szCs w:val="18"/>
        </w:rPr>
      </w:r>
      <w:r/>
    </w:p>
    <w:p>
      <w:pPr>
        <w:pStyle w:val="1051"/>
        <w:numPr>
          <w:ilvl w:val="0"/>
          <w:numId w:val="0"/>
        </w:numPr>
        <w:spacing w:before="0"/>
        <w:rPr>
          <w:rFonts w:ascii="Cambria" w:hAnsi="Cambria" w:cs="Cambria"/>
          <w:sz w:val="18"/>
          <w:szCs w:val="18"/>
        </w:rPr>
      </w:pPr>
      <w:r>
        <w:rPr>
          <w:rFonts w:ascii="Cambria" w:hAnsi="Cambria" w:cs="Cambria"/>
          <w:sz w:val="18"/>
          <w:szCs w:val="18"/>
        </w:rPr>
        <w:t xml:space="preserve">1 - CONDIÇÕES GERAIS DA CONTRATAÇÃO</w:t>
      </w:r>
      <w:r/>
    </w:p>
    <w:p>
      <w:pPr>
        <w:pStyle w:val="1068"/>
        <w:numPr>
          <w:ilvl w:val="0"/>
          <w:numId w:val="0"/>
        </w:numPr>
        <w:spacing w:before="0" w:after="0" w:line="312" w:lineRule="auto"/>
        <w:rPr>
          <w:rFonts w:ascii="Cambria" w:hAnsi="Cambria" w:cs="Cambria"/>
          <w:sz w:val="18"/>
          <w:szCs w:val="18"/>
        </w:rPr>
      </w:pPr>
      <w:r>
        <w:rPr>
          <w:rFonts w:ascii="Cambria" w:hAnsi="Cambria" w:cs="Cambria"/>
          <w:sz w:val="18"/>
          <w:szCs w:val="18"/>
        </w:rPr>
        <w:t xml:space="preserve">1.1 – O objeto do presente termo é o </w:t>
      </w:r>
      <w:r>
        <w:rPr>
          <w:rFonts w:ascii="Cambria" w:hAnsi="Cambria" w:cs="Cambria"/>
          <w:b/>
          <w:sz w:val="18"/>
          <w:szCs w:val="18"/>
        </w:rPr>
        <w:t xml:space="preserve">REGISTRO DE PREÇOS PARA</w:t>
      </w:r>
      <w:r>
        <w:rPr>
          <w:rFonts w:ascii="Cambria" w:hAnsi="Cambria" w:cs="Cambria"/>
          <w:sz w:val="18"/>
          <w:szCs w:val="18"/>
        </w:rPr>
        <w:t xml:space="preserve"> </w:t>
      </w:r>
      <w:r>
        <w:rPr>
          <w:rFonts w:ascii="Cambria" w:hAnsi="Cambria" w:cs="Cambria"/>
          <w:b/>
          <w:sz w:val="18"/>
          <w:szCs w:val="18"/>
        </w:rPr>
        <w:t xml:space="preserve">AQUISIÇÃO DE</w:t>
      </w:r>
      <w:r>
        <w:rPr>
          <w:rFonts w:ascii="Cambria" w:hAnsi="Cambria" w:cs="Cambria"/>
          <w:b/>
          <w:sz w:val="18"/>
          <w:szCs w:val="18"/>
        </w:rPr>
        <w:t xml:space="preserve"> LEIVAS DE GRAMA</w:t>
      </w:r>
      <w:r>
        <w:rPr>
          <w:rFonts w:ascii="Cambria" w:hAnsi="Cambria" w:cs="Cambria"/>
          <w:sz w:val="18"/>
          <w:szCs w:val="18"/>
        </w:rPr>
        <w:t xml:space="preserve">, nos termos da tabela abaixo, conforme condições e exigências estabelecidas neste instrumento.</w:t>
      </w:r>
      <w:r/>
    </w:p>
    <w:p>
      <w:pPr>
        <w:pStyle w:val="1068"/>
        <w:numPr>
          <w:ilvl w:val="0"/>
          <w:numId w:val="0"/>
        </w:numPr>
        <w:ind w:left="709"/>
        <w:spacing w:before="0" w:after="0" w:line="312" w:lineRule="auto"/>
        <w:rPr>
          <w:rFonts w:ascii="Cambria" w:hAnsi="Cambria" w:cs="Cambria"/>
          <w:sz w:val="18"/>
          <w:szCs w:val="18"/>
        </w:rPr>
      </w:pPr>
      <w:r>
        <w:rPr>
          <w:rFonts w:ascii="Cambria" w:hAnsi="Cambria" w:cs="Cambria"/>
          <w:sz w:val="18"/>
          <w:szCs w:val="18"/>
        </w:rPr>
      </w:r>
      <w:r/>
    </w:p>
    <w:tbl>
      <w:tblPr>
        <w:tblW w:w="494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34"/>
        <w:gridCol w:w="1134"/>
        <w:gridCol w:w="1134"/>
        <w:gridCol w:w="1134"/>
        <w:gridCol w:w="1134"/>
        <w:gridCol w:w="1134"/>
        <w:gridCol w:w="1134"/>
      </w:tblGrid>
      <w:tr>
        <w:trPr>
          <w:trHeight w:val="101"/>
        </w:trPr>
        <w:tc>
          <w:tcPr>
            <w:shd w:val="clear" w:color="ffffff" w:fill="d9d9d9"/>
            <w:tcW w:w="812" w:type="dxa"/>
            <w:vAlign w:val="center"/>
            <w:textDirection w:val="lrTb"/>
            <w:noWrap w:val="false"/>
          </w:tcPr>
          <w:p>
            <w:pPr>
              <w:pStyle w:val="1108"/>
              <w:jc w:val="both"/>
              <w:spacing w:line="312" w:lineRule="auto"/>
              <w:rPr>
                <w:rFonts w:ascii="Cambria" w:hAnsi="Cambria" w:cs="Cambria"/>
                <w:sz w:val="14"/>
                <w:szCs w:val="14"/>
              </w:rPr>
            </w:pPr>
            <w:r>
              <w:rPr>
                <w:rFonts w:ascii="Cambria" w:hAnsi="Cambria" w:eastAsia="Helv, Arial" w:cs="Cambria"/>
                <w:b/>
                <w:bCs/>
                <w:sz w:val="14"/>
                <w:szCs w:val="14"/>
              </w:rPr>
              <w:t xml:space="preserve">ITEM</w:t>
            </w:r>
            <w:r/>
          </w:p>
        </w:tc>
        <w:tc>
          <w:tcPr>
            <w:shd w:val="clear" w:color="ffffff" w:fill="d9d9d9"/>
            <w:tcW w:w="3839" w:type="dxa"/>
            <w:vAlign w:val="center"/>
            <w:textDirection w:val="lrTb"/>
            <w:noWrap w:val="false"/>
          </w:tcPr>
          <w:p>
            <w:pPr>
              <w:pStyle w:val="1108"/>
              <w:jc w:val="center"/>
              <w:spacing w:line="312" w:lineRule="auto"/>
              <w:rPr>
                <w:rFonts w:ascii="Cambria" w:hAnsi="Cambria" w:cs="Cambria"/>
                <w:sz w:val="14"/>
                <w:szCs w:val="14"/>
              </w:rPr>
            </w:pPr>
            <w:r>
              <w:rPr>
                <w:rFonts w:ascii="Cambria" w:hAnsi="Cambria" w:eastAsia="Helv, Arial" w:cs="Cambria"/>
                <w:b/>
                <w:bCs/>
                <w:sz w:val="14"/>
                <w:szCs w:val="14"/>
              </w:rPr>
              <w:t xml:space="preserve">DESCRIÇÃO</w:t>
            </w:r>
            <w:r/>
          </w:p>
        </w:tc>
        <w:tc>
          <w:tcPr>
            <w:shd w:val="clear" w:color="ffffff" w:fill="d9d9d9"/>
            <w:tcW w:w="1325" w:type="dxa"/>
            <w:vAlign w:val="center"/>
            <w:textDirection w:val="lrTb"/>
            <w:noWrap w:val="false"/>
          </w:tcPr>
          <w:p>
            <w:pPr>
              <w:pStyle w:val="1108"/>
              <w:jc w:val="center"/>
              <w:spacing w:line="312" w:lineRule="auto"/>
              <w:rPr>
                <w:rFonts w:ascii="Cambria" w:hAnsi="Cambria" w:cs="Cambria"/>
                <w:sz w:val="14"/>
                <w:szCs w:val="14"/>
              </w:rPr>
            </w:pPr>
            <w:r>
              <w:rPr>
                <w:rFonts w:ascii="Cambria" w:hAnsi="Cambria" w:eastAsia="Helv, Arial" w:cs="Cambria"/>
                <w:b/>
                <w:bCs/>
                <w:sz w:val="14"/>
                <w:szCs w:val="14"/>
              </w:rPr>
              <w:t xml:space="preserve">UNIDADE</w:t>
            </w:r>
            <w:r/>
          </w:p>
        </w:tc>
        <w:tc>
          <w:tcPr>
            <w:shd w:val="clear" w:color="ffffff" w:fill="d9d9d9"/>
            <w:tcW w:w="1081" w:type="dxa"/>
            <w:vAlign w:val="center"/>
            <w:textDirection w:val="lrTb"/>
            <w:noWrap w:val="false"/>
          </w:tcPr>
          <w:p>
            <w:pPr>
              <w:pStyle w:val="1108"/>
              <w:jc w:val="center"/>
              <w:spacing w:line="312" w:lineRule="auto"/>
              <w:rPr>
                <w:rFonts w:ascii="Cambria" w:hAnsi="Cambria" w:cs="Cambria"/>
                <w:sz w:val="14"/>
                <w:szCs w:val="14"/>
              </w:rPr>
            </w:pPr>
            <w:r>
              <w:rPr>
                <w:rFonts w:ascii="Cambria" w:hAnsi="Cambria" w:eastAsia="Helv, Arial" w:cs="Cambria"/>
                <w:b/>
                <w:bCs/>
                <w:sz w:val="14"/>
                <w:szCs w:val="14"/>
              </w:rPr>
              <w:t xml:space="preserve">QUANT</w:t>
            </w:r>
            <w:r/>
          </w:p>
        </w:tc>
        <w:tc>
          <w:tcPr>
            <w:shd w:val="clear" w:color="ffffff" w:fill="d9d9d9"/>
            <w:tcW w:w="1174" w:type="dxa"/>
            <w:vAlign w:val="center"/>
            <w:textDirection w:val="lrTb"/>
            <w:noWrap w:val="false"/>
          </w:tcPr>
          <w:p>
            <w:pPr>
              <w:pStyle w:val="1108"/>
              <w:jc w:val="center"/>
              <w:spacing w:line="312" w:lineRule="auto"/>
              <w:rPr>
                <w:rFonts w:ascii="Cambria" w:hAnsi="Cambria" w:cs="Cambria"/>
                <w:sz w:val="14"/>
                <w:szCs w:val="14"/>
              </w:rPr>
            </w:pPr>
            <w:r>
              <w:rPr>
                <w:rFonts w:ascii="Cambria" w:hAnsi="Cambria" w:eastAsia="Helv, Arial" w:cs="Cambria"/>
                <w:b/>
                <w:bCs/>
                <w:sz w:val="14"/>
                <w:szCs w:val="14"/>
              </w:rPr>
              <w:t xml:space="preserve">VALOR UNIT</w:t>
            </w:r>
            <w:r/>
          </w:p>
        </w:tc>
        <w:tc>
          <w:tcPr>
            <w:gridSpan w:val="2"/>
            <w:shd w:val="clear" w:color="ffffff" w:fill="d9d9d9"/>
            <w:tcW w:w="1300" w:type="dxa"/>
            <w:vAlign w:val="center"/>
            <w:textDirection w:val="lrTb"/>
            <w:noWrap w:val="false"/>
          </w:tcPr>
          <w:p>
            <w:pPr>
              <w:pStyle w:val="1108"/>
              <w:jc w:val="center"/>
              <w:spacing w:line="312" w:lineRule="auto"/>
              <w:rPr>
                <w:rFonts w:ascii="Cambria" w:hAnsi="Cambria" w:cs="Cambria"/>
                <w:sz w:val="14"/>
                <w:szCs w:val="14"/>
              </w:rPr>
            </w:pPr>
            <w:r>
              <w:rPr>
                <w:rFonts w:ascii="Cambria" w:hAnsi="Cambria" w:eastAsia="Helv, Arial" w:cs="Cambria"/>
                <w:b/>
                <w:bCs/>
                <w:sz w:val="14"/>
                <w:szCs w:val="14"/>
              </w:rPr>
              <w:t xml:space="preserve">VALOR TOTAL</w:t>
            </w:r>
            <w:r/>
          </w:p>
        </w:tc>
      </w:tr>
      <w:tr>
        <w:trPr>
          <w:trHeight w:val="127"/>
        </w:trPr>
        <w:tc>
          <w:tcPr>
            <w:tcW w:w="812" w:type="dxa"/>
            <w:vAlign w:val="center"/>
            <w:textDirection w:val="lrTb"/>
            <w:noWrap w:val="false"/>
          </w:tcPr>
          <w:p>
            <w:pPr>
              <w:jc w:val="center"/>
              <w:spacing w:line="312" w:lineRule="auto"/>
              <w:rPr>
                <w:rFonts w:ascii="Cambria" w:hAnsi="Cambria" w:cs="Cambria"/>
                <w:sz w:val="14"/>
                <w:szCs w:val="14"/>
              </w:rPr>
            </w:pPr>
            <w:r>
              <w:rPr>
                <w:rFonts w:ascii="Cambria" w:hAnsi="Cambria" w:cs="Cambria"/>
                <w:sz w:val="14"/>
                <w:szCs w:val="14"/>
              </w:rPr>
              <w:t xml:space="preserve">001</w:t>
            </w:r>
            <w:r/>
          </w:p>
        </w:tc>
        <w:tc>
          <w:tcPr>
            <w:tcW w:w="3839" w:type="dxa"/>
            <w:vAlign w:val="center"/>
            <w:textDirection w:val="lrTb"/>
            <w:noWrap w:val="false"/>
          </w:tcPr>
          <w:p>
            <w:pPr>
              <w:jc w:val="center"/>
              <w:rPr>
                <w:rFonts w:ascii="Cambria" w:hAnsi="Cambria" w:cs="Cambria"/>
                <w:sz w:val="16"/>
                <w:szCs w:val="16"/>
                <w:highlight w:val="none"/>
              </w:rPr>
            </w:pPr>
            <w:r>
              <w:rPr>
                <w:rFonts w:ascii="Cambria" w:hAnsi="Cambria" w:cs="Cambria"/>
                <w:sz w:val="16"/>
                <w:szCs w:val="16"/>
              </w:rPr>
              <w:t xml:space="preserve">LEIVA DE LEIVAS DE GRAMA</w:t>
            </w:r>
            <w:r>
              <w:rPr>
                <w:rFonts w:ascii="Cambria" w:hAnsi="Cambria" w:cs="Cambria"/>
                <w:sz w:val="16"/>
                <w:szCs w:val="16"/>
              </w:rPr>
            </w:r>
            <w:r/>
          </w:p>
          <w:p>
            <w:pPr>
              <w:jc w:val="center"/>
              <w:rPr>
                <w:rFonts w:ascii="Cambria" w:hAnsi="Cambria" w:cs="Cambria"/>
                <w:sz w:val="16"/>
                <w:szCs w:val="16"/>
                <w:highlight w:val="none"/>
              </w:rPr>
            </w:pPr>
            <w:r>
              <w:rPr>
                <w:rFonts w:ascii="Cambria" w:hAnsi="Cambria" w:cs="Cambria"/>
                <w:sz w:val="16"/>
                <w:szCs w:val="16"/>
                <w:highlight w:val="none"/>
              </w:rPr>
              <w:t xml:space="preserve">TIPO </w:t>
            </w:r>
            <w:r>
              <w:rPr>
                <w:rFonts w:ascii="Cambria" w:hAnsi="Cambria" w:cs="Cambria"/>
                <w:sz w:val="16"/>
                <w:szCs w:val="16"/>
                <w:highlight w:val="none"/>
              </w:rPr>
              <w:t xml:space="preserve">SÃO CARLOS</w:t>
            </w:r>
            <w:r>
              <w:rPr>
                <w:rFonts w:ascii="Cambria" w:hAnsi="Cambria" w:cs="Cambria"/>
                <w:sz w:val="16"/>
                <w:szCs w:val="16"/>
                <w:highlight w:val="none"/>
              </w:rPr>
            </w:r>
            <w:r/>
          </w:p>
          <w:p>
            <w:pPr>
              <w:jc w:val="center"/>
              <w:rPr>
                <w:rFonts w:ascii="Cambria" w:hAnsi="Cambria" w:cs="Cambria"/>
                <w:sz w:val="16"/>
                <w:szCs w:val="16"/>
              </w:rPr>
            </w:pPr>
            <w:r>
              <w:rPr>
                <w:rFonts w:ascii="Cambria" w:hAnsi="Cambria" w:cs="Cambria"/>
                <w:sz w:val="16"/>
                <w:szCs w:val="16"/>
                <w:highlight w:val="none"/>
              </w:rPr>
              <w:t xml:space="preserve">SOMENTE AQUISIÇÃO</w:t>
            </w:r>
            <w:r>
              <w:rPr>
                <w:rFonts w:ascii="Cambria" w:hAnsi="Cambria" w:cs="Cambria"/>
                <w:sz w:val="16"/>
                <w:szCs w:val="16"/>
                <w:highlight w:val="none"/>
              </w:rPr>
            </w:r>
            <w:r/>
          </w:p>
        </w:tc>
        <w:tc>
          <w:tcPr>
            <w:tcW w:w="1325" w:type="dxa"/>
            <w:vAlign w:val="center"/>
            <w:textDirection w:val="lrTb"/>
            <w:noWrap w:val="false"/>
          </w:tcPr>
          <w:p>
            <w:pPr>
              <w:pStyle w:val="822"/>
              <w:rPr>
                <w:rFonts w:ascii="Cambria" w:hAnsi="Cambria" w:cs="Cambria"/>
                <w:sz w:val="16"/>
                <w:szCs w:val="16"/>
              </w:rPr>
            </w:pPr>
            <w:r>
              <w:rPr>
                <w:rFonts w:ascii="Cambria" w:hAnsi="Cambria" w:cs="Cambria"/>
                <w:sz w:val="16"/>
                <w:szCs w:val="16"/>
              </w:rPr>
              <w:t xml:space="preserve">M²</w:t>
            </w:r>
            <w:r>
              <w:rPr>
                <w:rFonts w:ascii="Cambria" w:hAnsi="Cambria" w:cs="Cambria"/>
                <w:sz w:val="16"/>
                <w:szCs w:val="16"/>
              </w:rPr>
            </w:r>
            <w:r/>
          </w:p>
        </w:tc>
        <w:tc>
          <w:tcPr>
            <w:tcW w:w="1081" w:type="dxa"/>
            <w:vAlign w:val="center"/>
            <w:textDirection w:val="lrTb"/>
            <w:noWrap w:val="false"/>
          </w:tcPr>
          <w:p>
            <w:pPr>
              <w:jc w:val="center"/>
              <w:rPr>
                <w:rFonts w:ascii="Cambria" w:hAnsi="Cambria" w:cs="Cambria"/>
                <w:sz w:val="16"/>
                <w:szCs w:val="16"/>
              </w:rPr>
            </w:pPr>
            <w:r>
              <w:rPr>
                <w:rFonts w:ascii="Cambria" w:hAnsi="Cambria" w:cs="Cambria"/>
                <w:sz w:val="16"/>
                <w:szCs w:val="16"/>
              </w:rPr>
              <w:t xml:space="preserve">4.700</w:t>
            </w:r>
            <w:r>
              <w:rPr>
                <w:rFonts w:ascii="Cambria" w:hAnsi="Cambria" w:cs="Cambria"/>
                <w:sz w:val="16"/>
                <w:szCs w:val="16"/>
              </w:rPr>
            </w:r>
            <w:r/>
          </w:p>
        </w:tc>
        <w:tc>
          <w:tcPr>
            <w:tcW w:w="1174" w:type="dxa"/>
            <w:vAlign w:val="center"/>
            <w:textDirection w:val="lrTb"/>
            <w:noWrap w:val="false"/>
          </w:tcPr>
          <w:p>
            <w:pPr>
              <w:jc w:val="center"/>
              <w:rPr>
                <w:rFonts w:ascii="Cambria" w:hAnsi="Cambria" w:cs="Cambria"/>
                <w:sz w:val="16"/>
                <w:szCs w:val="16"/>
              </w:rPr>
            </w:pPr>
            <w:r>
              <w:rPr>
                <w:rFonts w:ascii="Cambria" w:hAnsi="Cambria" w:cs="Cambria"/>
                <w:sz w:val="16"/>
                <w:szCs w:val="16"/>
              </w:rPr>
              <w:t xml:space="preserve">17,43</w:t>
            </w:r>
            <w:r>
              <w:rPr>
                <w:rFonts w:ascii="Cambria" w:hAnsi="Cambria" w:cs="Cambria"/>
                <w:sz w:val="16"/>
                <w:szCs w:val="16"/>
              </w:rPr>
            </w:r>
            <w:r/>
          </w:p>
        </w:tc>
        <w:tc>
          <w:tcPr>
            <w:gridSpan w:val="2"/>
            <w:tcW w:w="1300" w:type="dxa"/>
            <w:vAlign w:val="center"/>
            <w:textDirection w:val="lrTb"/>
            <w:noWrap w:val="false"/>
          </w:tcPr>
          <w:p>
            <w:pPr>
              <w:jc w:val="center"/>
              <w:rPr>
                <w:rFonts w:ascii="Cambria" w:hAnsi="Cambria" w:cs="Cambria"/>
                <w:sz w:val="16"/>
                <w:szCs w:val="16"/>
              </w:rPr>
            </w:pPr>
            <w:r>
              <w:rPr>
                <w:rFonts w:ascii="Cambria" w:hAnsi="Cambria" w:cs="Cambria"/>
                <w:sz w:val="16"/>
                <w:szCs w:val="16"/>
              </w:rPr>
              <w:t xml:space="preserve">81.921,00</w:t>
            </w:r>
            <w:r>
              <w:rPr>
                <w:rFonts w:ascii="Cambria" w:hAnsi="Cambria" w:cs="Cambria"/>
                <w:sz w:val="16"/>
                <w:szCs w:val="16"/>
              </w:rPr>
            </w:r>
            <w:r/>
          </w:p>
        </w:tc>
      </w:tr>
    </w:tbl>
    <w:p>
      <w:pPr>
        <w:pStyle w:val="1068"/>
        <w:numPr>
          <w:ilvl w:val="0"/>
          <w:numId w:val="0"/>
        </w:numPr>
        <w:spacing w:before="0" w:after="0" w:line="312" w:lineRule="auto"/>
        <w:rPr>
          <w:rFonts w:ascii="Cambria" w:hAnsi="Cambria" w:cs="Cambria"/>
          <w:sz w:val="18"/>
          <w:szCs w:val="18"/>
        </w:rPr>
      </w:pPr>
      <w:r>
        <w:rPr>
          <w:rFonts w:ascii="Cambria" w:hAnsi="Cambria" w:cs="Cambria"/>
          <w:sz w:val="18"/>
          <w:szCs w:val="18"/>
        </w:rPr>
      </w:r>
      <w:r/>
    </w:p>
    <w:p>
      <w:pPr>
        <w:pStyle w:val="1068"/>
        <w:numPr>
          <w:ilvl w:val="0"/>
          <w:numId w:val="0"/>
        </w:numPr>
        <w:spacing w:before="0" w:after="0" w:line="312" w:lineRule="auto"/>
        <w:rPr>
          <w:rFonts w:ascii="Cambria" w:hAnsi="Cambria" w:cs="Cambria"/>
          <w:sz w:val="18"/>
          <w:szCs w:val="18"/>
        </w:rPr>
      </w:pPr>
      <w:r>
        <w:rPr>
          <w:rFonts w:ascii="Cambria" w:hAnsi="Cambria" w:cs="Cambria"/>
          <w:sz w:val="18"/>
          <w:szCs w:val="18"/>
        </w:rPr>
        <w:t xml:space="preserve">1.2 - O objeto desta contratação não se enquadra como sendo de bem de luxo, conforme Decreto Municipal nº 5.452, de 05 de setembro de 2023.</w:t>
      </w:r>
      <w:r/>
    </w:p>
    <w:p>
      <w:pPr>
        <w:pStyle w:val="1068"/>
        <w:numPr>
          <w:ilvl w:val="0"/>
          <w:numId w:val="0"/>
        </w:numPr>
        <w:spacing w:before="0" w:after="0" w:line="312" w:lineRule="auto"/>
        <w:rPr>
          <w:rFonts w:ascii="Cambria" w:hAnsi="Cambria" w:cs="Cambria"/>
          <w:sz w:val="18"/>
          <w:szCs w:val="18"/>
        </w:rPr>
      </w:pPr>
      <w:r>
        <w:rPr>
          <w:rFonts w:ascii="Cambria" w:hAnsi="Cambria" w:cs="Cambria"/>
          <w:sz w:val="18"/>
          <w:szCs w:val="18"/>
        </w:rPr>
        <w:t xml:space="preserve">1.3 - Os bens objeto desta contratação são caracterizados como comuns, nos termos do art. 6º, inciso XIII, da Lei nº 14.133/2021.</w:t>
      </w:r>
      <w:r/>
    </w:p>
    <w:p>
      <w:pPr>
        <w:pStyle w:val="1068"/>
        <w:numPr>
          <w:ilvl w:val="0"/>
          <w:numId w:val="0"/>
        </w:numPr>
        <w:spacing w:before="0" w:after="0" w:line="312" w:lineRule="auto"/>
        <w:rPr>
          <w:rFonts w:ascii="Cambria" w:hAnsi="Cambria" w:cs="Cambria"/>
          <w:sz w:val="18"/>
          <w:szCs w:val="18"/>
        </w:rPr>
      </w:pPr>
      <w:r>
        <w:rPr>
          <w:rFonts w:ascii="Cambria" w:hAnsi="Cambria" w:cs="Cambria"/>
          <w:sz w:val="18"/>
          <w:szCs w:val="18"/>
        </w:rPr>
      </w:r>
      <w:r/>
    </w:p>
    <w:p>
      <w:pPr>
        <w:pStyle w:val="1068"/>
        <w:numPr>
          <w:ilvl w:val="0"/>
          <w:numId w:val="0"/>
        </w:numPr>
        <w:spacing w:before="0" w:after="0" w:line="312" w:lineRule="auto"/>
        <w:rPr>
          <w:rFonts w:ascii="Cambria" w:hAnsi="Cambria" w:cs="Cambria"/>
          <w:sz w:val="18"/>
          <w:szCs w:val="18"/>
        </w:rPr>
      </w:pPr>
      <w:r>
        <w:rPr>
          <w:rFonts w:ascii="Cambria" w:hAnsi="Cambria" w:cs="Cambria"/>
          <w:b/>
          <w:sz w:val="18"/>
          <w:szCs w:val="18"/>
        </w:rPr>
        <w:t xml:space="preserve">2 - PRAZO DE VIGÊNCIA</w:t>
      </w:r>
      <w:r/>
    </w:p>
    <w:p>
      <w:pPr>
        <w:pStyle w:val="1068"/>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2.1 - O prazo de vigência da Ata é de 12 (doze) meses contados da data de sua assinatura, podendo ser prorrogada, nos termos da Lei nº 14.133/2021.</w:t>
      </w:r>
      <w:r/>
    </w:p>
    <w:p>
      <w:pPr>
        <w:pStyle w:val="1115"/>
        <w:numPr>
          <w:ilvl w:val="0"/>
          <w:numId w:val="0"/>
        </w:numPr>
        <w:spacing w:before="0" w:after="0" w:line="312" w:lineRule="auto"/>
        <w:rPr>
          <w:rFonts w:ascii="Cambria" w:hAnsi="Cambria" w:cs="Cambria"/>
          <w:sz w:val="18"/>
          <w:szCs w:val="18"/>
        </w:rPr>
      </w:pPr>
      <w:r>
        <w:rPr>
          <w:rFonts w:ascii="Cambria" w:hAnsi="Cambria" w:cs="Cambria"/>
          <w:i w:val="0"/>
          <w:iCs w:val="0"/>
          <w:color w:val="auto"/>
          <w:sz w:val="18"/>
          <w:szCs w:val="18"/>
        </w:rPr>
        <w:t xml:space="preserve">2.2 - O prazo de vigência dos contratos originados através da Ata de Registro de Preços é de </w:t>
      </w:r>
      <w:r>
        <w:rPr>
          <w:rFonts w:ascii="Cambria" w:hAnsi="Cambria" w:cs="Cambria"/>
          <w:i w:val="0"/>
          <w:iCs w:val="0"/>
          <w:color w:val="auto"/>
          <w:sz w:val="18"/>
          <w:szCs w:val="18"/>
        </w:rPr>
        <w:t xml:space="preserve">12 meses </w:t>
      </w:r>
      <w:r>
        <w:rPr>
          <w:rFonts w:ascii="Cambria" w:hAnsi="Cambria" w:cs="Cambria"/>
          <w:i w:val="0"/>
          <w:iCs w:val="0"/>
          <w:color w:val="auto"/>
          <w:sz w:val="18"/>
          <w:szCs w:val="18"/>
        </w:rPr>
        <w:t xml:space="preserve">contad</w:t>
      </w:r>
      <w:r>
        <w:rPr>
          <w:rFonts w:ascii="Cambria" w:hAnsi="Cambria" w:cs="Cambria"/>
          <w:i w:val="0"/>
          <w:iCs w:val="0"/>
          <w:color w:val="auto"/>
          <w:sz w:val="18"/>
          <w:szCs w:val="18"/>
        </w:rPr>
        <w:t xml:space="preserve">os a partir da data de sua assinatura, na forma do artigo 105 da Lei n° 14.133, de 2021.</w:t>
      </w:r>
      <w:r/>
    </w:p>
    <w:p>
      <w:pPr>
        <w:pStyle w:val="1116"/>
        <w:numPr>
          <w:ilvl w:val="0"/>
          <w:numId w:val="0"/>
        </w:numPr>
        <w:spacing w:before="0" w:after="0" w:line="312" w:lineRule="auto"/>
        <w:rPr>
          <w:rFonts w:ascii="Cambria" w:hAnsi="Cambria" w:cs="Cambria"/>
          <w:sz w:val="18"/>
          <w:szCs w:val="18"/>
        </w:rPr>
      </w:pPr>
      <w:r>
        <w:rPr>
          <w:rFonts w:ascii="Cambria" w:hAnsi="Cambria" w:cs="Cambria"/>
          <w:sz w:val="18"/>
          <w:szCs w:val="18"/>
        </w:rPr>
      </w:r>
      <w:r/>
    </w:p>
    <w:p>
      <w:pPr>
        <w:pStyle w:val="1051"/>
        <w:numPr>
          <w:ilvl w:val="0"/>
          <w:numId w:val="0"/>
        </w:numPr>
        <w:spacing w:before="0"/>
        <w:tabs>
          <w:tab w:val="left" w:pos="426" w:leader="none"/>
          <w:tab w:val="clear" w:pos="567" w:leader="none"/>
        </w:tabs>
        <w:rPr>
          <w:rFonts w:ascii="Cambria" w:hAnsi="Cambria" w:cs="Cambria"/>
          <w:sz w:val="18"/>
          <w:szCs w:val="18"/>
        </w:rPr>
      </w:pPr>
      <w:r>
        <w:rPr>
          <w:rFonts w:ascii="Cambria" w:hAnsi="Cambria" w:cs="Cambria"/>
          <w:sz w:val="18"/>
          <w:szCs w:val="18"/>
        </w:rPr>
        <w:t xml:space="preserve">3 - FUNDAMENTAÇÃO E DESCRIÇÃO DA NECESSIDADE DA CONTRATAÇÃO</w:t>
      </w:r>
      <w:r/>
    </w:p>
    <w:p>
      <w:pPr>
        <w:pStyle w:val="1068"/>
        <w:numPr>
          <w:ilvl w:val="0"/>
          <w:numId w:val="0"/>
        </w:numPr>
        <w:spacing w:before="0" w:after="0" w:line="312" w:lineRule="auto"/>
        <w:tabs>
          <w:tab w:val="left" w:pos="426" w:leader="none"/>
        </w:tabs>
        <w:rPr>
          <w:rFonts w:ascii="Cambria" w:hAnsi="Cambria" w:cs="Cambria"/>
          <w:sz w:val="18"/>
          <w:szCs w:val="18"/>
        </w:rPr>
      </w:pPr>
      <w:r>
        <w:rPr>
          <w:rFonts w:ascii="Cambria" w:hAnsi="Cambria" w:cs="Cambria"/>
          <w:sz w:val="18"/>
          <w:szCs w:val="18"/>
        </w:rPr>
        <w:t xml:space="preserve">3.1 - A Fundamentação da Contratação e de seus quantitativos encontra-se pormenorizada em Tópico específic</w:t>
      </w:r>
      <w:r>
        <w:rPr>
          <w:rFonts w:ascii="Cambria" w:hAnsi="Cambria" w:cs="Cambria"/>
          <w:sz w:val="18"/>
          <w:szCs w:val="18"/>
        </w:rPr>
        <w:t xml:space="preserve">o do ETP - Estudo Técnico Preliminar, apêndice deste Termo de Referência.</w:t>
      </w:r>
      <w:r/>
    </w:p>
    <w:p>
      <w:pPr>
        <w:pStyle w:val="1068"/>
        <w:numPr>
          <w:ilvl w:val="0"/>
          <w:numId w:val="0"/>
        </w:numPr>
        <w:spacing w:before="0" w:after="0" w:line="312" w:lineRule="auto"/>
        <w:tabs>
          <w:tab w:val="left" w:pos="426" w:leader="none"/>
        </w:tabs>
        <w:rPr>
          <w:rFonts w:ascii="Cambria" w:hAnsi="Cambria" w:cs="Cambria"/>
          <w:sz w:val="18"/>
          <w:szCs w:val="18"/>
        </w:rPr>
      </w:pPr>
      <w:r>
        <w:rPr>
          <w:rFonts w:ascii="Cambria" w:hAnsi="Cambria" w:cs="Cambria"/>
          <w:sz w:val="18"/>
          <w:szCs w:val="18"/>
        </w:rPr>
      </w:r>
      <w:r/>
    </w:p>
    <w:p>
      <w:pPr>
        <w:pStyle w:val="1051"/>
        <w:numPr>
          <w:ilvl w:val="0"/>
          <w:numId w:val="0"/>
        </w:numPr>
        <w:spacing w:before="0"/>
        <w:rPr>
          <w:rFonts w:ascii="Cambria" w:hAnsi="Cambria" w:cs="Cambria"/>
          <w:sz w:val="18"/>
          <w:szCs w:val="18"/>
        </w:rPr>
      </w:pPr>
      <w:r>
        <w:rPr>
          <w:rFonts w:ascii="Cambria" w:hAnsi="Cambria" w:cs="Cambria"/>
          <w:sz w:val="18"/>
          <w:szCs w:val="18"/>
        </w:rPr>
        <w:t xml:space="preserve">4 - DESCRIÇÃO DA SOLUÇÃO COMO UM TODO CONSIDERADO O CICLO DE VIDA DO OBJETO E ESPECIFICAÇÃO DO PRODUTO</w:t>
      </w:r>
      <w:r/>
    </w:p>
    <w:p>
      <w:pPr>
        <w:pStyle w:val="1115"/>
        <w:numPr>
          <w:ilvl w:val="0"/>
          <w:numId w:val="0"/>
        </w:numPr>
        <w:spacing w:before="0" w:after="0" w:line="312" w:lineRule="auto"/>
        <w:rPr>
          <w:rFonts w:ascii="Cambria" w:hAnsi="Cambria" w:cs="Cambria"/>
          <w:sz w:val="18"/>
          <w:szCs w:val="18"/>
        </w:rPr>
      </w:pPr>
      <w:r>
        <w:rPr>
          <w:rFonts w:ascii="Cambria" w:hAnsi="Cambria" w:cs="Cambria"/>
          <w:i w:val="0"/>
          <w:iCs w:val="0"/>
          <w:color w:val="auto"/>
          <w:sz w:val="18"/>
          <w:szCs w:val="18"/>
        </w:rPr>
        <w:t xml:space="preserve">4.1 - A descrição da solução como um todo encontra-se pormenorizada em tópico </w:t>
      </w:r>
      <w:r>
        <w:rPr>
          <w:rFonts w:ascii="Cambria" w:hAnsi="Cambria" w:cs="Cambria"/>
          <w:i w:val="0"/>
          <w:iCs w:val="0"/>
          <w:color w:val="auto"/>
          <w:sz w:val="18"/>
          <w:szCs w:val="18"/>
        </w:rPr>
        <w:t xml:space="preserve">específico do ETP - Estudo Técnico Preliminar, apêndice deste TR - Termo de Referência.</w:t>
      </w:r>
      <w:r/>
    </w:p>
    <w:p>
      <w:pPr>
        <w:pStyle w:val="1115"/>
        <w:numPr>
          <w:ilvl w:val="0"/>
          <w:numId w:val="0"/>
        </w:numPr>
        <w:spacing w:before="0" w:after="0" w:line="312" w:lineRule="auto"/>
        <w:rPr>
          <w:rFonts w:ascii="Cambria" w:hAnsi="Cambria" w:cs="Cambria"/>
          <w:sz w:val="18"/>
          <w:szCs w:val="18"/>
        </w:rPr>
      </w:pPr>
      <w:r>
        <w:rPr>
          <w:rFonts w:ascii="Cambria" w:hAnsi="Cambria" w:cs="Cambria"/>
          <w:sz w:val="18"/>
          <w:szCs w:val="18"/>
        </w:rPr>
      </w:r>
      <w:r/>
    </w:p>
    <w:p>
      <w:pPr>
        <w:pStyle w:val="1051"/>
        <w:numPr>
          <w:ilvl w:val="0"/>
          <w:numId w:val="0"/>
        </w:numPr>
        <w:spacing w:before="0"/>
        <w:rPr>
          <w:rFonts w:ascii="Cambria" w:hAnsi="Cambria" w:cs="Cambria"/>
          <w:sz w:val="18"/>
          <w:szCs w:val="18"/>
        </w:rPr>
      </w:pPr>
      <w:r>
        <w:rPr>
          <w:rFonts w:ascii="Cambria" w:hAnsi="Cambria" w:cs="Cambria"/>
          <w:sz w:val="18"/>
          <w:szCs w:val="18"/>
        </w:rPr>
        <w:t xml:space="preserve">5 - REQUISITOS DA CONTRATAÇÃO</w:t>
      </w:r>
      <w:r/>
    </w:p>
    <w:p>
      <w:pPr>
        <w:jc w:val="both"/>
        <w:spacing w:line="312" w:lineRule="auto"/>
        <w:tabs>
          <w:tab w:val="left" w:pos="284" w:leader="none"/>
          <w:tab w:val="left" w:pos="426" w:leader="none"/>
          <w:tab w:val="left" w:pos="567" w:leader="none"/>
          <w:tab w:val="left" w:pos="851" w:leader="none"/>
        </w:tabs>
        <w:rPr>
          <w:rFonts w:ascii="Cambria" w:hAnsi="Cambria" w:cs="Cambria"/>
          <w:sz w:val="18"/>
          <w:szCs w:val="18"/>
        </w:rPr>
      </w:pPr>
      <w:r>
        <w:rPr>
          <w:rFonts w:ascii="Cambria" w:hAnsi="Cambria" w:cs="Cambria"/>
          <w:sz w:val="18"/>
          <w:szCs w:val="18"/>
        </w:rPr>
        <w:t xml:space="preserve">5.1 - A contratação deverá observar os seguintes requisitos:</w:t>
      </w:r>
      <w:r/>
    </w:p>
    <w:p>
      <w:pPr>
        <w:pStyle w:val="1068"/>
        <w:numPr>
          <w:ilvl w:val="0"/>
          <w:numId w:val="0"/>
        </w:numPr>
        <w:spacing w:before="0" w:after="0" w:line="312" w:lineRule="auto"/>
        <w:rPr>
          <w:rFonts w:ascii="Cambria" w:hAnsi="Cambria" w:cs="Cambria"/>
          <w:sz w:val="18"/>
          <w:szCs w:val="18"/>
        </w:rPr>
      </w:pPr>
      <w:r>
        <w:rPr>
          <w:rFonts w:ascii="Cambria" w:hAnsi="Cambria" w:cs="Cambria"/>
          <w:sz w:val="18"/>
          <w:szCs w:val="18"/>
        </w:rPr>
      </w:r>
      <w:r/>
    </w:p>
    <w:p>
      <w:pPr>
        <w:pStyle w:val="1121"/>
        <w:spacing w:before="0"/>
        <w:rPr>
          <w:rFonts w:ascii="Cambria" w:hAnsi="Cambria" w:cs="Cambria"/>
          <w:sz w:val="18"/>
          <w:szCs w:val="18"/>
        </w:rPr>
      </w:pPr>
      <w:r>
        <w:rPr>
          <w:rFonts w:ascii="Cambria" w:hAnsi="Cambria" w:cs="Cambria"/>
          <w:b w:val="0"/>
          <w:color w:val="auto"/>
          <w:sz w:val="18"/>
          <w:szCs w:val="18"/>
        </w:rPr>
        <w:t xml:space="preserve">5.1.2 - SUBCONTRATAÇÃO</w:t>
      </w:r>
      <w:r/>
    </w:p>
    <w:p>
      <w:pPr>
        <w:pStyle w:val="1068"/>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5.1.2.1 - Não é admitida a subcontratação do objeto </w:t>
      </w:r>
      <w:r>
        <w:rPr>
          <w:rFonts w:ascii="Cambria" w:hAnsi="Cambria" w:cs="Cambria"/>
          <w:color w:val="auto"/>
          <w:sz w:val="18"/>
          <w:szCs w:val="18"/>
        </w:rPr>
        <w:t xml:space="preserve">contratual.</w:t>
      </w:r>
      <w:r/>
    </w:p>
    <w:p>
      <w:pPr>
        <w:pStyle w:val="1068"/>
        <w:numPr>
          <w:ilvl w:val="0"/>
          <w:numId w:val="0"/>
        </w:numPr>
        <w:spacing w:before="0" w:after="0" w:line="312" w:lineRule="auto"/>
        <w:rPr>
          <w:rFonts w:ascii="Cambria" w:hAnsi="Cambria" w:cs="Cambria"/>
          <w:sz w:val="18"/>
          <w:szCs w:val="18"/>
        </w:rPr>
      </w:pPr>
      <w:r>
        <w:rPr>
          <w:rFonts w:ascii="Cambria" w:hAnsi="Cambria" w:cs="Cambria"/>
          <w:sz w:val="18"/>
          <w:szCs w:val="18"/>
        </w:rPr>
      </w:r>
      <w:r/>
    </w:p>
    <w:p>
      <w:pPr>
        <w:pStyle w:val="1121"/>
        <w:spacing w:before="0"/>
        <w:rPr>
          <w:rFonts w:ascii="Cambria" w:hAnsi="Cambria" w:cs="Cambria"/>
          <w:sz w:val="18"/>
          <w:szCs w:val="18"/>
        </w:rPr>
      </w:pPr>
      <w:r>
        <w:rPr>
          <w:rFonts w:ascii="Cambria" w:hAnsi="Cambria" w:cs="Cambria"/>
          <w:b w:val="0"/>
          <w:color w:val="auto"/>
          <w:sz w:val="18"/>
          <w:szCs w:val="18"/>
        </w:rPr>
        <w:t xml:space="preserve">5.1.6 - GARANTIA DA CONTRATAÇÃO</w:t>
      </w:r>
      <w:r/>
    </w:p>
    <w:p>
      <w:pPr>
        <w:pStyle w:val="1115"/>
        <w:numPr>
          <w:ilvl w:val="0"/>
          <w:numId w:val="0"/>
        </w:numPr>
        <w:spacing w:before="0" w:after="0" w:line="312" w:lineRule="auto"/>
        <w:rPr>
          <w:rFonts w:ascii="Cambria" w:hAnsi="Cambria" w:cs="Cambria"/>
          <w:sz w:val="18"/>
          <w:szCs w:val="18"/>
        </w:rPr>
      </w:pPr>
      <w:r>
        <w:rPr>
          <w:rFonts w:ascii="Cambria" w:hAnsi="Cambria" w:cs="Cambria"/>
          <w:i w:val="0"/>
          <w:iCs w:val="0"/>
          <w:color w:val="auto"/>
          <w:sz w:val="18"/>
          <w:szCs w:val="18"/>
        </w:rPr>
        <w:t xml:space="preserve">5.1.6.1 - Não haverá exigência da garantia da contratação dos artigos 96 e seguintes da Lei nº 14.133, de 2021, pelas razões constantes do ETP - Estudo Técnico Preliminar.</w:t>
      </w:r>
      <w:r/>
    </w:p>
    <w:p>
      <w:pPr>
        <w:pStyle w:val="1068"/>
        <w:numPr>
          <w:ilvl w:val="0"/>
          <w:numId w:val="0"/>
        </w:numPr>
        <w:ind w:left="709"/>
        <w:spacing w:before="0" w:after="0" w:line="312" w:lineRule="auto"/>
        <w:rPr>
          <w:rFonts w:ascii="Cambria" w:hAnsi="Cambria" w:cs="Cambria"/>
          <w:sz w:val="18"/>
          <w:szCs w:val="18"/>
        </w:rPr>
      </w:pPr>
      <w:r>
        <w:rPr>
          <w:rFonts w:ascii="Cambria" w:hAnsi="Cambria" w:cs="Cambria"/>
          <w:sz w:val="18"/>
          <w:szCs w:val="18"/>
        </w:rPr>
      </w:r>
      <w:r/>
    </w:p>
    <w:p>
      <w:pPr>
        <w:pStyle w:val="1051"/>
        <w:numPr>
          <w:ilvl w:val="0"/>
          <w:numId w:val="0"/>
        </w:numPr>
        <w:spacing w:before="0"/>
        <w:rPr>
          <w:rFonts w:ascii="Cambria" w:hAnsi="Cambria" w:cs="Cambria"/>
          <w:sz w:val="18"/>
          <w:szCs w:val="18"/>
        </w:rPr>
      </w:pPr>
      <w:r>
        <w:rPr>
          <w:rFonts w:ascii="Cambria" w:hAnsi="Cambria" w:cs="Cambria"/>
          <w:sz w:val="18"/>
          <w:szCs w:val="18"/>
        </w:rPr>
        <w:t xml:space="preserve">6 – </w:t>
      </w:r>
      <w:r>
        <w:rPr>
          <w:rFonts w:ascii="Cambria" w:hAnsi="Cambria" w:eastAsia="Calibri" w:cs="Cambria"/>
          <w:sz w:val="18"/>
          <w:szCs w:val="18"/>
        </w:rPr>
        <w:t xml:space="preserve">MODELO DE EXECUÇÃO DO OBJETO</w:t>
      </w:r>
      <w:r/>
    </w:p>
    <w:p>
      <w:pPr>
        <w:jc w:val="both"/>
        <w:spacing w:line="312" w:lineRule="auto"/>
        <w:widowControl w:val="off"/>
        <w:rPr>
          <w:rFonts w:ascii="Cambria" w:hAnsi="Cambria" w:cs="Cambria"/>
          <w:sz w:val="18"/>
          <w:szCs w:val="18"/>
        </w:rPr>
      </w:pPr>
      <w:r>
        <w:rPr>
          <w:rFonts w:ascii="Cambria" w:hAnsi="Cambria" w:eastAsia="Calibri" w:cs="Cambria"/>
          <w:bCs/>
          <w:sz w:val="18"/>
          <w:szCs w:val="18"/>
        </w:rPr>
        <w:t xml:space="preserve">6.1 - PRAZO DE ENTREGA</w:t>
      </w:r>
      <w:r/>
    </w:p>
    <w:p>
      <w:pPr>
        <w:pStyle w:val="1115"/>
        <w:numPr>
          <w:ilvl w:val="0"/>
          <w:numId w:val="0"/>
        </w:numPr>
        <w:spacing w:before="0" w:after="0" w:line="312" w:lineRule="auto"/>
        <w:rPr>
          <w:rFonts w:ascii="Cambria" w:hAnsi="Cambria" w:cs="Cambria"/>
          <w:sz w:val="18"/>
          <w:szCs w:val="18"/>
          <w:highlight w:val="white"/>
        </w:rPr>
      </w:pPr>
      <w:r>
        <w:rPr>
          <w:rFonts w:ascii="Cambria" w:hAnsi="Cambria" w:cs="Cambria"/>
          <w:i w:val="0"/>
          <w:iCs w:val="0"/>
          <w:color w:val="auto"/>
          <w:sz w:val="18"/>
          <w:szCs w:val="18"/>
          <w:highlight w:val="white"/>
        </w:rPr>
        <w:t xml:space="preserve">6.1.1 – </w:t>
      </w:r>
      <w:r>
        <w:rPr>
          <w:rFonts w:ascii="Cambria" w:hAnsi="Cambria" w:cs="Cambria"/>
          <w:i w:val="0"/>
          <w:iCs w:val="0"/>
          <w:color w:val="auto"/>
          <w:sz w:val="18"/>
          <w:szCs w:val="18"/>
          <w:highlight w:val="none"/>
        </w:rPr>
        <w:t xml:space="preserve">O prazo de entrega será parcelada, conforme o andamento das obras da Creche Municipal e da Praça do Bairro Juventude, em até 10 dias após emissão da Nota de empenho.</w:t>
      </w:r>
      <w:r/>
    </w:p>
    <w:p>
      <w:pPr>
        <w:pStyle w:val="1068"/>
        <w:numPr>
          <w:ilvl w:val="0"/>
          <w:numId w:val="0"/>
        </w:numPr>
        <w:spacing w:before="0" w:after="0" w:line="312" w:lineRule="auto"/>
        <w:rPr>
          <w:rFonts w:ascii="Cambria" w:hAnsi="Cambria" w:cs="Cambria"/>
          <w:sz w:val="18"/>
          <w:szCs w:val="18"/>
          <w:highlight w:val="white"/>
        </w:rPr>
      </w:pPr>
      <w:r>
        <w:rPr>
          <w:rFonts w:ascii="Cambria" w:hAnsi="Cambria" w:cs="Cambria"/>
          <w:sz w:val="18"/>
          <w:szCs w:val="18"/>
          <w:highlight w:val="white"/>
        </w:rPr>
      </w:r>
      <w:r/>
    </w:p>
    <w:p>
      <w:pPr>
        <w:jc w:val="both"/>
        <w:spacing w:line="312" w:lineRule="auto"/>
        <w:widowControl w:val="off"/>
        <w:tabs>
          <w:tab w:val="left" w:pos="851" w:leader="none"/>
        </w:tabs>
        <w:rPr>
          <w:rFonts w:ascii="Cambria" w:hAnsi="Cambria" w:cs="Cambria"/>
          <w:sz w:val="18"/>
          <w:szCs w:val="18"/>
          <w:highlight w:val="white"/>
        </w:rPr>
      </w:pPr>
      <w:r>
        <w:rPr>
          <w:rFonts w:ascii="Cambria" w:hAnsi="Cambria" w:eastAsia="Calibri" w:cs="Cambria"/>
          <w:sz w:val="18"/>
          <w:szCs w:val="18"/>
          <w:highlight w:val="white"/>
        </w:rPr>
        <w:t xml:space="preserve">6.2 - LOCAL DE ENTREGA</w:t>
      </w:r>
      <w:r/>
    </w:p>
    <w:p>
      <w:pPr>
        <w:pStyle w:val="1115"/>
        <w:numPr>
          <w:ilvl w:val="0"/>
          <w:numId w:val="0"/>
        </w:numPr>
        <w:spacing w:before="0" w:after="0" w:line="312" w:lineRule="auto"/>
        <w:rPr>
          <w:rFonts w:ascii="Cambria" w:hAnsi="Cambria" w:cs="Cambria"/>
          <w:sz w:val="18"/>
          <w:szCs w:val="18"/>
          <w:highlight w:val="white"/>
        </w:rPr>
      </w:pPr>
      <w:r>
        <w:rPr>
          <w:rFonts w:ascii="Cambria" w:hAnsi="Cambria" w:cs="Cambria"/>
          <w:i w:val="0"/>
          <w:color w:val="auto"/>
          <w:sz w:val="18"/>
          <w:szCs w:val="18"/>
          <w:highlight w:val="white"/>
        </w:rPr>
        <w:t xml:space="preserve">6.2.1 - </w:t>
      </w:r>
      <w:r>
        <w:rPr>
          <w:rFonts w:ascii="Cambria" w:hAnsi="Cambria" w:cs="Cambria"/>
          <w:i w:val="0"/>
          <w:iCs w:val="0"/>
          <w:color w:val="auto"/>
          <w:sz w:val="18"/>
          <w:szCs w:val="18"/>
          <w:highlight w:val="white"/>
        </w:rPr>
        <w:t xml:space="preserve"> </w:t>
      </w:r>
      <w:r>
        <w:rPr>
          <w:rFonts w:ascii="Cambria" w:hAnsi="Cambria" w:cs="Cambria"/>
          <w:i w:val="0"/>
          <w:iCs w:val="0"/>
          <w:color w:val="auto"/>
          <w:sz w:val="18"/>
          <w:szCs w:val="18"/>
          <w:highlight w:val="none"/>
        </w:rPr>
        <w:t xml:space="preserve">A entrega deverá ser feita em pallets, em locais a serem informados pela Secretaria solicitante, na nota de empenho.</w:t>
      </w:r>
      <w:r>
        <w:rPr>
          <w:rFonts w:ascii="Cambria" w:hAnsi="Cambria" w:cs="Cambria"/>
          <w:i w:val="0"/>
          <w:iCs w:val="0"/>
          <w:color w:val="auto"/>
          <w:sz w:val="18"/>
          <w:szCs w:val="18"/>
          <w:highlight w:val="white"/>
        </w:rPr>
      </w:r>
      <w:r/>
    </w:p>
    <w:p>
      <w:pPr>
        <w:jc w:val="both"/>
        <w:spacing w:line="312" w:lineRule="auto"/>
        <w:widowControl w:val="off"/>
        <w:tabs>
          <w:tab w:val="left" w:pos="426" w:leader="none"/>
          <w:tab w:val="left" w:pos="851" w:leader="none"/>
        </w:tabs>
        <w:rPr>
          <w:rFonts w:ascii="Cambria" w:hAnsi="Cambria" w:cs="Cambria"/>
          <w:sz w:val="18"/>
          <w:szCs w:val="18"/>
        </w:rPr>
      </w:pPr>
      <w:r>
        <w:rPr>
          <w:rFonts w:ascii="Cambria" w:hAnsi="Cambria" w:cs="Cambria"/>
          <w:sz w:val="18"/>
          <w:szCs w:val="18"/>
        </w:rPr>
      </w:r>
      <w:r/>
    </w:p>
    <w:p>
      <w:pPr>
        <w:jc w:val="both"/>
        <w:spacing w:line="312" w:lineRule="auto"/>
        <w:widowControl w:val="off"/>
        <w:tabs>
          <w:tab w:val="left" w:pos="426" w:leader="none"/>
          <w:tab w:val="left" w:pos="851" w:leader="none"/>
        </w:tabs>
        <w:rPr>
          <w:rFonts w:ascii="Cambria" w:hAnsi="Cambria" w:cs="Cambria"/>
          <w:sz w:val="18"/>
          <w:szCs w:val="18"/>
        </w:rPr>
      </w:pPr>
      <w:r>
        <w:rPr>
          <w:rFonts w:ascii="Cambria" w:hAnsi="Cambria" w:eastAsia="Calibri" w:cs="Cambria"/>
          <w:sz w:val="18"/>
          <w:szCs w:val="18"/>
        </w:rPr>
        <w:t xml:space="preserve">6.3 – DO RECEBIME</w:t>
      </w:r>
      <w:r>
        <w:rPr>
          <w:rFonts w:ascii="Cambria" w:hAnsi="Cambria" w:eastAsia="Calibri" w:cs="Cambria"/>
          <w:sz w:val="18"/>
          <w:szCs w:val="18"/>
        </w:rPr>
        <w:t xml:space="preserve">NTO</w:t>
      </w:r>
      <w:r/>
    </w:p>
    <w:p>
      <w:pPr>
        <w:pStyle w:val="1068"/>
        <w:numPr>
          <w:ilvl w:val="0"/>
          <w:numId w:val="0"/>
        </w:numPr>
        <w:spacing w:before="0" w:after="0" w:line="312" w:lineRule="auto"/>
        <w:tabs>
          <w:tab w:val="left" w:pos="284" w:leader="none"/>
          <w:tab w:val="left" w:pos="426" w:leader="none"/>
          <w:tab w:val="left" w:pos="567" w:leader="none"/>
          <w:tab w:val="left" w:pos="851" w:leader="none"/>
        </w:tabs>
        <w:rPr>
          <w:rFonts w:ascii="Cambria" w:hAnsi="Cambria" w:cs="Cambria"/>
          <w:sz w:val="18"/>
          <w:szCs w:val="18"/>
        </w:rPr>
      </w:pPr>
      <w:r>
        <w:rPr>
          <w:rFonts w:ascii="Cambria" w:hAnsi="Cambria" w:cs="Cambria"/>
          <w:bCs/>
          <w:color w:val="auto"/>
          <w:sz w:val="18"/>
          <w:szCs w:val="18"/>
        </w:rPr>
        <w:t xml:space="preserve">6.3.1 – Após a entrega o produto, as leivas deverão apresentar bom índice de pega, demonstrando boas condições fitossanitárias.</w:t>
      </w:r>
      <w:r/>
    </w:p>
    <w:p>
      <w:pPr>
        <w:pStyle w:val="1115"/>
        <w:numPr>
          <w:ilvl w:val="0"/>
          <w:numId w:val="0"/>
        </w:numPr>
        <w:spacing w:before="0" w:after="0" w:line="312" w:lineRule="auto"/>
        <w:rPr>
          <w:rFonts w:ascii="Cambria" w:hAnsi="Cambria" w:cs="Cambria"/>
          <w:sz w:val="18"/>
          <w:szCs w:val="18"/>
        </w:rPr>
      </w:pPr>
      <w:r>
        <w:rPr>
          <w:rFonts w:ascii="Cambria" w:hAnsi="Cambria" w:cs="Cambria"/>
          <w:sz w:val="18"/>
          <w:szCs w:val="18"/>
        </w:rPr>
      </w:r>
      <w:r/>
    </w:p>
    <w:p>
      <w:pPr>
        <w:pStyle w:val="1051"/>
        <w:numPr>
          <w:ilvl w:val="0"/>
          <w:numId w:val="0"/>
        </w:numPr>
        <w:spacing w:before="0"/>
        <w:rPr>
          <w:rFonts w:ascii="Cambria" w:hAnsi="Cambria" w:cs="Cambria"/>
          <w:sz w:val="18"/>
          <w:szCs w:val="18"/>
        </w:rPr>
      </w:pPr>
      <w:r>
        <w:rPr>
          <w:rFonts w:ascii="Cambria" w:hAnsi="Cambria" w:cs="Cambria"/>
          <w:sz w:val="18"/>
          <w:szCs w:val="18"/>
        </w:rPr>
        <w:t xml:space="preserve">7 - </w:t>
      </w:r>
      <w:r>
        <w:rPr>
          <w:rFonts w:ascii="Cambria" w:hAnsi="Cambria" w:cs="Cambria"/>
          <w:sz w:val="18"/>
          <w:szCs w:val="18"/>
        </w:rPr>
        <w:t xml:space="preserve">OBRIGAÇÕES DO CONTRATANTE (art. 92, incisos X, XI e XIV, da Lei nº 14.133/2021).</w:t>
      </w:r>
      <w:r/>
    </w:p>
    <w:p>
      <w:pPr>
        <w:pStyle w:val="1068"/>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7.1 - São obrigações do Contratante:</w:t>
      </w:r>
      <w:r/>
    </w:p>
    <w:p>
      <w:pPr>
        <w:pStyle w:val="1068"/>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7.1.1 - Exigir o cumprimento de todas as obrigações assumidas pelo Contratado, de acordo com o contrato e seus anexos;</w:t>
      </w:r>
      <w:r/>
    </w:p>
    <w:p>
      <w:pPr>
        <w:pStyle w:val="1068"/>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7.1.2 - Receber o o</w:t>
      </w:r>
      <w:r>
        <w:rPr>
          <w:rFonts w:ascii="Cambria" w:hAnsi="Cambria" w:cs="Cambria"/>
          <w:color w:val="auto"/>
          <w:sz w:val="18"/>
          <w:szCs w:val="18"/>
        </w:rPr>
        <w:t xml:space="preserve">bjeto no prazo e condições estabelecidas no TR - Termo de Referência;</w:t>
      </w:r>
      <w:r/>
    </w:p>
    <w:p>
      <w:pPr>
        <w:pStyle w:val="1068"/>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7.1.3 - Notificar o Contratado, por escrito, sobre vícios, defeitos ou incorreções verificadas no objeto fornecido, para que seja por ele substituído, reparado ou corrigido, no total ou </w:t>
      </w:r>
      <w:r>
        <w:rPr>
          <w:rFonts w:ascii="Cambria" w:hAnsi="Cambria" w:cs="Cambria"/>
          <w:color w:val="auto"/>
          <w:sz w:val="18"/>
          <w:szCs w:val="18"/>
        </w:rPr>
        <w:t xml:space="preserve">em parte, às suas expensas;</w:t>
      </w:r>
      <w:r/>
    </w:p>
    <w:p>
      <w:pPr>
        <w:pStyle w:val="1068"/>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7.1.4 - Acompanhar e fiscalizar a execução do contrato e o cumprimento das obrigações pelo Contratado;</w:t>
      </w:r>
      <w:r/>
    </w:p>
    <w:p>
      <w:pPr>
        <w:pStyle w:val="1068"/>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7.1.5 - Comunicar a empresa para </w:t>
      </w:r>
      <w:r>
        <w:rPr>
          <w:rFonts w:ascii="Cambria" w:hAnsi="Cambria" w:cs="Cambria"/>
          <w:bCs/>
          <w:color w:val="auto"/>
          <w:sz w:val="18"/>
          <w:szCs w:val="18"/>
        </w:rPr>
        <w:t xml:space="preserve">emissão de NF - N</w:t>
      </w:r>
      <w:r>
        <w:rPr>
          <w:rFonts w:ascii="Cambria" w:hAnsi="Cambria" w:cs="Cambria"/>
          <w:bCs/>
          <w:color w:val="auto"/>
          <w:sz w:val="18"/>
          <w:szCs w:val="18"/>
        </w:rPr>
        <w:t xml:space="preserve">ota Fiscal no que </w:t>
      </w:r>
      <w:r>
        <w:rPr>
          <w:rFonts w:ascii="Cambria" w:hAnsi="Cambria" w:cs="Cambria"/>
          <w:bCs/>
          <w:color w:val="auto"/>
          <w:sz w:val="18"/>
          <w:szCs w:val="18"/>
        </w:rPr>
        <w:t xml:space="preserve">pertine</w:t>
      </w:r>
      <w:r>
        <w:rPr>
          <w:rFonts w:ascii="Cambria" w:hAnsi="Cambria" w:cs="Cambria"/>
          <w:bCs/>
          <w:color w:val="auto"/>
          <w:sz w:val="18"/>
          <w:szCs w:val="18"/>
        </w:rPr>
        <w:t xml:space="preserve"> à parcela incontroversa da execução do objeto, para efeito de liquidação e pagamento, quando houver controvérsia sobre a execução do objeto, quanto à dimensão, qualidade e quantidade, conforme o art. 143 da Lei nº 14.133, de 2021;</w:t>
      </w:r>
      <w:r/>
    </w:p>
    <w:p>
      <w:pPr>
        <w:pStyle w:val="1068"/>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7.1.6 - Efetuar o pagamento ao Contratado do valor correspondente ao fornecimento do objeto, no prazo, forma e condições estabelecidos no Contrato;</w:t>
      </w:r>
      <w:r/>
    </w:p>
    <w:p>
      <w:pPr>
        <w:pStyle w:val="1068"/>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7.1.7 - Aplicar ao Contratado as sanções previstas na lei e no Contrato; </w:t>
      </w:r>
      <w:r/>
    </w:p>
    <w:p>
      <w:pPr>
        <w:pStyle w:val="1068"/>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7.1.8 - Cientificar o órgão de re</w:t>
      </w:r>
      <w:r>
        <w:rPr>
          <w:rFonts w:ascii="Cambria" w:hAnsi="Cambria" w:cs="Cambria"/>
          <w:color w:val="auto"/>
          <w:sz w:val="18"/>
          <w:szCs w:val="18"/>
        </w:rPr>
        <w:t xml:space="preserve">presentação judicial da Prefeitura Municipal de Santa Bárbara do Sul/RS, para adoção das medidas cabíveis quando do descumprimento de obrigações pelo Contratado, quando esgotadas as vias administrativas.</w:t>
      </w:r>
      <w:r/>
    </w:p>
    <w:p>
      <w:pPr>
        <w:pStyle w:val="1068"/>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7.1.9 - Explicitamente emitir decisão sobre todas as</w:t>
      </w:r>
      <w:r>
        <w:rPr>
          <w:rFonts w:ascii="Cambria" w:hAnsi="Cambria" w:cs="Cambria"/>
          <w:color w:val="auto"/>
          <w:sz w:val="18"/>
          <w:szCs w:val="18"/>
        </w:rPr>
        <w:t xml:space="preserve"> solicitações e reclamações relacionadas à execução do presente Contrato, ressalvados os requerimentos manifestamente impertinentes, meramente protelatórios ou de nenhum interesse para a boa execução do ajuste.</w:t>
      </w:r>
      <w:r/>
    </w:p>
    <w:p>
      <w:pPr>
        <w:pStyle w:val="1068"/>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7.1.10 - Responder eventuais pedidos de resta</w:t>
      </w:r>
      <w:r>
        <w:rPr>
          <w:rFonts w:ascii="Cambria" w:hAnsi="Cambria" w:cs="Cambria"/>
          <w:color w:val="auto"/>
          <w:sz w:val="18"/>
          <w:szCs w:val="18"/>
        </w:rPr>
        <w:t xml:space="preserve">belecimento do equilíbrio econômico-financeiro feitos pelo contratado.</w:t>
      </w:r>
      <w:r/>
    </w:p>
    <w:p>
      <w:pPr>
        <w:pStyle w:val="1068"/>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7.1.11 - A Administração não responderá por quaisquer compromissos assumidos pelo Contratado com terceiros, ainda que vinculados à execução do contrato, bem como por qualquer dano causa</w:t>
      </w:r>
      <w:r>
        <w:rPr>
          <w:rFonts w:ascii="Cambria" w:hAnsi="Cambria" w:cs="Cambria"/>
          <w:color w:val="auto"/>
          <w:sz w:val="18"/>
          <w:szCs w:val="18"/>
        </w:rPr>
        <w:t xml:space="preserve">do a terceiros em decorrência de ato do Contratado, de seus empregados, prepostos ou subordinados.</w:t>
      </w:r>
      <w:r/>
    </w:p>
    <w:p>
      <w:pPr>
        <w:pStyle w:val="1068"/>
        <w:numPr>
          <w:ilvl w:val="0"/>
          <w:numId w:val="0"/>
        </w:numPr>
        <w:ind w:left="567"/>
        <w:spacing w:before="0" w:after="0" w:line="312" w:lineRule="auto"/>
        <w:rPr>
          <w:rFonts w:ascii="Cambria" w:hAnsi="Cambria" w:cs="Cambria"/>
          <w:sz w:val="18"/>
          <w:szCs w:val="18"/>
        </w:rPr>
      </w:pPr>
      <w:r>
        <w:rPr>
          <w:rFonts w:ascii="Cambria" w:hAnsi="Cambria" w:cs="Cambria"/>
          <w:sz w:val="18"/>
          <w:szCs w:val="18"/>
        </w:rPr>
      </w:r>
      <w:r/>
    </w:p>
    <w:p>
      <w:pPr>
        <w:pStyle w:val="1051"/>
        <w:numPr>
          <w:ilvl w:val="0"/>
          <w:numId w:val="0"/>
        </w:numPr>
        <w:spacing w:before="0"/>
        <w:rPr>
          <w:rFonts w:ascii="Cambria" w:hAnsi="Cambria" w:cs="Cambria"/>
          <w:sz w:val="18"/>
          <w:szCs w:val="18"/>
        </w:rPr>
      </w:pPr>
      <w:r>
        <w:rPr>
          <w:rFonts w:ascii="Cambria" w:hAnsi="Cambria" w:cs="Cambria"/>
          <w:sz w:val="18"/>
          <w:szCs w:val="18"/>
        </w:rPr>
        <w:t xml:space="preserve">8 - OBRIGAÇÕES DO CONTRATADO (art. 92, incisos XIV, XVI e XVII, da Lei nº 14.133/2021).</w:t>
      </w:r>
      <w:r/>
    </w:p>
    <w:p>
      <w:pPr>
        <w:pStyle w:val="1068"/>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8.1 - O Contratado deve cumprir todas as obrigações constantes do Co</w:t>
      </w:r>
      <w:r>
        <w:rPr>
          <w:rFonts w:ascii="Cambria" w:hAnsi="Cambria" w:cs="Cambria"/>
          <w:color w:val="auto"/>
          <w:sz w:val="18"/>
          <w:szCs w:val="18"/>
        </w:rPr>
        <w:t xml:space="preserve">ntrato e em seus anexos, assumindo como exclusivamente seus os riscos e as despesas decorrentes da boa e perfeita execução do objeto, observando, ainda, as obrigações a seguir dispostas:</w:t>
      </w:r>
      <w:r/>
    </w:p>
    <w:p>
      <w:pPr>
        <w:pStyle w:val="1115"/>
        <w:numPr>
          <w:ilvl w:val="0"/>
          <w:numId w:val="0"/>
        </w:numPr>
        <w:spacing w:before="0" w:after="0" w:line="312" w:lineRule="auto"/>
        <w:rPr>
          <w:rFonts w:ascii="Cambria" w:hAnsi="Cambria" w:cs="Cambria"/>
          <w:sz w:val="18"/>
          <w:szCs w:val="18"/>
        </w:rPr>
      </w:pPr>
      <w:r>
        <w:rPr>
          <w:rFonts w:ascii="Cambria" w:hAnsi="Cambria" w:cs="Cambria"/>
          <w:i w:val="0"/>
          <w:color w:val="auto"/>
          <w:sz w:val="18"/>
          <w:szCs w:val="18"/>
        </w:rPr>
        <w:t xml:space="preserve">8.1.1 - Entregar o objeto acompanhado do manual do usuário, com uma v</w:t>
      </w:r>
      <w:r>
        <w:rPr>
          <w:rFonts w:ascii="Cambria" w:hAnsi="Cambria" w:cs="Cambria"/>
          <w:i w:val="0"/>
          <w:color w:val="auto"/>
          <w:sz w:val="18"/>
          <w:szCs w:val="18"/>
        </w:rPr>
        <w:t xml:space="preserve">ersão em português, e da relação da rede de assistência técnica autorizada;</w:t>
      </w:r>
      <w:r/>
    </w:p>
    <w:p>
      <w:pPr>
        <w:pStyle w:val="1068"/>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8.1.2 - Responsabilizar-se pelos vícios e danos decorrentes do objeto, de acordo com o Código de Defesa do Consumidor (Lei nº 8.078, de 1990);</w:t>
      </w:r>
      <w:r/>
    </w:p>
    <w:p>
      <w:pPr>
        <w:pStyle w:val="1068"/>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8.1.3 - Comunicar ao contratante, no prazo máximo de 24 (vinte e quatro) horas que antecede a data da entrega, os motivos que impossibilitem o cumprimento do prazo previsto, com a devida comprovação;</w:t>
      </w:r>
      <w:r/>
    </w:p>
    <w:p>
      <w:pPr>
        <w:pStyle w:val="1068"/>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8.1.4 - Atender às determinações regulares emitidas pelo</w:t>
      </w:r>
      <w:r>
        <w:rPr>
          <w:rFonts w:ascii="Cambria" w:hAnsi="Cambria" w:cs="Cambria"/>
          <w:color w:val="auto"/>
          <w:sz w:val="18"/>
          <w:szCs w:val="18"/>
        </w:rPr>
        <w:t xml:space="preserve"> fiscal ou gestor do contrato ou autoridade superior (art. 137, II, da Lei </w:t>
      </w:r>
      <w:r>
        <w:rPr>
          <w:rFonts w:ascii="Cambria" w:hAnsi="Cambria" w:cs="Cambria"/>
          <w:color w:val="auto"/>
          <w:sz w:val="18"/>
          <w:szCs w:val="18"/>
        </w:rPr>
        <w:t xml:space="preserve">n.º</w:t>
      </w:r>
      <w:r>
        <w:rPr>
          <w:rFonts w:ascii="Cambria" w:hAnsi="Cambria" w:cs="Cambria"/>
          <w:color w:val="auto"/>
          <w:sz w:val="18"/>
          <w:szCs w:val="18"/>
        </w:rPr>
        <w:t xml:space="preserve"> 14.133, de 2021) e prestar todo esclarecimento ou informação por eles solicitados;</w:t>
      </w:r>
      <w:r/>
    </w:p>
    <w:p>
      <w:pPr>
        <w:pStyle w:val="1068"/>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8.1.5 - Reparar, corrigir, remover, reconstruir ou substituir, às suas expensas, no total ou e</w:t>
      </w:r>
      <w:r>
        <w:rPr>
          <w:rFonts w:ascii="Cambria" w:hAnsi="Cambria" w:cs="Cambria"/>
          <w:color w:val="auto"/>
          <w:sz w:val="18"/>
          <w:szCs w:val="18"/>
        </w:rPr>
        <w:t xml:space="preserve">m parte, no prazo fixado pelo fiscal do contrato, os bens nos quais se verificarem vícios, defeitos ou incorreções resultantes da execução ou dos materiais empregados;</w:t>
      </w:r>
      <w:r/>
    </w:p>
    <w:p>
      <w:pPr>
        <w:pStyle w:val="1068"/>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8.1.6 - Responsabilizar-se pelos vícios e danos decorrentes da execução do objeto, bem c</w:t>
      </w:r>
      <w:r>
        <w:rPr>
          <w:rFonts w:ascii="Cambria" w:hAnsi="Cambria" w:cs="Cambria"/>
          <w:color w:val="auto"/>
          <w:sz w:val="18"/>
          <w:szCs w:val="18"/>
        </w:rPr>
        <w:t xml:space="preserve">omo por todo e qualquer dano causado à Administração ou terceiros, não reduzindo essa responsabilidade a fiscalização ou o acompanhamento da execução contratual pelo contratante, que ficará autorizado a descontar dos pagamentos devidos ou da garantia, caso</w:t>
      </w:r>
      <w:r>
        <w:rPr>
          <w:rFonts w:ascii="Cambria" w:hAnsi="Cambria" w:cs="Cambria"/>
          <w:color w:val="auto"/>
          <w:sz w:val="18"/>
          <w:szCs w:val="18"/>
        </w:rPr>
        <w:t xml:space="preserve"> exigida, o valor correspondente aos danos sofridos;</w:t>
      </w:r>
      <w:r/>
    </w:p>
    <w:p>
      <w:pPr>
        <w:pStyle w:val="1068"/>
        <w:numPr>
          <w:ilvl w:val="0"/>
          <w:numId w:val="0"/>
        </w:numPr>
        <w:spacing w:before="0" w:after="0" w:line="312" w:lineRule="auto"/>
        <w:rPr>
          <w:rFonts w:ascii="Cambria" w:hAnsi="Cambria" w:cs="Cambria"/>
          <w:color w:val="auto"/>
          <w:sz w:val="18"/>
          <w:szCs w:val="18"/>
        </w:rPr>
      </w:pPr>
      <w:r>
        <w:rPr>
          <w:rFonts w:ascii="Cambria" w:hAnsi="Cambria" w:cs="Cambria"/>
          <w:color w:val="auto"/>
          <w:sz w:val="18"/>
          <w:szCs w:val="18"/>
        </w:rPr>
        <w:t xml:space="preserve">8.1.7 - O contratado deverá entregar ao setor responsável pela fiscalização do contrato, junto com a NF - Nota Fiscal para fins de pagamento, os seguintes documentos:</w:t>
      </w:r>
      <w:r/>
    </w:p>
    <w:p>
      <w:pPr>
        <w:pStyle w:val="1068"/>
        <w:numPr>
          <w:ilvl w:val="0"/>
          <w:numId w:val="0"/>
        </w:numPr>
        <w:spacing w:before="0" w:after="0" w:line="312" w:lineRule="auto"/>
        <w:rPr>
          <w:rFonts w:ascii="Cambria" w:hAnsi="Cambria" w:cs="Cambria"/>
          <w:color w:val="auto"/>
          <w:sz w:val="18"/>
          <w:szCs w:val="18"/>
        </w:rPr>
      </w:pPr>
      <w:r>
        <w:rPr>
          <w:rFonts w:ascii="Cambria" w:hAnsi="Cambria" w:cs="Cambria"/>
          <w:color w:val="auto"/>
          <w:sz w:val="18"/>
          <w:szCs w:val="18"/>
        </w:rPr>
        <w:t xml:space="preserve"> 1) prova de regularidade relativa à</w:t>
      </w:r>
      <w:r>
        <w:rPr>
          <w:rFonts w:ascii="Cambria" w:hAnsi="Cambria" w:cs="Cambria"/>
          <w:color w:val="auto"/>
          <w:sz w:val="18"/>
          <w:szCs w:val="18"/>
        </w:rPr>
        <w:t xml:space="preserve"> Seguridade Social; </w:t>
      </w:r>
      <w:r/>
    </w:p>
    <w:p>
      <w:pPr>
        <w:pStyle w:val="1068"/>
        <w:numPr>
          <w:ilvl w:val="0"/>
          <w:numId w:val="0"/>
        </w:numPr>
        <w:spacing w:before="0" w:after="0" w:line="312" w:lineRule="auto"/>
        <w:rPr>
          <w:rFonts w:ascii="Cambria" w:hAnsi="Cambria" w:cs="Cambria"/>
          <w:color w:val="auto"/>
          <w:sz w:val="18"/>
          <w:szCs w:val="18"/>
        </w:rPr>
      </w:pPr>
      <w:r>
        <w:rPr>
          <w:rFonts w:ascii="Cambria" w:hAnsi="Cambria" w:cs="Cambria"/>
          <w:color w:val="auto"/>
          <w:sz w:val="18"/>
          <w:szCs w:val="18"/>
        </w:rPr>
        <w:t xml:space="preserve"> 2) certidão conjunta relativa aos tributos federais e à Dívida Ativa da União; </w:t>
      </w:r>
      <w:r/>
    </w:p>
    <w:p>
      <w:pPr>
        <w:pStyle w:val="1068"/>
        <w:numPr>
          <w:ilvl w:val="0"/>
          <w:numId w:val="0"/>
        </w:numPr>
        <w:spacing w:before="0" w:after="0" w:line="312" w:lineRule="auto"/>
        <w:rPr>
          <w:rFonts w:ascii="Cambria" w:hAnsi="Cambria" w:cs="Cambria"/>
          <w:color w:val="auto"/>
          <w:sz w:val="18"/>
          <w:szCs w:val="18"/>
        </w:rPr>
      </w:pPr>
      <w:r>
        <w:rPr>
          <w:rFonts w:ascii="Cambria" w:hAnsi="Cambria" w:cs="Cambria"/>
          <w:color w:val="auto"/>
          <w:sz w:val="18"/>
          <w:szCs w:val="18"/>
        </w:rPr>
        <w:t xml:space="preserve"> 3) certidões que comprovem a regularidade perante a Fazenda Estadual ou Distrital do domicílio ou sede do contratado; </w:t>
      </w:r>
      <w:r/>
    </w:p>
    <w:p>
      <w:pPr>
        <w:pStyle w:val="1068"/>
        <w:numPr>
          <w:ilvl w:val="0"/>
          <w:numId w:val="0"/>
        </w:numPr>
        <w:spacing w:before="0" w:after="0" w:line="312" w:lineRule="auto"/>
        <w:rPr>
          <w:rFonts w:ascii="Cambria" w:hAnsi="Cambria" w:cs="Cambria"/>
          <w:color w:val="auto"/>
          <w:sz w:val="18"/>
          <w:szCs w:val="18"/>
        </w:rPr>
      </w:pPr>
      <w:r>
        <w:rPr>
          <w:rFonts w:ascii="Cambria" w:hAnsi="Cambria" w:cs="Cambria"/>
          <w:color w:val="auto"/>
          <w:sz w:val="18"/>
          <w:szCs w:val="18"/>
        </w:rPr>
        <w:t xml:space="preserve"> 4) Certidão de Regularidade do FG</w:t>
      </w:r>
      <w:r>
        <w:rPr>
          <w:rFonts w:ascii="Cambria" w:hAnsi="Cambria" w:cs="Cambria"/>
          <w:color w:val="auto"/>
          <w:sz w:val="18"/>
          <w:szCs w:val="18"/>
        </w:rPr>
        <w:t xml:space="preserve">TS – CRF; </w:t>
      </w:r>
      <w:r/>
    </w:p>
    <w:p>
      <w:pPr>
        <w:pStyle w:val="1068"/>
        <w:numPr>
          <w:ilvl w:val="0"/>
          <w:numId w:val="0"/>
        </w:numPr>
        <w:spacing w:before="0" w:after="0" w:line="312" w:lineRule="auto"/>
        <w:rPr>
          <w:rFonts w:ascii="Cambria" w:hAnsi="Cambria" w:cs="Cambria"/>
          <w:color w:val="auto"/>
          <w:sz w:val="18"/>
          <w:szCs w:val="18"/>
        </w:rPr>
      </w:pPr>
      <w:r>
        <w:rPr>
          <w:rFonts w:ascii="Cambria" w:hAnsi="Cambria" w:cs="Cambria"/>
          <w:color w:val="auto"/>
          <w:sz w:val="18"/>
          <w:szCs w:val="18"/>
        </w:rPr>
        <w:t xml:space="preserve"> 5) Certidão Negativa de Débitos Trabalhistas – CNDT;</w:t>
      </w:r>
      <w:r/>
    </w:p>
    <w:p>
      <w:pPr>
        <w:pStyle w:val="1068"/>
        <w:numPr>
          <w:ilvl w:val="0"/>
          <w:numId w:val="0"/>
        </w:numPr>
        <w:spacing w:before="0" w:after="0" w:line="312" w:lineRule="auto"/>
        <w:rPr>
          <w:rFonts w:ascii="Cambria" w:hAnsi="Cambria" w:cs="Cambria"/>
          <w:color w:val="auto"/>
          <w:sz w:val="18"/>
          <w:szCs w:val="18"/>
        </w:rPr>
      </w:pPr>
      <w:r>
        <w:rPr>
          <w:rFonts w:ascii="Cambria" w:hAnsi="Cambria" w:cs="Cambria"/>
          <w:color w:val="auto"/>
          <w:sz w:val="18"/>
          <w:szCs w:val="18"/>
        </w:rPr>
        <w:t xml:space="preserve"> 6) Certidão Negativa de Débitos Municipais.</w:t>
      </w:r>
      <w:r/>
    </w:p>
    <w:p>
      <w:pPr>
        <w:pStyle w:val="1068"/>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8.1.8 - Responsabi</w:t>
      </w:r>
      <w:r>
        <w:rPr>
          <w:rFonts w:ascii="Cambria" w:hAnsi="Cambria" w:cs="Cambria"/>
          <w:color w:val="auto"/>
          <w:sz w:val="18"/>
          <w:szCs w:val="18"/>
        </w:rPr>
        <w:t xml:space="preserve">lizar-se pelo cumprimento de todas as obrigações trabalhistas, previdenciárias, fiscais, comerciais e as demais previstas em legislação específica, cuja inadimplência não transfere a responsabilidade ao contratante e não poderá onerar o objeto do contrato;</w:t>
      </w:r>
      <w:r/>
    </w:p>
    <w:p>
      <w:pPr>
        <w:pStyle w:val="1068"/>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8.1.9 - Comunicar ao Fiscal do contrato, no prazo de 24 (vinte e quatro) horas, qualquer ocorrência anormal ou acidente que se verifique no local da execução do objeto contratual.</w:t>
      </w:r>
      <w:r/>
    </w:p>
    <w:p>
      <w:pPr>
        <w:pStyle w:val="1068"/>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8.1.10 - Paralisar, por determinação do contratante, qualquer atividade que</w:t>
      </w:r>
      <w:r>
        <w:rPr>
          <w:rFonts w:ascii="Cambria" w:hAnsi="Cambria" w:cs="Cambria"/>
          <w:color w:val="auto"/>
          <w:sz w:val="18"/>
          <w:szCs w:val="18"/>
        </w:rPr>
        <w:t xml:space="preserve"> não esteja sendo executada de acordo com a boa técnica ou que ponha em risco a segurança de pessoas ou bens de terceiros.</w:t>
      </w:r>
      <w:r/>
    </w:p>
    <w:p>
      <w:pPr>
        <w:pStyle w:val="1068"/>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8.1.11 - Manter durante toda a vigência do contrato, em compatibilidade com as obrigações assumidas, todas as condições exigidas para</w:t>
      </w:r>
      <w:r>
        <w:rPr>
          <w:rFonts w:ascii="Cambria" w:hAnsi="Cambria" w:cs="Cambria"/>
          <w:color w:val="auto"/>
          <w:sz w:val="18"/>
          <w:szCs w:val="18"/>
        </w:rPr>
        <w:t xml:space="preserve"> habilitação na licitação; </w:t>
      </w:r>
      <w:r/>
    </w:p>
    <w:p>
      <w:pPr>
        <w:pStyle w:val="1068"/>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8.1.12 - Guardar sigilo sobre todas as informações obtidas em decorrência do cumprimento do contrato; </w:t>
      </w:r>
      <w:r/>
    </w:p>
    <w:p>
      <w:pPr>
        <w:pStyle w:val="1068"/>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8.1.13 - Arcar com o ônus decorrente de eventual equívoco no dimensionamento dos quantitativos de sua proposta, inclusive qua</w:t>
      </w:r>
      <w:r>
        <w:rPr>
          <w:rFonts w:ascii="Cambria" w:hAnsi="Cambria" w:cs="Cambria"/>
          <w:color w:val="auto"/>
          <w:sz w:val="18"/>
          <w:szCs w:val="18"/>
        </w:rPr>
        <w:t xml:space="preserve">nto aos custos variáveis decorrentes de fatores futuros e incertos, devendo complementá-los, caso o previsto inicialmente em sua proposta não seja satisfatório para o atendimento do objeto da contratação, exceto quando ocorrer algum dos eventos arrolados n</w:t>
      </w:r>
      <w:r>
        <w:rPr>
          <w:rFonts w:ascii="Cambria" w:hAnsi="Cambria" w:cs="Cambria"/>
          <w:color w:val="auto"/>
          <w:sz w:val="18"/>
          <w:szCs w:val="18"/>
        </w:rPr>
        <w:t xml:space="preserve">o art. 124, inciso II, alínea ‘d’, da Lei nº 14.133, de 2021.</w:t>
      </w:r>
      <w:r/>
    </w:p>
    <w:p>
      <w:pPr>
        <w:pStyle w:val="1068"/>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8.1.14 - Cumprir, além dos postulados legais vigentes de âmbito federal, estadual ou municipal, as normas de segurança do contratante;</w:t>
      </w:r>
      <w:r/>
    </w:p>
    <w:p>
      <w:pPr>
        <w:pStyle w:val="1115"/>
        <w:numPr>
          <w:ilvl w:val="0"/>
          <w:numId w:val="0"/>
        </w:numPr>
        <w:spacing w:before="0" w:after="0" w:line="312" w:lineRule="auto"/>
        <w:rPr>
          <w:rFonts w:ascii="Cambria" w:hAnsi="Cambria" w:cs="Cambria"/>
          <w:sz w:val="18"/>
          <w:szCs w:val="18"/>
        </w:rPr>
      </w:pPr>
      <w:r>
        <w:rPr>
          <w:rFonts w:ascii="Cambria" w:hAnsi="Cambria" w:cs="Cambria"/>
          <w:i w:val="0"/>
          <w:iCs w:val="0"/>
          <w:color w:val="auto"/>
          <w:sz w:val="18"/>
          <w:szCs w:val="18"/>
        </w:rPr>
        <w:t xml:space="preserve">8.1.15 - Alocar os empregados necessários, com habilitação </w:t>
      </w:r>
      <w:r>
        <w:rPr>
          <w:rFonts w:ascii="Cambria" w:hAnsi="Cambria" w:cs="Cambria"/>
          <w:i w:val="0"/>
          <w:iCs w:val="0"/>
          <w:color w:val="auto"/>
          <w:sz w:val="18"/>
          <w:szCs w:val="18"/>
        </w:rPr>
        <w:t xml:space="preserve">e conhecimento adequados, ao perfeito cumprimento das cláusulas deste contrato, fornecendo os materiais, equipamentos, ferramentas e utensílios demandados, cuja quantidade, qualidade e tecnologia deverão atender às recomendações de boa técnica e a legislaç</w:t>
      </w:r>
      <w:r>
        <w:rPr>
          <w:rFonts w:ascii="Cambria" w:hAnsi="Cambria" w:cs="Cambria"/>
          <w:i w:val="0"/>
          <w:iCs w:val="0"/>
          <w:color w:val="auto"/>
          <w:sz w:val="18"/>
          <w:szCs w:val="18"/>
        </w:rPr>
        <w:t xml:space="preserve">ão de regência;</w:t>
      </w:r>
      <w:r/>
    </w:p>
    <w:p>
      <w:pPr>
        <w:pStyle w:val="1115"/>
        <w:numPr>
          <w:ilvl w:val="0"/>
          <w:numId w:val="0"/>
        </w:numPr>
        <w:spacing w:before="0" w:after="0" w:line="312" w:lineRule="auto"/>
        <w:rPr>
          <w:rFonts w:ascii="Cambria" w:hAnsi="Cambria" w:cs="Cambria"/>
          <w:sz w:val="18"/>
          <w:szCs w:val="18"/>
        </w:rPr>
      </w:pPr>
      <w:r>
        <w:rPr>
          <w:rFonts w:ascii="Cambria" w:hAnsi="Cambria" w:cs="Cambria"/>
          <w:i w:val="0"/>
          <w:iCs w:val="0"/>
          <w:color w:val="auto"/>
          <w:sz w:val="18"/>
          <w:szCs w:val="18"/>
        </w:rPr>
        <w:t xml:space="preserve">8.1.16 - Orientar e treinar seus empregados sobre os deveres previstos na Lei nº 13.709, de 14 de agosto de 2018, adotando medidas eficazes para proteção de dados pessoais a que tenha acesso por força da execução deste contrato;</w:t>
      </w:r>
      <w:r/>
    </w:p>
    <w:p>
      <w:pPr>
        <w:pStyle w:val="1115"/>
        <w:numPr>
          <w:ilvl w:val="0"/>
          <w:numId w:val="0"/>
        </w:numPr>
        <w:spacing w:before="0" w:after="0" w:line="312" w:lineRule="auto"/>
        <w:rPr>
          <w:rFonts w:ascii="Cambria" w:hAnsi="Cambria" w:cs="Cambria"/>
          <w:sz w:val="18"/>
          <w:szCs w:val="18"/>
        </w:rPr>
      </w:pPr>
      <w:r>
        <w:rPr>
          <w:rFonts w:ascii="Cambria" w:hAnsi="Cambria" w:cs="Cambria"/>
          <w:i w:val="0"/>
          <w:iCs w:val="0"/>
          <w:color w:val="auto"/>
          <w:sz w:val="18"/>
          <w:szCs w:val="18"/>
        </w:rPr>
        <w:t xml:space="preserve">8.1.17 - Co</w:t>
      </w:r>
      <w:r>
        <w:rPr>
          <w:rFonts w:ascii="Cambria" w:hAnsi="Cambria" w:cs="Cambria"/>
          <w:i w:val="0"/>
          <w:iCs w:val="0"/>
          <w:color w:val="auto"/>
          <w:sz w:val="18"/>
          <w:szCs w:val="18"/>
        </w:rPr>
        <w:t xml:space="preserve">nduzir os trabalhos com estrita observância às normas da legislação pertinente, cumprindo as determinações dos Poderes Públicos, mantendo sempre limpo o local d</w:t>
      </w:r>
      <w:r>
        <w:rPr>
          <w:rFonts w:ascii="Cambria" w:hAnsi="Cambria" w:cs="Cambria"/>
          <w:i w:val="0"/>
          <w:iCs w:val="0"/>
          <w:color w:val="auto"/>
          <w:sz w:val="18"/>
          <w:szCs w:val="18"/>
          <w:lang w:eastAsia="en-US"/>
        </w:rPr>
        <w:t xml:space="preserve">e execução do objeto</w:t>
      </w:r>
      <w:r>
        <w:rPr>
          <w:rFonts w:ascii="Cambria" w:hAnsi="Cambria" w:cs="Cambria"/>
          <w:i w:val="0"/>
          <w:iCs w:val="0"/>
          <w:color w:val="auto"/>
          <w:sz w:val="18"/>
          <w:szCs w:val="18"/>
        </w:rPr>
        <w:t xml:space="preserve"> e nas melhores condições de segurança, higiene e disciplina.</w:t>
      </w:r>
      <w:r/>
    </w:p>
    <w:p>
      <w:pPr>
        <w:pStyle w:val="1115"/>
        <w:numPr>
          <w:ilvl w:val="0"/>
          <w:numId w:val="0"/>
        </w:numPr>
        <w:spacing w:before="0" w:after="0" w:line="312" w:lineRule="auto"/>
        <w:rPr>
          <w:rFonts w:ascii="Cambria" w:hAnsi="Cambria" w:cs="Cambria"/>
          <w:sz w:val="18"/>
          <w:szCs w:val="18"/>
        </w:rPr>
      </w:pPr>
      <w:r>
        <w:rPr>
          <w:rFonts w:ascii="Cambria" w:hAnsi="Cambria" w:cs="Cambria"/>
          <w:i w:val="0"/>
          <w:iCs w:val="0"/>
          <w:color w:val="auto"/>
          <w:sz w:val="18"/>
          <w:szCs w:val="18"/>
        </w:rPr>
        <w:t xml:space="preserve">8.1.18 - Subme</w:t>
      </w:r>
      <w:r>
        <w:rPr>
          <w:rFonts w:ascii="Cambria" w:hAnsi="Cambria" w:cs="Cambria"/>
          <w:i w:val="0"/>
          <w:iCs w:val="0"/>
          <w:color w:val="auto"/>
          <w:sz w:val="18"/>
          <w:szCs w:val="18"/>
        </w:rPr>
        <w:t xml:space="preserve">ter previamente, por escrito, ao contratante, para análise e aprovação, quaisquer mudanças nos métodos executivos que fujam às especificações do memorial descritivo ou instrumento congênere.</w:t>
      </w:r>
      <w:r/>
    </w:p>
    <w:p>
      <w:pPr>
        <w:pStyle w:val="1115"/>
        <w:numPr>
          <w:ilvl w:val="0"/>
          <w:numId w:val="0"/>
        </w:numPr>
        <w:spacing w:before="0" w:after="0" w:line="312" w:lineRule="auto"/>
        <w:rPr>
          <w:rFonts w:ascii="Cambria" w:hAnsi="Cambria" w:cs="Cambria"/>
          <w:i w:val="0"/>
          <w:color w:val="auto"/>
          <w:sz w:val="18"/>
          <w:szCs w:val="18"/>
        </w:rPr>
      </w:pPr>
      <w:r>
        <w:rPr>
          <w:rFonts w:ascii="Cambria" w:hAnsi="Cambria" w:cs="Cambria"/>
          <w:i w:val="0"/>
          <w:iCs w:val="0"/>
          <w:color w:val="auto"/>
          <w:sz w:val="18"/>
          <w:szCs w:val="18"/>
        </w:rPr>
        <w:t xml:space="preserve">8.1.19 - Não permitir a utilização de qualquer trabalho do menor </w:t>
      </w:r>
      <w:r>
        <w:rPr>
          <w:rFonts w:ascii="Cambria" w:hAnsi="Cambria" w:cs="Cambria"/>
          <w:i w:val="0"/>
          <w:iCs w:val="0"/>
          <w:color w:val="auto"/>
          <w:sz w:val="18"/>
          <w:szCs w:val="18"/>
        </w:rPr>
        <w:t xml:space="preserve">de 16 (dezesseis) anos, exceto na condição de aprendiz para os maiores de 14 (quatorze) anos, nem permitir a utilização do trabalho do menor de 18 (dezoito) anos em trabalho noturno, perigoso ou insalubre.</w:t>
      </w:r>
      <w:r/>
    </w:p>
    <w:p>
      <w:pPr>
        <w:pStyle w:val="1115"/>
        <w:numPr>
          <w:ilvl w:val="0"/>
          <w:numId w:val="0"/>
        </w:numPr>
        <w:spacing w:before="0" w:after="0" w:line="312" w:lineRule="auto"/>
        <w:rPr>
          <w:rFonts w:ascii="Cambria" w:hAnsi="Cambria" w:cs="Cambria"/>
          <w:i w:val="0"/>
          <w:color w:val="auto"/>
          <w:sz w:val="18"/>
          <w:szCs w:val="18"/>
        </w:rPr>
      </w:pPr>
      <w:r>
        <w:rPr>
          <w:rFonts w:ascii="Cambria" w:hAnsi="Cambria" w:cs="Cambria"/>
          <w:i w:val="0"/>
          <w:color w:val="auto"/>
          <w:sz w:val="18"/>
          <w:szCs w:val="18"/>
        </w:rPr>
      </w:r>
      <w:r/>
    </w:p>
    <w:p>
      <w:pPr>
        <w:pStyle w:val="1051"/>
        <w:numPr>
          <w:ilvl w:val="0"/>
          <w:numId w:val="0"/>
        </w:numPr>
        <w:spacing w:before="0"/>
        <w:rPr>
          <w:rFonts w:ascii="Cambria" w:hAnsi="Cambria" w:cs="Cambria"/>
          <w:sz w:val="18"/>
          <w:szCs w:val="18"/>
        </w:rPr>
      </w:pPr>
      <w:r>
        <w:rPr>
          <w:rFonts w:ascii="Cambria" w:hAnsi="Cambria" w:cs="Cambria"/>
          <w:sz w:val="18"/>
          <w:szCs w:val="18"/>
        </w:rPr>
        <w:t xml:space="preserve">9 - MODELO DE GESTÃO E FISCALIZAÇÃO DA ATA DE REGISTRO DE PREÇOS OU CONTRATO</w:t>
      </w:r>
      <w:r/>
    </w:p>
    <w:p>
      <w:pPr>
        <w:pStyle w:val="1068"/>
        <w:numPr>
          <w:ilvl w:val="0"/>
          <w:numId w:val="0"/>
        </w:numPr>
        <w:spacing w:before="0" w:after="0" w:line="312" w:lineRule="auto"/>
        <w:rPr>
          <w:rFonts w:ascii="Cambria" w:hAnsi="Cambria" w:cs="Cambria"/>
          <w:sz w:val="18"/>
          <w:szCs w:val="18"/>
        </w:rPr>
      </w:pPr>
      <w:r>
        <w:rPr>
          <w:rFonts w:ascii="Cambria" w:hAnsi="Cambria" w:cs="Cambria"/>
          <w:sz w:val="18"/>
          <w:szCs w:val="18"/>
        </w:rPr>
        <w:t xml:space="preserve">9.1 - A gestão da Ata de Registro de Preços será de responsabilidade </w:t>
      </w:r>
      <w:r>
        <w:rPr>
          <w:rFonts w:ascii="Cambria" w:hAnsi="Cambria" w:cs="Cambria"/>
          <w:color w:val="auto"/>
          <w:sz w:val="18"/>
          <w:szCs w:val="18"/>
        </w:rPr>
        <w:t xml:space="preserve">do Setor de Compras.</w:t>
      </w:r>
      <w:r/>
    </w:p>
    <w:p>
      <w:pPr>
        <w:pStyle w:val="1068"/>
        <w:numPr>
          <w:ilvl w:val="0"/>
          <w:numId w:val="0"/>
        </w:numPr>
        <w:spacing w:before="0" w:after="0" w:line="312" w:lineRule="auto"/>
        <w:rPr>
          <w:rFonts w:ascii="Cambria" w:hAnsi="Cambria" w:cs="Cambria"/>
          <w:sz w:val="18"/>
          <w:szCs w:val="18"/>
        </w:rPr>
      </w:pPr>
      <w:r>
        <w:rPr>
          <w:rFonts w:ascii="Cambria" w:hAnsi="Cambria" w:cs="Cambria"/>
          <w:sz w:val="18"/>
          <w:szCs w:val="18"/>
        </w:rPr>
        <w:t xml:space="preserve">9.2 - </w:t>
      </w:r>
      <w:r>
        <w:rPr>
          <w:rFonts w:ascii="Cambria" w:hAnsi="Cambria" w:eastAsia="Calibri" w:cs="Cambria"/>
          <w:sz w:val="18"/>
          <w:szCs w:val="18"/>
          <w:lang w:eastAsia="en-US"/>
        </w:rPr>
        <w:t xml:space="preserve">A gestão dos contratos oriundos da Ata de Registro de Preços será de responsabilida</w:t>
      </w:r>
      <w:r>
        <w:rPr>
          <w:rFonts w:ascii="Cambria" w:hAnsi="Cambria" w:eastAsia="Calibri" w:cs="Cambria"/>
          <w:sz w:val="18"/>
          <w:szCs w:val="18"/>
          <w:lang w:eastAsia="en-US"/>
        </w:rPr>
        <w:t xml:space="preserve">de dos Secretários Municipais, os quais terão seus fiscais designados no ato da assinatura do contrato.</w:t>
      </w:r>
      <w:r/>
    </w:p>
    <w:p>
      <w:pPr>
        <w:pStyle w:val="1068"/>
        <w:numPr>
          <w:ilvl w:val="0"/>
          <w:numId w:val="0"/>
        </w:numPr>
        <w:spacing w:before="0" w:after="0" w:line="312" w:lineRule="auto"/>
        <w:rPr>
          <w:rFonts w:ascii="Cambria" w:hAnsi="Cambria" w:cs="Cambria"/>
          <w:sz w:val="18"/>
          <w:szCs w:val="18"/>
        </w:rPr>
      </w:pPr>
      <w:r>
        <w:rPr>
          <w:rFonts w:ascii="Cambria" w:hAnsi="Cambria" w:cs="Cambria"/>
          <w:sz w:val="18"/>
          <w:szCs w:val="18"/>
        </w:rPr>
        <w:t xml:space="preserve">9.3 - O contrato deverá ser executado fielmente pelas partes, de acordo com as cláusulas avençadas e as normas da Lei nº 14.133, de 2021, e cada parte r</w:t>
      </w:r>
      <w:r>
        <w:rPr>
          <w:rFonts w:ascii="Cambria" w:hAnsi="Cambria" w:cs="Cambria"/>
          <w:sz w:val="18"/>
          <w:szCs w:val="18"/>
        </w:rPr>
        <w:t xml:space="preserve">esponderá pelas consequências de sua inexecução total ou parcial.</w:t>
      </w:r>
      <w:r/>
    </w:p>
    <w:p>
      <w:pPr>
        <w:pStyle w:val="1068"/>
        <w:numPr>
          <w:ilvl w:val="0"/>
          <w:numId w:val="0"/>
        </w:numPr>
        <w:spacing w:before="0" w:after="0" w:line="312" w:lineRule="auto"/>
        <w:rPr>
          <w:rFonts w:ascii="Cambria" w:hAnsi="Cambria" w:cs="Cambria"/>
          <w:sz w:val="18"/>
          <w:szCs w:val="18"/>
        </w:rPr>
      </w:pPr>
      <w:r>
        <w:rPr>
          <w:rFonts w:ascii="Cambria" w:hAnsi="Cambria" w:cs="Cambria"/>
          <w:sz w:val="18"/>
          <w:szCs w:val="18"/>
        </w:rPr>
        <w:t xml:space="preserve">9.4 - Em caso de impedimento, ordem de paralisação ou suspensão do contrato, o cronograma de execução será prorrogado automaticamente pelo tempo correspondente, anotadas tais circunstâncias </w:t>
      </w:r>
      <w:r>
        <w:rPr>
          <w:rFonts w:ascii="Cambria" w:hAnsi="Cambria" w:cs="Cambria"/>
          <w:sz w:val="18"/>
          <w:szCs w:val="18"/>
        </w:rPr>
        <w:t xml:space="preserve">mediante simples apostila.</w:t>
      </w:r>
      <w:r/>
    </w:p>
    <w:p>
      <w:pPr>
        <w:pStyle w:val="1068"/>
        <w:numPr>
          <w:ilvl w:val="0"/>
          <w:numId w:val="0"/>
        </w:numPr>
        <w:spacing w:before="0" w:after="0" w:line="312" w:lineRule="auto"/>
        <w:rPr>
          <w:rFonts w:ascii="Cambria" w:hAnsi="Cambria" w:cs="Cambria"/>
          <w:sz w:val="18"/>
          <w:szCs w:val="18"/>
        </w:rPr>
      </w:pPr>
      <w:r>
        <w:rPr>
          <w:rFonts w:ascii="Cambria" w:hAnsi="Cambria" w:cs="Cambria"/>
          <w:sz w:val="18"/>
          <w:szCs w:val="18"/>
        </w:rPr>
        <w:t xml:space="preserve">9.5 - As comunicações entre o órgão ou entidade e a contratada devem ser realizadas por escrito sempre que o ato exigir tal formalidade, admitindo-se o uso de mensagem eletrônica para esse fim.</w:t>
      </w:r>
      <w:r/>
    </w:p>
    <w:p>
      <w:pPr>
        <w:pStyle w:val="1068"/>
        <w:numPr>
          <w:ilvl w:val="0"/>
          <w:numId w:val="0"/>
        </w:numPr>
        <w:spacing w:before="0" w:after="0" w:line="312" w:lineRule="auto"/>
        <w:rPr>
          <w:rFonts w:ascii="Cambria" w:hAnsi="Cambria" w:cs="Cambria"/>
          <w:sz w:val="18"/>
          <w:szCs w:val="18"/>
        </w:rPr>
      </w:pPr>
      <w:r>
        <w:rPr>
          <w:rFonts w:ascii="Cambria" w:hAnsi="Cambria" w:cs="Cambria"/>
          <w:sz w:val="18"/>
          <w:szCs w:val="18"/>
        </w:rPr>
        <w:t xml:space="preserve">9.6 - O órgão ou entidade poderá co</w:t>
      </w:r>
      <w:r>
        <w:rPr>
          <w:rFonts w:ascii="Cambria" w:hAnsi="Cambria" w:cs="Cambria"/>
          <w:sz w:val="18"/>
          <w:szCs w:val="18"/>
        </w:rPr>
        <w:t xml:space="preserve">nvocar representante da empresa para adoção de providências que devam ser cumpridas de imediato.</w:t>
      </w:r>
      <w:r/>
    </w:p>
    <w:p>
      <w:pPr>
        <w:pStyle w:val="1115"/>
        <w:numPr>
          <w:ilvl w:val="0"/>
          <w:numId w:val="0"/>
        </w:numPr>
        <w:spacing w:before="0" w:after="0" w:line="312" w:lineRule="auto"/>
        <w:rPr>
          <w:rFonts w:ascii="Cambria" w:hAnsi="Cambria" w:cs="Cambria"/>
          <w:sz w:val="18"/>
          <w:szCs w:val="18"/>
        </w:rPr>
      </w:pPr>
      <w:r>
        <w:rPr>
          <w:rFonts w:ascii="Cambria" w:hAnsi="Cambria" w:cs="Cambria"/>
          <w:i w:val="0"/>
          <w:iCs w:val="0"/>
          <w:color w:val="auto"/>
          <w:sz w:val="18"/>
          <w:szCs w:val="18"/>
        </w:rPr>
        <w:t xml:space="preserve">9.7 - Após a assinatura do contrato ou instrumento equivalente, o órgão ou entidade poderá convocar o representante da empresa contratada para reunião inicial </w:t>
      </w:r>
      <w:r>
        <w:rPr>
          <w:rFonts w:ascii="Cambria" w:hAnsi="Cambria" w:cs="Cambria"/>
          <w:i w:val="0"/>
          <w:iCs w:val="0"/>
          <w:color w:val="auto"/>
          <w:sz w:val="18"/>
          <w:szCs w:val="18"/>
        </w:rPr>
        <w:t xml:space="preserve">para apresentação do plano de fiscalização, que conterá informações acerca das obrigações contratuais, dos mecanismos de fiscalização, das estratégias para execução do objeto, do plano complementar de execução da contratada, quando houver, do método de afe</w:t>
      </w:r>
      <w:r>
        <w:rPr>
          <w:rFonts w:ascii="Cambria" w:hAnsi="Cambria" w:cs="Cambria"/>
          <w:i w:val="0"/>
          <w:iCs w:val="0"/>
          <w:color w:val="auto"/>
          <w:sz w:val="18"/>
          <w:szCs w:val="18"/>
        </w:rPr>
        <w:t xml:space="preserve">rição dos resultados e das sanções aplicáveis, dentre outros.</w:t>
      </w:r>
      <w:r/>
    </w:p>
    <w:p>
      <w:pPr>
        <w:pStyle w:val="1068"/>
        <w:numPr>
          <w:ilvl w:val="0"/>
          <w:numId w:val="0"/>
        </w:numPr>
        <w:spacing w:before="0" w:after="0" w:line="312" w:lineRule="auto"/>
        <w:rPr>
          <w:rFonts w:ascii="Cambria" w:hAnsi="Cambria" w:cs="Cambria"/>
          <w:sz w:val="18"/>
          <w:szCs w:val="18"/>
        </w:rPr>
      </w:pPr>
      <w:r>
        <w:rPr>
          <w:rFonts w:ascii="Cambria" w:hAnsi="Cambria" w:cs="Cambria"/>
          <w:sz w:val="18"/>
          <w:szCs w:val="18"/>
        </w:rPr>
        <w:t xml:space="preserve">9.8 – As competências dos Fiscais Administrativos, Fiscais Técnicos e Gestor dos contratos estão estabelecidas no Decreto Municipal nº 4.781/23, de 10 de outubro de 2024.</w:t>
      </w:r>
      <w:r/>
    </w:p>
    <w:p>
      <w:pPr>
        <w:pStyle w:val="1116"/>
        <w:numPr>
          <w:ilvl w:val="0"/>
          <w:numId w:val="0"/>
        </w:numPr>
        <w:spacing w:before="0" w:after="0" w:line="312" w:lineRule="auto"/>
        <w:rPr>
          <w:rFonts w:ascii="Cambria" w:hAnsi="Cambria" w:cs="Cambria"/>
          <w:sz w:val="18"/>
          <w:szCs w:val="18"/>
        </w:rPr>
      </w:pPr>
      <w:r>
        <w:rPr>
          <w:rFonts w:ascii="Cambria" w:hAnsi="Cambria" w:cs="Cambria"/>
          <w:sz w:val="18"/>
          <w:szCs w:val="18"/>
        </w:rPr>
      </w:r>
      <w:r/>
    </w:p>
    <w:p>
      <w:pPr>
        <w:pStyle w:val="1052"/>
        <w:numPr>
          <w:ilvl w:val="0"/>
          <w:numId w:val="0"/>
        </w:numPr>
        <w:spacing w:before="0"/>
        <w:tabs>
          <w:tab w:val="left" w:pos="284" w:leader="none"/>
          <w:tab w:val="clear" w:pos="567" w:leader="none"/>
        </w:tabs>
        <w:rPr>
          <w:rFonts w:ascii="Cambria" w:hAnsi="Cambria" w:cs="Cambria"/>
          <w:sz w:val="18"/>
          <w:szCs w:val="18"/>
        </w:rPr>
      </w:pPr>
      <w:r>
        <w:rPr>
          <w:rFonts w:ascii="Cambria" w:hAnsi="Cambria" w:cs="Cambria"/>
          <w:color w:val="auto"/>
          <w:sz w:val="18"/>
          <w:szCs w:val="18"/>
        </w:rPr>
        <w:t xml:space="preserve">10 – CRITÉRIOS DE MEDIÇÃO E PAGAMENTO (art. 92, incisos V e VI, da Lei nº 14.133/2021).</w:t>
      </w:r>
      <w:r/>
    </w:p>
    <w:p>
      <w:pPr>
        <w:jc w:val="both"/>
        <w:spacing w:line="312" w:lineRule="auto"/>
        <w:rPr>
          <w:rFonts w:ascii="Cambria" w:hAnsi="Cambria" w:cs="Cambria"/>
          <w:sz w:val="18"/>
          <w:szCs w:val="18"/>
        </w:rPr>
      </w:pPr>
      <w:r>
        <w:rPr>
          <w:rFonts w:ascii="Cambria" w:hAnsi="Cambria" w:cs="Cambria"/>
          <w:sz w:val="18"/>
          <w:szCs w:val="18"/>
        </w:rPr>
        <w:t xml:space="preserve">10.1 - FORMA DE PAGAMENTO</w:t>
      </w:r>
      <w:r/>
    </w:p>
    <w:p>
      <w:pPr>
        <w:jc w:val="both"/>
        <w:spacing w:line="312" w:lineRule="auto"/>
        <w:rPr>
          <w:rFonts w:ascii="Cambria" w:hAnsi="Cambria" w:cs="Cambria"/>
          <w:sz w:val="18"/>
          <w:szCs w:val="18"/>
        </w:rPr>
      </w:pPr>
      <w:r>
        <w:rPr>
          <w:rFonts w:ascii="Cambria" w:hAnsi="Cambria" w:cs="Cambria"/>
          <w:sz w:val="18"/>
          <w:szCs w:val="18"/>
        </w:rPr>
        <w:t xml:space="preserve">10.1.1 - O pagamento será realizado a vista, através de ordem bancária, para crédito em banco, agência e conta corrente, a serem devidamente indicados </w:t>
      </w:r>
      <w:r>
        <w:rPr>
          <w:rFonts w:ascii="Cambria" w:hAnsi="Cambria" w:cs="Cambria"/>
          <w:sz w:val="18"/>
          <w:szCs w:val="18"/>
        </w:rPr>
        <w:t xml:space="preserve">pelo contratado.</w:t>
      </w:r>
      <w:r/>
    </w:p>
    <w:p>
      <w:pPr>
        <w:jc w:val="both"/>
        <w:spacing w:line="312" w:lineRule="auto"/>
        <w:rPr>
          <w:rFonts w:ascii="Cambria" w:hAnsi="Cambria" w:cs="Cambria"/>
          <w:sz w:val="18"/>
          <w:szCs w:val="18"/>
        </w:rPr>
      </w:pPr>
      <w:r>
        <w:rPr>
          <w:rFonts w:ascii="Cambria" w:hAnsi="Cambria" w:cs="Cambria"/>
          <w:sz w:val="18"/>
          <w:szCs w:val="18"/>
        </w:rPr>
        <w:t xml:space="preserve">10.1.2 - Será considerada data do pagamento o dia em que constar como emitida a ordem bancária para pagamento.</w:t>
      </w:r>
      <w:r/>
    </w:p>
    <w:p>
      <w:pPr>
        <w:jc w:val="both"/>
        <w:spacing w:line="312" w:lineRule="auto"/>
        <w:rPr>
          <w:rFonts w:ascii="Cambria" w:hAnsi="Cambria" w:cs="Cambria"/>
          <w:sz w:val="18"/>
          <w:szCs w:val="18"/>
        </w:rPr>
      </w:pPr>
      <w:r>
        <w:rPr>
          <w:rFonts w:ascii="Cambria" w:hAnsi="Cambria" w:cs="Cambria"/>
          <w:sz w:val="18"/>
          <w:szCs w:val="18"/>
        </w:rPr>
        <w:t xml:space="preserve">10.2 - PRAZO DE PAGAMENTO</w:t>
      </w:r>
      <w:r/>
    </w:p>
    <w:p>
      <w:pPr>
        <w:jc w:val="both"/>
        <w:spacing w:line="312" w:lineRule="auto"/>
        <w:rPr>
          <w:rFonts w:ascii="Cambria" w:hAnsi="Cambria" w:cs="Cambria"/>
          <w:sz w:val="18"/>
          <w:szCs w:val="18"/>
        </w:rPr>
      </w:pPr>
      <w:r>
        <w:rPr>
          <w:rFonts w:ascii="Cambria" w:hAnsi="Cambria" w:cs="Cambria"/>
          <w:sz w:val="18"/>
          <w:szCs w:val="18"/>
        </w:rPr>
        <w:t xml:space="preserve">10.2.1 - O pagamento será efetuado no prazo máximo de</w:t>
      </w:r>
      <w:r>
        <w:rPr>
          <w:rFonts w:ascii="Cambria" w:hAnsi="Cambria" w:eastAsia="Arial" w:cs="Cambria"/>
          <w:sz w:val="18"/>
          <w:szCs w:val="18"/>
        </w:rPr>
        <w:t xml:space="preserve"> até 15 (quinze) </w:t>
      </w:r>
      <w:r>
        <w:rPr>
          <w:rFonts w:ascii="Cambria" w:hAnsi="Cambria" w:cs="Cambria"/>
          <w:sz w:val="18"/>
          <w:szCs w:val="18"/>
        </w:rPr>
        <w:t xml:space="preserve">dias, contados do recebimento de</w:t>
      </w:r>
      <w:r>
        <w:rPr>
          <w:rFonts w:ascii="Cambria" w:hAnsi="Cambria" w:cs="Cambria"/>
          <w:sz w:val="18"/>
          <w:szCs w:val="18"/>
        </w:rPr>
        <w:t xml:space="preserve">finitivo da NF - Nota Fiscal/Fatura.</w:t>
      </w:r>
      <w:r/>
    </w:p>
    <w:p>
      <w:pPr>
        <w:jc w:val="both"/>
        <w:spacing w:line="312" w:lineRule="auto"/>
        <w:rPr>
          <w:rFonts w:ascii="Cambria" w:hAnsi="Cambria" w:cs="Cambria"/>
          <w:sz w:val="18"/>
          <w:szCs w:val="18"/>
        </w:rPr>
      </w:pPr>
      <w:r>
        <w:rPr>
          <w:rFonts w:ascii="Cambria" w:hAnsi="Cambria" w:cs="Cambria"/>
          <w:sz w:val="18"/>
          <w:szCs w:val="18"/>
        </w:rPr>
        <w:t xml:space="preserve">10.2.2 - Considera-se ocorrido o recebimento da nota fiscal ou fatura quando o órgão contratante atestar a execução do objeto do contrato.</w:t>
      </w:r>
      <w:r/>
    </w:p>
    <w:p>
      <w:pPr>
        <w:jc w:val="both"/>
        <w:spacing w:line="312" w:lineRule="auto"/>
        <w:rPr>
          <w:rFonts w:ascii="Cambria" w:hAnsi="Cambria" w:cs="Cambria"/>
          <w:sz w:val="18"/>
          <w:szCs w:val="18"/>
        </w:rPr>
      </w:pPr>
      <w:r>
        <w:rPr>
          <w:rFonts w:ascii="Cambria" w:hAnsi="Cambria" w:cs="Cambria"/>
          <w:sz w:val="18"/>
          <w:szCs w:val="18"/>
        </w:rPr>
        <w:t xml:space="preserve">10.2.3 - No caso de atraso pelo Contratante, os valores devidos ao contratado se</w:t>
      </w:r>
      <w:r>
        <w:rPr>
          <w:rFonts w:ascii="Cambria" w:hAnsi="Cambria" w:cs="Cambria"/>
          <w:sz w:val="18"/>
          <w:szCs w:val="18"/>
        </w:rPr>
        <w:t xml:space="preserve">rão atualizados monetariamente entre o termo final do prazo de pagamento até a data de sua efetiva realização, </w:t>
      </w:r>
      <w:r>
        <w:rPr>
          <w:rFonts w:ascii="Cambria" w:hAnsi="Cambria" w:cs="Cambria"/>
          <w:sz w:val="18"/>
          <w:szCs w:val="18"/>
        </w:rPr>
        <w:t xml:space="preserve">mediante aplicação do Índice Nacional de Preços ao Consumidor Amplo - IPCA/IBGE de correção monetária.</w:t>
      </w:r>
      <w:r/>
    </w:p>
    <w:p>
      <w:pPr>
        <w:jc w:val="both"/>
        <w:spacing w:line="312" w:lineRule="auto"/>
        <w:rPr>
          <w:rFonts w:ascii="Cambria" w:hAnsi="Cambria" w:cs="Cambria"/>
          <w:sz w:val="18"/>
          <w:szCs w:val="18"/>
        </w:rPr>
      </w:pPr>
      <w:r>
        <w:rPr>
          <w:rFonts w:ascii="Cambria" w:hAnsi="Cambria" w:cs="Cambria"/>
          <w:sz w:val="18"/>
          <w:szCs w:val="18"/>
        </w:rPr>
        <w:t xml:space="preserve">10.2.3.1 - </w:t>
      </w:r>
      <w:r>
        <w:rPr>
          <w:rFonts w:ascii="Cambria" w:hAnsi="Cambria" w:cs="Cambria"/>
          <w:iCs/>
          <w:sz w:val="18"/>
          <w:szCs w:val="18"/>
        </w:rPr>
        <w:t xml:space="preserve">A compensação financeira previs</w:t>
      </w:r>
      <w:r>
        <w:rPr>
          <w:rFonts w:ascii="Cambria" w:hAnsi="Cambria" w:cs="Cambria"/>
          <w:iCs/>
          <w:sz w:val="18"/>
          <w:szCs w:val="18"/>
        </w:rPr>
        <w:t xml:space="preserve">ta nesta condição será incluída, a requerimento do interessado, na fatura do mês seguinte ao da ocorrência.</w:t>
      </w:r>
      <w:r/>
    </w:p>
    <w:p>
      <w:pPr>
        <w:jc w:val="both"/>
        <w:spacing w:line="312" w:lineRule="auto"/>
        <w:rPr>
          <w:rFonts w:ascii="Cambria" w:hAnsi="Cambria" w:cs="Cambria"/>
          <w:sz w:val="18"/>
          <w:szCs w:val="18"/>
        </w:rPr>
      </w:pPr>
      <w:r>
        <w:rPr>
          <w:rFonts w:ascii="Cambria" w:hAnsi="Cambria" w:cs="Cambria"/>
          <w:sz w:val="18"/>
          <w:szCs w:val="18"/>
        </w:rPr>
        <w:t xml:space="preserve">10.3 - A NF - Nota Fiscal/Fatura deve conter todos os elementos exigidos em lei, tais como:</w:t>
      </w:r>
      <w:r/>
    </w:p>
    <w:p>
      <w:pPr>
        <w:jc w:val="both"/>
        <w:spacing w:line="312" w:lineRule="auto"/>
        <w:rPr>
          <w:rFonts w:ascii="Cambria" w:hAnsi="Cambria" w:cs="Cambria"/>
          <w:sz w:val="18"/>
          <w:szCs w:val="18"/>
        </w:rPr>
      </w:pPr>
      <w:r>
        <w:rPr>
          <w:rFonts w:ascii="Cambria" w:hAnsi="Cambria" w:cs="Cambria"/>
          <w:sz w:val="18"/>
          <w:szCs w:val="18"/>
        </w:rPr>
        <w:t xml:space="preserve">10.3.1 - Identificação completa da Contratada: CNPJ (o m</w:t>
      </w:r>
      <w:r>
        <w:rPr>
          <w:rFonts w:ascii="Cambria" w:hAnsi="Cambria" w:cs="Cambria"/>
          <w:sz w:val="18"/>
          <w:szCs w:val="18"/>
        </w:rPr>
        <w:t xml:space="preserve">esmo constante da documentação fiscal, exceto se for emitida por filial/matriz que contenha o mesmo CNPJ base, com sequencial específico da filial/matriz) da contratada, endereço, inscrição estadual ou municipal, etc.;</w:t>
      </w:r>
      <w:r/>
    </w:p>
    <w:p>
      <w:pPr>
        <w:jc w:val="both"/>
        <w:spacing w:line="312" w:lineRule="auto"/>
        <w:rPr>
          <w:rFonts w:ascii="Cambria" w:hAnsi="Cambria" w:cs="Cambria"/>
          <w:sz w:val="18"/>
          <w:szCs w:val="18"/>
        </w:rPr>
      </w:pPr>
      <w:r>
        <w:rPr>
          <w:rFonts w:ascii="Cambria" w:hAnsi="Cambria" w:cs="Cambria"/>
          <w:sz w:val="18"/>
          <w:szCs w:val="18"/>
        </w:rPr>
        <w:t xml:space="preserve">10.3.2 – Prazo de validade;</w:t>
      </w:r>
      <w:r/>
    </w:p>
    <w:p>
      <w:pPr>
        <w:jc w:val="both"/>
        <w:spacing w:line="312" w:lineRule="auto"/>
        <w:rPr>
          <w:rFonts w:ascii="Cambria" w:hAnsi="Cambria" w:cs="Cambria"/>
          <w:sz w:val="18"/>
          <w:szCs w:val="18"/>
        </w:rPr>
      </w:pPr>
      <w:r>
        <w:rPr>
          <w:rFonts w:ascii="Cambria" w:hAnsi="Cambria" w:cs="Cambria"/>
          <w:sz w:val="18"/>
          <w:szCs w:val="18"/>
        </w:rPr>
        <w:t xml:space="preserve">10.3.3 – </w:t>
      </w:r>
      <w:r>
        <w:rPr>
          <w:rFonts w:ascii="Cambria" w:hAnsi="Cambria" w:cs="Cambria"/>
          <w:sz w:val="18"/>
          <w:szCs w:val="18"/>
        </w:rPr>
        <w:t xml:space="preserve">Data da emissão;</w:t>
      </w:r>
      <w:r/>
    </w:p>
    <w:p>
      <w:pPr>
        <w:jc w:val="both"/>
        <w:spacing w:line="312" w:lineRule="auto"/>
        <w:rPr>
          <w:rFonts w:ascii="Cambria" w:hAnsi="Cambria" w:cs="Cambria"/>
          <w:sz w:val="18"/>
          <w:szCs w:val="18"/>
        </w:rPr>
      </w:pPr>
      <w:r>
        <w:rPr>
          <w:rFonts w:ascii="Cambria" w:hAnsi="Cambria" w:cs="Cambria"/>
          <w:sz w:val="18"/>
          <w:szCs w:val="18"/>
        </w:rPr>
        <w:t xml:space="preserve">10.3.4 – Dados do contrato e do órgão contratante;</w:t>
      </w:r>
      <w:r/>
    </w:p>
    <w:p>
      <w:pPr>
        <w:jc w:val="both"/>
        <w:spacing w:line="312" w:lineRule="auto"/>
        <w:rPr>
          <w:rFonts w:ascii="Cambria" w:hAnsi="Cambria" w:cs="Cambria"/>
          <w:sz w:val="18"/>
          <w:szCs w:val="18"/>
        </w:rPr>
      </w:pPr>
      <w:r>
        <w:rPr>
          <w:rFonts w:ascii="Cambria" w:hAnsi="Cambria" w:cs="Cambria"/>
          <w:sz w:val="18"/>
          <w:szCs w:val="18"/>
        </w:rPr>
        <w:t xml:space="preserve">10.3.5 - Descrição de forma clara do objeto executado;</w:t>
      </w:r>
      <w:r/>
    </w:p>
    <w:p>
      <w:pPr>
        <w:jc w:val="both"/>
        <w:spacing w:line="312" w:lineRule="auto"/>
        <w:rPr>
          <w:rFonts w:ascii="Cambria" w:hAnsi="Cambria" w:cs="Cambria"/>
          <w:sz w:val="18"/>
          <w:szCs w:val="18"/>
        </w:rPr>
      </w:pPr>
      <w:r>
        <w:rPr>
          <w:rFonts w:ascii="Cambria" w:hAnsi="Cambria" w:cs="Cambria"/>
          <w:sz w:val="18"/>
          <w:szCs w:val="18"/>
        </w:rPr>
        <w:t xml:space="preserve">10.3.6 - Valores unitários e totais e período com as informações referentes aos itens do objeto efetivamente entregues;</w:t>
      </w:r>
      <w:r/>
    </w:p>
    <w:p>
      <w:pPr>
        <w:jc w:val="both"/>
        <w:spacing w:line="312" w:lineRule="auto"/>
        <w:rPr>
          <w:rFonts w:ascii="Cambria" w:hAnsi="Cambria" w:cs="Cambria"/>
          <w:sz w:val="18"/>
          <w:szCs w:val="18"/>
        </w:rPr>
      </w:pPr>
      <w:r>
        <w:rPr>
          <w:rFonts w:ascii="Cambria" w:hAnsi="Cambria" w:cs="Cambria"/>
          <w:sz w:val="18"/>
          <w:szCs w:val="18"/>
        </w:rPr>
        <w:t xml:space="preserve">10.3.7 - Núme</w:t>
      </w:r>
      <w:r>
        <w:rPr>
          <w:rFonts w:ascii="Cambria" w:hAnsi="Cambria" w:cs="Cambria"/>
          <w:sz w:val="18"/>
          <w:szCs w:val="18"/>
        </w:rPr>
        <w:t xml:space="preserve">ro do processo que originou a contratação, bem como o número do empenho.</w:t>
      </w:r>
      <w:r/>
    </w:p>
    <w:p>
      <w:pPr>
        <w:jc w:val="both"/>
        <w:spacing w:line="312" w:lineRule="auto"/>
        <w:rPr>
          <w:rFonts w:ascii="Cambria" w:hAnsi="Cambria" w:cs="Cambria"/>
          <w:sz w:val="18"/>
          <w:szCs w:val="18"/>
        </w:rPr>
      </w:pPr>
      <w:r>
        <w:rPr>
          <w:rFonts w:ascii="Cambria" w:hAnsi="Cambria" w:cs="Cambria"/>
          <w:sz w:val="18"/>
          <w:szCs w:val="18"/>
        </w:rPr>
        <w:t xml:space="preserve">10.3.8 - Informações bancárias para pagamento.</w:t>
      </w:r>
      <w:r/>
    </w:p>
    <w:p>
      <w:pPr>
        <w:jc w:val="both"/>
        <w:spacing w:line="312" w:lineRule="auto"/>
        <w:rPr>
          <w:rFonts w:ascii="Cambria" w:hAnsi="Cambria" w:cs="Cambria"/>
          <w:sz w:val="18"/>
          <w:szCs w:val="18"/>
        </w:rPr>
      </w:pPr>
      <w:r>
        <w:rPr>
          <w:rFonts w:ascii="Cambria" w:hAnsi="Cambria" w:cs="Cambria"/>
          <w:sz w:val="18"/>
          <w:szCs w:val="18"/>
        </w:rPr>
        <w:t xml:space="preserve">10.3.9 - Eventual destaque do valor de retenções tributárias cabíveis.</w:t>
      </w:r>
      <w:r/>
    </w:p>
    <w:p>
      <w:pPr>
        <w:jc w:val="both"/>
        <w:spacing w:line="312" w:lineRule="auto"/>
        <w:tabs>
          <w:tab w:val="left" w:pos="426" w:leader="none"/>
        </w:tabs>
        <w:rPr>
          <w:rFonts w:ascii="Cambria" w:hAnsi="Cambria" w:cs="Cambria"/>
          <w:sz w:val="18"/>
          <w:szCs w:val="18"/>
        </w:rPr>
      </w:pPr>
      <w:r>
        <w:rPr>
          <w:rFonts w:ascii="Cambria" w:hAnsi="Cambria" w:cs="Cambria"/>
          <w:iCs/>
          <w:sz w:val="18"/>
          <w:szCs w:val="18"/>
        </w:rPr>
        <w:t xml:space="preserve">10.4 - Havendo erro </w:t>
      </w:r>
      <w:r>
        <w:rPr>
          <w:rFonts w:ascii="Cambria" w:hAnsi="Cambria" w:cs="Cambria"/>
          <w:sz w:val="18"/>
          <w:szCs w:val="18"/>
        </w:rPr>
        <w:t xml:space="preserve">na</w:t>
      </w:r>
      <w:r>
        <w:rPr>
          <w:rFonts w:ascii="Cambria" w:hAnsi="Cambria" w:cs="Cambria"/>
          <w:iCs/>
          <w:sz w:val="18"/>
          <w:szCs w:val="18"/>
        </w:rPr>
        <w:t xml:space="preserve"> apresentação da NF - Nota Fiscal/Fatura, ou circunstância que impeça a liquidação da </w:t>
      </w:r>
      <w:r>
        <w:rPr>
          <w:rFonts w:ascii="Cambria" w:hAnsi="Cambria" w:cs="Cambria"/>
          <w:sz w:val="18"/>
          <w:szCs w:val="18"/>
        </w:rPr>
        <w:t xml:space="preserve">despesa</w:t>
      </w:r>
      <w:r>
        <w:rPr>
          <w:rFonts w:ascii="Cambria" w:hAnsi="Cambria" w:cs="Cambria"/>
          <w:iCs/>
          <w:sz w:val="18"/>
          <w:szCs w:val="18"/>
        </w:rPr>
        <w:t xml:space="preserve">, o pagamento ficará sobrestado até que o contratado providencie as medidas saneadoras. Nessa hipótese, o prazo para pagamento iniciar-se-á após a comprovação da r</w:t>
      </w:r>
      <w:r>
        <w:rPr>
          <w:rFonts w:ascii="Cambria" w:hAnsi="Cambria" w:cs="Cambria"/>
          <w:iCs/>
          <w:sz w:val="18"/>
          <w:szCs w:val="18"/>
        </w:rPr>
        <w:t xml:space="preserve">egularização da situação, não acarretando qualquer ônus para o contratante;</w:t>
      </w:r>
      <w:r/>
    </w:p>
    <w:p>
      <w:pPr>
        <w:jc w:val="both"/>
        <w:spacing w:line="312" w:lineRule="auto"/>
        <w:tabs>
          <w:tab w:val="left" w:pos="426" w:leader="none"/>
        </w:tabs>
        <w:rPr>
          <w:rFonts w:ascii="Cambria" w:hAnsi="Cambria" w:cs="Cambria"/>
          <w:sz w:val="18"/>
          <w:szCs w:val="18"/>
        </w:rPr>
      </w:pPr>
      <w:r>
        <w:rPr>
          <w:rFonts w:ascii="Cambria" w:hAnsi="Cambria" w:cs="Cambria"/>
          <w:iCs/>
          <w:sz w:val="18"/>
          <w:szCs w:val="18"/>
        </w:rPr>
        <w:t xml:space="preserve">10.5 - Os pagamentos serão condicionados à apresentação da NF - Nota Fiscal dos produtos/serviços contratados e entregues/executados devidamente atestados pelo setor competente.</w:t>
      </w:r>
      <w:r/>
    </w:p>
    <w:p>
      <w:pPr>
        <w:jc w:val="both"/>
        <w:spacing w:line="312" w:lineRule="auto"/>
        <w:tabs>
          <w:tab w:val="left" w:pos="426" w:leader="none"/>
        </w:tabs>
        <w:rPr>
          <w:rFonts w:ascii="Cambria" w:hAnsi="Cambria" w:cs="Cambria"/>
          <w:sz w:val="18"/>
          <w:szCs w:val="18"/>
        </w:rPr>
      </w:pPr>
      <w:r>
        <w:rPr>
          <w:rFonts w:ascii="Cambria" w:hAnsi="Cambria" w:cs="Cambria"/>
          <w:iCs/>
          <w:sz w:val="18"/>
          <w:szCs w:val="18"/>
        </w:rPr>
        <w:t xml:space="preserve">10</w:t>
      </w:r>
      <w:r>
        <w:rPr>
          <w:rFonts w:ascii="Cambria" w:hAnsi="Cambria" w:cs="Cambria"/>
          <w:iCs/>
          <w:sz w:val="18"/>
          <w:szCs w:val="18"/>
        </w:rPr>
        <w:t xml:space="preserve">.6 - Deverá a contratada apresentar ainda as provas de regularidade fiscal e trabalhista com prazo de validade vigente, descritas abaixo:</w:t>
      </w:r>
      <w:r/>
    </w:p>
    <w:p>
      <w:pPr>
        <w:jc w:val="both"/>
        <w:spacing w:line="312" w:lineRule="auto"/>
        <w:tabs>
          <w:tab w:val="left" w:pos="426" w:leader="none"/>
        </w:tabs>
        <w:rPr>
          <w:rFonts w:ascii="Cambria" w:hAnsi="Cambria" w:cs="Cambria"/>
          <w:sz w:val="18"/>
          <w:szCs w:val="18"/>
        </w:rPr>
      </w:pPr>
      <w:r>
        <w:rPr>
          <w:rFonts w:ascii="Cambria" w:hAnsi="Cambria" w:cs="Cambria"/>
          <w:iCs/>
          <w:sz w:val="18"/>
          <w:szCs w:val="18"/>
        </w:rPr>
        <w:t xml:space="preserve">10.6.1 - Prova de Regularidade referente aos Tributos Federais e Dívida Ativa da União (Certidão Conjunta PGFN e RFB);</w:t>
      </w:r>
      <w:r/>
    </w:p>
    <w:p>
      <w:pPr>
        <w:jc w:val="both"/>
        <w:spacing w:line="312" w:lineRule="auto"/>
        <w:tabs>
          <w:tab w:val="left" w:pos="426" w:leader="none"/>
        </w:tabs>
        <w:rPr>
          <w:rFonts w:ascii="Cambria" w:hAnsi="Cambria" w:cs="Cambria"/>
          <w:sz w:val="18"/>
          <w:szCs w:val="18"/>
        </w:rPr>
      </w:pPr>
      <w:r>
        <w:rPr>
          <w:rFonts w:ascii="Cambria" w:hAnsi="Cambria" w:cs="Cambria"/>
          <w:iCs/>
          <w:sz w:val="18"/>
          <w:szCs w:val="18"/>
        </w:rPr>
        <w:t xml:space="preserve">10.6.2 - Prova de Regularidade com a Fazenda Pública do Estado onde for sediada a empresa;</w:t>
      </w:r>
      <w:r/>
    </w:p>
    <w:p>
      <w:pPr>
        <w:jc w:val="both"/>
        <w:spacing w:line="312" w:lineRule="auto"/>
        <w:tabs>
          <w:tab w:val="left" w:pos="426" w:leader="none"/>
        </w:tabs>
        <w:rPr>
          <w:rFonts w:ascii="Cambria" w:hAnsi="Cambria" w:cs="Cambria"/>
          <w:sz w:val="18"/>
          <w:szCs w:val="18"/>
        </w:rPr>
      </w:pPr>
      <w:r>
        <w:rPr>
          <w:rFonts w:ascii="Cambria" w:hAnsi="Cambria" w:cs="Cambria"/>
          <w:iCs/>
          <w:sz w:val="18"/>
          <w:szCs w:val="18"/>
        </w:rPr>
        <w:t xml:space="preserve">10.6.3 - Prova de Regularidade com a Fazenda Pública do Município onde for sediada a empresa;</w:t>
      </w:r>
      <w:r/>
    </w:p>
    <w:p>
      <w:pPr>
        <w:jc w:val="both"/>
        <w:spacing w:line="312" w:lineRule="auto"/>
        <w:tabs>
          <w:tab w:val="left" w:pos="426" w:leader="none"/>
        </w:tabs>
        <w:rPr>
          <w:rFonts w:ascii="Cambria" w:hAnsi="Cambria" w:cs="Cambria"/>
          <w:sz w:val="18"/>
          <w:szCs w:val="18"/>
        </w:rPr>
      </w:pPr>
      <w:r>
        <w:rPr>
          <w:rFonts w:ascii="Cambria" w:hAnsi="Cambria" w:cs="Cambria"/>
          <w:iCs/>
          <w:sz w:val="18"/>
          <w:szCs w:val="18"/>
        </w:rPr>
        <w:t xml:space="preserve">10.6.4 - Prova de Regularidade com a Fazenda Pública do Município de V</w:t>
      </w:r>
      <w:r>
        <w:rPr>
          <w:rFonts w:ascii="Cambria" w:hAnsi="Cambria" w:cs="Cambria"/>
          <w:iCs/>
          <w:sz w:val="18"/>
          <w:szCs w:val="18"/>
        </w:rPr>
        <w:t xml:space="preserve">iana;</w:t>
      </w:r>
      <w:r/>
    </w:p>
    <w:p>
      <w:pPr>
        <w:jc w:val="both"/>
        <w:spacing w:line="312" w:lineRule="auto"/>
        <w:tabs>
          <w:tab w:val="left" w:pos="426" w:leader="none"/>
        </w:tabs>
        <w:rPr>
          <w:rFonts w:ascii="Cambria" w:hAnsi="Cambria" w:cs="Cambria"/>
          <w:sz w:val="18"/>
          <w:szCs w:val="18"/>
        </w:rPr>
      </w:pPr>
      <w:r>
        <w:rPr>
          <w:rFonts w:ascii="Cambria" w:hAnsi="Cambria" w:cs="Cambria"/>
          <w:iCs/>
          <w:sz w:val="18"/>
          <w:szCs w:val="18"/>
        </w:rPr>
        <w:t xml:space="preserve">10.6.5 - Prova de Regularidade com a Fazenda do Estado do Espírito Santo;</w:t>
      </w:r>
      <w:r/>
    </w:p>
    <w:p>
      <w:pPr>
        <w:jc w:val="both"/>
        <w:spacing w:line="312" w:lineRule="auto"/>
        <w:tabs>
          <w:tab w:val="left" w:pos="426" w:leader="none"/>
        </w:tabs>
        <w:rPr>
          <w:rFonts w:ascii="Cambria" w:hAnsi="Cambria" w:cs="Cambria"/>
          <w:sz w:val="18"/>
          <w:szCs w:val="18"/>
        </w:rPr>
      </w:pPr>
      <w:r>
        <w:rPr>
          <w:rFonts w:ascii="Cambria" w:hAnsi="Cambria" w:cs="Cambria"/>
          <w:iCs/>
          <w:sz w:val="18"/>
          <w:szCs w:val="18"/>
        </w:rPr>
        <w:t xml:space="preserve">10.6.6 - Prova de Regularidade junto ao Fundo de Garantia por Tempo de Serviço - FGTS;</w:t>
      </w:r>
      <w:r/>
    </w:p>
    <w:p>
      <w:pPr>
        <w:jc w:val="both"/>
        <w:spacing w:line="312" w:lineRule="auto"/>
        <w:tabs>
          <w:tab w:val="left" w:pos="426" w:leader="none"/>
        </w:tabs>
        <w:rPr>
          <w:rFonts w:ascii="Cambria" w:hAnsi="Cambria" w:cs="Cambria"/>
          <w:sz w:val="18"/>
          <w:szCs w:val="18"/>
        </w:rPr>
      </w:pPr>
      <w:r>
        <w:rPr>
          <w:rFonts w:ascii="Cambria" w:hAnsi="Cambria" w:cs="Cambria"/>
          <w:iCs/>
          <w:sz w:val="18"/>
          <w:szCs w:val="18"/>
        </w:rPr>
        <w:t xml:space="preserve">10.6.7 - Prova de Regularidade junto à Justiça do Trabalho, através da Certidão Negativa de Débitos Trabalhistas;</w:t>
      </w:r>
      <w:r/>
    </w:p>
    <w:p>
      <w:pPr>
        <w:jc w:val="both"/>
        <w:spacing w:line="312" w:lineRule="auto"/>
        <w:tabs>
          <w:tab w:val="left" w:pos="426" w:leader="none"/>
        </w:tabs>
        <w:rPr>
          <w:rFonts w:ascii="Cambria" w:hAnsi="Cambria" w:cs="Cambria"/>
          <w:sz w:val="18"/>
          <w:szCs w:val="18"/>
        </w:rPr>
      </w:pPr>
      <w:r>
        <w:rPr>
          <w:rFonts w:ascii="Cambria" w:hAnsi="Cambria" w:cs="Cambria"/>
          <w:iCs/>
          <w:sz w:val="18"/>
          <w:szCs w:val="18"/>
        </w:rPr>
        <w:t xml:space="preserve">10.6.8 - Prova de Regularidade de Falência e Concordata.</w:t>
      </w:r>
      <w:r/>
    </w:p>
    <w:p>
      <w:pPr>
        <w:jc w:val="both"/>
        <w:spacing w:line="312" w:lineRule="auto"/>
        <w:tabs>
          <w:tab w:val="left" w:pos="426" w:leader="none"/>
        </w:tabs>
        <w:rPr>
          <w:rFonts w:ascii="Cambria" w:hAnsi="Cambria" w:cs="Cambria"/>
          <w:sz w:val="18"/>
          <w:szCs w:val="18"/>
        </w:rPr>
      </w:pPr>
      <w:r>
        <w:rPr>
          <w:rFonts w:ascii="Cambria" w:hAnsi="Cambria" w:cs="Cambria"/>
          <w:iCs/>
          <w:sz w:val="18"/>
          <w:szCs w:val="18"/>
        </w:rPr>
        <w:t xml:space="preserve">10.7 - O atraso superior a 60 (sessenta) dias dos pagamentos devidos pela Administraç</w:t>
      </w:r>
      <w:r>
        <w:rPr>
          <w:rFonts w:ascii="Cambria" w:hAnsi="Cambria" w:cs="Cambria"/>
          <w:iCs/>
          <w:sz w:val="18"/>
          <w:szCs w:val="18"/>
        </w:rPr>
        <w:t xml:space="preserve">ão decorrentes dos serviços já prestados, salvo em caso de calamidade pública, grave perturbação da ordem interna ou guerra, assegura à Contratada o direito de optar pela suspensão do cumprimento de suas obrigações até que seja normalizada a situação e a p</w:t>
      </w:r>
      <w:r>
        <w:rPr>
          <w:rFonts w:ascii="Cambria" w:hAnsi="Cambria" w:cs="Cambria"/>
          <w:iCs/>
          <w:sz w:val="18"/>
          <w:szCs w:val="18"/>
        </w:rPr>
        <w:t xml:space="preserve">ronta quitação das parcelas em aberto.</w:t>
      </w:r>
      <w:r/>
    </w:p>
    <w:p>
      <w:pPr>
        <w:jc w:val="both"/>
        <w:spacing w:line="312" w:lineRule="auto"/>
        <w:tabs>
          <w:tab w:val="left" w:pos="426" w:leader="none"/>
        </w:tabs>
        <w:rPr>
          <w:rFonts w:ascii="Cambria" w:hAnsi="Cambria" w:cs="Cambria"/>
          <w:sz w:val="18"/>
          <w:szCs w:val="18"/>
        </w:rPr>
      </w:pPr>
      <w:r>
        <w:rPr>
          <w:rFonts w:ascii="Cambria" w:hAnsi="Cambria" w:cs="Cambria"/>
          <w:iCs/>
          <w:sz w:val="18"/>
          <w:szCs w:val="18"/>
        </w:rPr>
        <w:t xml:space="preserve">10.8 - </w:t>
      </w:r>
      <w:r>
        <w:rPr>
          <w:rFonts w:ascii="Cambria" w:hAnsi="Cambria" w:cs="Cambria"/>
          <w:sz w:val="18"/>
          <w:szCs w:val="18"/>
        </w:rPr>
        <w:t xml:space="preserve">O contratado regularmente op</w:t>
      </w:r>
      <w:r>
        <w:rPr>
          <w:rFonts w:ascii="Cambria" w:hAnsi="Cambria" w:cs="Cambria"/>
          <w:sz w:val="18"/>
          <w:szCs w:val="18"/>
        </w:rPr>
        <w:t xml:space="preserve">tante pelo Simples Nacional,</w:t>
      </w:r>
      <w:r>
        <w:rPr>
          <w:rFonts w:ascii="Cambria" w:hAnsi="Cambria" w:cs="Cambria"/>
          <w:sz w:val="18"/>
          <w:szCs w:val="18"/>
        </w:rPr>
        <w:t xml:space="preserve"> nos termos da Lei Complementar nº 123, de 2006, não sofrerá a retenção tributária quanto aos impostos e contribuições abrangidos por aquele regime. No en</w:t>
      </w:r>
      <w:r>
        <w:rPr>
          <w:rFonts w:ascii="Cambria" w:hAnsi="Cambria" w:cs="Cambria"/>
          <w:sz w:val="18"/>
          <w:szCs w:val="18"/>
        </w:rPr>
        <w:t xml:space="preserve">tanto, o pagamento ficará condicionado à apresentação de comprovação, por meio de documento oficial, de que faz jus ao tratamento tributário favorecido previsto na referida Lei Complementar</w:t>
      </w:r>
      <w:r>
        <w:rPr>
          <w:rFonts w:ascii="Cambria" w:hAnsi="Cambria" w:cs="Cambria"/>
          <w:iCs/>
          <w:sz w:val="18"/>
          <w:szCs w:val="18"/>
        </w:rPr>
        <w:t xml:space="preserve">.</w:t>
      </w:r>
      <w:r/>
    </w:p>
    <w:p>
      <w:pPr>
        <w:jc w:val="both"/>
        <w:spacing w:line="312" w:lineRule="auto"/>
        <w:tabs>
          <w:tab w:val="left" w:pos="426" w:leader="none"/>
        </w:tabs>
        <w:rPr>
          <w:rFonts w:ascii="Cambria" w:hAnsi="Cambria" w:cs="Cambria"/>
          <w:sz w:val="18"/>
          <w:szCs w:val="18"/>
        </w:rPr>
      </w:pPr>
      <w:r>
        <w:rPr>
          <w:rFonts w:ascii="Cambria" w:hAnsi="Cambria" w:cs="Cambria"/>
          <w:iCs/>
          <w:sz w:val="18"/>
          <w:szCs w:val="18"/>
        </w:rPr>
        <w:t xml:space="preserve">10.10 - Dados para emissão da Nota Fiscal:</w:t>
      </w:r>
      <w:r/>
    </w:p>
    <w:p>
      <w:pPr>
        <w:jc w:val="both"/>
        <w:widowControl w:val="off"/>
        <w:rPr>
          <w:rFonts w:ascii="Cambria" w:hAnsi="Cambria" w:cs="Cambria"/>
          <w:sz w:val="18"/>
          <w:szCs w:val="18"/>
        </w:rPr>
      </w:pPr>
      <w:r>
        <w:rPr>
          <w:rFonts w:ascii="Cambria" w:hAnsi="Cambria" w:cs="Cambria"/>
          <w:iCs/>
          <w:color w:val="000000" w:themeColor="text1"/>
          <w:sz w:val="18"/>
          <w:szCs w:val="18"/>
        </w:rPr>
        <w:t xml:space="preserve">PREFEITURA MUNICIPAL D</w:t>
      </w:r>
      <w:r>
        <w:rPr>
          <w:rFonts w:ascii="Cambria" w:hAnsi="Cambria" w:cs="Cambria"/>
          <w:iCs/>
          <w:color w:val="000000" w:themeColor="text1"/>
          <w:sz w:val="18"/>
          <w:szCs w:val="18"/>
        </w:rPr>
        <w:t xml:space="preserve">E SANTA BÁRBARA DO SUL/RS</w:t>
      </w:r>
      <w:r/>
    </w:p>
    <w:p>
      <w:pPr>
        <w:jc w:val="both"/>
        <w:widowControl w:val="off"/>
        <w:rPr>
          <w:rFonts w:ascii="Cambria" w:hAnsi="Cambria" w:cs="Cambria"/>
          <w:sz w:val="18"/>
          <w:szCs w:val="18"/>
        </w:rPr>
      </w:pPr>
      <w:r>
        <w:rPr>
          <w:rFonts w:ascii="Cambria" w:hAnsi="Cambria" w:cs="Cambria"/>
          <w:iCs/>
          <w:color w:val="000000" w:themeColor="text1"/>
          <w:sz w:val="18"/>
          <w:szCs w:val="18"/>
        </w:rPr>
        <w:t xml:space="preserve">CNPJ nº: 88.496.468/0001-60</w:t>
      </w:r>
      <w:r/>
    </w:p>
    <w:p>
      <w:pPr>
        <w:jc w:val="both"/>
        <w:widowControl w:val="off"/>
        <w:rPr>
          <w:rFonts w:ascii="Cambria" w:hAnsi="Cambria" w:cs="Cambria"/>
          <w:sz w:val="18"/>
          <w:szCs w:val="18"/>
        </w:rPr>
      </w:pPr>
      <w:r>
        <w:rPr>
          <w:rFonts w:ascii="Cambria" w:hAnsi="Cambria" w:cs="Cambria"/>
          <w:iCs/>
          <w:color w:val="000000" w:themeColor="text1"/>
          <w:sz w:val="18"/>
          <w:szCs w:val="18"/>
        </w:rPr>
        <w:t xml:space="preserve">ENDEREÇO: Avenida Eduardo de Britto, nº 101, Bairro </w:t>
      </w:r>
      <w:r>
        <w:rPr>
          <w:rFonts w:ascii="Cambria" w:hAnsi="Cambria" w:cs="Cambria"/>
          <w:iCs/>
          <w:color w:val="000000" w:themeColor="text1"/>
          <w:sz w:val="18"/>
          <w:szCs w:val="18"/>
        </w:rPr>
        <w:t xml:space="preserve">Cerutti</w:t>
      </w:r>
      <w:r>
        <w:rPr>
          <w:rFonts w:ascii="Cambria" w:hAnsi="Cambria" w:cs="Cambria"/>
          <w:iCs/>
          <w:color w:val="000000" w:themeColor="text1"/>
          <w:sz w:val="18"/>
          <w:szCs w:val="18"/>
        </w:rPr>
        <w:t xml:space="preserve">.</w:t>
      </w:r>
      <w:r/>
    </w:p>
    <w:p>
      <w:pPr>
        <w:jc w:val="both"/>
        <w:widowControl w:val="off"/>
        <w:rPr>
          <w:rFonts w:ascii="Cambria" w:hAnsi="Cambria" w:cs="Cambria"/>
          <w:sz w:val="18"/>
          <w:szCs w:val="18"/>
        </w:rPr>
      </w:pPr>
      <w:r>
        <w:rPr>
          <w:rFonts w:ascii="Cambria" w:hAnsi="Cambria" w:cs="Cambria"/>
          <w:iCs/>
          <w:color w:val="000000" w:themeColor="text1"/>
          <w:sz w:val="18"/>
          <w:szCs w:val="18"/>
        </w:rPr>
        <w:t xml:space="preserve">CEP: 98.240-000</w:t>
      </w:r>
      <w:r/>
    </w:p>
    <w:p>
      <w:pPr>
        <w:pStyle w:val="1068"/>
        <w:numPr>
          <w:ilvl w:val="0"/>
          <w:numId w:val="0"/>
        </w:numPr>
        <w:spacing w:before="0" w:after="0" w:line="312" w:lineRule="auto"/>
        <w:rPr>
          <w:rFonts w:ascii="Cambria" w:hAnsi="Cambria" w:cs="Cambria"/>
          <w:sz w:val="18"/>
          <w:szCs w:val="18"/>
        </w:rPr>
      </w:pPr>
      <w:r>
        <w:rPr>
          <w:rFonts w:ascii="Cambria" w:hAnsi="Cambria" w:cs="Cambria"/>
          <w:sz w:val="18"/>
          <w:szCs w:val="18"/>
        </w:rPr>
      </w:r>
      <w:r/>
    </w:p>
    <w:p>
      <w:pPr>
        <w:pStyle w:val="1051"/>
        <w:numPr>
          <w:ilvl w:val="0"/>
          <w:numId w:val="0"/>
        </w:numPr>
        <w:spacing w:before="0"/>
        <w:rPr>
          <w:rFonts w:ascii="Cambria" w:hAnsi="Cambria" w:cs="Cambria"/>
          <w:sz w:val="18"/>
          <w:szCs w:val="18"/>
        </w:rPr>
      </w:pPr>
      <w:r>
        <w:rPr>
          <w:rFonts w:ascii="Cambria" w:hAnsi="Cambria" w:cs="Cambria"/>
          <w:sz w:val="18"/>
          <w:szCs w:val="18"/>
        </w:rPr>
        <w:t xml:space="preserve">11 - REAJUSTE (art. 92, inciso V, da Lei nº 14.133/2021).</w:t>
      </w:r>
      <w:r/>
    </w:p>
    <w:p>
      <w:pPr>
        <w:pStyle w:val="1068"/>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11.1 - Os preços inicialmente contratados são fixos e irreajustáve</w:t>
      </w:r>
      <w:r>
        <w:rPr>
          <w:rFonts w:ascii="Cambria" w:hAnsi="Cambria" w:cs="Cambria"/>
          <w:color w:val="auto"/>
          <w:sz w:val="18"/>
          <w:szCs w:val="18"/>
        </w:rPr>
        <w:t xml:space="preserve">is no prazo de um ano contado da data do orçamento estimado</w:t>
      </w:r>
      <w:r>
        <w:rPr>
          <w:rFonts w:ascii="Cambria" w:hAnsi="Cambria" w:cs="Cambria"/>
          <w:color w:val="auto"/>
          <w:sz w:val="18"/>
          <w:szCs w:val="18"/>
        </w:rPr>
        <w:t xml:space="preserve">.</w:t>
      </w:r>
      <w:r/>
    </w:p>
    <w:p>
      <w:pPr>
        <w:pStyle w:val="1068"/>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11.2 - Após o interregno de 01 (um) ano, e independentemente de pedido do contratado, o</w:t>
      </w:r>
      <w:r>
        <w:rPr>
          <w:rFonts w:ascii="Cambria" w:hAnsi="Cambria" w:cs="Cambria"/>
          <w:color w:val="auto"/>
          <w:sz w:val="18"/>
          <w:szCs w:val="18"/>
        </w:rPr>
        <w:t xml:space="preserve">s preços iniciais serão reajustados, mediante a aplicação, pelo contratante, do </w:t>
      </w:r>
      <w:r>
        <w:rPr>
          <w:rFonts w:ascii="Cambria" w:hAnsi="Cambria" w:cs="Cambria"/>
          <w:color w:val="auto"/>
          <w:sz w:val="18"/>
          <w:szCs w:val="18"/>
        </w:rPr>
        <w:t xml:space="preserve">Índice Nacional de Preços ao Consumidor Amplo - IPCA/IBGE</w:t>
      </w:r>
      <w:r>
        <w:rPr>
          <w:rFonts w:ascii="Cambria" w:hAnsi="Cambria" w:cs="Cambria"/>
          <w:i/>
          <w:iCs/>
          <w:color w:val="auto"/>
          <w:sz w:val="18"/>
          <w:szCs w:val="18"/>
        </w:rPr>
        <w:t xml:space="preserve">,</w:t>
      </w:r>
      <w:r>
        <w:rPr>
          <w:rFonts w:ascii="Cambria" w:hAnsi="Cambria" w:cs="Cambria"/>
          <w:color w:val="auto"/>
          <w:sz w:val="18"/>
          <w:szCs w:val="18"/>
        </w:rPr>
        <w:t xml:space="preserve"> exclusivamente para as obrigações iniciadas e concluídas após a ocorrência da anualidade.</w:t>
      </w:r>
      <w:r/>
    </w:p>
    <w:p>
      <w:pPr>
        <w:pStyle w:val="1068"/>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11.3 - Nos reajustes subsequentes ao primeiro, o interregno mínimo de 01 (um) ano será contado a partir dos</w:t>
      </w:r>
      <w:r>
        <w:rPr>
          <w:rFonts w:ascii="Cambria" w:hAnsi="Cambria" w:cs="Cambria"/>
          <w:color w:val="auto"/>
          <w:sz w:val="18"/>
          <w:szCs w:val="18"/>
        </w:rPr>
        <w:t xml:space="preserve"> efeitos financeiros do último reajuste.</w:t>
      </w:r>
      <w:r/>
    </w:p>
    <w:p>
      <w:pPr>
        <w:pStyle w:val="1068"/>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11.4 - No caso de atraso ou não divulgação </w:t>
      </w:r>
      <w:r>
        <w:rPr>
          <w:rFonts w:ascii="Cambria" w:hAnsi="Cambria" w:cs="Cambria"/>
          <w:color w:val="auto"/>
          <w:sz w:val="18"/>
          <w:szCs w:val="18"/>
        </w:rPr>
        <w:t xml:space="preserve">do(</w:t>
      </w:r>
      <w:r>
        <w:rPr>
          <w:rFonts w:ascii="Cambria" w:hAnsi="Cambria" w:cs="Cambria"/>
          <w:color w:val="auto"/>
          <w:sz w:val="18"/>
          <w:szCs w:val="18"/>
        </w:rPr>
        <w:t xml:space="preserve">s) índice (s) de reajustamento, o contratante pagará ao contratado a importância calculada pela última variação conhecida, liquidando a diferença correspondente tão logo</w:t>
      </w:r>
      <w:r>
        <w:rPr>
          <w:rFonts w:ascii="Cambria" w:hAnsi="Cambria" w:cs="Cambria"/>
          <w:color w:val="auto"/>
          <w:sz w:val="18"/>
          <w:szCs w:val="18"/>
        </w:rPr>
        <w:t xml:space="preserve"> seja(m) divulgado(s) o(s) índice(s) definitivo(s). </w:t>
      </w:r>
      <w:r/>
    </w:p>
    <w:p>
      <w:pPr>
        <w:pStyle w:val="1068"/>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11.5 - Nas aferições finais, </w:t>
      </w:r>
      <w:r>
        <w:rPr>
          <w:rFonts w:ascii="Cambria" w:hAnsi="Cambria" w:cs="Cambria"/>
          <w:color w:val="auto"/>
          <w:sz w:val="18"/>
          <w:szCs w:val="18"/>
        </w:rPr>
        <w:t xml:space="preserve">o(</w:t>
      </w:r>
      <w:r>
        <w:rPr>
          <w:rFonts w:ascii="Cambria" w:hAnsi="Cambria" w:cs="Cambria"/>
          <w:color w:val="auto"/>
          <w:sz w:val="18"/>
          <w:szCs w:val="18"/>
        </w:rPr>
        <w:t xml:space="preserve">s) índice(s) utilizado(s) para reajuste será(</w:t>
      </w:r>
      <w:r>
        <w:rPr>
          <w:rFonts w:ascii="Cambria" w:hAnsi="Cambria" w:cs="Cambria"/>
          <w:color w:val="auto"/>
          <w:sz w:val="18"/>
          <w:szCs w:val="18"/>
        </w:rPr>
        <w:t xml:space="preserve">ão</w:t>
      </w:r>
      <w:r>
        <w:rPr>
          <w:rFonts w:ascii="Cambria" w:hAnsi="Cambria" w:cs="Cambria"/>
          <w:color w:val="auto"/>
          <w:sz w:val="18"/>
          <w:szCs w:val="18"/>
        </w:rPr>
        <w:t xml:space="preserve">), obrigatoriamente, o(s) definitivo(s).</w:t>
      </w:r>
      <w:r/>
    </w:p>
    <w:p>
      <w:pPr>
        <w:pStyle w:val="1068"/>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11.6 - Caso </w:t>
      </w:r>
      <w:r>
        <w:rPr>
          <w:rFonts w:ascii="Cambria" w:hAnsi="Cambria" w:cs="Cambria"/>
          <w:color w:val="auto"/>
          <w:sz w:val="18"/>
          <w:szCs w:val="18"/>
        </w:rPr>
        <w:t xml:space="preserve">o(</w:t>
      </w:r>
      <w:r>
        <w:rPr>
          <w:rFonts w:ascii="Cambria" w:hAnsi="Cambria" w:cs="Cambria"/>
          <w:color w:val="auto"/>
          <w:sz w:val="18"/>
          <w:szCs w:val="18"/>
        </w:rPr>
        <w:t xml:space="preserve">s) índice(s) estabelecido(s) para reajustamento venha(m) a ser extinto</w:t>
      </w:r>
      <w:r>
        <w:rPr>
          <w:rFonts w:ascii="Cambria" w:hAnsi="Cambria" w:cs="Cambria"/>
          <w:color w:val="auto"/>
          <w:sz w:val="18"/>
          <w:szCs w:val="18"/>
        </w:rPr>
        <w:t xml:space="preserve">(s) ou de qualquer forma não possa(m) mais ser utilizado(s), será(</w:t>
      </w:r>
      <w:r>
        <w:rPr>
          <w:rFonts w:ascii="Cambria" w:hAnsi="Cambria" w:cs="Cambria"/>
          <w:color w:val="auto"/>
          <w:sz w:val="18"/>
          <w:szCs w:val="18"/>
        </w:rPr>
        <w:t xml:space="preserve">ão</w:t>
      </w:r>
      <w:r>
        <w:rPr>
          <w:rFonts w:ascii="Cambria" w:hAnsi="Cambria" w:cs="Cambria"/>
          <w:color w:val="auto"/>
          <w:sz w:val="18"/>
          <w:szCs w:val="18"/>
        </w:rPr>
        <w:t xml:space="preserve">) adotado(s), em substituição, o(s) que vier(em) a ser determinado(s) pela legislação então em vigor.</w:t>
      </w:r>
      <w:r/>
    </w:p>
    <w:p>
      <w:pPr>
        <w:pStyle w:val="1068"/>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11.7 - Na ausência de previsão legal quanto ao índice substituto, as partes elegerão n</w:t>
      </w:r>
      <w:r>
        <w:rPr>
          <w:rFonts w:ascii="Cambria" w:hAnsi="Cambria" w:cs="Cambria"/>
          <w:color w:val="auto"/>
          <w:sz w:val="18"/>
          <w:szCs w:val="18"/>
        </w:rPr>
        <w:t xml:space="preserve">ovo índice oficial, para reajustamento do preço do valor remanescente, por meio de termo aditivo. </w:t>
      </w:r>
      <w:r/>
    </w:p>
    <w:p>
      <w:pPr>
        <w:pStyle w:val="1068"/>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11.8 - O reajuste será realizado por </w:t>
      </w:r>
      <w:r>
        <w:rPr>
          <w:rFonts w:ascii="Cambria" w:hAnsi="Cambria" w:cs="Cambria"/>
          <w:color w:val="auto"/>
          <w:sz w:val="18"/>
          <w:szCs w:val="18"/>
        </w:rPr>
        <w:t xml:space="preserve">apostilamento</w:t>
      </w:r>
      <w:r>
        <w:rPr>
          <w:rFonts w:ascii="Cambria" w:hAnsi="Cambria" w:cs="Cambria"/>
          <w:color w:val="auto"/>
          <w:sz w:val="18"/>
          <w:szCs w:val="18"/>
        </w:rPr>
        <w:t xml:space="preserve">.</w:t>
      </w:r>
      <w:r/>
    </w:p>
    <w:p>
      <w:pPr>
        <w:pStyle w:val="1068"/>
        <w:numPr>
          <w:ilvl w:val="0"/>
          <w:numId w:val="0"/>
        </w:numPr>
        <w:spacing w:before="0" w:after="0" w:line="312" w:lineRule="auto"/>
        <w:rPr>
          <w:rFonts w:ascii="Cambria" w:hAnsi="Cambria" w:cs="Cambria"/>
          <w:sz w:val="18"/>
          <w:szCs w:val="18"/>
        </w:rPr>
      </w:pPr>
      <w:r>
        <w:rPr>
          <w:rFonts w:ascii="Cambria" w:hAnsi="Cambria" w:cs="Cambria"/>
          <w:sz w:val="18"/>
          <w:szCs w:val="18"/>
        </w:rPr>
      </w:r>
      <w:r/>
    </w:p>
    <w:p>
      <w:pPr>
        <w:pStyle w:val="1051"/>
        <w:numPr>
          <w:ilvl w:val="0"/>
          <w:numId w:val="0"/>
        </w:numPr>
        <w:spacing w:before="0"/>
        <w:tabs>
          <w:tab w:val="left" w:pos="284" w:leader="none"/>
        </w:tabs>
        <w:rPr>
          <w:rFonts w:ascii="Cambria" w:hAnsi="Cambria" w:cs="Cambria"/>
          <w:sz w:val="18"/>
          <w:szCs w:val="18"/>
        </w:rPr>
      </w:pPr>
      <w:r>
        <w:rPr>
          <w:rFonts w:ascii="Cambria" w:hAnsi="Cambria" w:cs="Cambria"/>
          <w:sz w:val="18"/>
          <w:szCs w:val="18"/>
        </w:rPr>
        <w:t xml:space="preserve">12 - INFRAÇÕES E SANÇÕES ADMINISTRATIVAS (art. 92, inciso XIV, da Lei nº 14.133/2021).</w:t>
      </w:r>
      <w:r/>
    </w:p>
    <w:p>
      <w:pPr>
        <w:pStyle w:val="1068"/>
        <w:numPr>
          <w:ilvl w:val="0"/>
          <w:numId w:val="0"/>
        </w:numPr>
        <w:spacing w:before="0" w:after="0" w:line="312" w:lineRule="auto"/>
        <w:tabs>
          <w:tab w:val="left" w:pos="284" w:leader="none"/>
        </w:tabs>
        <w:rPr>
          <w:rFonts w:ascii="Cambria" w:hAnsi="Cambria" w:cs="Cambria"/>
          <w:sz w:val="18"/>
          <w:szCs w:val="18"/>
        </w:rPr>
      </w:pPr>
      <w:r>
        <w:rPr>
          <w:rFonts w:ascii="Cambria" w:hAnsi="Cambria" w:cs="Cambria"/>
          <w:sz w:val="18"/>
          <w:szCs w:val="18"/>
        </w:rPr>
        <w:t xml:space="preserve">12.1 - Comete infração administrativa, nos termos da Lei nº 14.133, de 2021, o contratado que:</w:t>
      </w:r>
      <w:r/>
    </w:p>
    <w:p>
      <w:pPr>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a) der causa à inexecução parcial do contrato;</w:t>
      </w:r>
      <w:r/>
    </w:p>
    <w:p>
      <w:pPr>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b) der causa à inexecução parcial do contrato que cause grave dano à Administração ou ao funcionamento dos serviço</w:t>
      </w:r>
      <w:r>
        <w:rPr>
          <w:rFonts w:ascii="Cambria" w:hAnsi="Cambria" w:eastAsia="Arial" w:cs="Cambria"/>
          <w:sz w:val="18"/>
          <w:szCs w:val="18"/>
        </w:rPr>
        <w:t xml:space="preserve">s públicos ou ao interesse coletivo;</w:t>
      </w:r>
      <w:r/>
    </w:p>
    <w:p>
      <w:pPr>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c) der causa à inexecução total do contrato;</w:t>
      </w:r>
      <w:r/>
    </w:p>
    <w:p>
      <w:pPr>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d) ensejar o retardamento da execução ou da entrega do objeto da contratação sem motivo justificado;</w:t>
      </w:r>
      <w:r/>
    </w:p>
    <w:p>
      <w:pPr>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e) apresentar documentação falsa ou prestar declaração falsa durante a ex</w:t>
      </w:r>
      <w:r>
        <w:rPr>
          <w:rFonts w:ascii="Cambria" w:hAnsi="Cambria" w:eastAsia="Arial" w:cs="Cambria"/>
          <w:sz w:val="18"/>
          <w:szCs w:val="18"/>
        </w:rPr>
        <w:t xml:space="preserve">ecução do contrato;</w:t>
      </w:r>
      <w:r/>
    </w:p>
    <w:p>
      <w:pPr>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f) praticar ato fraudulento na execução do contrato;</w:t>
      </w:r>
      <w:r/>
    </w:p>
    <w:p>
      <w:pPr>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g) comportar-se de modo inidôneo ou cometer fraude de qualquer natureza;</w:t>
      </w:r>
      <w:r/>
    </w:p>
    <w:p>
      <w:pPr>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h) praticar ato lesivo previsto no art. 5º da Lei nº 12.846, de 1º de agosto de 2013.</w:t>
      </w:r>
      <w:r/>
    </w:p>
    <w:p>
      <w:pPr>
        <w:pStyle w:val="1068"/>
        <w:numPr>
          <w:ilvl w:val="0"/>
          <w:numId w:val="0"/>
        </w:numPr>
        <w:spacing w:before="0" w:after="0" w:line="312" w:lineRule="auto"/>
        <w:rPr>
          <w:rFonts w:ascii="Cambria" w:hAnsi="Cambria" w:cs="Cambria"/>
          <w:sz w:val="18"/>
          <w:szCs w:val="18"/>
        </w:rPr>
      </w:pPr>
      <w:r>
        <w:rPr>
          <w:rFonts w:ascii="Cambria" w:hAnsi="Cambria" w:cs="Cambria"/>
          <w:sz w:val="18"/>
          <w:szCs w:val="18"/>
        </w:rPr>
        <w:t xml:space="preserve">12.2 - Serão aplicadas a</w:t>
      </w:r>
      <w:r>
        <w:rPr>
          <w:rFonts w:ascii="Cambria" w:hAnsi="Cambria" w:cs="Cambria"/>
          <w:sz w:val="18"/>
          <w:szCs w:val="18"/>
        </w:rPr>
        <w:t xml:space="preserve">o contratado que incorrer nas infrações acima descritas as seguintes sanções:</w:t>
      </w:r>
      <w:r/>
    </w:p>
    <w:p>
      <w:pPr>
        <w:jc w:val="both"/>
        <w:spacing w:line="312" w:lineRule="auto"/>
        <w:tabs>
          <w:tab w:val="left" w:pos="284" w:leader="none"/>
        </w:tabs>
        <w:rPr>
          <w:rFonts w:ascii="Cambria" w:hAnsi="Cambria" w:cs="Cambria"/>
          <w:sz w:val="18"/>
          <w:szCs w:val="18"/>
        </w:rPr>
      </w:pPr>
      <w:r>
        <w:rPr>
          <w:rFonts w:ascii="Cambria" w:hAnsi="Cambria" w:eastAsia="Arial" w:cs="Cambria"/>
          <w:bCs/>
          <w:sz w:val="18"/>
          <w:szCs w:val="18"/>
        </w:rPr>
        <w:t xml:space="preserve">I) Advertência</w:t>
      </w:r>
      <w:r>
        <w:rPr>
          <w:rFonts w:ascii="Cambria" w:hAnsi="Cambria" w:eastAsia="Arial" w:cs="Cambria"/>
          <w:sz w:val="18"/>
          <w:szCs w:val="18"/>
        </w:rPr>
        <w:t xml:space="preserve">, quando o contratado der causa à inexecução parcial do contrato, sempre que não se justificar a imposição de penalidade mais grave (art. 156, §2º, da Lei nº 14.133</w:t>
      </w:r>
      <w:r>
        <w:rPr>
          <w:rFonts w:ascii="Cambria" w:hAnsi="Cambria" w:eastAsia="Arial" w:cs="Cambria"/>
          <w:sz w:val="18"/>
          <w:szCs w:val="18"/>
        </w:rPr>
        <w:t xml:space="preserve">, de 2021);</w:t>
      </w:r>
      <w:r/>
    </w:p>
    <w:p>
      <w:pPr>
        <w:jc w:val="both"/>
        <w:spacing w:line="312" w:lineRule="auto"/>
        <w:tabs>
          <w:tab w:val="left" w:pos="284" w:leader="none"/>
        </w:tabs>
        <w:rPr>
          <w:rFonts w:ascii="Cambria" w:hAnsi="Cambria" w:cs="Cambria"/>
          <w:sz w:val="18"/>
          <w:szCs w:val="18"/>
        </w:rPr>
      </w:pPr>
      <w:r>
        <w:rPr>
          <w:rFonts w:ascii="Cambria" w:hAnsi="Cambria" w:eastAsia="Arial" w:cs="Cambria"/>
          <w:bCs/>
          <w:sz w:val="18"/>
          <w:szCs w:val="18"/>
        </w:rPr>
        <w:t xml:space="preserve">II) Impedimento de licitar e contratar</w:t>
      </w:r>
      <w:r>
        <w:rPr>
          <w:rFonts w:ascii="Cambria" w:hAnsi="Cambria" w:eastAsia="Arial" w:cs="Cambria"/>
          <w:sz w:val="18"/>
          <w:szCs w:val="18"/>
        </w:rPr>
        <w:t xml:space="preserve">, quando praticadas as condutas descritas nas alíneas “b”, “c” e “d” do subitem acima deste Contrato, sempre que não se justificar a imposição de penalidade mais grave (art. 156, § 4º, da Lei nº 14.133, de </w:t>
      </w:r>
      <w:r>
        <w:rPr>
          <w:rFonts w:ascii="Cambria" w:hAnsi="Cambria" w:eastAsia="Arial" w:cs="Cambria"/>
          <w:sz w:val="18"/>
          <w:szCs w:val="18"/>
        </w:rPr>
        <w:t xml:space="preserve">2021);</w:t>
      </w:r>
      <w:r/>
    </w:p>
    <w:p>
      <w:pPr>
        <w:jc w:val="both"/>
        <w:spacing w:line="312" w:lineRule="auto"/>
        <w:tabs>
          <w:tab w:val="left" w:pos="284" w:leader="none"/>
        </w:tabs>
        <w:rPr>
          <w:rFonts w:ascii="Cambria" w:hAnsi="Cambria" w:cs="Cambria"/>
          <w:sz w:val="18"/>
          <w:szCs w:val="18"/>
        </w:rPr>
      </w:pPr>
      <w:r>
        <w:rPr>
          <w:rFonts w:ascii="Cambria" w:hAnsi="Cambria" w:eastAsia="Arial" w:cs="Cambria"/>
          <w:bCs/>
          <w:sz w:val="18"/>
          <w:szCs w:val="18"/>
        </w:rPr>
        <w:t xml:space="preserve">III) Declaração de inidoneidade para licitar e contratar</w:t>
      </w:r>
      <w:r>
        <w:rPr>
          <w:rFonts w:ascii="Cambria" w:hAnsi="Cambria" w:eastAsia="Arial" w:cs="Cambria"/>
          <w:sz w:val="18"/>
          <w:szCs w:val="18"/>
        </w:rPr>
        <w:t xml:space="preserve">, quando praticadas as condutas descritas nas alíneas “e”, “f”, “g” e “h” do subitem acima deste Contrato, bem como nas alíneas “b”, “c” e “d”, que justifiquem a imposição de penalidade mais gr</w:t>
      </w:r>
      <w:r>
        <w:rPr>
          <w:rFonts w:ascii="Cambria" w:hAnsi="Cambria" w:eastAsia="Arial" w:cs="Cambria"/>
          <w:sz w:val="18"/>
          <w:szCs w:val="18"/>
        </w:rPr>
        <w:t xml:space="preserve">ave (art. 156, §5º, da Lei nº 14.133, de 2021).</w:t>
      </w:r>
      <w:r/>
    </w:p>
    <w:p>
      <w:pPr>
        <w:jc w:val="both"/>
        <w:spacing w:line="312" w:lineRule="auto"/>
        <w:tabs>
          <w:tab w:val="left" w:pos="284" w:leader="none"/>
        </w:tabs>
        <w:rPr>
          <w:rFonts w:ascii="Cambria" w:hAnsi="Cambria" w:cs="Cambria"/>
          <w:sz w:val="18"/>
          <w:szCs w:val="18"/>
        </w:rPr>
      </w:pPr>
      <w:r>
        <w:rPr>
          <w:rFonts w:ascii="Cambria" w:hAnsi="Cambria" w:eastAsia="Arial" w:cs="Cambria"/>
          <w:bCs/>
          <w:sz w:val="18"/>
          <w:szCs w:val="18"/>
        </w:rPr>
        <w:t xml:space="preserve">I - Multa:</w:t>
      </w:r>
      <w:r/>
    </w:p>
    <w:p>
      <w:pPr>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1 - </w:t>
      </w:r>
      <w:r>
        <w:rPr>
          <w:rFonts w:ascii="Cambria" w:hAnsi="Cambria" w:eastAsia="Arial" w:cs="Cambria"/>
          <w:sz w:val="18"/>
          <w:szCs w:val="18"/>
        </w:rPr>
        <w:t xml:space="preserve">moratória</w:t>
      </w:r>
      <w:r>
        <w:rPr>
          <w:rFonts w:ascii="Cambria" w:hAnsi="Cambria" w:eastAsia="Arial" w:cs="Cambria"/>
          <w:sz w:val="18"/>
          <w:szCs w:val="18"/>
        </w:rPr>
        <w:t xml:space="preserve"> de 1% (um por cento) por dia de atraso injustificado sobre o valor da parcela inadimplida, até o limite de 30 (trinta) dias;</w:t>
      </w:r>
      <w:r/>
    </w:p>
    <w:p>
      <w:pPr>
        <w:jc w:val="both"/>
        <w:spacing w:line="312" w:lineRule="auto"/>
        <w:tabs>
          <w:tab w:val="left" w:pos="284" w:leader="none"/>
        </w:tabs>
        <w:rPr>
          <w:rFonts w:ascii="Cambria" w:hAnsi="Cambria" w:cs="Cambria"/>
          <w:sz w:val="18"/>
          <w:szCs w:val="18"/>
        </w:rPr>
      </w:pPr>
      <w:r>
        <w:rPr>
          <w:rFonts w:ascii="Cambria" w:hAnsi="Cambria" w:eastAsia="Arial" w:cs="Cambria"/>
          <w:iCs/>
          <w:sz w:val="18"/>
          <w:szCs w:val="18"/>
        </w:rPr>
        <w:t xml:space="preserve">2 - </w:t>
      </w:r>
      <w:r>
        <w:rPr>
          <w:rFonts w:ascii="Cambria" w:hAnsi="Cambria" w:eastAsia="Arial" w:cs="Cambria"/>
          <w:iCs/>
          <w:sz w:val="18"/>
          <w:szCs w:val="18"/>
        </w:rPr>
        <w:t xml:space="preserve">moratória</w:t>
      </w:r>
      <w:r>
        <w:rPr>
          <w:rFonts w:ascii="Cambria" w:hAnsi="Cambria" w:eastAsia="Arial" w:cs="Cambria"/>
          <w:iCs/>
          <w:sz w:val="18"/>
          <w:szCs w:val="18"/>
        </w:rPr>
        <w:t xml:space="preserve"> de 1% (um por cento) por dia de atraso injus</w:t>
      </w:r>
      <w:r>
        <w:rPr>
          <w:rFonts w:ascii="Cambria" w:hAnsi="Cambria" w:eastAsia="Arial" w:cs="Cambria"/>
          <w:iCs/>
          <w:sz w:val="18"/>
          <w:szCs w:val="18"/>
        </w:rPr>
        <w:t xml:space="preserve">tificado sobre o valor total do contrato, até o máximo de 50% (cinquenta por cento), pela inobservância do prazo fixado para apresentação, suplementação ou reposição da garantia.</w:t>
      </w:r>
      <w:r/>
    </w:p>
    <w:p>
      <w:pPr>
        <w:jc w:val="both"/>
        <w:spacing w:line="312" w:lineRule="auto"/>
        <w:tabs>
          <w:tab w:val="left" w:pos="284" w:leader="none"/>
        </w:tabs>
        <w:rPr>
          <w:rFonts w:ascii="Cambria" w:hAnsi="Cambria" w:cs="Cambria"/>
          <w:sz w:val="18"/>
          <w:szCs w:val="18"/>
        </w:rPr>
      </w:pPr>
      <w:r>
        <w:rPr>
          <w:rFonts w:ascii="Cambria" w:hAnsi="Cambria" w:eastAsia="Arial" w:cs="Cambria"/>
          <w:iCs/>
          <w:sz w:val="18"/>
          <w:szCs w:val="18"/>
        </w:rPr>
        <w:t xml:space="preserve">I) O atraso superior a 10 (dez) dias autoriza a Administração a promover a extinção do contrato por descumprimento ou cumprimento irregular de suas cláusulas, conforme dispõe o inciso I do art. 137 da Lei n. 14.133, de 2021. </w:t>
      </w:r>
      <w:r/>
    </w:p>
    <w:p>
      <w:pPr>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1 - </w:t>
      </w:r>
      <w:r>
        <w:rPr>
          <w:rFonts w:ascii="Cambria" w:hAnsi="Cambria" w:eastAsia="Arial" w:cs="Cambria"/>
          <w:sz w:val="18"/>
          <w:szCs w:val="18"/>
        </w:rPr>
        <w:t xml:space="preserve">compensatória</w:t>
      </w:r>
      <w:r>
        <w:rPr>
          <w:rFonts w:ascii="Cambria" w:hAnsi="Cambria" w:eastAsia="Arial" w:cs="Cambria"/>
          <w:sz w:val="18"/>
          <w:szCs w:val="18"/>
        </w:rPr>
        <w:t xml:space="preserve"> de 30% (trin</w:t>
      </w:r>
      <w:r>
        <w:rPr>
          <w:rFonts w:ascii="Cambria" w:hAnsi="Cambria" w:eastAsia="Arial" w:cs="Cambria"/>
          <w:sz w:val="18"/>
          <w:szCs w:val="18"/>
        </w:rPr>
        <w:t xml:space="preserve">ta por cento) sobre o valor total do contrato, no caso de inexecução total do objeto.</w:t>
      </w:r>
      <w:r/>
    </w:p>
    <w:p>
      <w:pPr>
        <w:pStyle w:val="1068"/>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12.3 - A aplicação das sanções previstas neste Contrato não exclui, em hipótese alguma, a obrigação de reparação integral do dano causado ao Contratante (art. 156, §9º, d</w:t>
      </w:r>
      <w:r>
        <w:rPr>
          <w:rFonts w:ascii="Cambria" w:hAnsi="Cambria" w:cs="Cambria"/>
          <w:color w:val="auto"/>
          <w:sz w:val="18"/>
          <w:szCs w:val="18"/>
        </w:rPr>
        <w:t xml:space="preserve">a Lei nº 14.133, de 2021)</w:t>
      </w:r>
      <w:r/>
    </w:p>
    <w:p>
      <w:pPr>
        <w:pStyle w:val="1068"/>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12.4 - Todas as sanções previstas neste Contrato poderão ser aplicadas cumulativamente com a multa (art. 156, §7º, da Lei nº 14.133, de 2021).</w:t>
      </w:r>
      <w:r/>
    </w:p>
    <w:p>
      <w:pPr>
        <w:pStyle w:val="1070"/>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12.4.1 - Antes da aplicação da multa será facultada a defesa do interessado no prazo de</w:t>
      </w:r>
      <w:r>
        <w:rPr>
          <w:rFonts w:ascii="Cambria" w:hAnsi="Cambria" w:cs="Cambria"/>
          <w:color w:val="auto"/>
          <w:sz w:val="18"/>
          <w:szCs w:val="18"/>
        </w:rPr>
        <w:t xml:space="preserve"> 15 (quinze) dias úteis, contado da data de sua intimação (art. 157, da Lei nº 14.133, de 2021)</w:t>
      </w:r>
      <w:r/>
    </w:p>
    <w:p>
      <w:pPr>
        <w:pStyle w:val="1070"/>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12.4.2 - Se a multa aplicada e as indenizações cabíveis forem superiores ao valor do pagamento eventualmente devido pelo Contratante ao Contratado, além da perd</w:t>
      </w:r>
      <w:r>
        <w:rPr>
          <w:rFonts w:ascii="Cambria" w:hAnsi="Cambria" w:cs="Cambria"/>
          <w:color w:val="auto"/>
          <w:sz w:val="18"/>
          <w:szCs w:val="18"/>
        </w:rPr>
        <w:t xml:space="preserve">a desse valor, a diferença será descontada da garantia prestada ou será cobrada judicialmente (art. 156, §8º, da Lei nº 14.133, de 2021).</w:t>
      </w:r>
      <w:r/>
    </w:p>
    <w:p>
      <w:pPr>
        <w:pStyle w:val="1070"/>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12.4.3 - Previamente ao encaminhamento à cobrança judicial, a multa poderá ser recolhida administrativamente no prazo </w:t>
      </w:r>
      <w:r>
        <w:rPr>
          <w:rFonts w:ascii="Cambria" w:hAnsi="Cambria" w:cs="Cambria"/>
          <w:color w:val="auto"/>
          <w:sz w:val="18"/>
          <w:szCs w:val="18"/>
        </w:rPr>
        <w:t xml:space="preserve">máximo de </w:t>
      </w:r>
      <w:r>
        <w:rPr>
          <w:rFonts w:ascii="Cambria" w:hAnsi="Cambria" w:cs="Cambria"/>
          <w:iCs/>
          <w:color w:val="auto"/>
          <w:sz w:val="18"/>
          <w:szCs w:val="18"/>
        </w:rPr>
        <w:t xml:space="preserve">15 (quinze) </w:t>
      </w:r>
      <w:r>
        <w:rPr>
          <w:rFonts w:ascii="Cambria" w:hAnsi="Cambria" w:cs="Cambria"/>
          <w:color w:val="auto"/>
          <w:sz w:val="18"/>
          <w:szCs w:val="18"/>
        </w:rPr>
        <w:t xml:space="preserve">dias, a contar da data do recebimento da comunicação enviada pela autoridade competente.</w:t>
      </w:r>
      <w:r/>
    </w:p>
    <w:p>
      <w:pPr>
        <w:pStyle w:val="1068"/>
        <w:numPr>
          <w:ilvl w:val="0"/>
          <w:numId w:val="0"/>
        </w:numPr>
        <w:spacing w:before="0" w:after="0" w:line="312" w:lineRule="auto"/>
        <w:rPr>
          <w:rFonts w:ascii="Cambria" w:hAnsi="Cambria" w:cs="Cambria"/>
          <w:sz w:val="18"/>
          <w:szCs w:val="18"/>
        </w:rPr>
      </w:pPr>
      <w:r>
        <w:rPr>
          <w:rFonts w:ascii="Cambria" w:hAnsi="Cambria" w:cs="Cambria"/>
          <w:sz w:val="18"/>
          <w:szCs w:val="18"/>
        </w:rPr>
        <w:t xml:space="preserve">12.5 - A aplicação das sanções realizar-se-á em processo administrativo que assegure o contraditório e a ampla defesa ao Contratado, observando-se o procedimento previsto no </w:t>
      </w:r>
      <w:r>
        <w:rPr>
          <w:rFonts w:ascii="Cambria" w:hAnsi="Cambria" w:cs="Cambria"/>
          <w:b/>
          <w:bCs/>
          <w:sz w:val="18"/>
          <w:szCs w:val="18"/>
        </w:rPr>
        <w:t xml:space="preserve">caput </w:t>
      </w:r>
      <w:r>
        <w:rPr>
          <w:rFonts w:ascii="Cambria" w:hAnsi="Cambria" w:cs="Cambria"/>
          <w:sz w:val="18"/>
          <w:szCs w:val="18"/>
        </w:rPr>
        <w:t xml:space="preserve">e parágrafos do art. 158 da Lei nº 14.133, de 2021, para as penalidades de i</w:t>
      </w:r>
      <w:r>
        <w:rPr>
          <w:rFonts w:ascii="Cambria" w:hAnsi="Cambria" w:cs="Cambria"/>
          <w:sz w:val="18"/>
          <w:szCs w:val="18"/>
        </w:rPr>
        <w:t xml:space="preserve">mpedimento de licitar e contratar e de declaração de inidoneidade para licitar ou contratar.</w:t>
      </w:r>
      <w:r/>
    </w:p>
    <w:p>
      <w:pPr>
        <w:pStyle w:val="1068"/>
        <w:numPr>
          <w:ilvl w:val="0"/>
          <w:numId w:val="0"/>
        </w:numPr>
        <w:spacing w:before="0" w:after="0" w:line="312" w:lineRule="auto"/>
        <w:tabs>
          <w:tab w:val="left" w:pos="284" w:leader="none"/>
        </w:tabs>
        <w:rPr>
          <w:rFonts w:ascii="Cambria" w:hAnsi="Cambria" w:cs="Cambria"/>
          <w:sz w:val="18"/>
          <w:szCs w:val="18"/>
        </w:rPr>
      </w:pPr>
      <w:r>
        <w:rPr>
          <w:rFonts w:ascii="Cambria" w:hAnsi="Cambria" w:cs="Cambria"/>
          <w:sz w:val="18"/>
          <w:szCs w:val="18"/>
        </w:rPr>
        <w:t xml:space="preserve">12.6 - Na aplicação das sanções serão considerados (art. 156, §1º, da Lei nº 14.133, de 2021):</w:t>
      </w:r>
      <w:r/>
    </w:p>
    <w:p>
      <w:pPr>
        <w:contextualSpacing/>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a) a natureza e a gravidade da infração cometida;</w:t>
      </w:r>
      <w:r/>
    </w:p>
    <w:p>
      <w:pPr>
        <w:contextualSpacing/>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b) as peculiaridad</w:t>
      </w:r>
      <w:r>
        <w:rPr>
          <w:rFonts w:ascii="Cambria" w:hAnsi="Cambria" w:eastAsia="Arial" w:cs="Cambria"/>
          <w:sz w:val="18"/>
          <w:szCs w:val="18"/>
        </w:rPr>
        <w:t xml:space="preserve">es do caso concreto;</w:t>
      </w:r>
      <w:r/>
    </w:p>
    <w:p>
      <w:pPr>
        <w:contextualSpacing/>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c) as circunstâncias agravantes ou atenuantes;</w:t>
      </w:r>
      <w:r/>
    </w:p>
    <w:p>
      <w:pPr>
        <w:contextualSpacing/>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d) os danos que dela provierem para o Contratante;</w:t>
      </w:r>
      <w:r/>
    </w:p>
    <w:p>
      <w:pPr>
        <w:contextualSpacing/>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e) a implantação ou o aperfeiçoamento de programa de integridade, conforme normas e orientações dos órgãos de controle.</w:t>
      </w:r>
      <w:r/>
    </w:p>
    <w:p>
      <w:pPr>
        <w:pStyle w:val="1068"/>
        <w:numPr>
          <w:ilvl w:val="0"/>
          <w:numId w:val="0"/>
        </w:numPr>
        <w:spacing w:before="0" w:after="0" w:line="312" w:lineRule="auto"/>
        <w:rPr>
          <w:rFonts w:ascii="Cambria" w:hAnsi="Cambria" w:cs="Cambria"/>
          <w:sz w:val="18"/>
          <w:szCs w:val="18"/>
        </w:rPr>
      </w:pPr>
      <w:r>
        <w:rPr>
          <w:rFonts w:ascii="Cambria" w:hAnsi="Cambria" w:cs="Cambria"/>
          <w:sz w:val="18"/>
          <w:szCs w:val="18"/>
        </w:rPr>
        <w:t xml:space="preserve">12.7 - Os atos pr</w:t>
      </w:r>
      <w:r>
        <w:rPr>
          <w:rFonts w:ascii="Cambria" w:hAnsi="Cambria" w:cs="Cambria"/>
          <w:sz w:val="18"/>
          <w:szCs w:val="18"/>
        </w:rPr>
        <w:t xml:space="preserve">evistos como infrações administrativas na Lei nº 14.133, de 2021, ou em outras leis de licitações e contratos da Administração Pública que também sejam tipificados como atos lesivos na Lei nº 12.846, de 2013, serão apurados e julgados conjuntamente, nos me</w:t>
      </w:r>
      <w:r>
        <w:rPr>
          <w:rFonts w:ascii="Cambria" w:hAnsi="Cambria" w:cs="Cambria"/>
          <w:sz w:val="18"/>
          <w:szCs w:val="18"/>
        </w:rPr>
        <w:t xml:space="preserve">smos autos, observados o rito procedimental e autoridade competente definidos na referida Lei (art. 159).</w:t>
      </w:r>
      <w:r/>
    </w:p>
    <w:p>
      <w:pPr>
        <w:pStyle w:val="1068"/>
        <w:numPr>
          <w:ilvl w:val="0"/>
          <w:numId w:val="0"/>
        </w:numPr>
        <w:spacing w:before="0" w:after="0" w:line="312" w:lineRule="auto"/>
        <w:rPr>
          <w:rFonts w:ascii="Cambria" w:hAnsi="Cambria" w:cs="Cambria"/>
          <w:sz w:val="18"/>
          <w:szCs w:val="18"/>
        </w:rPr>
      </w:pPr>
      <w:r>
        <w:rPr>
          <w:rFonts w:ascii="Cambria" w:hAnsi="Cambria" w:cs="Cambria"/>
          <w:sz w:val="18"/>
          <w:szCs w:val="18"/>
        </w:rPr>
        <w:t xml:space="preserve">12.8 - A personalidade jurídica do Contratado poderá ser desconsiderada sempre que utilizada com abuso do direito para facilitar, encobrir ou dissimul</w:t>
      </w:r>
      <w:r>
        <w:rPr>
          <w:rFonts w:ascii="Cambria" w:hAnsi="Cambria" w:cs="Cambria"/>
          <w:sz w:val="18"/>
          <w:szCs w:val="18"/>
        </w:rPr>
        <w:t xml:space="preserve">ar a prática dos atos ilícitos previstos neste Contrato ou para provocar confusão patrimonial, e, nesse caso, todos os efeitos das sanções aplicadas à pessoa jurídica serão estendidos aos seus administradores e sócios com poderes de administração, à pessoa</w:t>
      </w:r>
      <w:r>
        <w:rPr>
          <w:rFonts w:ascii="Cambria" w:hAnsi="Cambria" w:cs="Cambria"/>
          <w:sz w:val="18"/>
          <w:szCs w:val="18"/>
        </w:rPr>
        <w:t xml:space="preserve"> jurídica sucessora ou à empresa do mesmo ramo com relação de coligação ou controle, de </w:t>
      </w:r>
      <w:r>
        <w:rPr>
          <w:rFonts w:ascii="Cambria" w:hAnsi="Cambria" w:cs="Cambria"/>
          <w:sz w:val="18"/>
          <w:szCs w:val="18"/>
        </w:rPr>
        <w:t xml:space="preserve">fato ou de direito, com o Contratado, observados, em todos os casos, o contraditório, a ampla defesa e a obrigatoriedade de análise jurídica prévia (art. 160, da Lei nº</w:t>
      </w:r>
      <w:r>
        <w:rPr>
          <w:rFonts w:ascii="Cambria" w:hAnsi="Cambria" w:cs="Cambria"/>
          <w:sz w:val="18"/>
          <w:szCs w:val="18"/>
        </w:rPr>
        <w:t xml:space="preserve"> 14.133, de 2021).</w:t>
      </w:r>
      <w:r/>
    </w:p>
    <w:p>
      <w:pPr>
        <w:pStyle w:val="1068"/>
        <w:numPr>
          <w:ilvl w:val="0"/>
          <w:numId w:val="0"/>
        </w:numPr>
        <w:spacing w:before="0" w:after="0" w:line="312" w:lineRule="auto"/>
        <w:rPr>
          <w:rFonts w:ascii="Cambria" w:hAnsi="Cambria" w:cs="Cambria"/>
          <w:sz w:val="18"/>
          <w:szCs w:val="18"/>
        </w:rPr>
      </w:pPr>
      <w:r>
        <w:rPr>
          <w:rFonts w:ascii="Cambria" w:hAnsi="Cambria" w:cs="Cambria"/>
          <w:sz w:val="18"/>
          <w:szCs w:val="18"/>
        </w:rPr>
        <w:t xml:space="preserve">12.9 - O Contratante deverá, no prazo máximo 15 (quinze) dias úteis, contado da data de aplicação da sanção, informar e manter atualizados os dados relativos às sanções por ela aplicadas, para fins de publicidade no Cadastro Nacional de </w:t>
      </w:r>
      <w:r>
        <w:rPr>
          <w:rFonts w:ascii="Cambria" w:hAnsi="Cambria" w:cs="Cambria"/>
          <w:sz w:val="18"/>
          <w:szCs w:val="18"/>
        </w:rPr>
        <w:t xml:space="preserve">Empresas Inidôneas e Suspensas (</w:t>
      </w:r>
      <w:r>
        <w:rPr>
          <w:rFonts w:ascii="Cambria" w:hAnsi="Cambria" w:cs="Cambria"/>
          <w:sz w:val="18"/>
          <w:szCs w:val="18"/>
        </w:rPr>
        <w:t xml:space="preserve">Ceis</w:t>
      </w:r>
      <w:r>
        <w:rPr>
          <w:rFonts w:ascii="Cambria" w:hAnsi="Cambria" w:cs="Cambria"/>
          <w:sz w:val="18"/>
          <w:szCs w:val="18"/>
        </w:rPr>
        <w:t xml:space="preserve">) e no Cadastro Nacional de Empresas Punidas (</w:t>
      </w:r>
      <w:r>
        <w:rPr>
          <w:rFonts w:ascii="Cambria" w:hAnsi="Cambria" w:cs="Cambria"/>
          <w:sz w:val="18"/>
          <w:szCs w:val="18"/>
        </w:rPr>
        <w:t xml:space="preserve">Cnep</w:t>
      </w:r>
      <w:r>
        <w:rPr>
          <w:rFonts w:ascii="Cambria" w:hAnsi="Cambria" w:cs="Cambria"/>
          <w:sz w:val="18"/>
          <w:szCs w:val="18"/>
        </w:rPr>
        <w:t xml:space="preserve">), instituídos no âmbito do Poder Executivo Federal. (Art. 161, da Lei nº 14.133, de 2021).</w:t>
      </w:r>
      <w:r/>
    </w:p>
    <w:p>
      <w:pPr>
        <w:pStyle w:val="1068"/>
        <w:numPr>
          <w:ilvl w:val="0"/>
          <w:numId w:val="0"/>
        </w:numPr>
        <w:spacing w:before="0" w:after="0" w:line="312" w:lineRule="auto"/>
        <w:rPr>
          <w:rFonts w:ascii="Cambria" w:hAnsi="Cambria" w:cs="Cambria"/>
          <w:sz w:val="18"/>
          <w:szCs w:val="18"/>
        </w:rPr>
      </w:pPr>
      <w:r>
        <w:rPr>
          <w:rFonts w:ascii="Cambria" w:hAnsi="Cambria" w:cs="Cambria"/>
          <w:sz w:val="18"/>
          <w:szCs w:val="18"/>
        </w:rPr>
        <w:t xml:space="preserve">12.10 - As sanções de impedimento de licitar e contratar e declaração de inido</w:t>
      </w:r>
      <w:r>
        <w:rPr>
          <w:rFonts w:ascii="Cambria" w:hAnsi="Cambria" w:cs="Cambria"/>
          <w:sz w:val="18"/>
          <w:szCs w:val="18"/>
        </w:rPr>
        <w:t xml:space="preserve">neidade para licitar ou contratar são passíveis de reabilitação na forma do art. 163 da Lei nº 14.133/21.</w:t>
      </w:r>
      <w:r/>
    </w:p>
    <w:p>
      <w:pPr>
        <w:pStyle w:val="1068"/>
        <w:numPr>
          <w:ilvl w:val="0"/>
          <w:numId w:val="0"/>
        </w:numPr>
        <w:spacing w:before="0" w:after="0" w:line="312" w:lineRule="auto"/>
        <w:rPr>
          <w:rFonts w:ascii="Cambria" w:hAnsi="Cambria" w:cs="Cambria"/>
          <w:sz w:val="18"/>
          <w:szCs w:val="18"/>
        </w:rPr>
      </w:pPr>
      <w:r>
        <w:rPr>
          <w:rFonts w:ascii="Cambria" w:hAnsi="Cambria" w:cs="Cambria"/>
          <w:sz w:val="18"/>
          <w:szCs w:val="18"/>
        </w:rPr>
        <w:t xml:space="preserve">12.11 - Os débitos do contratado para com a Administração contratante, resultantes de multa administrativa e/ou indenizações, não inscritos em dívida </w:t>
      </w:r>
      <w:r>
        <w:rPr>
          <w:rFonts w:ascii="Cambria" w:hAnsi="Cambria" w:cs="Cambria"/>
          <w:sz w:val="18"/>
          <w:szCs w:val="18"/>
        </w:rPr>
        <w:t xml:space="preserve">ativa, poderão ser compensados, total ou parcialmente, com os créditos devidos pelo referido órgão decorrentes deste mesmo contrato ou de outros contratos administrativos que o contratado possua com o mesmo órgão ora contratante. </w:t>
      </w:r>
      <w:r/>
    </w:p>
    <w:p>
      <w:pPr>
        <w:pStyle w:val="1036"/>
        <w:contextualSpacing w:val="0"/>
        <w:ind w:left="0"/>
        <w:jc w:val="both"/>
        <w:spacing w:line="276" w:lineRule="auto"/>
        <w:widowControl w:val="off"/>
        <w:tabs>
          <w:tab w:val="left" w:pos="909" w:leader="none"/>
        </w:tabs>
        <w:rPr>
          <w:rFonts w:ascii="Cambria" w:hAnsi="Cambria" w:cs="Cambria"/>
          <w:sz w:val="18"/>
          <w:szCs w:val="18"/>
        </w:rPr>
      </w:pPr>
      <w:r>
        <w:rPr>
          <w:rFonts w:ascii="Cambria" w:hAnsi="Cambria" w:cs="Cambria"/>
          <w:color w:val="000000"/>
          <w:sz w:val="18"/>
          <w:szCs w:val="18"/>
        </w:rPr>
        <w:t xml:space="preserve">12.12 - </w:t>
      </w:r>
      <w:r>
        <w:rPr>
          <w:rFonts w:ascii="Cambria" w:hAnsi="Cambria" w:eastAsia="Times New Roman" w:cs="Cambria"/>
          <w:color w:val="000000"/>
          <w:sz w:val="18"/>
          <w:szCs w:val="18"/>
        </w:rPr>
        <w:t xml:space="preserve">Aquele que convoc</w:t>
      </w:r>
      <w:r>
        <w:rPr>
          <w:rFonts w:ascii="Cambria" w:hAnsi="Cambria" w:eastAsia="Times New Roman" w:cs="Cambria"/>
          <w:color w:val="000000"/>
          <w:sz w:val="18"/>
          <w:szCs w:val="18"/>
        </w:rPr>
        <w:t xml:space="preserve">ado para assinatura da ata ou contrato não o fizer dentro do prazo estabelecido pela Administração, deixar de entregar documentação exigida, apresentar documentação falsa, ensejar o retardamento da execução de seu objeto, não mantiver a proposta, falhar ou</w:t>
      </w:r>
      <w:r>
        <w:rPr>
          <w:rFonts w:ascii="Cambria" w:hAnsi="Cambria" w:eastAsia="Times New Roman" w:cs="Cambria"/>
          <w:color w:val="000000"/>
          <w:sz w:val="18"/>
          <w:szCs w:val="18"/>
        </w:rPr>
        <w:t xml:space="preserve"> fraudar na execução do contrato, comportar-se de modo inidôneo, fizer declaração falsa ou cometer fraude fiscal, sendo-lhe garantido o direito à ampla defesa, serão aplicadas as sanções de multa de</w:t>
      </w:r>
      <w:r>
        <w:rPr>
          <w:rFonts w:ascii="Cambria" w:hAnsi="Cambria" w:eastAsia="Times New Roman" w:cs="Cambria"/>
          <w:color w:val="000000"/>
          <w:sz w:val="18"/>
          <w:szCs w:val="18"/>
        </w:rPr>
        <w:t xml:space="preserve"> 10% (dez por cento) s</w:t>
      </w:r>
      <w:r>
        <w:rPr>
          <w:rFonts w:ascii="Cambria" w:hAnsi="Cambria" w:eastAsia="Times New Roman" w:cs="Cambria"/>
          <w:color w:val="000000"/>
          <w:sz w:val="18"/>
          <w:szCs w:val="18"/>
        </w:rPr>
        <w:t xml:space="preserve">obre o valor estabelecido em sua proposta e a penalidade de impedimento do direito de licitar e contratar com a Administração Pública Municipal ou a declaração de inidoneidade para licitar e contratar com a Administração Pública, sem prejuízo das demais co</w:t>
      </w:r>
      <w:r>
        <w:rPr>
          <w:rFonts w:ascii="Cambria" w:hAnsi="Cambria" w:eastAsia="Times New Roman" w:cs="Cambria"/>
          <w:color w:val="000000"/>
          <w:sz w:val="18"/>
          <w:szCs w:val="18"/>
        </w:rPr>
        <w:t xml:space="preserve">minações legais, incluindo as sanções previstas na Lei nº 14.133/2021 e, suas alterações.</w:t>
      </w:r>
      <w:r/>
    </w:p>
    <w:p>
      <w:pPr>
        <w:pStyle w:val="1068"/>
        <w:numPr>
          <w:ilvl w:val="0"/>
          <w:numId w:val="0"/>
        </w:numPr>
        <w:spacing w:before="0" w:after="0" w:line="312" w:lineRule="auto"/>
        <w:rPr>
          <w:rFonts w:ascii="Cambria" w:hAnsi="Cambria" w:cs="Cambria"/>
          <w:sz w:val="18"/>
          <w:szCs w:val="18"/>
        </w:rPr>
      </w:pPr>
      <w:r>
        <w:rPr>
          <w:rFonts w:ascii="Cambria" w:hAnsi="Cambria" w:cs="Cambria"/>
          <w:sz w:val="18"/>
          <w:szCs w:val="18"/>
        </w:rPr>
      </w:r>
      <w:r/>
    </w:p>
    <w:p>
      <w:pPr>
        <w:pStyle w:val="1051"/>
        <w:numPr>
          <w:ilvl w:val="0"/>
          <w:numId w:val="0"/>
        </w:numPr>
        <w:spacing w:before="0"/>
        <w:rPr>
          <w:rFonts w:ascii="Cambria" w:hAnsi="Cambria" w:cs="Cambria"/>
          <w:sz w:val="18"/>
          <w:szCs w:val="18"/>
        </w:rPr>
      </w:pPr>
      <w:r>
        <w:rPr>
          <w:rFonts w:ascii="Cambria" w:hAnsi="Cambria" w:cs="Cambria"/>
          <w:sz w:val="18"/>
          <w:szCs w:val="18"/>
        </w:rPr>
        <w:t xml:space="preserve">13 - FORMA E CRITÉRIOS DE SELEÇÃO DO FORNECEDOR</w:t>
      </w:r>
      <w:r/>
    </w:p>
    <w:p>
      <w:pPr>
        <w:pStyle w:val="1121"/>
        <w:spacing w:before="0"/>
        <w:rPr>
          <w:rFonts w:ascii="Cambria" w:hAnsi="Cambria" w:cs="Cambria"/>
          <w:sz w:val="18"/>
          <w:szCs w:val="18"/>
        </w:rPr>
      </w:pPr>
      <w:r>
        <w:rPr>
          <w:rFonts w:ascii="Cambria" w:hAnsi="Cambria" w:cs="Cambria"/>
          <w:color w:val="auto"/>
          <w:sz w:val="18"/>
          <w:szCs w:val="18"/>
          <w:lang w:eastAsia="en-US"/>
        </w:rPr>
        <w:t xml:space="preserve">Forma de seleção e critério de julgamento da proposta</w:t>
      </w:r>
      <w:r/>
    </w:p>
    <w:p>
      <w:pPr>
        <w:pStyle w:val="1068"/>
        <w:numPr>
          <w:ilvl w:val="0"/>
          <w:numId w:val="0"/>
        </w:numPr>
        <w:spacing w:before="0" w:after="0" w:line="312" w:lineRule="auto"/>
        <w:rPr>
          <w:rFonts w:ascii="Cambria" w:hAnsi="Cambria" w:eastAsia="Arial" w:cs="Cambria"/>
          <w:sz w:val="18"/>
          <w:szCs w:val="18"/>
        </w:rPr>
      </w:pPr>
      <w:r>
        <w:rPr>
          <w:rFonts w:ascii="Cambria" w:hAnsi="Cambria" w:eastAsia="Arial" w:cs="Cambria"/>
          <w:sz w:val="18"/>
          <w:szCs w:val="18"/>
        </w:rPr>
        <w:t xml:space="preserve">13.1 - O fornecedor será selecionado por meio da realização de </w:t>
      </w:r>
      <w:r>
        <w:rPr>
          <w:rFonts w:ascii="Cambria" w:hAnsi="Cambria" w:eastAsia="Arial" w:cs="Cambria"/>
          <w:sz w:val="18"/>
          <w:szCs w:val="18"/>
        </w:rPr>
        <w:t xml:space="preserve">procedimento de LICITAÇÃO, na modalidade PREGÃO, sob a forma ELETRÔNICA, com adoção do critério de julgamento pelo</w:t>
      </w:r>
      <w:r>
        <w:rPr>
          <w:rFonts w:ascii="Cambria" w:hAnsi="Cambria" w:eastAsia="Arial" w:cs="Cambria"/>
          <w:sz w:val="18"/>
          <w:szCs w:val="18"/>
        </w:rPr>
        <w:t xml:space="preserve"> MENOR PREÇO POR ITEM.</w:t>
      </w:r>
      <w:r>
        <w:rPr>
          <w:rFonts w:ascii="Cambria" w:hAnsi="Cambria" w:cs="Cambria"/>
          <w:sz w:val="18"/>
          <w:szCs w:val="18"/>
        </w:rPr>
      </w:r>
      <w:r/>
    </w:p>
    <w:p>
      <w:pPr>
        <w:pStyle w:val="1068"/>
        <w:numPr>
          <w:ilvl w:val="0"/>
          <w:numId w:val="0"/>
        </w:numPr>
        <w:spacing w:before="0" w:after="0" w:line="312" w:lineRule="auto"/>
        <w:rPr>
          <w:rFonts w:ascii="Cambria" w:hAnsi="Cambria" w:cs="Cambria"/>
          <w:sz w:val="18"/>
          <w:szCs w:val="18"/>
        </w:rPr>
      </w:pPr>
      <w:r>
        <w:rPr>
          <w:rFonts w:ascii="Cambria" w:hAnsi="Cambria" w:eastAsia="Arial" w:cs="Cambria"/>
          <w:sz w:val="18"/>
          <w:szCs w:val="18"/>
        </w:rPr>
        <w:t xml:space="preserve">.</w:t>
      </w:r>
      <w:r/>
    </w:p>
    <w:p>
      <w:pPr>
        <w:pStyle w:val="1121"/>
        <w:spacing w:before="0"/>
        <w:rPr>
          <w:rFonts w:ascii="Cambria" w:hAnsi="Cambria" w:cs="Cambria"/>
          <w:sz w:val="18"/>
          <w:szCs w:val="18"/>
        </w:rPr>
      </w:pPr>
      <w:r>
        <w:rPr>
          <w:rFonts w:ascii="Cambria" w:hAnsi="Cambria" w:cs="Cambria"/>
          <w:color w:val="auto"/>
          <w:sz w:val="18"/>
          <w:szCs w:val="18"/>
          <w:lang w:eastAsia="en-US"/>
        </w:rPr>
        <w:t xml:space="preserve">Exigências de habilitação</w:t>
      </w:r>
      <w:r/>
    </w:p>
    <w:p>
      <w:pPr>
        <w:pStyle w:val="1068"/>
        <w:numPr>
          <w:ilvl w:val="0"/>
          <w:numId w:val="0"/>
        </w:numPr>
        <w:spacing w:before="0" w:after="0" w:line="312" w:lineRule="auto"/>
        <w:rPr>
          <w:rFonts w:ascii="Cambria" w:hAnsi="Cambria" w:cs="Cambria"/>
          <w:sz w:val="18"/>
          <w:szCs w:val="18"/>
        </w:rPr>
      </w:pPr>
      <w:r>
        <w:rPr>
          <w:rFonts w:ascii="Cambria" w:hAnsi="Cambria" w:cs="Cambria"/>
          <w:sz w:val="18"/>
          <w:szCs w:val="18"/>
        </w:rPr>
        <w:t xml:space="preserve">13.2 - Para fins de habilitação, deverá o licitante comprovar os seguintes requisitos:</w:t>
      </w:r>
      <w:r/>
    </w:p>
    <w:p>
      <w:pPr>
        <w:pStyle w:val="1121"/>
        <w:spacing w:before="0"/>
        <w:rPr>
          <w:rFonts w:ascii="Cambria" w:hAnsi="Cambria" w:cs="Cambria"/>
          <w:sz w:val="18"/>
          <w:szCs w:val="18"/>
        </w:rPr>
      </w:pPr>
      <w:r>
        <w:rPr>
          <w:rFonts w:ascii="Cambria" w:hAnsi="Cambria" w:cs="Cambria"/>
          <w:color w:val="auto"/>
          <w:sz w:val="18"/>
          <w:szCs w:val="18"/>
          <w:lang w:eastAsia="zh-CN" w:bidi="hi-IN"/>
        </w:rPr>
        <w:t xml:space="preserve">13.2.1 - Habili</w:t>
      </w:r>
      <w:r>
        <w:rPr>
          <w:rFonts w:ascii="Cambria" w:hAnsi="Cambria" w:cs="Cambria"/>
          <w:color w:val="auto"/>
          <w:sz w:val="18"/>
          <w:szCs w:val="18"/>
          <w:lang w:eastAsia="zh-CN" w:bidi="hi-IN"/>
        </w:rPr>
        <w:t xml:space="preserve">tação jurídica</w:t>
      </w:r>
      <w:r/>
    </w:p>
    <w:p>
      <w:pPr>
        <w:pStyle w:val="1068"/>
        <w:numPr>
          <w:ilvl w:val="0"/>
          <w:numId w:val="0"/>
        </w:numPr>
        <w:spacing w:before="0" w:after="0" w:line="312" w:lineRule="auto"/>
        <w:rPr>
          <w:rFonts w:ascii="Cambria" w:hAnsi="Cambria" w:cs="Cambria"/>
          <w:sz w:val="18"/>
          <w:szCs w:val="18"/>
        </w:rPr>
      </w:pPr>
      <w:r>
        <w:rPr>
          <w:rFonts w:ascii="Cambria" w:hAnsi="Cambria" w:cs="Cambria"/>
          <w:b/>
          <w:bCs/>
          <w:sz w:val="18"/>
          <w:szCs w:val="18"/>
        </w:rPr>
        <w:t xml:space="preserve">13.2.1.2 - Empresário individual:</w:t>
      </w:r>
      <w:r>
        <w:rPr>
          <w:rFonts w:ascii="Cambria" w:hAnsi="Cambria" w:cs="Cambria"/>
          <w:sz w:val="18"/>
          <w:szCs w:val="18"/>
        </w:rPr>
        <w:t xml:space="preserve"> inscrição no Registro Público de Empresas Mercantis, a cargo da Junta Comercial da respectiva sede; </w:t>
      </w:r>
      <w:r/>
    </w:p>
    <w:p>
      <w:pPr>
        <w:pStyle w:val="1068"/>
        <w:numPr>
          <w:ilvl w:val="0"/>
          <w:numId w:val="0"/>
        </w:numPr>
        <w:spacing w:before="0" w:after="0" w:line="312" w:lineRule="auto"/>
        <w:rPr>
          <w:rFonts w:ascii="Cambria" w:hAnsi="Cambria" w:cs="Cambria"/>
          <w:sz w:val="18"/>
          <w:szCs w:val="18"/>
        </w:rPr>
      </w:pPr>
      <w:r>
        <w:rPr>
          <w:rFonts w:ascii="Cambria" w:hAnsi="Cambria" w:cs="Cambria"/>
          <w:b/>
          <w:bCs/>
          <w:sz w:val="18"/>
          <w:szCs w:val="18"/>
        </w:rPr>
        <w:t xml:space="preserve">13.2.1.3 - Microempreendedor Individual - MEI:</w:t>
      </w:r>
      <w:r>
        <w:rPr>
          <w:rFonts w:ascii="Cambria" w:hAnsi="Cambria" w:cs="Cambria"/>
          <w:sz w:val="18"/>
          <w:szCs w:val="18"/>
        </w:rPr>
        <w:t xml:space="preserve"> Certificado da Condição de Microempreendedor Individual - CCMEI, cuja aceitação ficará condicionada à verificação da autenticidade no sítio https://www.gov.br/empresas-e-negocios/pt-br/empreendedor; </w:t>
      </w:r>
      <w:r/>
    </w:p>
    <w:p>
      <w:pPr>
        <w:pStyle w:val="1068"/>
        <w:numPr>
          <w:ilvl w:val="0"/>
          <w:numId w:val="0"/>
        </w:numPr>
        <w:spacing w:before="0" w:after="0" w:line="312" w:lineRule="auto"/>
        <w:rPr>
          <w:rFonts w:ascii="Cambria" w:hAnsi="Cambria" w:cs="Cambria"/>
          <w:sz w:val="18"/>
          <w:szCs w:val="18"/>
        </w:rPr>
      </w:pPr>
      <w:r>
        <w:rPr>
          <w:rFonts w:ascii="Cambria" w:hAnsi="Cambria" w:cs="Cambria"/>
          <w:b/>
          <w:bCs/>
          <w:sz w:val="18"/>
          <w:szCs w:val="18"/>
        </w:rPr>
        <w:t xml:space="preserve">13.2.1.4 - Sociedade empresária, sociedade limitada uni</w:t>
      </w:r>
      <w:r>
        <w:rPr>
          <w:rFonts w:ascii="Cambria" w:hAnsi="Cambria" w:cs="Cambria"/>
          <w:b/>
          <w:bCs/>
          <w:sz w:val="18"/>
          <w:szCs w:val="18"/>
        </w:rPr>
        <w:t xml:space="preserve">pessoal – SLU ou sociedade identificada como empresa individual de responsabilidade limitada - EIRELI:</w:t>
      </w:r>
      <w:r>
        <w:rPr>
          <w:rFonts w:ascii="Cambria" w:hAnsi="Cambria" w:cs="Cambria"/>
          <w:sz w:val="18"/>
          <w:szCs w:val="18"/>
        </w:rPr>
        <w:t xml:space="preserve"> inscrição do ato constitutivo, estatuto ou contrato social no Registro Público de Empresas Mercantis, a cargo da Junta Comercial da respectiva sede, acom</w:t>
      </w:r>
      <w:r>
        <w:rPr>
          <w:rFonts w:ascii="Cambria" w:hAnsi="Cambria" w:cs="Cambria"/>
          <w:sz w:val="18"/>
          <w:szCs w:val="18"/>
        </w:rPr>
        <w:t xml:space="preserve">panhada de documento comprobatório de seus administradores;</w:t>
      </w:r>
      <w:r/>
    </w:p>
    <w:p>
      <w:pPr>
        <w:pStyle w:val="1068"/>
        <w:numPr>
          <w:ilvl w:val="0"/>
          <w:numId w:val="0"/>
        </w:numPr>
        <w:spacing w:before="0" w:after="0" w:line="312" w:lineRule="auto"/>
        <w:rPr>
          <w:rFonts w:ascii="Cambria" w:hAnsi="Cambria" w:cs="Cambria"/>
          <w:sz w:val="18"/>
          <w:szCs w:val="18"/>
        </w:rPr>
      </w:pPr>
      <w:r>
        <w:rPr>
          <w:rFonts w:ascii="Cambria" w:hAnsi="Cambria" w:cs="Cambria"/>
          <w:b/>
          <w:bCs/>
          <w:sz w:val="18"/>
          <w:szCs w:val="18"/>
        </w:rPr>
        <w:t xml:space="preserve">13.2.1.5 - Sociedade empresária estrangeira:</w:t>
      </w:r>
      <w:r>
        <w:rPr>
          <w:rFonts w:ascii="Cambria" w:hAnsi="Cambria" w:cs="Cambria"/>
          <w:sz w:val="18"/>
          <w:szCs w:val="18"/>
        </w:rPr>
        <w:t xml:space="preserve"> portaria de autorização de funcionamento no Brasil, publicada no Diário Oficial da União e arquivada na Junta Comercial da unidade federativa onde se l</w:t>
      </w:r>
      <w:r>
        <w:rPr>
          <w:rFonts w:ascii="Cambria" w:hAnsi="Cambria" w:cs="Cambria"/>
          <w:sz w:val="18"/>
          <w:szCs w:val="18"/>
        </w:rPr>
        <w:t xml:space="preserve">ocalizar a filial, agência, sucursal ou estabelecimento, a qual será considerada como sua sede, conforme Instrução Normativa DREI/ME </w:t>
      </w:r>
      <w:r>
        <w:rPr>
          <w:rFonts w:ascii="Cambria" w:hAnsi="Cambria" w:cs="Cambria"/>
          <w:sz w:val="18"/>
          <w:szCs w:val="18"/>
        </w:rPr>
        <w:t xml:space="preserve">n.º</w:t>
      </w:r>
      <w:r>
        <w:rPr>
          <w:rFonts w:ascii="Cambria" w:hAnsi="Cambria" w:cs="Cambria"/>
          <w:sz w:val="18"/>
          <w:szCs w:val="18"/>
        </w:rPr>
        <w:t xml:space="preserve"> 77, de 18 de março de 2020.</w:t>
      </w:r>
      <w:r/>
    </w:p>
    <w:p>
      <w:pPr>
        <w:pStyle w:val="1068"/>
        <w:numPr>
          <w:ilvl w:val="0"/>
          <w:numId w:val="0"/>
        </w:numPr>
        <w:spacing w:before="0" w:after="0" w:line="312" w:lineRule="auto"/>
        <w:rPr>
          <w:rFonts w:ascii="Cambria" w:hAnsi="Cambria" w:cs="Cambria"/>
          <w:sz w:val="18"/>
          <w:szCs w:val="18"/>
        </w:rPr>
      </w:pPr>
      <w:r>
        <w:rPr>
          <w:rFonts w:ascii="Cambria" w:hAnsi="Cambria" w:cs="Cambria"/>
          <w:b/>
          <w:bCs/>
          <w:sz w:val="18"/>
          <w:szCs w:val="18"/>
        </w:rPr>
        <w:t xml:space="preserve">13.2.1.6 - Sociedade simples: </w:t>
      </w:r>
      <w:r>
        <w:rPr>
          <w:rFonts w:ascii="Cambria" w:hAnsi="Cambria" w:cs="Cambria"/>
          <w:sz w:val="18"/>
          <w:szCs w:val="18"/>
        </w:rPr>
        <w:t xml:space="preserve">inscrição do ato constitutivo no Registro Civil de Pessoas Ju</w:t>
      </w:r>
      <w:r>
        <w:rPr>
          <w:rFonts w:ascii="Cambria" w:hAnsi="Cambria" w:cs="Cambria"/>
          <w:sz w:val="18"/>
          <w:szCs w:val="18"/>
        </w:rPr>
        <w:t xml:space="preserve">rídicas do local de sua sede, acompanhada de documento comprobatório de seus administradores;</w:t>
      </w:r>
      <w:r/>
    </w:p>
    <w:p>
      <w:pPr>
        <w:pStyle w:val="1068"/>
        <w:numPr>
          <w:ilvl w:val="0"/>
          <w:numId w:val="0"/>
        </w:numPr>
        <w:spacing w:before="0" w:after="0" w:line="312" w:lineRule="auto"/>
        <w:rPr>
          <w:rFonts w:ascii="Cambria" w:hAnsi="Cambria" w:cs="Cambria"/>
          <w:sz w:val="18"/>
          <w:szCs w:val="18"/>
        </w:rPr>
      </w:pPr>
      <w:r>
        <w:rPr>
          <w:rFonts w:ascii="Cambria" w:hAnsi="Cambria" w:cs="Cambria"/>
          <w:b/>
          <w:bCs/>
          <w:sz w:val="18"/>
          <w:szCs w:val="18"/>
        </w:rPr>
        <w:t xml:space="preserve">13.2.1.7 - Filial, sucursal ou agência de sociedade simples ou empresária:</w:t>
      </w:r>
      <w:r>
        <w:rPr>
          <w:rFonts w:ascii="Cambria" w:hAnsi="Cambria" w:cs="Cambria"/>
          <w:sz w:val="18"/>
          <w:szCs w:val="18"/>
        </w:rPr>
        <w:t xml:space="preserve"> inscrição do ato constitutivo da filial, sucursal ou agência da sociedade simples ou em</w:t>
      </w:r>
      <w:r>
        <w:rPr>
          <w:rFonts w:ascii="Cambria" w:hAnsi="Cambria" w:cs="Cambria"/>
          <w:sz w:val="18"/>
          <w:szCs w:val="18"/>
        </w:rPr>
        <w:t xml:space="preserve">presária, respectivamente, no Registro Civil das Pessoas Jurídicas ou no Registro Público de Empresas Mercantis onde opera, com averbação no Registro onde tem sede a matriz</w:t>
      </w:r>
      <w:r/>
    </w:p>
    <w:p>
      <w:pPr>
        <w:pStyle w:val="1068"/>
        <w:numPr>
          <w:ilvl w:val="0"/>
          <w:numId w:val="0"/>
        </w:numPr>
        <w:spacing w:before="0" w:after="0" w:line="312" w:lineRule="auto"/>
        <w:rPr>
          <w:rFonts w:ascii="Cambria" w:hAnsi="Cambria" w:cs="Cambria"/>
          <w:sz w:val="18"/>
          <w:szCs w:val="18"/>
        </w:rPr>
      </w:pPr>
      <w:r>
        <w:rPr>
          <w:rFonts w:ascii="Cambria" w:hAnsi="Cambria" w:cs="Cambria"/>
          <w:b/>
          <w:bCs/>
          <w:sz w:val="18"/>
          <w:szCs w:val="18"/>
        </w:rPr>
        <w:t xml:space="preserve">13.2.1.8 - Sociedade cooperativa:</w:t>
      </w:r>
      <w:r>
        <w:rPr>
          <w:rFonts w:ascii="Cambria" w:hAnsi="Cambria" w:cs="Cambria"/>
          <w:sz w:val="18"/>
          <w:szCs w:val="18"/>
        </w:rPr>
        <w:t xml:space="preserve"> ata de fundação e estatuto social, com a ata da a</w:t>
      </w:r>
      <w:r>
        <w:rPr>
          <w:rFonts w:ascii="Cambria" w:hAnsi="Cambria" w:cs="Cambria"/>
          <w:sz w:val="18"/>
          <w:szCs w:val="18"/>
        </w:rPr>
        <w:t xml:space="preserve">ssembleia que o aprovou, devidamente arquivado na Junta Comercial ou inscrito no Registro Civil das Pessoas Jurídicas da respectiva sede, além do registro de que trata o art. 107 da Lei nº 5.764, de 16 de dezembro 1971.</w:t>
      </w:r>
      <w:r/>
    </w:p>
    <w:p>
      <w:pPr>
        <w:pStyle w:val="1068"/>
        <w:numPr>
          <w:ilvl w:val="0"/>
          <w:numId w:val="0"/>
        </w:numPr>
        <w:spacing w:before="0" w:after="0" w:line="312" w:lineRule="auto"/>
        <w:rPr>
          <w:rFonts w:ascii="Cambria" w:hAnsi="Cambria" w:cs="Cambria"/>
          <w:sz w:val="18"/>
          <w:szCs w:val="18"/>
        </w:rPr>
      </w:pPr>
      <w:r>
        <w:rPr>
          <w:rFonts w:ascii="Cambria" w:hAnsi="Cambria" w:cs="Cambria"/>
          <w:sz w:val="18"/>
          <w:szCs w:val="18"/>
        </w:rPr>
        <w:t xml:space="preserve">14.2.1.9 - Os documentos apresentado</w:t>
      </w:r>
      <w:r>
        <w:rPr>
          <w:rFonts w:ascii="Cambria" w:hAnsi="Cambria" w:cs="Cambria"/>
          <w:sz w:val="18"/>
          <w:szCs w:val="18"/>
        </w:rPr>
        <w:t xml:space="preserve">s deverão estar acompanhados de todas as alterações ou da consolidação respectiva.</w:t>
      </w:r>
      <w:r/>
    </w:p>
    <w:p>
      <w:pPr>
        <w:pStyle w:val="1068"/>
        <w:numPr>
          <w:ilvl w:val="0"/>
          <w:numId w:val="0"/>
        </w:numPr>
        <w:ind w:left="709"/>
        <w:spacing w:before="0" w:after="0" w:line="312" w:lineRule="auto"/>
        <w:rPr>
          <w:rFonts w:ascii="Cambria" w:hAnsi="Cambria" w:cs="Cambria"/>
          <w:sz w:val="18"/>
          <w:szCs w:val="18"/>
        </w:rPr>
      </w:pPr>
      <w:r>
        <w:rPr>
          <w:rFonts w:ascii="Cambria" w:hAnsi="Cambria" w:cs="Cambria"/>
          <w:sz w:val="18"/>
          <w:szCs w:val="18"/>
        </w:rPr>
      </w:r>
      <w:r/>
    </w:p>
    <w:p>
      <w:pPr>
        <w:pStyle w:val="1121"/>
        <w:spacing w:before="0"/>
        <w:rPr>
          <w:rFonts w:ascii="Cambria" w:hAnsi="Cambria" w:cs="Cambria"/>
          <w:sz w:val="18"/>
          <w:szCs w:val="18"/>
        </w:rPr>
      </w:pPr>
      <w:r>
        <w:rPr>
          <w:rFonts w:ascii="Cambria" w:hAnsi="Cambria" w:cs="Cambria"/>
          <w:color w:val="auto"/>
          <w:sz w:val="18"/>
          <w:szCs w:val="18"/>
          <w:lang w:eastAsia="zh-CN" w:bidi="hi-IN"/>
        </w:rPr>
        <w:t xml:space="preserve">13.2.2 - Habilitação fiscal, social e trabalhista</w:t>
      </w:r>
      <w:r/>
    </w:p>
    <w:p>
      <w:pPr>
        <w:pStyle w:val="1068"/>
        <w:numPr>
          <w:ilvl w:val="0"/>
          <w:numId w:val="0"/>
        </w:numPr>
        <w:spacing w:before="0" w:after="0" w:line="312" w:lineRule="auto"/>
        <w:rPr>
          <w:rFonts w:ascii="Cambria" w:hAnsi="Cambria" w:cs="Cambria"/>
          <w:sz w:val="18"/>
          <w:szCs w:val="18"/>
        </w:rPr>
      </w:pPr>
      <w:r>
        <w:rPr>
          <w:rFonts w:ascii="Cambria" w:hAnsi="Cambria" w:cs="Cambria"/>
          <w:sz w:val="18"/>
          <w:szCs w:val="18"/>
        </w:rPr>
        <w:t xml:space="preserve">13.2.2.1 - Prova de inscrição no Cadastro Nacional de Pessoas Jurídicas ou no Cadastro de Pessoas Físicas, conforme o caso</w:t>
      </w:r>
      <w:r>
        <w:rPr>
          <w:rFonts w:ascii="Cambria" w:hAnsi="Cambria" w:cs="Cambria"/>
          <w:sz w:val="18"/>
          <w:szCs w:val="18"/>
        </w:rPr>
        <w:t xml:space="preserve">;</w:t>
      </w:r>
      <w:r/>
    </w:p>
    <w:p>
      <w:pPr>
        <w:pStyle w:val="1068"/>
        <w:numPr>
          <w:ilvl w:val="0"/>
          <w:numId w:val="0"/>
        </w:numPr>
        <w:spacing w:before="0" w:after="0" w:line="312" w:lineRule="auto"/>
        <w:rPr>
          <w:rFonts w:ascii="Cambria" w:hAnsi="Cambria" w:cs="Cambria"/>
          <w:sz w:val="18"/>
          <w:szCs w:val="18"/>
        </w:rPr>
      </w:pPr>
      <w:r>
        <w:rPr>
          <w:rFonts w:ascii="Cambria" w:hAnsi="Cambria" w:cs="Cambria"/>
          <w:sz w:val="18"/>
          <w:szCs w:val="18"/>
        </w:rPr>
        <w:t xml:space="preserve">13.2.2.2 - Prova de regularidade fiscal perante a Fazenda Nacional, mediante apresentação de certidão expedida conjuntamente pela Secretaria da Receita Federal do Brasil (RFB) e pela Procuradoria-Geral da Fazenda Nacional (PGFN), referente a todos os cré</w:t>
      </w:r>
      <w:r>
        <w:rPr>
          <w:rFonts w:ascii="Cambria" w:hAnsi="Cambria" w:cs="Cambria"/>
          <w:sz w:val="18"/>
          <w:szCs w:val="18"/>
        </w:rPr>
        <w:t xml:space="preserve">ditos tributários federais e à Dívida Ativa da União (DAU) por elas administrados, inclusive aqueles relativos à Seguridade Social, nos termos da Portaria Conjunta nº 1.751, de 02 de outubro de 2014, do Secretário da Receita Federal do Brasil e da Procurad</w:t>
      </w:r>
      <w:r>
        <w:rPr>
          <w:rFonts w:ascii="Cambria" w:hAnsi="Cambria" w:cs="Cambria"/>
          <w:sz w:val="18"/>
          <w:szCs w:val="18"/>
        </w:rPr>
        <w:t xml:space="preserve">ora-Geral da Fazenda Nacional.</w:t>
      </w:r>
      <w:r/>
    </w:p>
    <w:p>
      <w:pPr>
        <w:pStyle w:val="1068"/>
        <w:numPr>
          <w:ilvl w:val="0"/>
          <w:numId w:val="0"/>
        </w:numPr>
        <w:spacing w:before="0" w:after="0" w:line="312" w:lineRule="auto"/>
        <w:rPr>
          <w:rFonts w:ascii="Cambria" w:hAnsi="Cambria" w:cs="Cambria"/>
          <w:sz w:val="18"/>
          <w:szCs w:val="18"/>
        </w:rPr>
      </w:pPr>
      <w:r>
        <w:rPr>
          <w:rFonts w:ascii="Cambria" w:hAnsi="Cambria" w:cs="Cambria"/>
          <w:sz w:val="18"/>
          <w:szCs w:val="18"/>
        </w:rPr>
        <w:t xml:space="preserve">13.2.2.3 - Prova de regularidade com o Fundo de Garantia do Tempo de Serviço (FGTS);</w:t>
      </w:r>
      <w:r/>
    </w:p>
    <w:p>
      <w:pPr>
        <w:pStyle w:val="1068"/>
        <w:numPr>
          <w:ilvl w:val="0"/>
          <w:numId w:val="0"/>
        </w:numPr>
        <w:spacing w:before="0" w:after="0" w:line="312" w:lineRule="auto"/>
        <w:rPr>
          <w:rFonts w:ascii="Cambria" w:hAnsi="Cambria" w:cs="Cambria"/>
          <w:sz w:val="18"/>
          <w:szCs w:val="18"/>
        </w:rPr>
      </w:pPr>
      <w:r>
        <w:rPr>
          <w:rFonts w:ascii="Cambria" w:hAnsi="Cambria" w:cs="Cambria"/>
          <w:sz w:val="18"/>
          <w:szCs w:val="18"/>
        </w:rPr>
        <w:t xml:space="preserve">13.2.2.4 - Prova de inexistência de </w:t>
      </w:r>
      <w:r>
        <w:rPr>
          <w:rFonts w:ascii="Cambria" w:hAnsi="Cambria" w:cs="Cambria"/>
          <w:sz w:val="18"/>
          <w:szCs w:val="18"/>
        </w:rPr>
        <w:t xml:space="preserve">débitos inadimplidos perante a Justiça do Trabalho, mediante a apresentação de certidão negativa ou positiva com efeito de negativa, nos termos do Título VII-A da Consolidação das Leis do Trabalho, aprovada pelo Decreto-Lei nº 5.452, de 1º de maio de 1943;</w:t>
      </w:r>
      <w:r/>
    </w:p>
    <w:p>
      <w:pPr>
        <w:pStyle w:val="1068"/>
        <w:numPr>
          <w:ilvl w:val="0"/>
          <w:numId w:val="0"/>
        </w:numPr>
        <w:spacing w:before="0" w:after="0" w:line="312" w:lineRule="auto"/>
        <w:rPr>
          <w:rFonts w:ascii="Cambria" w:hAnsi="Cambria" w:cs="Cambria"/>
          <w:sz w:val="18"/>
          <w:szCs w:val="18"/>
          <w:highlight w:val="white"/>
        </w:rPr>
      </w:pPr>
      <w:r>
        <w:rPr>
          <w:rFonts w:ascii="Cambria" w:hAnsi="Cambria" w:cs="Cambria"/>
          <w:sz w:val="18"/>
          <w:szCs w:val="18"/>
        </w:rPr>
        <w:t xml:space="preserve">13.2.2.5 - Prova de inscrição no cadastro de contribui</w:t>
      </w:r>
      <w:r>
        <w:rPr>
          <w:rFonts w:ascii="Cambria" w:hAnsi="Cambria" w:cs="Cambria"/>
          <w:sz w:val="18"/>
          <w:szCs w:val="18"/>
          <w:highlight w:val="white"/>
        </w:rPr>
        <w:t xml:space="preserve">ntes</w:t>
      </w:r>
      <w:r>
        <w:rPr>
          <w:rFonts w:ascii="Cambria" w:hAnsi="Cambria" w:cs="Cambria"/>
          <w:color w:val="000000" w:themeColor="text1"/>
          <w:sz w:val="18"/>
          <w:szCs w:val="18"/>
          <w:highlight w:val="white"/>
        </w:rPr>
        <w:t xml:space="preserve"> </w:t>
      </w:r>
      <w:r>
        <w:rPr>
          <w:rFonts w:ascii="Cambria" w:hAnsi="Cambria" w:cs="Cambria"/>
          <w:i/>
          <w:iCs/>
          <w:color w:val="000000" w:themeColor="text1"/>
          <w:sz w:val="18"/>
          <w:szCs w:val="18"/>
          <w:highlight w:val="white"/>
        </w:rPr>
        <w:t xml:space="preserve">[Estadual/Distrital]</w:t>
      </w:r>
      <w:r>
        <w:rPr>
          <w:rFonts w:ascii="Cambria" w:hAnsi="Cambria" w:cs="Cambria"/>
          <w:color w:val="000000" w:themeColor="text1"/>
          <w:sz w:val="18"/>
          <w:szCs w:val="18"/>
          <w:highlight w:val="white"/>
        </w:rPr>
        <w:t xml:space="preserve"> e </w:t>
      </w:r>
      <w:r>
        <w:rPr>
          <w:rFonts w:ascii="Cambria" w:hAnsi="Cambria" w:cs="Cambria"/>
          <w:i/>
          <w:iCs/>
          <w:color w:val="000000" w:themeColor="text1"/>
          <w:sz w:val="18"/>
          <w:szCs w:val="18"/>
          <w:highlight w:val="white"/>
        </w:rPr>
        <w:t xml:space="preserve">[Municipal/Distrital]</w:t>
      </w:r>
      <w:r>
        <w:rPr>
          <w:rFonts w:ascii="Cambria" w:hAnsi="Cambria" w:cs="Cambria"/>
          <w:sz w:val="18"/>
          <w:szCs w:val="18"/>
          <w:highlight w:val="white"/>
        </w:rPr>
        <w:t xml:space="preserve">relativo ao domicílio ou sede do fornecedor, pertinente ao seu ramo de atividade e compatível com o objeto contratual; </w:t>
      </w:r>
      <w:r/>
    </w:p>
    <w:p>
      <w:pPr>
        <w:pStyle w:val="1068"/>
        <w:numPr>
          <w:ilvl w:val="0"/>
          <w:numId w:val="0"/>
        </w:numPr>
        <w:spacing w:before="0" w:after="0" w:line="312" w:lineRule="auto"/>
        <w:rPr>
          <w:rFonts w:ascii="Cambria" w:hAnsi="Cambria" w:cs="Cambria"/>
          <w:sz w:val="18"/>
          <w:szCs w:val="18"/>
          <w:highlight w:val="white"/>
        </w:rPr>
      </w:pPr>
      <w:r>
        <w:rPr>
          <w:rFonts w:ascii="Cambria" w:hAnsi="Cambria" w:cs="Cambria"/>
          <w:sz w:val="18"/>
          <w:szCs w:val="18"/>
          <w:highlight w:val="white"/>
        </w:rPr>
        <w:t xml:space="preserve">13.2.2.6 - Prova de regularidade</w:t>
      </w:r>
      <w:r>
        <w:rPr>
          <w:rFonts w:ascii="Cambria" w:hAnsi="Cambria" w:cs="Cambria"/>
          <w:sz w:val="18"/>
          <w:szCs w:val="18"/>
          <w:highlight w:val="white"/>
        </w:rPr>
        <w:t xml:space="preserve"> com a </w:t>
      </w:r>
      <w:r>
        <w:rPr>
          <w:rFonts w:ascii="Cambria" w:hAnsi="Cambria" w:cs="Cambria"/>
          <w:color w:val="000000" w:themeColor="text1"/>
          <w:sz w:val="18"/>
          <w:szCs w:val="18"/>
          <w:highlight w:val="white"/>
        </w:rPr>
        <w:t xml:space="preserve">Fazenda </w:t>
      </w:r>
      <w:r>
        <w:rPr>
          <w:rFonts w:ascii="Cambria" w:hAnsi="Cambria" w:cs="Cambria"/>
          <w:i/>
          <w:iCs/>
          <w:color w:val="000000" w:themeColor="text1"/>
          <w:sz w:val="18"/>
          <w:szCs w:val="18"/>
          <w:highlight w:val="white"/>
        </w:rPr>
        <w:t xml:space="preserve">[Estadual/Distrital] e [Municipal/Distrital]</w:t>
      </w:r>
      <w:r>
        <w:rPr>
          <w:rFonts w:ascii="Cambria" w:hAnsi="Cambria" w:cs="Cambria"/>
          <w:color w:val="000000" w:themeColor="text1"/>
          <w:sz w:val="18"/>
          <w:szCs w:val="18"/>
          <w:highlight w:val="white"/>
        </w:rPr>
        <w:t xml:space="preserve">d</w:t>
      </w:r>
      <w:r>
        <w:rPr>
          <w:rFonts w:ascii="Cambria" w:hAnsi="Cambria" w:cs="Cambria"/>
          <w:sz w:val="18"/>
          <w:szCs w:val="18"/>
          <w:highlight w:val="white"/>
        </w:rPr>
        <w:t xml:space="preserve">o domicílio ou sede do fornecedor, relativa à atividade em cujo exercício contrata ou concorre;</w:t>
      </w:r>
      <w:r/>
    </w:p>
    <w:p>
      <w:pPr>
        <w:pStyle w:val="1068"/>
        <w:numPr>
          <w:ilvl w:val="0"/>
          <w:numId w:val="0"/>
        </w:numPr>
        <w:spacing w:before="0" w:after="0" w:line="312" w:lineRule="auto"/>
        <w:rPr>
          <w:rFonts w:ascii="Cambria" w:hAnsi="Cambria" w:cs="Cambria"/>
          <w:sz w:val="18"/>
          <w:szCs w:val="18"/>
          <w:highlight w:val="white"/>
        </w:rPr>
      </w:pPr>
      <w:r>
        <w:rPr>
          <w:rFonts w:ascii="Cambria" w:hAnsi="Cambria" w:cs="Cambria"/>
          <w:sz w:val="18"/>
          <w:szCs w:val="18"/>
          <w:highlight w:val="white"/>
        </w:rPr>
        <w:t xml:space="preserve">13.2.2.7 - Prova de regularidade com a Fazenda Municipal</w:t>
      </w:r>
      <w:r>
        <w:rPr>
          <w:rFonts w:ascii="Cambria" w:hAnsi="Cambria" w:cs="Cambria"/>
          <w:sz w:val="18"/>
          <w:szCs w:val="18"/>
        </w:rPr>
        <w:t xml:space="preserve"> da sede.</w:t>
      </w:r>
      <w:r/>
    </w:p>
    <w:p>
      <w:pPr>
        <w:pStyle w:val="1068"/>
        <w:numPr>
          <w:ilvl w:val="0"/>
          <w:numId w:val="0"/>
        </w:numPr>
        <w:spacing w:before="0" w:after="0" w:line="312" w:lineRule="auto"/>
        <w:rPr>
          <w:rFonts w:ascii="Cambria" w:hAnsi="Cambria" w:cs="Cambria"/>
          <w:sz w:val="18"/>
          <w:szCs w:val="18"/>
          <w:highlight w:val="white"/>
        </w:rPr>
      </w:pPr>
      <w:r>
        <w:rPr>
          <w:rFonts w:ascii="Cambria" w:hAnsi="Cambria" w:cs="Cambria"/>
          <w:sz w:val="18"/>
          <w:szCs w:val="18"/>
          <w:highlight w:val="white"/>
        </w:rPr>
        <w:t xml:space="preserve">13.2.2.8 - Caso o fornecedor seja </w:t>
      </w:r>
      <w:r>
        <w:rPr>
          <w:rFonts w:ascii="Cambria" w:hAnsi="Cambria" w:cs="Cambria"/>
          <w:sz w:val="18"/>
          <w:szCs w:val="18"/>
          <w:highlight w:val="white"/>
        </w:rPr>
        <w:t xml:space="preserve">considerado isento dos tributos </w:t>
      </w:r>
      <w:r>
        <w:rPr>
          <w:rFonts w:ascii="Cambria" w:hAnsi="Cambria" w:cs="Cambria"/>
          <w:i/>
          <w:iCs/>
          <w:color w:val="000000" w:themeColor="text1"/>
          <w:sz w:val="18"/>
          <w:szCs w:val="18"/>
          <w:highlight w:val="white"/>
        </w:rPr>
        <w:t xml:space="preserve">[Estadual/Distrital] e [Municipal/Distrital] </w:t>
      </w:r>
      <w:r>
        <w:rPr>
          <w:rFonts w:ascii="Cambria" w:hAnsi="Cambria" w:cs="Cambria"/>
          <w:sz w:val="18"/>
          <w:szCs w:val="18"/>
          <w:highlight w:val="white"/>
        </w:rPr>
        <w:t xml:space="preserve">relacionados ao objeto contratual, deverá comprovar tal condição mediante a apresentação de declaração da Fazenda respectiva do seu domicílio ou sede, ou outra equivalente, na for</w:t>
      </w:r>
      <w:r>
        <w:rPr>
          <w:rFonts w:ascii="Cambria" w:hAnsi="Cambria" w:cs="Cambria"/>
          <w:sz w:val="18"/>
          <w:szCs w:val="18"/>
          <w:highlight w:val="white"/>
        </w:rPr>
        <w:t xml:space="preserve">ma da lei.</w:t>
      </w:r>
      <w:r/>
    </w:p>
    <w:p>
      <w:pPr>
        <w:pStyle w:val="1068"/>
        <w:numPr>
          <w:ilvl w:val="0"/>
          <w:numId w:val="0"/>
        </w:numPr>
        <w:spacing w:before="0" w:after="0" w:line="312" w:lineRule="auto"/>
        <w:rPr>
          <w:rFonts w:ascii="Cambria" w:hAnsi="Cambria" w:cs="Cambria"/>
          <w:sz w:val="18"/>
          <w:szCs w:val="18"/>
        </w:rPr>
      </w:pPr>
      <w:r>
        <w:rPr>
          <w:rFonts w:ascii="Cambria" w:hAnsi="Cambria" w:cs="Cambria"/>
          <w:sz w:val="18"/>
          <w:szCs w:val="18"/>
          <w:highlight w:val="white"/>
        </w:rPr>
        <w:t xml:space="preserve">13.2.2.9 - O fornecedor enquadrado como microempreendedor individual que pretenda auferir os benefícios do tratamento diferenciado previstos na Lei Complementar n. 123, de 2006, estará dispensado da pro</w:t>
      </w:r>
      <w:r>
        <w:rPr>
          <w:rFonts w:ascii="Cambria" w:hAnsi="Cambria" w:cs="Cambria"/>
          <w:sz w:val="18"/>
          <w:szCs w:val="18"/>
        </w:rPr>
        <w:t xml:space="preserve">va de inscrição nos cadastros de contribuin</w:t>
      </w:r>
      <w:r>
        <w:rPr>
          <w:rFonts w:ascii="Cambria" w:hAnsi="Cambria" w:cs="Cambria"/>
          <w:sz w:val="18"/>
          <w:szCs w:val="18"/>
        </w:rPr>
        <w:t xml:space="preserve">tes estadual e municipal.</w:t>
      </w:r>
      <w:r/>
    </w:p>
    <w:p>
      <w:pPr>
        <w:pStyle w:val="1068"/>
        <w:numPr>
          <w:ilvl w:val="0"/>
          <w:numId w:val="0"/>
        </w:numPr>
        <w:ind w:left="709"/>
        <w:spacing w:before="0" w:after="0" w:line="312" w:lineRule="auto"/>
        <w:rPr>
          <w:rFonts w:ascii="Cambria" w:hAnsi="Cambria" w:cs="Cambria"/>
          <w:sz w:val="18"/>
          <w:szCs w:val="18"/>
        </w:rPr>
      </w:pPr>
      <w:r>
        <w:rPr>
          <w:rFonts w:ascii="Cambria" w:hAnsi="Cambria" w:cs="Cambria"/>
          <w:sz w:val="18"/>
          <w:szCs w:val="18"/>
        </w:rPr>
      </w:r>
      <w:r/>
    </w:p>
    <w:p>
      <w:pPr>
        <w:pStyle w:val="1121"/>
        <w:spacing w:before="0"/>
        <w:rPr>
          <w:rFonts w:ascii="Cambria" w:hAnsi="Cambria" w:cs="Cambria"/>
          <w:sz w:val="18"/>
          <w:szCs w:val="18"/>
        </w:rPr>
      </w:pPr>
      <w:r>
        <w:rPr>
          <w:rFonts w:ascii="Cambria" w:hAnsi="Cambria" w:cs="Cambria"/>
          <w:color w:val="auto"/>
          <w:sz w:val="18"/>
          <w:szCs w:val="18"/>
          <w:lang w:eastAsia="zh-CN" w:bidi="hi-IN"/>
        </w:rPr>
        <w:t xml:space="preserve">13.2.3 - Qualificação Econômico-Financeira</w:t>
      </w:r>
      <w:r/>
    </w:p>
    <w:p>
      <w:pPr>
        <w:pStyle w:val="1068"/>
        <w:numPr>
          <w:ilvl w:val="0"/>
          <w:numId w:val="0"/>
        </w:numPr>
        <w:spacing w:before="0" w:after="0" w:line="312" w:lineRule="auto"/>
        <w:rPr>
          <w:rFonts w:ascii="Cambria" w:hAnsi="Cambria" w:cs="Cambria"/>
          <w:sz w:val="18"/>
          <w:szCs w:val="18"/>
        </w:rPr>
      </w:pPr>
      <w:r>
        <w:rPr>
          <w:rFonts w:ascii="Cambria" w:hAnsi="Cambria" w:cs="Cambria"/>
          <w:sz w:val="18"/>
          <w:szCs w:val="18"/>
        </w:rPr>
        <w:t xml:space="preserve">13.2.3.1 - Certidão negativa de insolvência civil expedida pelo distribuidor do domicílio ou sede do licitante, caso se trate de pessoa física, desde que admitida a sua participação na l</w:t>
      </w:r>
      <w:r>
        <w:rPr>
          <w:rFonts w:ascii="Cambria" w:hAnsi="Cambria" w:cs="Cambria"/>
          <w:sz w:val="18"/>
          <w:szCs w:val="18"/>
        </w:rPr>
        <w:t xml:space="preserve">icitação, ou de sociedade simples; </w:t>
      </w:r>
      <w:r/>
    </w:p>
    <w:p>
      <w:pPr>
        <w:pStyle w:val="1068"/>
        <w:numPr>
          <w:ilvl w:val="0"/>
          <w:numId w:val="0"/>
        </w:numPr>
        <w:spacing w:before="0" w:after="0" w:line="312" w:lineRule="auto"/>
        <w:rPr>
          <w:rFonts w:ascii="Cambria" w:hAnsi="Cambria" w:cs="Cambria"/>
          <w:sz w:val="18"/>
          <w:szCs w:val="18"/>
        </w:rPr>
      </w:pPr>
      <w:r>
        <w:rPr>
          <w:rFonts w:ascii="Cambria" w:hAnsi="Cambria" w:cs="Cambria"/>
          <w:sz w:val="18"/>
          <w:szCs w:val="18"/>
        </w:rPr>
        <w:t xml:space="preserve">13.2.3.2 - Certidão negativa de falência expedida pelo distribuidor da sede do fornecedor - Lei nº 14.133, de 2021, art. 69, caput, inciso II);</w:t>
      </w:r>
      <w:r/>
    </w:p>
    <w:p>
      <w:pPr>
        <w:pStyle w:val="1070"/>
        <w:numPr>
          <w:ilvl w:val="0"/>
          <w:numId w:val="0"/>
        </w:numPr>
        <w:spacing w:before="0" w:after="0" w:line="312" w:lineRule="auto"/>
        <w:rPr>
          <w:rFonts w:ascii="Cambria" w:hAnsi="Cambria" w:cs="Cambria"/>
          <w:sz w:val="18"/>
          <w:szCs w:val="18"/>
        </w:rPr>
      </w:pPr>
      <w:r>
        <w:rPr>
          <w:rFonts w:ascii="Cambria" w:hAnsi="Cambria" w:cs="Cambria"/>
          <w:sz w:val="18"/>
          <w:szCs w:val="18"/>
        </w:rPr>
      </w:r>
      <w:r/>
    </w:p>
    <w:p>
      <w:pPr>
        <w:pStyle w:val="1051"/>
        <w:numPr>
          <w:ilvl w:val="0"/>
          <w:numId w:val="0"/>
        </w:numPr>
        <w:spacing w:before="0"/>
        <w:rPr>
          <w:rFonts w:ascii="Cambria" w:hAnsi="Cambria" w:cs="Cambria"/>
          <w:sz w:val="18"/>
          <w:szCs w:val="18"/>
        </w:rPr>
      </w:pPr>
      <w:r>
        <w:rPr>
          <w:rFonts w:ascii="Cambria" w:hAnsi="Cambria" w:cs="Cambria"/>
          <w:sz w:val="18"/>
          <w:szCs w:val="18"/>
        </w:rPr>
        <w:t xml:space="preserve">14 - ESTIMATIVAS DO VALOR DA CONTRATAÇÃO</w:t>
      </w:r>
      <w:r/>
    </w:p>
    <w:p>
      <w:pPr>
        <w:pStyle w:val="1115"/>
        <w:numPr>
          <w:ilvl w:val="0"/>
          <w:numId w:val="0"/>
        </w:numPr>
        <w:spacing w:before="0" w:after="0" w:line="312" w:lineRule="auto"/>
        <w:rPr>
          <w:rFonts w:ascii="Cambria" w:hAnsi="Cambria" w:cs="Cambria"/>
          <w:sz w:val="18"/>
          <w:szCs w:val="18"/>
        </w:rPr>
      </w:pPr>
      <w:r>
        <w:rPr>
          <w:rFonts w:ascii="Cambria" w:hAnsi="Cambria" w:cs="Cambria"/>
          <w:i w:val="0"/>
          <w:iCs w:val="0"/>
          <w:color w:val="auto"/>
          <w:sz w:val="18"/>
          <w:szCs w:val="18"/>
        </w:rPr>
        <w:t xml:space="preserve">14.1 - O custo estimado total da contratação é de</w:t>
      </w:r>
      <w:r>
        <w:rPr>
          <w:rFonts w:ascii="Cambria" w:hAnsi="Cambria" w:cs="Cambria"/>
          <w:i w:val="0"/>
          <w:iCs w:val="0"/>
          <w:color w:val="auto"/>
          <w:sz w:val="18"/>
          <w:szCs w:val="18"/>
        </w:rPr>
        <w:t xml:space="preserve"> R$: 81.921,00,</w:t>
      </w:r>
      <w:r>
        <w:rPr>
          <w:rFonts w:ascii="Cambria" w:hAnsi="Cambria" w:cs="Cambria"/>
          <w:i w:val="0"/>
          <w:iCs w:val="0"/>
          <w:sz w:val="18"/>
          <w:szCs w:val="18"/>
        </w:rPr>
        <w:t xml:space="preserve"> </w:t>
      </w:r>
      <w:r>
        <w:rPr>
          <w:rFonts w:ascii="Cambria" w:hAnsi="Cambria" w:cs="Cambria"/>
          <w:i w:val="0"/>
          <w:iCs w:val="0"/>
          <w:color w:val="auto"/>
          <w:sz w:val="18"/>
          <w:szCs w:val="18"/>
        </w:rPr>
        <w:t xml:space="preserve">conforme custos unitários apostos manifestação do Setor de Compras da Prefeitura Municipal de Santa Bárbara do Sul.</w:t>
      </w:r>
      <w:r/>
    </w:p>
    <w:p>
      <w:pPr>
        <w:pStyle w:val="1115"/>
        <w:numPr>
          <w:ilvl w:val="0"/>
          <w:numId w:val="0"/>
        </w:numPr>
        <w:spacing w:before="0" w:after="0" w:line="312" w:lineRule="auto"/>
        <w:rPr>
          <w:rFonts w:ascii="Cambria" w:hAnsi="Cambria" w:cs="Cambria"/>
          <w:sz w:val="18"/>
          <w:szCs w:val="18"/>
        </w:rPr>
      </w:pPr>
      <w:r>
        <w:rPr>
          <w:rFonts w:ascii="Cambria" w:hAnsi="Cambria" w:cs="Cambria"/>
          <w:sz w:val="18"/>
          <w:szCs w:val="18"/>
        </w:rPr>
      </w:r>
      <w:r/>
    </w:p>
    <w:p>
      <w:pPr>
        <w:jc w:val="both"/>
        <w:spacing w:line="276" w:lineRule="auto"/>
        <w:widowControl w:val="off"/>
        <w:rPr>
          <w:rFonts w:ascii="Cambria" w:hAnsi="Cambria" w:cs="Cambria"/>
          <w:sz w:val="18"/>
          <w:szCs w:val="18"/>
        </w:rPr>
      </w:pPr>
      <w:r>
        <w:rPr>
          <w:rFonts w:ascii="Cambria" w:hAnsi="Cambria" w:eastAsia="Calibri" w:cs="Cambria"/>
          <w:b/>
          <w:bCs/>
          <w:sz w:val="18"/>
          <w:szCs w:val="18"/>
          <w:lang w:eastAsia="en-US"/>
        </w:rPr>
        <w:t xml:space="preserve">15 - ALTERAÇÃO SUBJETIVA</w:t>
      </w:r>
      <w:r/>
    </w:p>
    <w:p>
      <w:pPr>
        <w:jc w:val="both"/>
        <w:spacing w:line="276" w:lineRule="auto"/>
        <w:tabs>
          <w:tab w:val="left" w:pos="993" w:leader="none"/>
        </w:tabs>
        <w:rPr>
          <w:rFonts w:ascii="Cambria" w:hAnsi="Cambria" w:cs="Cambria"/>
          <w:sz w:val="18"/>
          <w:szCs w:val="18"/>
        </w:rPr>
      </w:pPr>
      <w:r>
        <w:rPr>
          <w:rFonts w:ascii="Cambria" w:hAnsi="Cambria" w:eastAsia="Calibri" w:cs="Cambria"/>
          <w:sz w:val="18"/>
          <w:szCs w:val="18"/>
          <w:lang w:eastAsia="en-US"/>
        </w:rPr>
        <w:t xml:space="preserve">15.1 - É admissível a fusão, cisão ou incorporação da contratada com/em outra pessoa jurídica, desde que sejam observados pela nova pessoa jurídica todos os requisitos de habilitação exigidos na licitação original; sejam mantidas as demais cláusulas e cond</w:t>
      </w:r>
      <w:r>
        <w:rPr>
          <w:rFonts w:ascii="Cambria" w:hAnsi="Cambria" w:eastAsia="Calibri" w:cs="Cambria"/>
          <w:sz w:val="18"/>
          <w:szCs w:val="18"/>
          <w:lang w:eastAsia="en-US"/>
        </w:rPr>
        <w:t xml:space="preserve">ições do contrato; não haja prejuízo à execução do objeto pactuado e haja a anuência expressa da Administração à continuidade do contrato.</w:t>
      </w:r>
      <w:r/>
    </w:p>
    <w:p>
      <w:pPr>
        <w:jc w:val="both"/>
        <w:spacing w:line="276" w:lineRule="auto"/>
        <w:tabs>
          <w:tab w:val="left" w:pos="993" w:leader="none"/>
        </w:tabs>
        <w:rPr>
          <w:rFonts w:ascii="Cambria" w:hAnsi="Cambria" w:cs="Cambria"/>
          <w:sz w:val="18"/>
          <w:szCs w:val="18"/>
        </w:rPr>
      </w:pPr>
      <w:r>
        <w:rPr>
          <w:rFonts w:ascii="Cambria" w:hAnsi="Cambria" w:cs="Cambria"/>
          <w:sz w:val="18"/>
          <w:szCs w:val="18"/>
        </w:rPr>
      </w:r>
      <w:r/>
    </w:p>
    <w:p>
      <w:pPr>
        <w:pStyle w:val="1065"/>
        <w:ind w:left="0" w:firstLine="0"/>
        <w:spacing w:before="0" w:line="312" w:lineRule="auto"/>
        <w:tabs>
          <w:tab w:val="left" w:pos="284" w:leader="none"/>
          <w:tab w:val="left" w:pos="426" w:leader="none"/>
          <w:tab w:val="left" w:pos="567" w:leader="none"/>
          <w:tab w:val="left" w:pos="851" w:leader="none"/>
        </w:tabs>
        <w:rPr>
          <w:rFonts w:ascii="Cambria" w:hAnsi="Cambria" w:cs="Cambria"/>
          <w:sz w:val="18"/>
          <w:szCs w:val="18"/>
        </w:rPr>
      </w:pPr>
      <w:r>
        <w:rPr>
          <w:rFonts w:ascii="Cambria" w:hAnsi="Cambria" w:cs="Cambria"/>
          <w:color w:val="auto"/>
          <w:sz w:val="18"/>
          <w:szCs w:val="18"/>
        </w:rPr>
        <w:t xml:space="preserve">16 - DOTAÇÃO ORÇAMENTÁRIA </w:t>
      </w:r>
      <w:r/>
    </w:p>
    <w:p>
      <w:pPr>
        <w:jc w:val="both"/>
        <w:spacing w:line="312" w:lineRule="auto"/>
        <w:tabs>
          <w:tab w:val="left" w:pos="426" w:leader="none"/>
        </w:tabs>
        <w:rPr>
          <w:rFonts w:ascii="Cambria" w:hAnsi="Cambria" w:cs="Cambria"/>
          <w:sz w:val="18"/>
          <w:szCs w:val="18"/>
        </w:rPr>
      </w:pPr>
      <w:r>
        <w:rPr>
          <w:rFonts w:ascii="Cambria" w:hAnsi="Cambria" w:cs="Cambria"/>
          <w:sz w:val="18"/>
          <w:szCs w:val="18"/>
        </w:rPr>
        <w:t xml:space="preserve">16.1 - </w:t>
      </w:r>
      <w:r>
        <w:rPr>
          <w:rFonts w:ascii="Cambria" w:hAnsi="Cambria" w:eastAsia="Calibri" w:cs="Cambria"/>
          <w:sz w:val="18"/>
          <w:szCs w:val="18"/>
          <w:lang w:eastAsia="en-US"/>
        </w:rPr>
        <w:t xml:space="preserve">As classificações orçamentárias para suportar a presente despesa constam da progra</w:t>
      </w:r>
      <w:r>
        <w:rPr>
          <w:rFonts w:ascii="Cambria" w:hAnsi="Cambria" w:eastAsia="Calibri" w:cs="Cambria"/>
          <w:sz w:val="18"/>
          <w:szCs w:val="18"/>
          <w:lang w:eastAsia="en-US"/>
        </w:rPr>
        <w:t xml:space="preserve">mação orçamentária da Secretaria Municipal de</w:t>
      </w:r>
      <w:r>
        <w:rPr>
          <w:rFonts w:ascii="Cambria" w:hAnsi="Cambria" w:eastAsia="Calibri" w:cs="Cambria"/>
          <w:sz w:val="18"/>
          <w:szCs w:val="18"/>
          <w:lang w:eastAsia="en-US"/>
        </w:rPr>
        <w:t xml:space="preserve"> Obras</w:t>
      </w:r>
      <w:r>
        <w:rPr>
          <w:rFonts w:ascii="Cambria" w:hAnsi="Cambria" w:eastAsia="Calibri" w:cs="Cambria"/>
          <w:sz w:val="18"/>
          <w:szCs w:val="18"/>
          <w:lang w:eastAsia="en-US"/>
        </w:rPr>
        <w:t xml:space="preserve">, que serão devidamente identificadas no momento da efetiva contratação.</w:t>
      </w:r>
      <w:r/>
    </w:p>
    <w:p>
      <w:pPr>
        <w:pStyle w:val="1115"/>
        <w:numPr>
          <w:ilvl w:val="0"/>
          <w:numId w:val="0"/>
        </w:numPr>
        <w:spacing w:before="0" w:after="0" w:line="312" w:lineRule="auto"/>
        <w:rPr>
          <w:rFonts w:ascii="Cambria" w:hAnsi="Cambria" w:cs="Cambria"/>
          <w:i w:val="0"/>
          <w:color w:val="auto"/>
          <w:sz w:val="18"/>
          <w:szCs w:val="18"/>
        </w:rPr>
      </w:pPr>
      <w:r>
        <w:rPr>
          <w:rFonts w:ascii="Cambria" w:hAnsi="Cambria" w:cs="Cambria"/>
          <w:i w:val="0"/>
          <w:color w:val="auto"/>
          <w:sz w:val="18"/>
          <w:szCs w:val="18"/>
        </w:rPr>
      </w:r>
      <w:r/>
    </w:p>
    <w:p>
      <w:pPr>
        <w:jc w:val="right"/>
        <w:spacing w:line="312" w:lineRule="auto"/>
        <w:tabs>
          <w:tab w:val="left" w:pos="284" w:leader="none"/>
          <w:tab w:val="left" w:pos="426" w:leader="none"/>
          <w:tab w:val="left" w:pos="567" w:leader="none"/>
          <w:tab w:val="left" w:pos="851" w:leader="none"/>
        </w:tabs>
        <w:rPr>
          <w:rFonts w:ascii="Cambria" w:hAnsi="Cambria" w:cs="Cambria"/>
          <w:sz w:val="18"/>
          <w:szCs w:val="18"/>
        </w:rPr>
      </w:pPr>
      <w:r>
        <w:rPr>
          <w:rFonts w:ascii="Cambria" w:hAnsi="Cambria" w:cs="Cambria"/>
          <w:b/>
          <w:iCs/>
          <w:sz w:val="18"/>
          <w:szCs w:val="18"/>
        </w:rPr>
        <w:t xml:space="preserve">Santa Bárbara do Sul/RS, 19 de março de 2024.</w:t>
      </w:r>
      <w:r>
        <w:rPr>
          <w:rFonts w:ascii="Cambria" w:hAnsi="Cambria" w:cs="Cambria"/>
          <w:sz w:val="18"/>
          <w:szCs w:val="18"/>
        </w:rPr>
      </w:r>
      <w:r/>
    </w:p>
    <w:p>
      <w:pPr>
        <w:jc w:val="left"/>
        <w:rPr>
          <w:rFonts w:ascii="Cambria" w:hAnsi="Cambria" w:cs="Cambria"/>
          <w:b/>
          <w:bCs/>
          <w:sz w:val="18"/>
          <w:szCs w:val="18"/>
        </w:rPr>
      </w:pPr>
      <w:r>
        <w:rPr>
          <w:rFonts w:ascii="Cambria" w:hAnsi="Cambria" w:cs="Cambria"/>
          <w:b/>
          <w:bCs/>
          <w:sz w:val="18"/>
          <w:szCs w:val="18"/>
        </w:rPr>
      </w:r>
      <w:r/>
    </w:p>
    <w:p>
      <w:pPr>
        <w:jc w:val="center"/>
        <w:rPr>
          <w:rFonts w:ascii="Cambria" w:hAnsi="Cambria" w:cs="Cambria"/>
          <w:b/>
          <w:bCs/>
          <w:sz w:val="18"/>
          <w:szCs w:val="18"/>
        </w:rPr>
      </w:pPr>
      <w:r>
        <w:rPr>
          <w:rFonts w:ascii="Cambria" w:hAnsi="Cambria" w:cs="Cambria"/>
          <w:b/>
          <w:bCs/>
          <w:sz w:val="18"/>
          <w:szCs w:val="18"/>
        </w:rPr>
      </w:r>
      <w:r/>
    </w:p>
    <w:p>
      <w:pPr>
        <w:jc w:val="center"/>
        <w:rPr>
          <w:rFonts w:ascii="Cambria" w:hAnsi="Cambria" w:cs="Cambria"/>
          <w:b/>
          <w:bCs/>
          <w:sz w:val="18"/>
          <w:szCs w:val="18"/>
        </w:rPr>
      </w:pPr>
      <w:r>
        <w:rPr>
          <w:rFonts w:ascii="Cambria" w:hAnsi="Cambria" w:cs="Cambria"/>
          <w:b/>
          <w:bCs/>
          <w:sz w:val="18"/>
          <w:szCs w:val="18"/>
        </w:rPr>
        <w:t xml:space="preserve">Marco Túlio </w:t>
      </w:r>
      <w:r>
        <w:rPr>
          <w:rFonts w:ascii="Cambria" w:hAnsi="Cambria" w:cs="Cambria"/>
          <w:b/>
          <w:bCs/>
          <w:sz w:val="18"/>
          <w:szCs w:val="18"/>
        </w:rPr>
        <w:t xml:space="preserve">Magalães</w:t>
      </w:r>
      <w:r>
        <w:rPr>
          <w:rFonts w:ascii="Cambria" w:hAnsi="Cambria" w:cs="Cambria"/>
          <w:b/>
          <w:bCs/>
          <w:sz w:val="18"/>
          <w:szCs w:val="18"/>
        </w:rPr>
        <w:t xml:space="preserve"> </w:t>
      </w:r>
      <w:r>
        <w:rPr>
          <w:rFonts w:ascii="Cambria" w:hAnsi="Cambria" w:cs="Cambria"/>
          <w:b/>
          <w:bCs/>
          <w:sz w:val="18"/>
          <w:szCs w:val="18"/>
        </w:rPr>
        <w:t xml:space="preserve">Rosito</w:t>
      </w:r>
      <w:r/>
    </w:p>
    <w:p>
      <w:pPr>
        <w:jc w:val="center"/>
        <w:rPr>
          <w:rFonts w:ascii="Cambria" w:hAnsi="Cambria" w:cs="Cambria"/>
          <w:b/>
          <w:bCs/>
          <w:sz w:val="18"/>
          <w:szCs w:val="18"/>
        </w:rPr>
      </w:pPr>
      <w:r>
        <w:rPr>
          <w:rFonts w:ascii="Cambria" w:hAnsi="Cambria" w:cs="Cambria"/>
          <w:b/>
          <w:bCs/>
          <w:sz w:val="18"/>
          <w:szCs w:val="18"/>
        </w:rPr>
        <w:t xml:space="preserve">Secretário de Agricultura</w:t>
      </w:r>
      <w:r/>
    </w:p>
    <w:p>
      <w:pPr>
        <w:jc w:val="left"/>
        <w:rPr>
          <w:rFonts w:ascii="Cambria" w:hAnsi="Cambria" w:cs="Cambria"/>
          <w:b/>
          <w:bCs/>
          <w:sz w:val="18"/>
          <w:szCs w:val="18"/>
        </w:rPr>
      </w:pPr>
      <w:r>
        <w:rPr>
          <w:rFonts w:ascii="Cambria" w:hAnsi="Cambria" w:cs="Cambria"/>
          <w:b/>
          <w:bCs/>
          <w:sz w:val="18"/>
          <w:szCs w:val="18"/>
        </w:rPr>
      </w:r>
      <w:r/>
    </w:p>
    <w:p>
      <w:pPr>
        <w:jc w:val="center"/>
      </w:pPr>
      <w:r>
        <w:rPr>
          <w:rFonts w:ascii="Cambria" w:hAnsi="Cambria" w:cs="Cambria"/>
          <w:b/>
          <w:sz w:val="18"/>
          <w:szCs w:val="18"/>
        </w:rPr>
        <w:t xml:space="preserve">ANEXO II</w:t>
      </w:r>
      <w:r/>
    </w:p>
    <w:p>
      <w:pPr>
        <w:jc w:val="center"/>
      </w:pPr>
      <w:r>
        <w:rPr>
          <w:rFonts w:ascii="Cambria" w:hAnsi="Cambria" w:cs="Cambria"/>
          <w:b/>
          <w:sz w:val="18"/>
          <w:szCs w:val="18"/>
        </w:rPr>
        <w:t xml:space="preserve">PROPOSTA FINANCEIRA</w:t>
      </w:r>
      <w:r/>
    </w:p>
    <w:tbl>
      <w:tblPr>
        <w:tblW w:w="9921" w:type="dxa"/>
        <w:tblInd w:w="70" w:type="dxa"/>
        <w:tblLayout w:type="fixed"/>
        <w:tblCellMar>
          <w:left w:w="70" w:type="dxa"/>
          <w:right w:w="70" w:type="dxa"/>
        </w:tblCellMar>
        <w:tblLook w:val="04A0" w:firstRow="1" w:lastRow="0" w:firstColumn="1" w:lastColumn="0" w:noHBand="0" w:noVBand="1"/>
      </w:tblPr>
      <w:tblGrid>
        <w:gridCol w:w="4065"/>
        <w:gridCol w:w="2950"/>
        <w:gridCol w:w="2906"/>
      </w:tblGrid>
      <w:tr>
        <w:trPr/>
        <w:tc>
          <w:tcPr>
            <w:gridSpan w:val="3"/>
            <w:tcBorders>
              <w:top w:val="single" w:color="000000" w:sz="6" w:space="0"/>
              <w:left w:val="single" w:color="000000" w:sz="6" w:space="0"/>
              <w:bottom w:val="single" w:color="000000" w:sz="6" w:space="0"/>
              <w:right w:val="single" w:color="000000" w:sz="6" w:space="0"/>
            </w:tcBorders>
            <w:tcW w:w="9921" w:type="dxa"/>
            <w:textDirection w:val="lrTb"/>
            <w:noWrap w:val="false"/>
          </w:tcPr>
          <w:p>
            <w:pPr>
              <w:jc w:val="both"/>
              <w:widowControl w:val="off"/>
              <w:rPr>
                <w:rFonts w:ascii="Cambria" w:hAnsi="Cambria" w:cs="Cambria"/>
              </w:rPr>
            </w:pPr>
            <w:r>
              <w:rPr>
                <w:rFonts w:ascii="Cambria" w:hAnsi="Cambria" w:cs="Cambria"/>
                <w:b/>
                <w:sz w:val="18"/>
                <w:szCs w:val="18"/>
              </w:rPr>
              <w:t xml:space="preserve">Fornecedor:</w:t>
            </w:r>
            <w:r/>
          </w:p>
        </w:tc>
      </w:tr>
      <w:tr>
        <w:trPr/>
        <w:tc>
          <w:tcPr>
            <w:gridSpan w:val="3"/>
            <w:tcBorders>
              <w:top w:val="single" w:color="000000" w:sz="6" w:space="0"/>
              <w:left w:val="single" w:color="000000" w:sz="6" w:space="0"/>
              <w:bottom w:val="single" w:color="000000" w:sz="6" w:space="0"/>
              <w:right w:val="single" w:color="000000" w:sz="6" w:space="0"/>
            </w:tcBorders>
            <w:tcW w:w="9921" w:type="dxa"/>
            <w:textDirection w:val="lrTb"/>
            <w:noWrap w:val="false"/>
          </w:tcPr>
          <w:p>
            <w:pPr>
              <w:jc w:val="both"/>
              <w:widowControl w:val="off"/>
              <w:rPr>
                <w:rFonts w:ascii="Cambria" w:hAnsi="Cambria" w:cs="Cambria"/>
              </w:rPr>
            </w:pPr>
            <w:r>
              <w:rPr>
                <w:rFonts w:ascii="Cambria" w:hAnsi="Cambria" w:cs="Cambria"/>
                <w:b/>
                <w:sz w:val="18"/>
                <w:szCs w:val="18"/>
              </w:rPr>
              <w:t xml:space="preserve">Endereço:</w:t>
            </w:r>
            <w:r/>
          </w:p>
        </w:tc>
      </w:tr>
      <w:tr>
        <w:trPr/>
        <w:tc>
          <w:tcPr>
            <w:gridSpan w:val="2"/>
            <w:tcBorders>
              <w:top w:val="single" w:color="000000" w:sz="6" w:space="0"/>
              <w:left w:val="single" w:color="000000" w:sz="6" w:space="0"/>
              <w:bottom w:val="single" w:color="000000" w:sz="6" w:space="0"/>
              <w:right w:val="single" w:color="000000" w:sz="6" w:space="0"/>
            </w:tcBorders>
            <w:tcW w:w="7015" w:type="dxa"/>
            <w:textDirection w:val="lrTb"/>
            <w:noWrap w:val="false"/>
          </w:tcPr>
          <w:p>
            <w:pPr>
              <w:jc w:val="both"/>
              <w:widowControl w:val="off"/>
              <w:rPr>
                <w:rFonts w:ascii="Cambria" w:hAnsi="Cambria" w:cs="Cambria"/>
              </w:rPr>
            </w:pPr>
            <w:r>
              <w:rPr>
                <w:rFonts w:ascii="Cambria" w:hAnsi="Cambria" w:cs="Cambria"/>
                <w:b/>
                <w:sz w:val="18"/>
                <w:szCs w:val="18"/>
              </w:rPr>
              <w:t xml:space="preserve">Cidade:</w:t>
            </w:r>
            <w:r/>
          </w:p>
        </w:tc>
        <w:tc>
          <w:tcPr>
            <w:tcBorders>
              <w:top w:val="single" w:color="000000" w:sz="6" w:space="0"/>
              <w:left w:val="single" w:color="000000" w:sz="6" w:space="0"/>
              <w:bottom w:val="single" w:color="000000" w:sz="6" w:space="0"/>
              <w:right w:val="single" w:color="000000" w:sz="6" w:space="0"/>
            </w:tcBorders>
            <w:tcW w:w="2906" w:type="dxa"/>
            <w:textDirection w:val="lrTb"/>
            <w:noWrap w:val="false"/>
          </w:tcPr>
          <w:p>
            <w:pPr>
              <w:jc w:val="both"/>
              <w:widowControl w:val="off"/>
              <w:rPr>
                <w:rFonts w:ascii="Cambria" w:hAnsi="Cambria" w:cs="Cambria"/>
              </w:rPr>
            </w:pPr>
            <w:r>
              <w:rPr>
                <w:rFonts w:ascii="Cambria" w:hAnsi="Cambria" w:cs="Cambria"/>
                <w:b/>
                <w:sz w:val="18"/>
                <w:szCs w:val="18"/>
              </w:rPr>
              <w:t xml:space="preserve">Estado:</w:t>
            </w:r>
            <w:r/>
          </w:p>
        </w:tc>
      </w:tr>
      <w:tr>
        <w:trPr/>
        <w:tc>
          <w:tcPr>
            <w:tcBorders>
              <w:top w:val="single" w:color="000000" w:sz="6" w:space="0"/>
              <w:left w:val="single" w:color="000000" w:sz="6" w:space="0"/>
              <w:bottom w:val="single" w:color="000000" w:sz="6" w:space="0"/>
              <w:right w:val="single" w:color="000000" w:sz="6" w:space="0"/>
            </w:tcBorders>
            <w:tcW w:w="4065" w:type="dxa"/>
            <w:textDirection w:val="lrTb"/>
            <w:noWrap w:val="false"/>
          </w:tcPr>
          <w:p>
            <w:pPr>
              <w:jc w:val="both"/>
              <w:widowControl w:val="off"/>
              <w:rPr>
                <w:rFonts w:ascii="Cambria" w:hAnsi="Cambria" w:cs="Cambria"/>
              </w:rPr>
            </w:pPr>
            <w:r>
              <w:rPr>
                <w:rFonts w:ascii="Cambria" w:hAnsi="Cambria" w:cs="Cambria"/>
                <w:b/>
                <w:sz w:val="18"/>
                <w:szCs w:val="18"/>
              </w:rPr>
              <w:t xml:space="preserve">CNPJ:</w:t>
            </w:r>
            <w:r/>
          </w:p>
        </w:tc>
        <w:tc>
          <w:tcPr>
            <w:gridSpan w:val="2"/>
            <w:tcBorders>
              <w:top w:val="single" w:color="000000" w:sz="6" w:space="0"/>
              <w:left w:val="single" w:color="000000" w:sz="6" w:space="0"/>
              <w:bottom w:val="single" w:color="000000" w:sz="6" w:space="0"/>
              <w:right w:val="single" w:color="000000" w:sz="6" w:space="0"/>
            </w:tcBorders>
            <w:tcW w:w="5856" w:type="dxa"/>
            <w:textDirection w:val="lrTb"/>
            <w:noWrap w:val="false"/>
          </w:tcPr>
          <w:p>
            <w:pPr>
              <w:jc w:val="both"/>
              <w:widowControl w:val="off"/>
              <w:rPr>
                <w:rFonts w:ascii="Cambria" w:hAnsi="Cambria" w:cs="Cambria"/>
              </w:rPr>
            </w:pPr>
            <w:r>
              <w:rPr>
                <w:rFonts w:ascii="Cambria" w:hAnsi="Cambria" w:cs="Cambria"/>
                <w:b/>
                <w:sz w:val="18"/>
                <w:szCs w:val="18"/>
              </w:rPr>
              <w:t xml:space="preserve">Inscrição Estadual:</w:t>
            </w:r>
            <w:r/>
          </w:p>
        </w:tc>
      </w:tr>
      <w:tr>
        <w:trPr/>
        <w:tc>
          <w:tcPr>
            <w:tcBorders>
              <w:top w:val="single" w:color="000000" w:sz="6" w:space="0"/>
              <w:left w:val="single" w:color="000000" w:sz="6" w:space="0"/>
              <w:bottom w:val="single" w:color="000000" w:sz="6" w:space="0"/>
              <w:right w:val="single" w:color="000000" w:sz="6" w:space="0"/>
            </w:tcBorders>
            <w:tcW w:w="4065" w:type="dxa"/>
            <w:textDirection w:val="lrTb"/>
            <w:noWrap w:val="false"/>
          </w:tcPr>
          <w:p>
            <w:pPr>
              <w:jc w:val="both"/>
              <w:widowControl w:val="off"/>
              <w:rPr>
                <w:rFonts w:ascii="Cambria" w:hAnsi="Cambria" w:cs="Cambria"/>
              </w:rPr>
            </w:pPr>
            <w:r>
              <w:rPr>
                <w:rFonts w:ascii="Cambria" w:hAnsi="Cambria" w:cs="Cambria"/>
                <w:b/>
                <w:sz w:val="18"/>
                <w:szCs w:val="18"/>
              </w:rPr>
              <w:t xml:space="preserve">Banco:</w:t>
            </w:r>
            <w:r/>
          </w:p>
        </w:tc>
        <w:tc>
          <w:tcPr>
            <w:gridSpan w:val="2"/>
            <w:tcBorders>
              <w:top w:val="single" w:color="000000" w:sz="6" w:space="0"/>
              <w:left w:val="single" w:color="000000" w:sz="6" w:space="0"/>
              <w:bottom w:val="single" w:color="000000" w:sz="6" w:space="0"/>
              <w:right w:val="single" w:color="000000" w:sz="6" w:space="0"/>
            </w:tcBorders>
            <w:tcW w:w="5856" w:type="dxa"/>
            <w:textDirection w:val="lrTb"/>
            <w:noWrap w:val="false"/>
          </w:tcPr>
          <w:p>
            <w:pPr>
              <w:jc w:val="both"/>
              <w:widowControl w:val="off"/>
              <w:rPr>
                <w:rFonts w:ascii="Cambria" w:hAnsi="Cambria" w:cs="Cambria"/>
              </w:rPr>
            </w:pPr>
            <w:r>
              <w:rPr>
                <w:rFonts w:ascii="Cambria" w:hAnsi="Cambria" w:cs="Cambria"/>
                <w:b/>
                <w:sz w:val="18"/>
                <w:szCs w:val="18"/>
              </w:rPr>
              <w:t xml:space="preserve">Agência:</w:t>
            </w:r>
            <w:r/>
          </w:p>
        </w:tc>
      </w:tr>
      <w:tr>
        <w:trPr/>
        <w:tc>
          <w:tcPr>
            <w:gridSpan w:val="3"/>
            <w:tcBorders>
              <w:top w:val="single" w:color="000000" w:sz="6" w:space="0"/>
              <w:left w:val="single" w:color="000000" w:sz="6" w:space="0"/>
              <w:bottom w:val="single" w:color="000000" w:sz="6" w:space="0"/>
              <w:right w:val="single" w:color="000000" w:sz="6" w:space="0"/>
            </w:tcBorders>
            <w:tcW w:w="9921" w:type="dxa"/>
            <w:textDirection w:val="lrTb"/>
            <w:noWrap w:val="false"/>
          </w:tcPr>
          <w:p>
            <w:pPr>
              <w:jc w:val="both"/>
              <w:widowControl w:val="off"/>
              <w:rPr>
                <w:rFonts w:ascii="Cambria" w:hAnsi="Cambria" w:cs="Cambria"/>
              </w:rPr>
            </w:pPr>
            <w:r>
              <w:rPr>
                <w:rFonts w:ascii="Cambria" w:hAnsi="Cambria" w:cs="Cambria"/>
                <w:b/>
                <w:sz w:val="18"/>
                <w:szCs w:val="18"/>
              </w:rPr>
              <w:t xml:space="preserve">C.C:</w:t>
            </w:r>
            <w:r/>
          </w:p>
        </w:tc>
      </w:tr>
    </w:tbl>
    <w:p>
      <w:pPr>
        <w:jc w:val="both"/>
        <w:tabs>
          <w:tab w:val="left" w:pos="792" w:leader="none"/>
        </w:tabs>
      </w:pPr>
      <w:r/>
      <w:r/>
    </w:p>
    <w:tbl>
      <w:tblPr>
        <w:tblW w:w="9991" w:type="dxa"/>
        <w:tblLayout w:type="fixed"/>
        <w:tblCellMar>
          <w:left w:w="70" w:type="dxa"/>
          <w:right w:w="70" w:type="dxa"/>
        </w:tblCellMar>
        <w:tblLook w:val="04A0" w:firstRow="1" w:lastRow="0" w:firstColumn="1" w:lastColumn="0" w:noHBand="0" w:noVBand="1"/>
      </w:tblPr>
      <w:tblGrid>
        <w:gridCol w:w="9991"/>
      </w:tblGrid>
      <w:tr>
        <w:trPr>
          <w:trHeight w:val="289"/>
        </w:trPr>
        <w:tc>
          <w:tcPr>
            <w:tcBorders>
              <w:top w:val="single" w:color="000000" w:sz="6" w:space="0"/>
              <w:left w:val="single" w:color="000000" w:sz="6" w:space="0"/>
              <w:bottom w:val="single" w:color="000000" w:sz="6" w:space="0"/>
              <w:right w:val="single" w:color="000000" w:sz="6" w:space="0"/>
            </w:tcBorders>
            <w:tcW w:w="9991" w:type="dxa"/>
            <w:textDirection w:val="lrTb"/>
            <w:noWrap w:val="false"/>
          </w:tcPr>
          <w:p>
            <w:pPr>
              <w:rPr>
                <w:rFonts w:ascii="Cambria" w:hAnsi="Cambria" w:cs="Cambria"/>
              </w:rPr>
            </w:pPr>
            <w:r>
              <w:rPr>
                <w:rFonts w:ascii="Cambria" w:hAnsi="Cambria" w:cs="Cambria"/>
                <w:i/>
                <w:iCs/>
                <w:sz w:val="18"/>
                <w:szCs w:val="18"/>
              </w:rPr>
              <w:t xml:space="preserve">AQUISIÇÃO DE LEIVAS DE GRAMA</w:t>
            </w:r>
            <w:r/>
          </w:p>
        </w:tc>
      </w:tr>
    </w:tbl>
    <w:p>
      <w:pPr>
        <w:jc w:val="both"/>
      </w:pPr>
      <w:r/>
      <w:r/>
    </w:p>
    <w:tbl>
      <w:tblPr>
        <w:tblW w:w="494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2"/>
        <w:gridCol w:w="3839"/>
        <w:gridCol w:w="1325"/>
        <w:gridCol w:w="1081"/>
        <w:gridCol w:w="1174"/>
        <w:gridCol w:w="1299"/>
        <w:gridCol w:w="1134"/>
      </w:tblGrid>
      <w:tr>
        <w:trPr>
          <w:trHeight w:val="101"/>
        </w:trPr>
        <w:tc>
          <w:tcPr>
            <w:shd w:val="clear" w:color="ffffff" w:fill="d9d9d9"/>
            <w:tcW w:w="812" w:type="dxa"/>
            <w:vAlign w:val="center"/>
            <w:textDirection w:val="lrTb"/>
            <w:noWrap w:val="false"/>
          </w:tcPr>
          <w:p>
            <w:pPr>
              <w:pStyle w:val="1108"/>
              <w:jc w:val="both"/>
              <w:spacing w:line="312" w:lineRule="auto"/>
              <w:rPr>
                <w:rFonts w:ascii="Cambria" w:hAnsi="Cambria" w:cs="Cambria"/>
              </w:rPr>
            </w:pPr>
            <w:r>
              <w:rPr>
                <w:rFonts w:ascii="Cambria" w:hAnsi="Cambria" w:eastAsia="Helv, Arial" w:cs="Cambria"/>
                <w:b/>
                <w:bCs/>
                <w:sz w:val="14"/>
                <w:szCs w:val="14"/>
              </w:rPr>
              <w:t xml:space="preserve">ITEM</w:t>
            </w:r>
            <w:r>
              <w:rPr>
                <w:rFonts w:ascii="Cambria" w:hAnsi="Cambria" w:cs="Cambria"/>
                <w:sz w:val="14"/>
                <w:szCs w:val="14"/>
              </w:rPr>
            </w:r>
            <w:r/>
          </w:p>
        </w:tc>
        <w:tc>
          <w:tcPr>
            <w:shd w:val="clear" w:color="ffffff" w:fill="d9d9d9"/>
            <w:tcW w:w="3839" w:type="dxa"/>
            <w:vAlign w:val="center"/>
            <w:textDirection w:val="lrTb"/>
            <w:noWrap w:val="false"/>
          </w:tcPr>
          <w:p>
            <w:pPr>
              <w:pStyle w:val="1108"/>
              <w:jc w:val="center"/>
              <w:spacing w:line="312" w:lineRule="auto"/>
              <w:rPr>
                <w:rFonts w:ascii="Cambria" w:hAnsi="Cambria" w:cs="Cambria"/>
              </w:rPr>
            </w:pPr>
            <w:r>
              <w:rPr>
                <w:rFonts w:ascii="Cambria" w:hAnsi="Cambria" w:eastAsia="Helv, Arial" w:cs="Cambria"/>
                <w:b/>
                <w:bCs/>
                <w:sz w:val="14"/>
                <w:szCs w:val="14"/>
              </w:rPr>
              <w:t xml:space="preserve">DESCRIÇÃO</w:t>
            </w:r>
            <w:r>
              <w:rPr>
                <w:rFonts w:ascii="Cambria" w:hAnsi="Cambria" w:cs="Cambria"/>
                <w:sz w:val="14"/>
                <w:szCs w:val="14"/>
              </w:rPr>
            </w:r>
            <w:r/>
          </w:p>
        </w:tc>
        <w:tc>
          <w:tcPr>
            <w:shd w:val="clear" w:color="ffffff" w:fill="d9d9d9"/>
            <w:tcW w:w="1325" w:type="dxa"/>
            <w:vAlign w:val="center"/>
            <w:textDirection w:val="lrTb"/>
            <w:noWrap w:val="false"/>
          </w:tcPr>
          <w:p>
            <w:pPr>
              <w:pStyle w:val="1108"/>
              <w:jc w:val="center"/>
              <w:spacing w:line="312" w:lineRule="auto"/>
              <w:rPr>
                <w:rFonts w:ascii="Cambria" w:hAnsi="Cambria" w:cs="Cambria"/>
              </w:rPr>
            </w:pPr>
            <w:r>
              <w:rPr>
                <w:rFonts w:ascii="Cambria" w:hAnsi="Cambria" w:eastAsia="Helv, Arial" w:cs="Cambria"/>
                <w:b/>
                <w:bCs/>
                <w:sz w:val="14"/>
                <w:szCs w:val="14"/>
              </w:rPr>
              <w:t xml:space="preserve">UNIDADE</w:t>
            </w:r>
            <w:r>
              <w:rPr>
                <w:rFonts w:ascii="Cambria" w:hAnsi="Cambria" w:cs="Cambria"/>
                <w:sz w:val="14"/>
                <w:szCs w:val="14"/>
              </w:rPr>
            </w:r>
            <w:r/>
          </w:p>
        </w:tc>
        <w:tc>
          <w:tcPr>
            <w:shd w:val="clear" w:color="ffffff" w:fill="d9d9d9"/>
            <w:tcW w:w="1081" w:type="dxa"/>
            <w:vAlign w:val="center"/>
            <w:textDirection w:val="lrTb"/>
            <w:noWrap w:val="false"/>
          </w:tcPr>
          <w:p>
            <w:pPr>
              <w:pStyle w:val="1108"/>
              <w:jc w:val="center"/>
              <w:spacing w:line="312" w:lineRule="auto"/>
              <w:rPr>
                <w:rFonts w:ascii="Cambria" w:hAnsi="Cambria" w:cs="Cambria"/>
              </w:rPr>
            </w:pPr>
            <w:r>
              <w:rPr>
                <w:rFonts w:ascii="Cambria" w:hAnsi="Cambria" w:eastAsia="Helv, Arial" w:cs="Cambria"/>
                <w:b/>
                <w:bCs/>
                <w:sz w:val="14"/>
                <w:szCs w:val="14"/>
              </w:rPr>
              <w:t xml:space="preserve">QUANT</w:t>
            </w:r>
            <w:r>
              <w:rPr>
                <w:rFonts w:ascii="Cambria" w:hAnsi="Cambria" w:cs="Cambria"/>
                <w:sz w:val="14"/>
                <w:szCs w:val="14"/>
              </w:rPr>
            </w:r>
            <w:r/>
          </w:p>
        </w:tc>
        <w:tc>
          <w:tcPr>
            <w:shd w:val="clear" w:color="ffffff" w:fill="d9d9d9"/>
            <w:tcW w:w="1174" w:type="dxa"/>
            <w:vAlign w:val="center"/>
            <w:textDirection w:val="lrTb"/>
            <w:noWrap w:val="false"/>
          </w:tcPr>
          <w:p>
            <w:pPr>
              <w:pStyle w:val="1108"/>
              <w:jc w:val="center"/>
              <w:spacing w:line="312" w:lineRule="auto"/>
              <w:rPr>
                <w:rFonts w:ascii="Cambria" w:hAnsi="Cambria" w:cs="Cambria"/>
              </w:rPr>
            </w:pPr>
            <w:r>
              <w:rPr>
                <w:rFonts w:ascii="Cambria" w:hAnsi="Cambria" w:eastAsia="Helv, Arial" w:cs="Cambria"/>
                <w:b/>
                <w:bCs/>
                <w:sz w:val="14"/>
                <w:szCs w:val="14"/>
              </w:rPr>
              <w:t xml:space="preserve">VALOR UNIT</w:t>
            </w:r>
            <w:r>
              <w:rPr>
                <w:rFonts w:ascii="Cambria" w:hAnsi="Cambria" w:cs="Cambria"/>
                <w:sz w:val="14"/>
                <w:szCs w:val="14"/>
              </w:rPr>
            </w:r>
            <w:r/>
          </w:p>
        </w:tc>
        <w:tc>
          <w:tcPr>
            <w:gridSpan w:val="2"/>
            <w:shd w:val="clear" w:color="ffffff" w:fill="d9d9d9"/>
            <w:tcW w:w="1300" w:type="dxa"/>
            <w:vAlign w:val="center"/>
            <w:textDirection w:val="lrTb"/>
            <w:noWrap w:val="false"/>
          </w:tcPr>
          <w:p>
            <w:pPr>
              <w:pStyle w:val="1108"/>
              <w:jc w:val="center"/>
              <w:spacing w:line="312" w:lineRule="auto"/>
              <w:rPr>
                <w:rFonts w:ascii="Cambria" w:hAnsi="Cambria" w:cs="Cambria"/>
              </w:rPr>
            </w:pPr>
            <w:r>
              <w:rPr>
                <w:rFonts w:ascii="Cambria" w:hAnsi="Cambria" w:eastAsia="Helv, Arial" w:cs="Cambria"/>
                <w:b/>
                <w:bCs/>
                <w:sz w:val="14"/>
                <w:szCs w:val="14"/>
              </w:rPr>
              <w:t xml:space="preserve">VALOR TOTAL</w:t>
            </w:r>
            <w:r>
              <w:rPr>
                <w:rFonts w:ascii="Cambria" w:hAnsi="Cambria" w:cs="Cambria"/>
                <w:sz w:val="14"/>
                <w:szCs w:val="14"/>
              </w:rPr>
            </w:r>
            <w:r/>
          </w:p>
        </w:tc>
      </w:tr>
      <w:tr>
        <w:trPr>
          <w:trHeight w:val="127"/>
        </w:trPr>
        <w:tc>
          <w:tcPr>
            <w:tcW w:w="812" w:type="dxa"/>
            <w:vAlign w:val="center"/>
            <w:textDirection w:val="lrTb"/>
            <w:noWrap w:val="false"/>
          </w:tcPr>
          <w:p>
            <w:pPr>
              <w:jc w:val="center"/>
              <w:spacing w:line="312" w:lineRule="auto"/>
              <w:rPr>
                <w:rFonts w:ascii="Cambria" w:hAnsi="Cambria" w:cs="Cambria"/>
              </w:rPr>
            </w:pPr>
            <w:r>
              <w:rPr>
                <w:rFonts w:ascii="Cambria" w:hAnsi="Cambria" w:cs="Cambria"/>
                <w:sz w:val="14"/>
                <w:szCs w:val="14"/>
              </w:rPr>
              <w:t xml:space="preserve">001</w:t>
            </w:r>
            <w:r>
              <w:rPr>
                <w:rFonts w:ascii="Cambria" w:hAnsi="Cambria" w:cs="Cambria"/>
                <w:sz w:val="14"/>
                <w:szCs w:val="14"/>
              </w:rPr>
            </w:r>
            <w:r/>
          </w:p>
        </w:tc>
        <w:tc>
          <w:tcPr>
            <w:tcW w:w="3839" w:type="dxa"/>
            <w:vAlign w:val="center"/>
            <w:textDirection w:val="lrTb"/>
            <w:noWrap w:val="false"/>
          </w:tcPr>
          <w:p>
            <w:pPr>
              <w:jc w:val="center"/>
            </w:pPr>
            <w:r>
              <w:rPr>
                <w:rFonts w:ascii="Cambria" w:hAnsi="Cambria" w:cs="Cambria"/>
                <w:sz w:val="16"/>
                <w:szCs w:val="16"/>
              </w:rPr>
              <w:t xml:space="preserve">LEIVA DE LEIVAS DE GRAMA</w:t>
            </w:r>
            <w:r>
              <w:rPr>
                <w:rFonts w:ascii="Cambria" w:hAnsi="Cambria" w:cs="Cambria"/>
                <w:sz w:val="16"/>
                <w:szCs w:val="16"/>
                <w:highlight w:val="none"/>
              </w:rPr>
            </w:r>
            <w:r/>
          </w:p>
          <w:p>
            <w:pPr>
              <w:jc w:val="center"/>
            </w:pPr>
            <w:r>
              <w:rPr>
                <w:rFonts w:ascii="Cambria" w:hAnsi="Cambria" w:cs="Cambria"/>
                <w:sz w:val="16"/>
                <w:szCs w:val="16"/>
                <w:highlight w:val="none"/>
              </w:rPr>
              <w:t xml:space="preserve">TIPO </w:t>
            </w:r>
            <w:r>
              <w:rPr>
                <w:rFonts w:ascii="Cambria" w:hAnsi="Cambria" w:cs="Cambria"/>
                <w:sz w:val="16"/>
                <w:szCs w:val="16"/>
                <w:highlight w:val="none"/>
              </w:rPr>
              <w:t xml:space="preserve">SÃO CARLOS</w:t>
            </w:r>
            <w:r>
              <w:rPr>
                <w:rFonts w:ascii="Cambria" w:hAnsi="Cambria" w:cs="Cambria"/>
                <w:sz w:val="16"/>
                <w:szCs w:val="16"/>
                <w:highlight w:val="none"/>
              </w:rPr>
            </w:r>
            <w:r/>
          </w:p>
          <w:p>
            <w:pPr>
              <w:jc w:val="center"/>
              <w:rPr>
                <w:rFonts w:ascii="Cambria" w:hAnsi="Cambria" w:cs="Cambria"/>
                <w:highlight w:val="none"/>
              </w:rPr>
            </w:pPr>
            <w:r>
              <w:rPr>
                <w:rFonts w:ascii="Cambria" w:hAnsi="Cambria" w:cs="Cambria"/>
                <w:sz w:val="16"/>
                <w:szCs w:val="16"/>
                <w:highlight w:val="none"/>
              </w:rPr>
              <w:t xml:space="preserve">SOMENTE AQUISIÇÃO</w:t>
            </w:r>
            <w:r>
              <w:rPr>
                <w:rFonts w:ascii="Cambria" w:hAnsi="Cambria" w:cs="Cambria"/>
                <w:sz w:val="16"/>
                <w:szCs w:val="16"/>
              </w:rPr>
            </w:r>
            <w:r/>
          </w:p>
        </w:tc>
        <w:tc>
          <w:tcPr>
            <w:tcW w:w="1325" w:type="dxa"/>
            <w:vAlign w:val="center"/>
            <w:textDirection w:val="lrTb"/>
            <w:noWrap w:val="false"/>
          </w:tcPr>
          <w:p>
            <w:pPr>
              <w:pStyle w:val="822"/>
              <w:rPr>
                <w:rFonts w:ascii="Cambria" w:hAnsi="Cambria" w:cs="Cambria"/>
              </w:rPr>
            </w:pPr>
            <w:r>
              <w:rPr>
                <w:rFonts w:ascii="Cambria" w:hAnsi="Cambria" w:cs="Cambria"/>
                <w:sz w:val="16"/>
                <w:szCs w:val="16"/>
              </w:rPr>
              <w:t xml:space="preserve">M²</w:t>
            </w:r>
            <w:r>
              <w:rPr>
                <w:rFonts w:ascii="Cambria" w:hAnsi="Cambria" w:cs="Cambria"/>
                <w:sz w:val="16"/>
                <w:szCs w:val="16"/>
              </w:rPr>
            </w:r>
            <w:r/>
          </w:p>
        </w:tc>
        <w:tc>
          <w:tcPr>
            <w:tcW w:w="1081" w:type="dxa"/>
            <w:vAlign w:val="center"/>
            <w:textDirection w:val="lrTb"/>
            <w:noWrap w:val="false"/>
          </w:tcPr>
          <w:p>
            <w:pPr>
              <w:jc w:val="center"/>
              <w:rPr>
                <w:rFonts w:ascii="Cambria" w:hAnsi="Cambria" w:cs="Cambria"/>
              </w:rPr>
            </w:pPr>
            <w:r>
              <w:rPr>
                <w:rFonts w:ascii="Cambria" w:hAnsi="Cambria" w:cs="Cambria"/>
                <w:sz w:val="16"/>
                <w:szCs w:val="16"/>
              </w:rPr>
              <w:t xml:space="preserve">4.700</w:t>
            </w:r>
            <w:r>
              <w:rPr>
                <w:rFonts w:ascii="Cambria" w:hAnsi="Cambria" w:cs="Cambria"/>
                <w:sz w:val="16"/>
                <w:szCs w:val="16"/>
              </w:rPr>
            </w:r>
            <w:r/>
          </w:p>
        </w:tc>
        <w:tc>
          <w:tcPr>
            <w:tcW w:w="1174" w:type="dxa"/>
            <w:vAlign w:val="center"/>
            <w:textDirection w:val="lrTb"/>
            <w:noWrap w:val="false"/>
          </w:tcPr>
          <w:p>
            <w:r/>
            <w:r/>
          </w:p>
        </w:tc>
        <w:tc>
          <w:tcPr>
            <w:gridSpan w:val="2"/>
            <w:tcW w:w="1300" w:type="dxa"/>
            <w:vAlign w:val="center"/>
            <w:textDirection w:val="lrTb"/>
            <w:noWrap w:val="false"/>
          </w:tcPr>
          <w:p>
            <w:pPr>
              <w:jc w:val="center"/>
              <w:rPr>
                <w:rFonts w:ascii="Cambria" w:hAnsi="Cambria" w:cs="Cambria"/>
              </w:rPr>
            </w:pPr>
            <w:r>
              <w:rPr>
                <w:rFonts w:ascii="Cambria" w:hAnsi="Cambria" w:cs="Cambria"/>
                <w:sz w:val="16"/>
                <w:szCs w:val="16"/>
              </w:rPr>
            </w:r>
            <w:r/>
          </w:p>
        </w:tc>
      </w:tr>
    </w:tbl>
    <w:p>
      <w:pPr>
        <w:jc w:val="both"/>
      </w:pPr>
      <w:r/>
      <w:r/>
    </w:p>
    <w:p>
      <w:pPr>
        <w:jc w:val="both"/>
      </w:pPr>
      <w:r/>
      <w:r/>
    </w:p>
    <w:p>
      <w:pPr>
        <w:jc w:val="both"/>
        <w:rPr>
          <w:rFonts w:ascii="Cambria" w:hAnsi="Cambria" w:cs="Cambria"/>
        </w:rPr>
      </w:pPr>
      <w:r>
        <w:rPr>
          <w:rFonts w:ascii="Cambria" w:hAnsi="Cambria" w:cs="Cambria"/>
        </w:rPr>
      </w:r>
      <w:r/>
    </w:p>
    <w:tbl>
      <w:tblPr>
        <w:tblW w:w="9645" w:type="dxa"/>
        <w:tblInd w:w="71" w:type="dxa"/>
        <w:tblLayout w:type="fixed"/>
        <w:tblCellMar>
          <w:left w:w="71" w:type="dxa"/>
          <w:right w:w="71" w:type="dxa"/>
        </w:tblCellMar>
        <w:tblLook w:val="04A0" w:firstRow="1" w:lastRow="0" w:firstColumn="1" w:lastColumn="0" w:noHBand="0" w:noVBand="1"/>
      </w:tblPr>
      <w:tblGrid>
        <w:gridCol w:w="4960"/>
        <w:gridCol w:w="572"/>
        <w:gridCol w:w="4113"/>
      </w:tblGrid>
      <w:tr>
        <w:trPr>
          <w:trHeight w:val="2271"/>
        </w:trPr>
        <w:tc>
          <w:tcPr>
            <w:tcW w:w="4960" w:type="dxa"/>
            <w:textDirection w:val="lrTb"/>
            <w:noWrap w:val="false"/>
          </w:tcPr>
          <w:p>
            <w:pPr>
              <w:jc w:val="both"/>
              <w:widowControl w:val="off"/>
            </w:pPr>
            <w:r/>
            <w:r/>
          </w:p>
          <w:p>
            <w:pPr>
              <w:jc w:val="both"/>
              <w:widowControl w:val="off"/>
            </w:pPr>
            <w:r>
              <w:rPr>
                <w:rFonts w:ascii="Cambria" w:hAnsi="Cambria" w:cs="Cambria"/>
                <w:b/>
                <w:sz w:val="18"/>
                <w:szCs w:val="18"/>
                <w:shd w:val="clear" w:color="auto" w:fill="ffffff"/>
              </w:rPr>
              <w:t xml:space="preserve">Validade da proposta: (mínimo 60 dias</w:t>
            </w:r>
            <w:r>
              <w:rPr>
                <w:rFonts w:ascii="Cambria" w:hAnsi="Cambria" w:cs="Cambria"/>
                <w:b/>
                <w:sz w:val="18"/>
                <w:szCs w:val="18"/>
                <w:shd w:val="clear" w:color="auto" w:fill="ffffff"/>
              </w:rPr>
              <w:t xml:space="preserve">):_</w:t>
            </w:r>
            <w:r>
              <w:rPr>
                <w:rFonts w:ascii="Cambria" w:hAnsi="Cambria" w:cs="Cambria"/>
                <w:b/>
                <w:sz w:val="18"/>
                <w:szCs w:val="18"/>
                <w:shd w:val="clear" w:color="auto" w:fill="ffffff"/>
              </w:rPr>
              <w:t xml:space="preserve">_____</w:t>
            </w:r>
            <w:r/>
          </w:p>
          <w:p>
            <w:pPr>
              <w:jc w:val="both"/>
              <w:widowControl w:val="off"/>
            </w:pPr>
            <w:r/>
            <w:r/>
          </w:p>
          <w:p>
            <w:pPr>
              <w:jc w:val="both"/>
              <w:widowControl w:val="off"/>
            </w:pPr>
            <w:r/>
            <w:r/>
          </w:p>
          <w:p>
            <w:pPr>
              <w:jc w:val="both"/>
              <w:widowControl w:val="off"/>
            </w:pPr>
            <w:r/>
            <w:r/>
          </w:p>
          <w:p>
            <w:pPr>
              <w:jc w:val="both"/>
              <w:widowControl w:val="off"/>
            </w:pPr>
            <w:r>
              <w:rPr>
                <w:rFonts w:ascii="Cambria" w:hAnsi="Cambria" w:cs="Cambria"/>
                <w:b/>
                <w:sz w:val="18"/>
                <w:szCs w:val="18"/>
              </w:rPr>
              <w:t xml:space="preserve">Data: ______ / ____________ de 2024</w:t>
            </w:r>
            <w:r/>
          </w:p>
          <w:p>
            <w:pPr>
              <w:jc w:val="both"/>
              <w:widowControl w:val="off"/>
            </w:pPr>
            <w:r/>
            <w:r/>
          </w:p>
          <w:p>
            <w:pPr>
              <w:jc w:val="both"/>
              <w:widowControl w:val="off"/>
            </w:pPr>
            <w:r/>
            <w:r/>
          </w:p>
          <w:p>
            <w:pPr>
              <w:jc w:val="both"/>
              <w:widowControl w:val="off"/>
            </w:pPr>
            <w:r/>
            <w:r/>
          </w:p>
          <w:p>
            <w:pPr>
              <w:jc w:val="both"/>
              <w:widowControl w:val="off"/>
            </w:pPr>
            <w:r>
              <w:rPr>
                <w:rFonts w:ascii="Cambria" w:hAnsi="Cambria" w:cs="Cambria"/>
                <w:b/>
                <w:sz w:val="18"/>
                <w:szCs w:val="18"/>
              </w:rPr>
              <w:t xml:space="preserve">________________________________________</w:t>
            </w:r>
            <w:r/>
          </w:p>
          <w:p>
            <w:pPr>
              <w:jc w:val="both"/>
              <w:widowControl w:val="off"/>
              <w:rPr>
                <w:rFonts w:ascii="Cambria" w:hAnsi="Cambria" w:cs="Cambria"/>
              </w:rPr>
            </w:pPr>
            <w:r>
              <w:rPr>
                <w:rFonts w:ascii="Cambria" w:hAnsi="Cambria" w:cs="Cambria"/>
                <w:b/>
                <w:sz w:val="18"/>
                <w:szCs w:val="18"/>
              </w:rPr>
              <w:t xml:space="preserve">Assinatura e Identificação do Proponente Legal</w:t>
            </w:r>
            <w:r/>
          </w:p>
        </w:tc>
        <w:tc>
          <w:tcPr>
            <w:tcW w:w="572" w:type="dxa"/>
            <w:textDirection w:val="lrTb"/>
            <w:noWrap w:val="false"/>
          </w:tcPr>
          <w:p>
            <w:pPr>
              <w:jc w:val="both"/>
              <w:widowControl w:val="off"/>
              <w:rPr>
                <w:rFonts w:ascii="Cambria" w:hAnsi="Cambria" w:cs="Cambria"/>
              </w:rPr>
            </w:pPr>
            <w:r>
              <w:rPr>
                <w:rFonts w:ascii="Cambria" w:hAnsi="Cambria" w:cs="Cambria"/>
              </w:rPr>
            </w:r>
            <w:r/>
          </w:p>
        </w:tc>
        <w:tc>
          <w:tcPr>
            <w:tcBorders>
              <w:top w:val="single" w:color="000000" w:sz="6" w:space="0"/>
              <w:left w:val="single" w:color="000000" w:sz="6" w:space="0"/>
              <w:bottom w:val="single" w:color="000000" w:sz="6" w:space="0"/>
              <w:right w:val="single" w:color="000000" w:sz="6" w:space="0"/>
            </w:tcBorders>
            <w:tcW w:w="4113" w:type="dxa"/>
            <w:textDirection w:val="lrTb"/>
            <w:noWrap w:val="false"/>
          </w:tcPr>
          <w:p>
            <w:pPr>
              <w:jc w:val="both"/>
              <w:widowControl w:val="off"/>
            </w:pPr>
            <w:r>
              <w:rPr>
                <w:rFonts w:ascii="Cambria" w:hAnsi="Cambria" w:cs="Cambria"/>
                <w:b/>
                <w:sz w:val="18"/>
                <w:szCs w:val="18"/>
              </w:rPr>
              <w:t xml:space="preserve">Carimbo do CNPJ</w:t>
            </w:r>
            <w:r/>
          </w:p>
          <w:p>
            <w:pPr>
              <w:jc w:val="both"/>
              <w:widowControl w:val="off"/>
            </w:pPr>
            <w:r/>
            <w:r/>
          </w:p>
          <w:p>
            <w:pPr>
              <w:jc w:val="both"/>
              <w:widowControl w:val="off"/>
            </w:pPr>
            <w:r/>
            <w:r/>
          </w:p>
          <w:p>
            <w:pPr>
              <w:jc w:val="both"/>
              <w:widowControl w:val="off"/>
            </w:pPr>
            <w:r/>
            <w:r/>
          </w:p>
          <w:p>
            <w:pPr>
              <w:jc w:val="both"/>
              <w:widowControl w:val="off"/>
            </w:pPr>
            <w:r/>
            <w:r/>
          </w:p>
          <w:p>
            <w:pPr>
              <w:jc w:val="both"/>
              <w:widowControl w:val="off"/>
            </w:pPr>
            <w:r/>
            <w:r/>
          </w:p>
          <w:p>
            <w:pPr>
              <w:jc w:val="both"/>
              <w:widowControl w:val="off"/>
            </w:pPr>
            <w:r/>
            <w:r/>
          </w:p>
          <w:p>
            <w:pPr>
              <w:jc w:val="both"/>
              <w:widowControl w:val="off"/>
            </w:pPr>
            <w:r/>
            <w:r/>
          </w:p>
          <w:p>
            <w:pPr>
              <w:jc w:val="both"/>
              <w:widowControl w:val="off"/>
            </w:pPr>
            <w:r/>
            <w:r/>
          </w:p>
          <w:p>
            <w:pPr>
              <w:jc w:val="both"/>
              <w:widowControl w:val="off"/>
            </w:pPr>
            <w:r/>
            <w:r/>
          </w:p>
          <w:p>
            <w:pPr>
              <w:jc w:val="both"/>
              <w:widowControl w:val="off"/>
              <w:rPr>
                <w:rFonts w:ascii="Cambria" w:hAnsi="Cambria" w:cs="Cambria"/>
              </w:rPr>
            </w:pPr>
            <w:r>
              <w:rPr>
                <w:rFonts w:ascii="Cambria" w:hAnsi="Cambria" w:cs="Cambria"/>
              </w:rPr>
            </w:r>
            <w:r/>
          </w:p>
        </w:tc>
      </w:tr>
    </w:tbl>
    <w:p>
      <w:pPr>
        <w:jc w:val="center"/>
        <w:rPr>
          <w:rFonts w:ascii="Cambria" w:hAnsi="Cambria" w:cs="Cambria"/>
          <w:b/>
          <w:bCs/>
          <w:sz w:val="18"/>
          <w:szCs w:val="18"/>
        </w:rPr>
      </w:pPr>
      <w:r>
        <w:rPr>
          <w:rFonts w:ascii="Cambria" w:hAnsi="Cambria" w:cs="Cambria"/>
          <w:b/>
          <w:bCs/>
          <w:sz w:val="18"/>
          <w:szCs w:val="18"/>
        </w:rPr>
      </w:r>
      <w:r/>
    </w:p>
    <w:p>
      <w:pPr>
        <w:jc w:val="center"/>
        <w:rPr>
          <w:rFonts w:ascii="Cambria" w:hAnsi="Cambria" w:cs="Cambria"/>
          <w:b/>
          <w:bCs/>
          <w:sz w:val="18"/>
          <w:szCs w:val="18"/>
        </w:rPr>
      </w:pPr>
      <w:r>
        <w:rPr>
          <w:rFonts w:ascii="Cambria" w:hAnsi="Cambria" w:cs="Cambria"/>
          <w:b/>
          <w:bCs/>
          <w:sz w:val="18"/>
          <w:szCs w:val="18"/>
        </w:rPr>
      </w:r>
      <w:r/>
    </w:p>
    <w:p>
      <w:pPr>
        <w:jc w:val="center"/>
        <w:rPr>
          <w:rFonts w:ascii="Cambria" w:hAnsi="Cambria" w:cs="Cambria"/>
          <w:b/>
          <w:bCs/>
          <w:sz w:val="18"/>
          <w:szCs w:val="18"/>
        </w:rPr>
      </w:pPr>
      <w:r>
        <w:rPr>
          <w:rFonts w:ascii="Cambria" w:hAnsi="Cambria" w:cs="Cambria"/>
          <w:b/>
          <w:bCs/>
          <w:sz w:val="18"/>
          <w:szCs w:val="18"/>
        </w:rPr>
      </w:r>
      <w:r/>
    </w:p>
    <w:p>
      <w:pPr>
        <w:jc w:val="center"/>
        <w:rPr>
          <w:rFonts w:ascii="Cambria" w:hAnsi="Cambria" w:cs="Cambria"/>
          <w:b/>
          <w:bCs/>
          <w:sz w:val="18"/>
          <w:szCs w:val="18"/>
        </w:rPr>
      </w:pPr>
      <w:r>
        <w:rPr>
          <w:rFonts w:ascii="Cambria" w:hAnsi="Cambria" w:cs="Cambria"/>
          <w:b/>
          <w:bCs/>
          <w:sz w:val="18"/>
          <w:szCs w:val="18"/>
        </w:rPr>
      </w:r>
      <w:r/>
    </w:p>
    <w:p>
      <w:pPr>
        <w:jc w:val="center"/>
        <w:rPr>
          <w:rFonts w:ascii="Cambria" w:hAnsi="Cambria" w:cs="Cambria"/>
          <w:b/>
          <w:bCs/>
          <w:sz w:val="18"/>
          <w:szCs w:val="18"/>
        </w:rPr>
      </w:pPr>
      <w:r>
        <w:rPr>
          <w:rFonts w:ascii="Cambria" w:hAnsi="Cambria" w:cs="Cambria"/>
          <w:b/>
          <w:bCs/>
          <w:sz w:val="18"/>
          <w:szCs w:val="18"/>
        </w:rPr>
      </w:r>
      <w:r/>
    </w:p>
    <w:p>
      <w:pPr>
        <w:jc w:val="center"/>
        <w:rPr>
          <w:rFonts w:ascii="Cambria" w:hAnsi="Cambria" w:cs="Cambria"/>
          <w:b/>
          <w:bCs/>
          <w:sz w:val="18"/>
          <w:szCs w:val="18"/>
        </w:rPr>
      </w:pPr>
      <w:r>
        <w:rPr>
          <w:rFonts w:ascii="Cambria" w:hAnsi="Cambria" w:cs="Cambria"/>
          <w:b/>
          <w:bCs/>
          <w:sz w:val="18"/>
          <w:szCs w:val="18"/>
        </w:rPr>
      </w:r>
      <w:r/>
    </w:p>
    <w:p>
      <w:pPr>
        <w:jc w:val="center"/>
        <w:rPr>
          <w:rFonts w:ascii="Cambria" w:hAnsi="Cambria" w:cs="Cambria"/>
          <w:b/>
          <w:bCs/>
          <w:sz w:val="18"/>
          <w:szCs w:val="18"/>
        </w:rPr>
      </w:pPr>
      <w:r>
        <w:rPr>
          <w:rFonts w:ascii="Cambria" w:hAnsi="Cambria" w:cs="Cambria"/>
          <w:b/>
          <w:bCs/>
          <w:sz w:val="18"/>
          <w:szCs w:val="18"/>
        </w:rPr>
      </w:r>
      <w:r/>
    </w:p>
    <w:p>
      <w:pPr>
        <w:jc w:val="center"/>
        <w:rPr>
          <w:rFonts w:ascii="Cambria" w:hAnsi="Cambria" w:cs="Cambria"/>
          <w:b/>
          <w:bCs/>
          <w:sz w:val="18"/>
          <w:szCs w:val="18"/>
        </w:rPr>
      </w:pPr>
      <w:r>
        <w:rPr>
          <w:rFonts w:ascii="Cambria" w:hAnsi="Cambria" w:cs="Cambria"/>
          <w:b/>
          <w:bCs/>
          <w:sz w:val="18"/>
          <w:szCs w:val="18"/>
        </w:rPr>
      </w:r>
      <w:r/>
    </w:p>
    <w:p>
      <w:pPr>
        <w:jc w:val="center"/>
        <w:rPr>
          <w:rFonts w:ascii="Cambria" w:hAnsi="Cambria" w:cs="Cambria"/>
          <w:b/>
          <w:bCs/>
          <w:sz w:val="18"/>
          <w:szCs w:val="18"/>
        </w:rPr>
      </w:pPr>
      <w:r>
        <w:rPr>
          <w:rFonts w:ascii="Cambria" w:hAnsi="Cambria" w:cs="Cambria"/>
          <w:b/>
          <w:bCs/>
          <w:sz w:val="18"/>
          <w:szCs w:val="18"/>
        </w:rPr>
      </w:r>
      <w:r/>
    </w:p>
    <w:p>
      <w:pPr>
        <w:jc w:val="center"/>
        <w:rPr>
          <w:rFonts w:ascii="Cambria" w:hAnsi="Cambria" w:cs="Cambria"/>
          <w:b/>
          <w:bCs/>
          <w:sz w:val="18"/>
          <w:szCs w:val="18"/>
        </w:rPr>
      </w:pPr>
      <w:r>
        <w:rPr>
          <w:rFonts w:ascii="Cambria" w:hAnsi="Cambria" w:cs="Cambria"/>
          <w:b/>
          <w:bCs/>
          <w:sz w:val="18"/>
          <w:szCs w:val="18"/>
        </w:rPr>
      </w:r>
      <w:r/>
    </w:p>
    <w:p>
      <w:pPr>
        <w:jc w:val="center"/>
        <w:rPr>
          <w:rFonts w:ascii="Cambria" w:hAnsi="Cambria" w:cs="Cambria"/>
          <w:b/>
          <w:bCs/>
          <w:sz w:val="18"/>
          <w:szCs w:val="18"/>
        </w:rPr>
      </w:pPr>
      <w:r>
        <w:rPr>
          <w:rFonts w:ascii="Cambria" w:hAnsi="Cambria" w:cs="Cambria"/>
          <w:b/>
          <w:bCs/>
          <w:sz w:val="18"/>
          <w:szCs w:val="18"/>
        </w:rPr>
      </w:r>
      <w:r/>
    </w:p>
    <w:p>
      <w:pPr>
        <w:jc w:val="center"/>
        <w:rPr>
          <w:rFonts w:ascii="Cambria" w:hAnsi="Cambria" w:cs="Cambria"/>
          <w:b/>
          <w:bCs/>
          <w:sz w:val="18"/>
          <w:szCs w:val="18"/>
        </w:rPr>
      </w:pPr>
      <w:r>
        <w:rPr>
          <w:rFonts w:ascii="Cambria" w:hAnsi="Cambria" w:cs="Cambria"/>
          <w:b/>
          <w:bCs/>
          <w:sz w:val="18"/>
          <w:szCs w:val="18"/>
        </w:rPr>
      </w:r>
      <w:r/>
    </w:p>
    <w:p>
      <w:pPr>
        <w:jc w:val="center"/>
        <w:rPr>
          <w:rFonts w:ascii="Cambria" w:hAnsi="Cambria" w:cs="Cambria"/>
          <w:b/>
          <w:bCs/>
          <w:sz w:val="18"/>
          <w:szCs w:val="18"/>
        </w:rPr>
      </w:pPr>
      <w:r>
        <w:rPr>
          <w:rFonts w:ascii="Cambria" w:hAnsi="Cambria" w:cs="Cambria"/>
          <w:b/>
          <w:bCs/>
          <w:sz w:val="18"/>
          <w:szCs w:val="18"/>
        </w:rPr>
      </w:r>
      <w:r/>
    </w:p>
    <w:p>
      <w:pPr>
        <w:jc w:val="center"/>
        <w:rPr>
          <w:rFonts w:ascii="Cambria" w:hAnsi="Cambria" w:cs="Cambria"/>
          <w:b/>
          <w:bCs/>
          <w:sz w:val="18"/>
          <w:szCs w:val="18"/>
        </w:rPr>
      </w:pPr>
      <w:r>
        <w:rPr>
          <w:rFonts w:ascii="Cambria" w:hAnsi="Cambria" w:cs="Cambria"/>
          <w:b/>
          <w:bCs/>
          <w:sz w:val="18"/>
          <w:szCs w:val="18"/>
        </w:rPr>
      </w:r>
      <w:r/>
    </w:p>
    <w:p>
      <w:pPr>
        <w:jc w:val="center"/>
        <w:rPr>
          <w:rFonts w:ascii="Cambria" w:hAnsi="Cambria" w:cs="Cambria"/>
          <w:b/>
          <w:bCs/>
          <w:sz w:val="18"/>
          <w:szCs w:val="18"/>
        </w:rPr>
      </w:pPr>
      <w:r>
        <w:rPr>
          <w:rFonts w:ascii="Cambria" w:hAnsi="Cambria" w:cs="Cambria"/>
          <w:b/>
          <w:bCs/>
          <w:sz w:val="18"/>
          <w:szCs w:val="18"/>
        </w:rPr>
      </w:r>
      <w:r/>
    </w:p>
    <w:p>
      <w:pPr>
        <w:jc w:val="center"/>
        <w:rPr>
          <w:rFonts w:ascii="Cambria" w:hAnsi="Cambria" w:cs="Cambria"/>
          <w:b/>
          <w:bCs/>
          <w:sz w:val="18"/>
          <w:szCs w:val="18"/>
        </w:rPr>
      </w:pPr>
      <w:r>
        <w:rPr>
          <w:rFonts w:ascii="Cambria" w:hAnsi="Cambria" w:cs="Cambria"/>
          <w:b/>
          <w:bCs/>
          <w:sz w:val="18"/>
          <w:szCs w:val="18"/>
        </w:rPr>
      </w:r>
      <w:r>
        <w:rPr>
          <w:rFonts w:ascii="Cambria" w:hAnsi="Cambria" w:cs="Cambria"/>
          <w:b/>
          <w:bCs/>
          <w:sz w:val="18"/>
          <w:szCs w:val="18"/>
        </w:rPr>
      </w:r>
      <w:r/>
    </w:p>
    <w:p>
      <w:pPr>
        <w:jc w:val="center"/>
        <w:rPr>
          <w:rFonts w:ascii="Cambria" w:hAnsi="Cambria" w:cs="Cambria"/>
          <w:b/>
          <w:bCs/>
          <w:sz w:val="18"/>
          <w:szCs w:val="18"/>
        </w:rPr>
      </w:pPr>
      <w:r>
        <w:rPr>
          <w:rFonts w:ascii="Cambria" w:hAnsi="Cambria" w:cs="Cambria"/>
          <w:b/>
          <w:bCs/>
          <w:sz w:val="18"/>
          <w:szCs w:val="18"/>
        </w:rPr>
      </w:r>
      <w:r>
        <w:rPr>
          <w:rFonts w:ascii="Cambria" w:hAnsi="Cambria" w:cs="Cambria"/>
          <w:b/>
          <w:bCs/>
          <w:sz w:val="18"/>
          <w:szCs w:val="18"/>
        </w:rPr>
      </w:r>
      <w:r/>
    </w:p>
    <w:p>
      <w:pPr>
        <w:jc w:val="center"/>
        <w:rPr>
          <w:rFonts w:ascii="Cambria" w:hAnsi="Cambria" w:cs="Cambria"/>
          <w:b/>
          <w:bCs/>
          <w:sz w:val="18"/>
          <w:szCs w:val="18"/>
        </w:rPr>
      </w:pPr>
      <w:r>
        <w:rPr>
          <w:rFonts w:ascii="Cambria" w:hAnsi="Cambria" w:cs="Cambria"/>
          <w:b/>
          <w:bCs/>
          <w:sz w:val="18"/>
          <w:szCs w:val="18"/>
        </w:rPr>
      </w:r>
      <w:r>
        <w:rPr>
          <w:rFonts w:ascii="Cambria" w:hAnsi="Cambria" w:cs="Cambria"/>
          <w:b/>
          <w:bCs/>
          <w:sz w:val="18"/>
          <w:szCs w:val="18"/>
        </w:rPr>
      </w:r>
      <w:r/>
    </w:p>
    <w:p>
      <w:pPr>
        <w:jc w:val="center"/>
        <w:rPr>
          <w:rFonts w:ascii="Cambria" w:hAnsi="Cambria" w:cs="Cambria"/>
          <w:b/>
          <w:bCs/>
          <w:sz w:val="18"/>
          <w:szCs w:val="18"/>
        </w:rPr>
      </w:pPr>
      <w:r>
        <w:rPr>
          <w:rFonts w:ascii="Cambria" w:hAnsi="Cambria" w:cs="Cambria"/>
          <w:b/>
          <w:bCs/>
          <w:sz w:val="18"/>
          <w:szCs w:val="18"/>
        </w:rPr>
      </w:r>
      <w:r>
        <w:rPr>
          <w:rFonts w:ascii="Cambria" w:hAnsi="Cambria" w:cs="Cambria"/>
          <w:b/>
          <w:bCs/>
          <w:sz w:val="18"/>
          <w:szCs w:val="18"/>
        </w:rPr>
      </w:r>
      <w:r/>
    </w:p>
    <w:p>
      <w:pPr>
        <w:jc w:val="center"/>
        <w:rPr>
          <w:rFonts w:ascii="Cambria" w:hAnsi="Cambria" w:cs="Cambria"/>
          <w:b/>
          <w:bCs/>
          <w:sz w:val="18"/>
          <w:szCs w:val="18"/>
        </w:rPr>
      </w:pPr>
      <w:r>
        <w:rPr>
          <w:rFonts w:ascii="Cambria" w:hAnsi="Cambria" w:cs="Cambria"/>
          <w:b/>
          <w:bCs/>
          <w:sz w:val="18"/>
          <w:szCs w:val="18"/>
        </w:rPr>
      </w:r>
      <w:r>
        <w:rPr>
          <w:rFonts w:ascii="Cambria" w:hAnsi="Cambria" w:cs="Cambria"/>
          <w:b/>
          <w:bCs/>
          <w:sz w:val="18"/>
          <w:szCs w:val="18"/>
        </w:rPr>
      </w:r>
      <w:r/>
    </w:p>
    <w:p>
      <w:pPr>
        <w:jc w:val="center"/>
        <w:rPr>
          <w:rFonts w:ascii="Cambria" w:hAnsi="Cambria" w:cs="Cambria"/>
          <w:b/>
          <w:bCs/>
          <w:sz w:val="18"/>
          <w:szCs w:val="18"/>
        </w:rPr>
      </w:pPr>
      <w:r>
        <w:rPr>
          <w:rFonts w:ascii="Cambria" w:hAnsi="Cambria" w:cs="Cambria"/>
          <w:b/>
          <w:bCs/>
          <w:sz w:val="18"/>
          <w:szCs w:val="18"/>
        </w:rPr>
      </w:r>
      <w:r>
        <w:rPr>
          <w:rFonts w:ascii="Cambria" w:hAnsi="Cambria" w:cs="Cambria"/>
          <w:b/>
          <w:bCs/>
          <w:sz w:val="18"/>
          <w:szCs w:val="18"/>
        </w:rPr>
      </w:r>
      <w:r/>
    </w:p>
    <w:p>
      <w:pPr>
        <w:jc w:val="center"/>
        <w:rPr>
          <w:rFonts w:ascii="Cambria" w:hAnsi="Cambria" w:cs="Cambria"/>
          <w:b/>
          <w:bCs/>
          <w:sz w:val="18"/>
          <w:szCs w:val="18"/>
        </w:rPr>
      </w:pPr>
      <w:r>
        <w:rPr>
          <w:rFonts w:ascii="Cambria" w:hAnsi="Cambria" w:cs="Cambria"/>
          <w:b/>
          <w:bCs/>
          <w:sz w:val="18"/>
          <w:szCs w:val="18"/>
        </w:rPr>
      </w:r>
      <w:r>
        <w:rPr>
          <w:rFonts w:ascii="Cambria" w:hAnsi="Cambria" w:cs="Cambria"/>
          <w:b/>
          <w:bCs/>
          <w:sz w:val="18"/>
          <w:szCs w:val="18"/>
        </w:rPr>
      </w:r>
      <w:r/>
    </w:p>
    <w:p>
      <w:pPr>
        <w:jc w:val="center"/>
        <w:rPr>
          <w:rFonts w:ascii="Cambria" w:hAnsi="Cambria" w:cs="Cambria"/>
          <w:b/>
          <w:bCs/>
          <w:sz w:val="18"/>
          <w:szCs w:val="18"/>
        </w:rPr>
      </w:pPr>
      <w:r>
        <w:rPr>
          <w:rFonts w:ascii="Cambria" w:hAnsi="Cambria" w:cs="Cambria"/>
          <w:b/>
          <w:bCs/>
          <w:sz w:val="18"/>
          <w:szCs w:val="18"/>
        </w:rPr>
      </w:r>
      <w:r>
        <w:rPr>
          <w:rFonts w:ascii="Cambria" w:hAnsi="Cambria" w:cs="Cambria"/>
          <w:b/>
          <w:bCs/>
          <w:sz w:val="18"/>
          <w:szCs w:val="18"/>
        </w:rPr>
      </w:r>
      <w:r/>
    </w:p>
    <w:p>
      <w:pPr>
        <w:jc w:val="center"/>
        <w:rPr>
          <w:rFonts w:ascii="Cambria" w:hAnsi="Cambria" w:cs="Cambria"/>
          <w:b/>
          <w:bCs/>
          <w:sz w:val="18"/>
          <w:szCs w:val="18"/>
        </w:rPr>
      </w:pPr>
      <w:r>
        <w:rPr>
          <w:rFonts w:ascii="Cambria" w:hAnsi="Cambria" w:cs="Cambria"/>
          <w:b/>
          <w:bCs/>
          <w:sz w:val="18"/>
          <w:szCs w:val="18"/>
        </w:rPr>
      </w:r>
      <w:r/>
    </w:p>
    <w:p>
      <w:pPr>
        <w:jc w:val="left"/>
        <w:rPr>
          <w:rFonts w:ascii="Cambria" w:hAnsi="Cambria" w:cs="Cambria"/>
          <w:b/>
          <w:bCs/>
          <w:sz w:val="18"/>
          <w:szCs w:val="18"/>
        </w:rPr>
      </w:pPr>
      <w:r>
        <w:rPr>
          <w:rFonts w:ascii="Cambria" w:hAnsi="Cambria" w:cs="Cambria"/>
          <w:b/>
          <w:bCs/>
          <w:sz w:val="18"/>
          <w:szCs w:val="18"/>
        </w:rPr>
      </w:r>
      <w:r/>
    </w:p>
    <w:p>
      <w:pPr>
        <w:ind w:right="-15"/>
        <w:jc w:val="center"/>
        <w:spacing w:line="360" w:lineRule="auto"/>
        <w:widowControl w:val="off"/>
        <w:rPr>
          <w:rFonts w:ascii="Cambria" w:hAnsi="Cambria" w:cs="Cambria"/>
          <w:sz w:val="18"/>
          <w:szCs w:val="18"/>
        </w:rPr>
      </w:pPr>
      <w:r>
        <w:rPr>
          <w:rFonts w:ascii="Cambria" w:hAnsi="Cambria" w:cs="Cambria"/>
          <w:b/>
          <w:bCs/>
          <w:sz w:val="18"/>
          <w:szCs w:val="18"/>
        </w:rPr>
        <w:t xml:space="preserve">PREFEITURA DE SANTA BÁRBARA DO SUL/RS</w:t>
      </w:r>
      <w:r/>
    </w:p>
    <w:p>
      <w:pPr>
        <w:ind w:right="-30"/>
        <w:jc w:val="center"/>
        <w:spacing w:line="360" w:lineRule="auto"/>
        <w:widowControl w:val="off"/>
        <w:rPr>
          <w:rFonts w:ascii="Cambria" w:hAnsi="Cambria" w:cs="Cambria"/>
          <w:sz w:val="18"/>
          <w:szCs w:val="18"/>
        </w:rPr>
      </w:pPr>
      <w:r>
        <w:rPr>
          <w:rFonts w:ascii="Cambria" w:hAnsi="Cambria" w:cs="Cambria"/>
          <w:b/>
          <w:bCs/>
          <w:sz w:val="18"/>
          <w:szCs w:val="18"/>
        </w:rPr>
        <w:t xml:space="preserve">ATA DE REGISTRO DE PREÇOS </w:t>
      </w:r>
      <w:r>
        <w:rPr>
          <w:rFonts w:ascii="Cambria" w:hAnsi="Cambria" w:cs="Cambria"/>
          <w:b/>
          <w:bCs/>
          <w:sz w:val="18"/>
          <w:szCs w:val="18"/>
        </w:rPr>
        <w:t xml:space="preserve">N.º</w:t>
      </w:r>
      <w:r>
        <w:rPr>
          <w:rFonts w:ascii="Cambria" w:hAnsi="Cambria" w:cs="Cambria"/>
          <w:b/>
          <w:bCs/>
          <w:sz w:val="18"/>
          <w:szCs w:val="18"/>
        </w:rPr>
        <w:t xml:space="preserve"> 13 /2024</w:t>
      </w:r>
      <w:r/>
    </w:p>
    <w:p>
      <w:pPr>
        <w:ind w:right="-28" w:firstLine="709"/>
        <w:jc w:val="both"/>
        <w:spacing w:before="120" w:after="120" w:line="276" w:lineRule="auto"/>
        <w:widowControl w:val="off"/>
        <w:tabs>
          <w:tab w:val="center" w:pos="4779" w:leader="none"/>
          <w:tab w:val="right" w:pos="9198" w:leader="none"/>
        </w:tabs>
        <w:rPr>
          <w:rFonts w:ascii="Cambria" w:hAnsi="Cambria" w:cs="Cambria"/>
          <w:sz w:val="18"/>
          <w:szCs w:val="18"/>
        </w:rPr>
      </w:pPr>
      <w:r>
        <w:rPr>
          <w:rFonts w:ascii="Cambria" w:hAnsi="Cambria" w:cs="Cambria"/>
          <w:sz w:val="18"/>
          <w:szCs w:val="18"/>
        </w:rPr>
        <w:t xml:space="preserve">A</w:t>
      </w:r>
      <w:r>
        <w:rPr>
          <w:rFonts w:ascii="Cambria" w:hAnsi="Cambria" w:cs="Cambria"/>
          <w:sz w:val="18"/>
          <w:szCs w:val="18"/>
        </w:rPr>
        <w:t xml:space="preserve"> Prefeitura Municipal de Santa Bárbara do Sul, com sede na Avenida Eduardo de Brito, 101, na cidade de Santa Bárbara do Sul inscrita no CNPJ nº 88.496.468/0001-60, neste ato representada pela Sra. Janice de Fátima </w:t>
      </w:r>
      <w:r>
        <w:rPr>
          <w:rFonts w:ascii="Cambria" w:hAnsi="Cambria" w:cs="Cambria"/>
          <w:sz w:val="18"/>
          <w:szCs w:val="18"/>
        </w:rPr>
        <w:t xml:space="preserve">Peccini</w:t>
      </w:r>
      <w:r>
        <w:rPr>
          <w:rFonts w:ascii="Cambria" w:hAnsi="Cambria" w:cs="Cambria"/>
          <w:sz w:val="18"/>
          <w:szCs w:val="18"/>
        </w:rPr>
        <w:t xml:space="preserve"> Oliveira Agente Administrativa – S</w:t>
      </w:r>
      <w:r>
        <w:rPr>
          <w:rFonts w:ascii="Cambria" w:hAnsi="Cambria" w:cs="Cambria"/>
          <w:sz w:val="18"/>
          <w:szCs w:val="18"/>
        </w:rPr>
        <w:t xml:space="preserve">etor de Compras, nomeada pela  Portaria nº 054 de 14 de março de 2018, publicada no Mural Interno de Prefeitura ,  19 de março de 2018, portador da matrícula funcional nº 0393, considerando o julgamento da licitação na modalidade de</w:t>
      </w:r>
      <w:r>
        <w:rPr>
          <w:rFonts w:ascii="Cambria" w:hAnsi="Cambria" w:cs="Cambria"/>
          <w:b/>
          <w:bCs/>
          <w:sz w:val="18"/>
          <w:szCs w:val="18"/>
        </w:rPr>
        <w:t xml:space="preserve"> Pregão Eletrônico 13/20</w:t>
      </w:r>
      <w:r>
        <w:rPr>
          <w:rFonts w:ascii="Cambria" w:hAnsi="Cambria" w:cs="Cambria"/>
          <w:b/>
          <w:bCs/>
          <w:sz w:val="18"/>
          <w:szCs w:val="18"/>
        </w:rPr>
        <w:t xml:space="preserve">24</w:t>
      </w:r>
      <w:r>
        <w:rPr>
          <w:rFonts w:ascii="Cambria" w:hAnsi="Cambria" w:cs="Cambria"/>
          <w:sz w:val="18"/>
          <w:szCs w:val="18"/>
        </w:rPr>
        <w:t xml:space="preserve">, para </w:t>
      </w:r>
      <w:r>
        <w:rPr>
          <w:rFonts w:ascii="Cambria" w:hAnsi="Cambria" w:cs="Cambria"/>
          <w:b/>
          <w:bCs/>
          <w:sz w:val="18"/>
          <w:szCs w:val="18"/>
        </w:rPr>
        <w:t xml:space="preserve">Registro de Preços nº 10/2024</w:t>
      </w:r>
      <w:r>
        <w:rPr>
          <w:rFonts w:ascii="Cambria" w:hAnsi="Cambria" w:cs="Cambria"/>
          <w:sz w:val="18"/>
          <w:szCs w:val="18"/>
        </w:rPr>
        <w:t xml:space="preserve">, </w:t>
      </w:r>
      <w:r>
        <w:rPr>
          <w:rFonts w:ascii="Cambria" w:hAnsi="Cambria" w:cs="Cambria"/>
          <w:b/>
          <w:bCs/>
          <w:sz w:val="18"/>
          <w:szCs w:val="18"/>
        </w:rPr>
        <w:t xml:space="preserve">Processo Licitatório nº 55/2024</w:t>
      </w:r>
      <w:r>
        <w:rPr>
          <w:rFonts w:ascii="Cambria" w:hAnsi="Cambria" w:cs="Cambria"/>
          <w:sz w:val="18"/>
          <w:szCs w:val="18"/>
        </w:rPr>
        <w:t xml:space="preserve">,  RESOLVE registrar o preço da  empresa indicada e qualificada nesta ATA, de acordo com a classificação por ela alcançada e nas  quantidades  cotadas, atendendo as condições previstas </w:t>
      </w:r>
      <w:r>
        <w:rPr>
          <w:rFonts w:ascii="Cambria" w:hAnsi="Cambria" w:cs="Cambria"/>
          <w:sz w:val="18"/>
          <w:szCs w:val="18"/>
        </w:rPr>
        <w:t xml:space="preserve">no edital, sujeitando-se as partes às normas constantes na Lei nº 14.133/21 e suas alterações, e em conformidade com as disposições a seguir:</w:t>
      </w:r>
      <w:r/>
    </w:p>
    <w:p>
      <w:pPr>
        <w:pStyle w:val="1051"/>
        <w:rPr>
          <w:rFonts w:ascii="Cambria" w:hAnsi="Cambria" w:cs="Cambria"/>
          <w:sz w:val="18"/>
          <w:szCs w:val="18"/>
        </w:rPr>
      </w:pPr>
      <w:r>
        <w:rPr>
          <w:rFonts w:ascii="Cambria" w:hAnsi="Cambria" w:cs="Cambria"/>
          <w:sz w:val="18"/>
          <w:szCs w:val="18"/>
        </w:rPr>
        <w:t xml:space="preserve">DO OBJETO</w:t>
      </w:r>
      <w:r/>
    </w:p>
    <w:p>
      <w:pPr>
        <w:pStyle w:val="1068"/>
        <w:rPr>
          <w:rFonts w:ascii="Cambria" w:hAnsi="Cambria" w:cs="Cambria"/>
          <w:sz w:val="18"/>
          <w:szCs w:val="18"/>
        </w:rPr>
      </w:pPr>
      <w:r>
        <w:rPr>
          <w:rFonts w:ascii="Cambria" w:hAnsi="Cambria" w:cs="Cambria"/>
          <w:sz w:val="18"/>
          <w:szCs w:val="18"/>
        </w:rPr>
        <w:t xml:space="preserve">A presente Ata tem por objeto o registro de preços para a eventual </w:t>
      </w:r>
      <w:r>
        <w:rPr>
          <w:rFonts w:ascii="Cambria" w:hAnsi="Cambria" w:cs="Cambria"/>
          <w:i/>
          <w:iCs/>
          <w:sz w:val="18"/>
          <w:szCs w:val="18"/>
        </w:rPr>
        <w:t xml:space="preserve">AQUISIÇÃO DE LEIVAS DE GRAMA</w:t>
      </w:r>
      <w:r>
        <w:rPr>
          <w:rFonts w:ascii="Cambria" w:hAnsi="Cambria" w:cs="Cambria"/>
          <w:sz w:val="18"/>
          <w:szCs w:val="18"/>
        </w:rPr>
        <w:t xml:space="preserve"> ,</w:t>
      </w:r>
      <w:r>
        <w:rPr>
          <w:rFonts w:ascii="Cambria" w:hAnsi="Cambria" w:cs="Cambria"/>
          <w:sz w:val="18"/>
          <w:szCs w:val="18"/>
        </w:rPr>
        <w:t xml:space="preserve"> especificados nos itens 01 a 04 Termo de Referência, anexo </w:t>
      </w:r>
      <w:r>
        <w:rPr>
          <w:rFonts w:ascii="Cambria" w:hAnsi="Cambria" w:cs="Cambria"/>
          <w:i/>
          <w:color w:val="000000" w:themeColor="text1"/>
          <w:sz w:val="18"/>
          <w:szCs w:val="18"/>
        </w:rPr>
        <w:t xml:space="preserve">d</w:t>
      </w:r>
      <w:r>
        <w:rPr>
          <w:rFonts w:ascii="Cambria" w:hAnsi="Cambria" w:cs="Cambria"/>
          <w:color w:val="000000" w:themeColor="text1"/>
          <w:sz w:val="18"/>
          <w:szCs w:val="18"/>
        </w:rPr>
        <w:t xml:space="preserve">o edital de Licitação nº 55/2024</w:t>
      </w:r>
      <w:r>
        <w:rPr>
          <w:rFonts w:ascii="Cambria" w:hAnsi="Cambria" w:cs="Cambria"/>
          <w:sz w:val="18"/>
          <w:szCs w:val="18"/>
        </w:rPr>
        <w:t xml:space="preserve">, que é parte integrante desta Ata, assim como as propostas cujos preços tenham sido registrados, independentemente de transcrição.</w:t>
      </w:r>
      <w:r/>
    </w:p>
    <w:p>
      <w:pPr>
        <w:pStyle w:val="1051"/>
        <w:rPr>
          <w:rFonts w:ascii="Cambria" w:hAnsi="Cambria" w:cs="Cambria"/>
          <w:sz w:val="18"/>
          <w:szCs w:val="18"/>
        </w:rPr>
      </w:pPr>
      <w:r>
        <w:rPr>
          <w:rFonts w:ascii="Cambria" w:hAnsi="Cambria" w:cs="Cambria"/>
          <w:sz w:val="18"/>
          <w:szCs w:val="18"/>
        </w:rPr>
        <w:t xml:space="preserve">DOS PREÇOS, ESPECIFICAÇÕES </w:t>
      </w:r>
      <w:r>
        <w:rPr>
          <w:rFonts w:ascii="Cambria" w:hAnsi="Cambria" w:cs="Cambria"/>
          <w:sz w:val="18"/>
          <w:szCs w:val="18"/>
        </w:rPr>
        <w:t xml:space="preserve">E QUANTITATIVOS</w:t>
      </w:r>
      <w:r/>
    </w:p>
    <w:p>
      <w:pPr>
        <w:pStyle w:val="1068"/>
        <w:rPr>
          <w:rFonts w:ascii="Cambria" w:hAnsi="Cambria" w:cs="Cambria"/>
          <w:color w:val="000000" w:themeColor="text1"/>
          <w:sz w:val="18"/>
          <w:szCs w:val="18"/>
        </w:rPr>
      </w:pPr>
      <w:r>
        <w:rPr>
          <w:rFonts w:ascii="Cambria" w:hAnsi="Cambria" w:cs="Cambria"/>
          <w:color w:val="000000" w:themeColor="text1"/>
          <w:sz w:val="18"/>
          <w:szCs w:val="18"/>
        </w:rPr>
        <w:t xml:space="preserve">O preço registrado, as especificações do objeto, as quantidades mínimas e máximas de cada item, </w:t>
      </w:r>
      <w:r>
        <w:rPr>
          <w:rFonts w:ascii="Cambria" w:hAnsi="Cambria" w:cs="Cambria"/>
          <w:color w:val="000000" w:themeColor="text1"/>
          <w:sz w:val="18"/>
          <w:szCs w:val="18"/>
        </w:rPr>
        <w:t xml:space="preserve">fornecedor(</w:t>
      </w:r>
      <w:r>
        <w:rPr>
          <w:rFonts w:ascii="Cambria" w:hAnsi="Cambria" w:cs="Cambria"/>
          <w:color w:val="000000" w:themeColor="text1"/>
          <w:sz w:val="18"/>
          <w:szCs w:val="18"/>
        </w:rPr>
        <w:t xml:space="preserve">es) e as demais condições ofertadas na(s) proposta(s) são as que seguem: </w:t>
      </w:r>
      <w:r/>
    </w:p>
    <w:p>
      <w:pPr>
        <w:pStyle w:val="1068"/>
        <w:rPr>
          <w:rFonts w:ascii="Cambria" w:hAnsi="Cambria" w:cs="Cambria"/>
          <w:sz w:val="18"/>
          <w:szCs w:val="18"/>
        </w:rPr>
      </w:pPr>
      <w:r>
        <w:rPr>
          <w:rFonts w:ascii="Cambria" w:hAnsi="Cambria" w:cs="Cambria"/>
          <w:sz w:val="18"/>
          <w:szCs w:val="18"/>
          <w:lang w:eastAsia="en-US"/>
        </w:rPr>
        <w:t xml:space="preserve">A listagem do cadastro de reserva referente ao presente reg</w:t>
      </w:r>
      <w:r>
        <w:rPr>
          <w:rFonts w:ascii="Cambria" w:hAnsi="Cambria" w:cs="Cambria"/>
          <w:sz w:val="18"/>
          <w:szCs w:val="18"/>
          <w:lang w:eastAsia="en-US"/>
        </w:rPr>
        <w:t xml:space="preserve">istro de preços consta como anexo à esta Ata.</w:t>
      </w:r>
      <w:r/>
    </w:p>
    <w:p>
      <w:pPr>
        <w:pStyle w:val="1051"/>
        <w:rPr>
          <w:rFonts w:ascii="Cambria" w:hAnsi="Cambria" w:cs="Cambria"/>
          <w:color w:val="000000" w:themeColor="text1"/>
          <w:sz w:val="18"/>
          <w:szCs w:val="18"/>
        </w:rPr>
      </w:pPr>
      <w:r>
        <w:rPr>
          <w:rFonts w:ascii="Cambria" w:hAnsi="Cambria" w:cs="Cambria"/>
          <w:color w:val="000000" w:themeColor="text1"/>
          <w:sz w:val="18"/>
          <w:szCs w:val="18"/>
        </w:rPr>
        <w:t xml:space="preserve">DA ADESÃO À ATA DE REGISTRO DE PREÇOS </w:t>
      </w:r>
      <w:r/>
    </w:p>
    <w:p>
      <w:pPr>
        <w:pStyle w:val="1115"/>
        <w:tabs>
          <w:tab w:val="left" w:pos="567" w:leader="none"/>
        </w:tabs>
        <w:rPr>
          <w:rFonts w:ascii="Cambria" w:hAnsi="Cambria" w:cs="Cambria"/>
          <w:color w:val="000000" w:themeColor="text1"/>
          <w:sz w:val="18"/>
          <w:szCs w:val="18"/>
        </w:rPr>
      </w:pPr>
      <w:r>
        <w:rPr>
          <w:rFonts w:ascii="Cambria" w:hAnsi="Cambria" w:cs="Cambria"/>
          <w:color w:val="000000" w:themeColor="text1"/>
          <w:sz w:val="18"/>
          <w:szCs w:val="18"/>
          <w:lang w:eastAsia="en-US"/>
        </w:rPr>
        <w:t xml:space="preserve">Não será admitida a adesão à ata de registro de preços decorrente desta licitação ou desta contratação direta, tendo em vista trata-se de ata municipal. </w:t>
      </w:r>
      <w:r/>
    </w:p>
    <w:p>
      <w:pPr>
        <w:pStyle w:val="1051"/>
        <w:rPr>
          <w:rFonts w:ascii="Cambria" w:hAnsi="Cambria" w:cs="Cambria"/>
          <w:sz w:val="18"/>
          <w:szCs w:val="18"/>
        </w:rPr>
      </w:pPr>
      <w:r>
        <w:rPr>
          <w:rFonts w:ascii="Cambria" w:hAnsi="Cambria" w:cs="Cambria"/>
          <w:sz w:val="18"/>
          <w:szCs w:val="18"/>
        </w:rPr>
        <w:t xml:space="preserve">VALIDADE, FORMALI</w:t>
      </w:r>
      <w:r>
        <w:rPr>
          <w:rFonts w:ascii="Cambria" w:hAnsi="Cambria" w:cs="Cambria"/>
          <w:sz w:val="18"/>
          <w:szCs w:val="18"/>
        </w:rPr>
        <w:t xml:space="preserve">ZAÇÃO DA ATA DE REGISTRO DE PREÇOS E CADASTRO RESERVA</w:t>
      </w:r>
      <w:r/>
    </w:p>
    <w:p>
      <w:pPr>
        <w:pStyle w:val="1068"/>
        <w:tabs>
          <w:tab w:val="left" w:pos="992" w:leader="none"/>
        </w:tabs>
        <w:rPr>
          <w:rFonts w:ascii="Cambria" w:hAnsi="Cambria" w:cs="Cambria"/>
          <w:color w:val="000000" w:themeColor="text1"/>
          <w:sz w:val="18"/>
          <w:szCs w:val="18"/>
        </w:rPr>
      </w:pPr>
      <w:r>
        <w:rPr>
          <w:rFonts w:ascii="Cambria" w:hAnsi="Cambria" w:cs="Cambria"/>
          <w:color w:val="000000" w:themeColor="text1"/>
          <w:sz w:val="18"/>
          <w:szCs w:val="18"/>
        </w:rPr>
        <w:t xml:space="preserve">A validade da Ata de Registro de Preços será de 1 (um) ano, contados </w:t>
      </w:r>
      <w:r>
        <w:rPr>
          <w:rFonts w:ascii="Cambria" w:hAnsi="Cambria" w:cs="Cambria"/>
          <w:color w:val="000000" w:themeColor="text1"/>
          <w:sz w:val="18"/>
          <w:szCs w:val="18"/>
        </w:rPr>
        <w:t xml:space="preserve">à</w:t>
      </w:r>
      <w:r>
        <w:rPr>
          <w:rFonts w:ascii="Cambria" w:hAnsi="Cambria" w:cs="Cambria"/>
          <w:color w:val="000000" w:themeColor="text1"/>
          <w:sz w:val="18"/>
          <w:szCs w:val="18"/>
        </w:rPr>
        <w:t xml:space="preserve"> partir do primeiro dia útil subsequente à data de divulgação no PNCP, podendo ser prorrogada por igual período, mediante a anuência</w:t>
      </w:r>
      <w:r>
        <w:rPr>
          <w:rFonts w:ascii="Cambria" w:hAnsi="Cambria" w:cs="Cambria"/>
          <w:color w:val="000000" w:themeColor="text1"/>
          <w:sz w:val="18"/>
          <w:szCs w:val="18"/>
        </w:rPr>
        <w:t xml:space="preserve"> do fornecedor, desde q</w:t>
      </w:r>
      <w:r>
        <w:rPr>
          <w:rFonts w:ascii="Cambria" w:hAnsi="Cambria" w:cs="Cambria"/>
          <w:color w:val="000000" w:themeColor="text1"/>
          <w:sz w:val="18"/>
          <w:szCs w:val="18"/>
        </w:rPr>
        <w:t xml:space="preserve">ue comprovado o preço vantajoso</w:t>
      </w:r>
      <w:r/>
    </w:p>
    <w:p>
      <w:pPr>
        <w:pStyle w:val="1070"/>
        <w:rPr>
          <w:rFonts w:asciiTheme="minorHAnsi" w:hAnsiTheme="minorHAnsi"/>
          <w:color w:val="000000" w:themeColor="text1"/>
          <w:sz w:val="18"/>
        </w:rPr>
      </w:pPr>
      <w:r>
        <w:rPr>
          <w:rFonts w:asciiTheme="minorHAnsi" w:hAnsiTheme="minorHAnsi"/>
          <w:sz w:val="18"/>
        </w:rPr>
        <w:t xml:space="preserve">O contrato decorrente da ata de registro de preços terá sua vigência estabelecida no próprio instrumento contratual e observará no momento da contratação e a cada exercício financeiro a disponibilidad</w:t>
      </w:r>
      <w:r>
        <w:rPr>
          <w:rFonts w:asciiTheme="minorHAnsi" w:hAnsiTheme="minorHAnsi"/>
          <w:sz w:val="18"/>
        </w:rPr>
        <w:t xml:space="preserve">e de créditos orçamentários, bem como a previsão no plano plurianual, quando ultrapassar 1 (um) exercício financeiro.</w:t>
      </w:r>
      <w:r/>
    </w:p>
    <w:p>
      <w:pPr>
        <w:pStyle w:val="1133"/>
        <w:numPr>
          <w:ilvl w:val="0"/>
          <w:numId w:val="0"/>
        </w:numPr>
        <w:ind w:left="284"/>
        <w:tabs>
          <w:tab w:val="left" w:pos="567" w:leader="none"/>
        </w:tabs>
        <w:rPr>
          <w:rFonts w:ascii="Cambria" w:hAnsi="Cambria" w:cs="Cambria"/>
          <w:sz w:val="18"/>
          <w:szCs w:val="18"/>
        </w:rPr>
      </w:pPr>
      <w:r>
        <w:rPr>
          <w:rFonts w:ascii="Cambria" w:hAnsi="Cambria" w:cs="Cambria"/>
          <w:sz w:val="18"/>
          <w:szCs w:val="18"/>
        </w:rPr>
        <w:t xml:space="preserve">N</w:t>
      </w:r>
      <w:r>
        <w:rPr>
          <w:rFonts w:ascii="Cambria" w:hAnsi="Cambria" w:cs="Cambria"/>
          <w:sz w:val="18"/>
          <w:szCs w:val="18"/>
        </w:rPr>
        <w:t xml:space="preserve">a formalização do contrato ou do instrumento substituto deverá haver a indicação da disponibilidade dos créditos orçamentários respectivo</w:t>
      </w:r>
      <w:r>
        <w:rPr>
          <w:rFonts w:ascii="Cambria" w:hAnsi="Cambria" w:cs="Cambria"/>
          <w:sz w:val="18"/>
          <w:szCs w:val="18"/>
        </w:rPr>
        <w:t xml:space="preserve">s.</w:t>
      </w:r>
      <w:r/>
    </w:p>
    <w:p>
      <w:pPr>
        <w:pStyle w:val="1068"/>
        <w:tabs>
          <w:tab w:val="left" w:pos="425" w:leader="none"/>
        </w:tabs>
        <w:rPr>
          <w:rFonts w:ascii="Cambria" w:hAnsi="Cambria" w:cs="Cambria"/>
          <w:sz w:val="18"/>
          <w:szCs w:val="18"/>
        </w:rPr>
      </w:pPr>
      <w:r>
        <w:rPr>
          <w:rFonts w:ascii="Cambria" w:hAnsi="Cambria" w:cs="Cambria"/>
          <w:sz w:val="18"/>
          <w:szCs w:val="18"/>
        </w:rPr>
        <w:t xml:space="preserve">A contratação com os fornecedores registrados na ata será formalizada pelo órgão ou pela en</w:t>
      </w:r>
      <w:r>
        <w:rPr>
          <w:rFonts w:ascii="Cambria" w:hAnsi="Cambria" w:eastAsia="Arial" w:cs="Cambria"/>
          <w:sz w:val="18"/>
          <w:szCs w:val="18"/>
        </w:rPr>
        <w:t xml:space="preserve">ti</w:t>
      </w:r>
      <w:r>
        <w:rPr>
          <w:rFonts w:ascii="Cambria" w:hAnsi="Cambria" w:cs="Cambria"/>
          <w:sz w:val="18"/>
          <w:szCs w:val="18"/>
        </w:rPr>
        <w:t xml:space="preserve">dade interessada por intermédio de instrumento contratual, emissão de notas de empenho de despesas, autorizações de compras ou outros instrumentos hábeis, conforme prevê o ar</w:t>
      </w:r>
      <w:r>
        <w:rPr>
          <w:rFonts w:ascii="Cambria" w:hAnsi="Cambria" w:cs="Cambria"/>
          <w:sz w:val="18"/>
          <w:szCs w:val="18"/>
        </w:rPr>
        <w:t xml:space="preserve">t. 95 da Lei nº 14.133, de 2021</w:t>
      </w:r>
      <w:r/>
    </w:p>
    <w:p>
      <w:pPr>
        <w:pStyle w:val="1070"/>
        <w:rPr>
          <w:rFonts w:asciiTheme="minorHAnsi" w:hAnsiTheme="minorHAnsi"/>
          <w:sz w:val="18"/>
        </w:rPr>
      </w:pPr>
      <w:r>
        <w:rPr>
          <w:rFonts w:asciiTheme="minorHAnsi" w:hAnsiTheme="minorHAnsi"/>
          <w:sz w:val="18"/>
        </w:rPr>
        <w:t xml:space="preserve">O instrumento contratual de que trata o item 4.2</w:t>
      </w:r>
      <w:r>
        <w:rPr>
          <w:rFonts w:asciiTheme="minorHAnsi" w:hAnsiTheme="minorHAnsi"/>
          <w:sz w:val="18"/>
        </w:rPr>
        <w:t xml:space="preserve">. </w:t>
      </w:r>
      <w:r>
        <w:rPr>
          <w:rFonts w:asciiTheme="minorHAnsi" w:hAnsiTheme="minorHAnsi"/>
          <w:sz w:val="18"/>
        </w:rPr>
        <w:t xml:space="preserve">deverá</w:t>
      </w:r>
      <w:r>
        <w:rPr>
          <w:rFonts w:asciiTheme="minorHAnsi" w:hAnsiTheme="minorHAnsi"/>
          <w:sz w:val="18"/>
        </w:rPr>
        <w:t xml:space="preserve"> ser assinado no prazo de validade da ata de registro de preços.</w:t>
      </w:r>
      <w:r/>
    </w:p>
    <w:p>
      <w:pPr>
        <w:pStyle w:val="1068"/>
        <w:tabs>
          <w:tab w:val="left" w:pos="425" w:leader="none"/>
        </w:tabs>
        <w:rPr>
          <w:rFonts w:ascii="Cambria" w:hAnsi="Cambria" w:cs="Cambria"/>
          <w:sz w:val="18"/>
          <w:szCs w:val="18"/>
        </w:rPr>
      </w:pPr>
      <w:r>
        <w:rPr>
          <w:rFonts w:ascii="Cambria" w:hAnsi="Cambria" w:cs="Cambria"/>
          <w:sz w:val="18"/>
          <w:szCs w:val="18"/>
        </w:rPr>
        <w:t xml:space="preserve">O</w:t>
      </w:r>
      <w:r>
        <w:rPr>
          <w:rFonts w:ascii="Cambria" w:hAnsi="Cambria" w:cs="Cambria"/>
          <w:sz w:val="18"/>
          <w:szCs w:val="18"/>
        </w:rPr>
        <w:t xml:space="preserve">s contratos decorrentes do sistema de registro de preços poderão ser alterados, observado o art. 124 da Lei nº 14.133, de 2021.</w:t>
      </w:r>
      <w:r/>
    </w:p>
    <w:p>
      <w:pPr>
        <w:pStyle w:val="1068"/>
        <w:tabs>
          <w:tab w:val="left" w:pos="425" w:leader="none"/>
        </w:tabs>
        <w:rPr>
          <w:rFonts w:ascii="Cambria" w:hAnsi="Cambria" w:cs="Cambria"/>
          <w:sz w:val="18"/>
          <w:szCs w:val="18"/>
        </w:rPr>
      </w:pPr>
      <w:r>
        <w:rPr>
          <w:rFonts w:ascii="Cambria" w:hAnsi="Cambria" w:cs="Cambria"/>
          <w:sz w:val="18"/>
          <w:szCs w:val="18"/>
        </w:rPr>
        <w:t xml:space="preserve">Após a homologação da licitação ou da contratação direta, deverão ser observadas as seguintes condições para formalização da ata de registro de preços:</w:t>
      </w:r>
      <w:r/>
    </w:p>
    <w:p>
      <w:pPr>
        <w:pStyle w:val="1068"/>
        <w:tabs>
          <w:tab w:val="left" w:pos="425" w:leader="none"/>
        </w:tabs>
        <w:rPr>
          <w:rFonts w:ascii="Cambria" w:hAnsi="Cambria" w:cs="Cambria"/>
          <w:sz w:val="18"/>
          <w:szCs w:val="18"/>
        </w:rPr>
      </w:pPr>
      <w:r>
        <w:rPr>
          <w:rFonts w:ascii="Cambria" w:hAnsi="Cambria" w:cs="Cambria"/>
          <w:color w:val="000000" w:themeColor="text1"/>
          <w:sz w:val="18"/>
          <w:szCs w:val="18"/>
        </w:rPr>
        <w:t xml:space="preserve">Serão registrados na ata os preços e os quantita</w:t>
      </w:r>
      <w:r>
        <w:rPr>
          <w:rFonts w:ascii="Cambria" w:hAnsi="Cambria" w:eastAsia="Arial" w:cs="Cambria"/>
          <w:color w:val="000000" w:themeColor="text1"/>
          <w:sz w:val="18"/>
          <w:szCs w:val="18"/>
        </w:rPr>
        <w:t xml:space="preserve">ti</w:t>
      </w:r>
      <w:r>
        <w:rPr>
          <w:rFonts w:ascii="Cambria" w:hAnsi="Cambria" w:cs="Cambria"/>
          <w:color w:val="000000" w:themeColor="text1"/>
          <w:sz w:val="18"/>
          <w:szCs w:val="18"/>
        </w:rPr>
        <w:t xml:space="preserve">vos do adjudicatário, devendo ser observada a possibil</w:t>
      </w:r>
      <w:r>
        <w:rPr>
          <w:rFonts w:ascii="Cambria" w:hAnsi="Cambria" w:cs="Cambria"/>
          <w:color w:val="000000" w:themeColor="text1"/>
          <w:sz w:val="18"/>
          <w:szCs w:val="18"/>
        </w:rPr>
        <w:t xml:space="preserve">idade de o licitante oferecer ou não proposta em quantitativo inferior ao máximo previsto </w:t>
      </w:r>
      <w:r>
        <w:rPr>
          <w:rFonts w:ascii="Cambria" w:hAnsi="Cambria" w:cs="Cambria"/>
          <w:i/>
          <w:iCs/>
          <w:color w:val="000000" w:themeColor="text1"/>
          <w:sz w:val="18"/>
          <w:szCs w:val="18"/>
        </w:rPr>
        <w:t xml:space="preserve">no </w:t>
      </w:r>
      <w:r>
        <w:rPr>
          <w:rFonts w:ascii="Cambria" w:hAnsi="Cambria" w:cs="Cambria"/>
          <w:i/>
          <w:iCs/>
          <w:color w:val="000000" w:themeColor="text1"/>
          <w:sz w:val="18"/>
          <w:szCs w:val="18"/>
        </w:rPr>
        <w:t xml:space="preserve">edital </w:t>
      </w:r>
      <w:r>
        <w:rPr>
          <w:rFonts w:ascii="Cambria" w:hAnsi="Cambria" w:cs="Cambria"/>
          <w:color w:val="000000" w:themeColor="text1"/>
          <w:sz w:val="18"/>
          <w:szCs w:val="18"/>
        </w:rPr>
        <w:t xml:space="preserve"> e</w:t>
      </w:r>
      <w:r>
        <w:rPr>
          <w:rFonts w:ascii="Cambria" w:hAnsi="Cambria" w:cs="Cambria"/>
          <w:color w:val="000000" w:themeColor="text1"/>
          <w:sz w:val="18"/>
          <w:szCs w:val="18"/>
        </w:rPr>
        <w:t xml:space="preserve"> se obrigar nos limites dela;</w:t>
      </w:r>
      <w:r/>
    </w:p>
    <w:p>
      <w:pPr>
        <w:pStyle w:val="1133"/>
        <w:numPr>
          <w:ilvl w:val="0"/>
          <w:numId w:val="11"/>
        </w:numPr>
        <w:tabs>
          <w:tab w:val="left" w:pos="567" w:leader="none"/>
        </w:tabs>
        <w:rPr>
          <w:rFonts w:ascii="Cambria" w:hAnsi="Cambria" w:cs="Cambria"/>
          <w:sz w:val="18"/>
          <w:szCs w:val="18"/>
        </w:rPr>
      </w:pPr>
      <w:r>
        <w:rPr>
          <w:rFonts w:ascii="Cambria" w:hAnsi="Cambria" w:cs="Cambria"/>
          <w:sz w:val="18"/>
          <w:szCs w:val="18"/>
        </w:rPr>
        <w:t xml:space="preserve">S</w:t>
      </w:r>
      <w:r>
        <w:rPr>
          <w:rFonts w:ascii="Cambria" w:hAnsi="Cambria" w:cs="Cambria"/>
          <w:sz w:val="18"/>
          <w:szCs w:val="18"/>
        </w:rPr>
        <w:t xml:space="preserve">erá incluído na ata, na forma de anexo, o registro dos licitantes ou dos fornecedores que:</w:t>
      </w:r>
      <w:r/>
    </w:p>
    <w:p>
      <w:pPr>
        <w:pStyle w:val="1134"/>
        <w:numPr>
          <w:ilvl w:val="0"/>
          <w:numId w:val="11"/>
        </w:numPr>
        <w:tabs>
          <w:tab w:val="left" w:pos="425" w:leader="none"/>
        </w:tabs>
        <w:rPr>
          <w:rFonts w:ascii="Cambria" w:hAnsi="Cambria" w:cs="Cambria"/>
          <w:sz w:val="18"/>
          <w:szCs w:val="18"/>
        </w:rPr>
      </w:pPr>
      <w:r>
        <w:rPr>
          <w:rFonts w:ascii="Cambria" w:hAnsi="Cambria" w:cs="Cambria"/>
          <w:sz w:val="18"/>
          <w:szCs w:val="18"/>
        </w:rPr>
        <w:t xml:space="preserve">Aceitarem cotar os bens, as obra</w:t>
      </w:r>
      <w:r>
        <w:rPr>
          <w:rFonts w:ascii="Cambria" w:hAnsi="Cambria" w:cs="Cambria"/>
          <w:sz w:val="18"/>
          <w:szCs w:val="18"/>
        </w:rPr>
        <w:t xml:space="preserve">s ou os serviços com preços iguais aos do adjudicatário, observada a classificação da licitação; e </w:t>
      </w:r>
      <w:r/>
    </w:p>
    <w:p>
      <w:pPr>
        <w:pStyle w:val="1134"/>
        <w:numPr>
          <w:ilvl w:val="0"/>
          <w:numId w:val="11"/>
        </w:numPr>
        <w:tabs>
          <w:tab w:val="left" w:pos="709" w:leader="none"/>
        </w:tabs>
        <w:rPr>
          <w:rFonts w:ascii="Cambria" w:hAnsi="Cambria" w:cs="Cambria"/>
          <w:sz w:val="18"/>
          <w:szCs w:val="18"/>
        </w:rPr>
      </w:pPr>
      <w:r>
        <w:rPr>
          <w:rFonts w:ascii="Cambria" w:hAnsi="Cambria" w:cs="Cambria"/>
          <w:sz w:val="18"/>
          <w:szCs w:val="18"/>
        </w:rPr>
        <w:t xml:space="preserve">Mantiverem sua proposta original. </w:t>
      </w:r>
      <w:r/>
    </w:p>
    <w:p>
      <w:pPr>
        <w:pStyle w:val="1133"/>
        <w:numPr>
          <w:ilvl w:val="0"/>
          <w:numId w:val="11"/>
        </w:numPr>
        <w:tabs>
          <w:tab w:val="left" w:pos="709" w:leader="none"/>
        </w:tabs>
        <w:rPr>
          <w:rFonts w:ascii="Cambria" w:hAnsi="Cambria" w:cs="Cambria"/>
          <w:sz w:val="18"/>
          <w:szCs w:val="18"/>
        </w:rPr>
      </w:pPr>
      <w:r>
        <w:rPr>
          <w:rFonts w:ascii="Cambria" w:hAnsi="Cambria" w:cs="Cambria"/>
          <w:sz w:val="18"/>
          <w:szCs w:val="18"/>
        </w:rPr>
        <w:t xml:space="preserve">Será respeitada, nas contratações, a ordem de classificação dos licitantes ou dos fornecedores registrados na ata.</w:t>
      </w:r>
      <w:r/>
    </w:p>
    <w:p>
      <w:pPr>
        <w:pStyle w:val="1068"/>
        <w:tabs>
          <w:tab w:val="left" w:pos="425" w:leader="none"/>
        </w:tabs>
        <w:rPr>
          <w:rFonts w:ascii="Cambria" w:hAnsi="Cambria" w:cs="Cambria"/>
          <w:sz w:val="18"/>
          <w:szCs w:val="18"/>
        </w:rPr>
      </w:pPr>
      <w:r>
        <w:rPr>
          <w:rFonts w:ascii="Cambria" w:hAnsi="Cambria" w:cs="Cambria"/>
          <w:sz w:val="18"/>
          <w:szCs w:val="18"/>
        </w:rPr>
        <w:t xml:space="preserve">O regi</w:t>
      </w:r>
      <w:r>
        <w:rPr>
          <w:rFonts w:ascii="Cambria" w:hAnsi="Cambria" w:cs="Cambria"/>
          <w:sz w:val="18"/>
          <w:szCs w:val="18"/>
        </w:rPr>
        <w:t xml:space="preserve">stro a que se refere o item 4.4.2</w:t>
      </w:r>
      <w:r>
        <w:rPr>
          <w:rFonts w:ascii="Cambria" w:hAnsi="Cambria" w:cs="Cambria"/>
          <w:b/>
          <w:bCs/>
          <w:sz w:val="18"/>
          <w:szCs w:val="18"/>
        </w:rPr>
        <w:t xml:space="preserve"> </w:t>
      </w:r>
      <w:r>
        <w:rPr>
          <w:rFonts w:ascii="Cambria" w:hAnsi="Cambria" w:cs="Cambria"/>
          <w:sz w:val="18"/>
          <w:szCs w:val="18"/>
        </w:rPr>
        <w:t xml:space="preserve">tem por obje</w:t>
      </w:r>
      <w:r>
        <w:rPr>
          <w:rFonts w:ascii="Cambria" w:hAnsi="Cambria" w:eastAsia="Arial" w:cs="Cambria"/>
          <w:sz w:val="18"/>
          <w:szCs w:val="18"/>
        </w:rPr>
        <w:t xml:space="preserve">ti</w:t>
      </w:r>
      <w:r>
        <w:rPr>
          <w:rFonts w:ascii="Cambria" w:hAnsi="Cambria" w:cs="Cambria"/>
          <w:sz w:val="18"/>
          <w:szCs w:val="18"/>
        </w:rPr>
        <w:t xml:space="preserve">vo a formação de cadastro de reserva para o caso de impossibilidade de atendimento pelo signatário da ata.</w:t>
      </w:r>
      <w:r/>
    </w:p>
    <w:p>
      <w:pPr>
        <w:pStyle w:val="1068"/>
        <w:tabs>
          <w:tab w:val="left" w:pos="425" w:leader="none"/>
        </w:tabs>
        <w:rPr>
          <w:rFonts w:ascii="Cambria" w:hAnsi="Cambria" w:cs="Cambria"/>
          <w:sz w:val="18"/>
          <w:szCs w:val="18"/>
        </w:rPr>
      </w:pPr>
      <w:r>
        <w:rPr>
          <w:rFonts w:ascii="Cambria" w:hAnsi="Cambria" w:cs="Cambria"/>
          <w:sz w:val="18"/>
          <w:szCs w:val="18"/>
        </w:rPr>
        <w:t xml:space="preserve">Para fins da ordem de classificação, os licitantes ou fornecedores que aceitarem reduzir suas propost</w:t>
      </w:r>
      <w:r>
        <w:rPr>
          <w:rFonts w:ascii="Cambria" w:hAnsi="Cambria" w:cs="Cambria"/>
          <w:sz w:val="18"/>
          <w:szCs w:val="18"/>
        </w:rPr>
        <w:t xml:space="preserve">as para o preço do adjudicatário antecederão aqueles que mantiverem sua proposta original.</w:t>
      </w:r>
      <w:r/>
    </w:p>
    <w:p>
      <w:pPr>
        <w:pStyle w:val="1068"/>
        <w:tabs>
          <w:tab w:val="left" w:pos="425" w:leader="none"/>
        </w:tabs>
        <w:rPr>
          <w:rFonts w:ascii="Cambria" w:hAnsi="Cambria" w:cs="Cambria"/>
          <w:sz w:val="18"/>
          <w:szCs w:val="18"/>
        </w:rPr>
      </w:pPr>
      <w:r>
        <w:rPr>
          <w:rFonts w:ascii="Cambria" w:hAnsi="Cambria" w:cs="Cambria"/>
          <w:sz w:val="18"/>
          <w:szCs w:val="18"/>
        </w:rPr>
        <w:t xml:space="preserve">A habilitação dos licitantes que comporão o cadastro de reserva a que se refere o item </w:t>
      </w:r>
      <w:r>
        <w:rPr>
          <w:rFonts w:ascii="Cambria" w:hAnsi="Cambria" w:cs="Cambria"/>
          <w:sz w:val="18"/>
          <w:szCs w:val="18"/>
        </w:rPr>
        <w:t xml:space="preserve">4.4.2.2  somente</w:t>
      </w:r>
      <w:r>
        <w:rPr>
          <w:rFonts w:ascii="Cambria" w:hAnsi="Cambria" w:cs="Cambria"/>
          <w:sz w:val="18"/>
          <w:szCs w:val="18"/>
        </w:rPr>
        <w:t xml:space="preserve"> será efetuada quando houver necessidade de contratação dos li</w:t>
      </w:r>
      <w:r>
        <w:rPr>
          <w:rFonts w:ascii="Cambria" w:hAnsi="Cambria" w:cs="Cambria"/>
          <w:sz w:val="18"/>
          <w:szCs w:val="18"/>
        </w:rPr>
        <w:t xml:space="preserve">citantes remanescentes, nas seguintes hipóteses:</w:t>
      </w:r>
      <w:r/>
    </w:p>
    <w:p>
      <w:pPr>
        <w:pStyle w:val="1133"/>
        <w:numPr>
          <w:ilvl w:val="0"/>
          <w:numId w:val="12"/>
        </w:numPr>
        <w:tabs>
          <w:tab w:val="left" w:pos="567" w:leader="none"/>
        </w:tabs>
        <w:rPr>
          <w:rFonts w:ascii="Cambria" w:hAnsi="Cambria" w:cs="Cambria"/>
          <w:sz w:val="18"/>
          <w:szCs w:val="18"/>
        </w:rPr>
      </w:pPr>
      <w:r>
        <w:rPr>
          <w:rFonts w:ascii="Cambria" w:hAnsi="Cambria" w:cs="Cambria"/>
          <w:sz w:val="18"/>
          <w:szCs w:val="18"/>
        </w:rPr>
        <w:t xml:space="preserve">Quando o licitante vencedor não assinar a ata de registro de preços, no prazo e nas condições estabelecidos </w:t>
      </w:r>
      <w:r>
        <w:rPr>
          <w:rFonts w:ascii="Cambria" w:hAnsi="Cambria" w:cs="Cambria"/>
          <w:i/>
          <w:iCs/>
          <w:color w:val="000000" w:themeColor="text1"/>
          <w:sz w:val="18"/>
          <w:szCs w:val="18"/>
        </w:rPr>
        <w:t xml:space="preserve">no </w:t>
      </w:r>
      <w:r>
        <w:rPr>
          <w:rFonts w:ascii="Cambria" w:hAnsi="Cambria" w:cs="Cambria"/>
          <w:i/>
          <w:iCs/>
          <w:color w:val="000000" w:themeColor="text1"/>
          <w:sz w:val="18"/>
          <w:szCs w:val="18"/>
        </w:rPr>
        <w:t xml:space="preserve">edital</w:t>
      </w:r>
      <w:r>
        <w:rPr>
          <w:rFonts w:ascii="Cambria" w:hAnsi="Cambria" w:cs="Cambria"/>
          <w:color w:val="000000" w:themeColor="text1"/>
          <w:sz w:val="18"/>
          <w:szCs w:val="18"/>
        </w:rPr>
        <w:t xml:space="preserve"> </w:t>
      </w:r>
      <w:r>
        <w:rPr>
          <w:rFonts w:ascii="Cambria" w:hAnsi="Cambria" w:cs="Cambria"/>
          <w:color w:val="ff0000"/>
          <w:sz w:val="18"/>
          <w:szCs w:val="18"/>
        </w:rPr>
        <w:t xml:space="preserve"> </w:t>
      </w:r>
      <w:r>
        <w:rPr>
          <w:rFonts w:ascii="Cambria" w:hAnsi="Cambria" w:cs="Cambria"/>
          <w:sz w:val="18"/>
          <w:szCs w:val="18"/>
        </w:rPr>
        <w:t xml:space="preserve">e</w:t>
      </w:r>
      <w:r/>
    </w:p>
    <w:p>
      <w:pPr>
        <w:pStyle w:val="1133"/>
        <w:numPr>
          <w:ilvl w:val="0"/>
          <w:numId w:val="12"/>
        </w:numPr>
        <w:tabs>
          <w:tab w:val="left" w:pos="567" w:leader="none"/>
        </w:tabs>
        <w:rPr>
          <w:rFonts w:ascii="Cambria" w:hAnsi="Cambria" w:cs="Cambria"/>
          <w:sz w:val="18"/>
          <w:szCs w:val="18"/>
        </w:rPr>
      </w:pPr>
      <w:r>
        <w:rPr>
          <w:rFonts w:ascii="Cambria" w:hAnsi="Cambria" w:cs="Cambria"/>
          <w:sz w:val="18"/>
          <w:szCs w:val="18"/>
        </w:rPr>
        <w:t xml:space="preserve">Quando houver o cancelamento do registro do licitante ou do registro de preços nas hip</w:t>
      </w:r>
      <w:r>
        <w:rPr>
          <w:rFonts w:ascii="Cambria" w:hAnsi="Cambria" w:cs="Cambria"/>
          <w:sz w:val="18"/>
          <w:szCs w:val="18"/>
        </w:rPr>
        <w:t xml:space="preserve">óteses previstas no item </w:t>
      </w:r>
      <w:r>
        <w:rPr>
          <w:rFonts w:ascii="Cambria" w:hAnsi="Cambria" w:cs="Cambria"/>
          <w:sz w:val="18"/>
          <w:szCs w:val="18"/>
        </w:rPr>
        <w:fldChar w:fldCharType="begin"/>
      </w:r>
      <w:r>
        <w:rPr>
          <w:rFonts w:ascii="Cambria" w:hAnsi="Cambria" w:cs="Cambria"/>
          <w:sz w:val="18"/>
          <w:szCs w:val="18"/>
        </w:rPr>
        <w:instrText xml:space="preserve"> REF cancelamento \r \h  \* MERGEFORMAT </w:instrText>
      </w:r>
      <w:r>
        <w:rPr>
          <w:rFonts w:ascii="Cambria" w:hAnsi="Cambria" w:cs="Cambria"/>
          <w:sz w:val="18"/>
          <w:szCs w:val="18"/>
        </w:rPr>
        <w:fldChar w:fldCharType="separate"/>
      </w:r>
      <w:r>
        <w:rPr>
          <w:rFonts w:ascii="Cambria" w:hAnsi="Cambria" w:cs="Cambria"/>
          <w:sz w:val="18"/>
          <w:szCs w:val="18"/>
        </w:rPr>
        <w:t xml:space="preserve">8</w:t>
      </w:r>
      <w:r>
        <w:rPr>
          <w:rFonts w:ascii="Cambria" w:hAnsi="Cambria" w:cs="Cambria"/>
          <w:sz w:val="18"/>
          <w:szCs w:val="18"/>
        </w:rPr>
        <w:fldChar w:fldCharType="end"/>
      </w:r>
      <w:r>
        <w:rPr>
          <w:rFonts w:ascii="Cambria" w:hAnsi="Cambria" w:cs="Cambria"/>
          <w:sz w:val="18"/>
          <w:szCs w:val="18"/>
        </w:rPr>
        <w:t xml:space="preserve">.</w:t>
      </w:r>
      <w:r/>
    </w:p>
    <w:p>
      <w:pPr>
        <w:pStyle w:val="1068"/>
        <w:tabs>
          <w:tab w:val="left" w:pos="425" w:leader="none"/>
        </w:tabs>
        <w:rPr>
          <w:rFonts w:ascii="Cambria" w:hAnsi="Cambria" w:cs="Cambria"/>
          <w:sz w:val="18"/>
          <w:szCs w:val="18"/>
        </w:rPr>
      </w:pPr>
      <w:r>
        <w:rPr>
          <w:rFonts w:ascii="Cambria" w:hAnsi="Cambria" w:cs="Cambria"/>
          <w:sz w:val="18"/>
          <w:szCs w:val="18"/>
        </w:rPr>
        <w:t xml:space="preserve">O preço registrado com indicação dos licitantes e fornecedores será divulgado no PNCP e ficará disponibilizado durante a vigência da ata de registro de preços.</w:t>
      </w:r>
      <w:r/>
    </w:p>
    <w:p>
      <w:pPr>
        <w:pStyle w:val="1068"/>
        <w:tabs>
          <w:tab w:val="left" w:pos="425" w:leader="none"/>
        </w:tabs>
        <w:rPr>
          <w:rFonts w:ascii="Cambria" w:hAnsi="Cambria" w:cs="Cambria"/>
          <w:sz w:val="18"/>
          <w:szCs w:val="18"/>
        </w:rPr>
      </w:pPr>
      <w:r>
        <w:rPr>
          <w:rFonts w:ascii="Cambria" w:hAnsi="Cambria" w:cs="Cambria"/>
          <w:sz w:val="18"/>
          <w:szCs w:val="18"/>
        </w:rPr>
        <w:t xml:space="preserve">Após a homologação da licitação ou da contratação direta, o licitante mais bem classificado ou o</w:t>
      </w:r>
      <w:r>
        <w:rPr>
          <w:rFonts w:ascii="Cambria" w:hAnsi="Cambria" w:cs="Cambria"/>
          <w:sz w:val="18"/>
          <w:szCs w:val="18"/>
        </w:rPr>
        <w:t xml:space="preserve"> fornecedor, no caso da contratação direta, será convocado para assinar a ata de registro de preços, no prazo e nas condições estabelecidos no edital de licitação ou no aviso de contratação direta, sob pena de decair o direito, sem prejuízo das sanções pre</w:t>
      </w:r>
      <w:r>
        <w:rPr>
          <w:rFonts w:ascii="Cambria" w:hAnsi="Cambria" w:cs="Cambria"/>
          <w:sz w:val="18"/>
          <w:szCs w:val="18"/>
        </w:rPr>
        <w:t xml:space="preserve">vistas na Lei nº 14.133, de 2021.</w:t>
      </w:r>
      <w:r/>
    </w:p>
    <w:p>
      <w:pPr>
        <w:pStyle w:val="1070"/>
      </w:pPr>
      <w:r>
        <w:rPr>
          <w:rFonts w:asciiTheme="minorHAnsi" w:hAnsiTheme="minorHAnsi"/>
          <w:sz w:val="18"/>
        </w:rPr>
        <w:t xml:space="preserve">O prazo de convocação poderá ser prorrogado 1 (uma) vez, por igual período, mediante solicitação do licitante ou fornecedor convocado, desde que apresentada dentro do prazo, devidamente justificada, e que a justificativa s</w:t>
      </w:r>
      <w:r>
        <w:rPr>
          <w:rFonts w:asciiTheme="minorHAnsi" w:hAnsiTheme="minorHAnsi"/>
          <w:sz w:val="18"/>
        </w:rPr>
        <w:t xml:space="preserve">eja aceita pela Administração</w:t>
      </w:r>
      <w:r>
        <w:t xml:space="preserve">.</w:t>
      </w:r>
      <w:r/>
    </w:p>
    <w:p>
      <w:pPr>
        <w:pStyle w:val="1068"/>
        <w:tabs>
          <w:tab w:val="left" w:pos="425" w:leader="none"/>
        </w:tabs>
        <w:rPr>
          <w:rFonts w:ascii="Cambria" w:hAnsi="Cambria" w:cs="Cambria"/>
          <w:sz w:val="18"/>
          <w:szCs w:val="18"/>
        </w:rPr>
      </w:pPr>
      <w:r>
        <w:rPr>
          <w:rFonts w:ascii="Cambria" w:hAnsi="Cambria" w:cs="Cambria"/>
          <w:sz w:val="18"/>
          <w:szCs w:val="18"/>
        </w:rPr>
        <w:t xml:space="preserve">A</w:t>
      </w:r>
      <w:r>
        <w:rPr>
          <w:rFonts w:ascii="Cambria" w:hAnsi="Cambria" w:cs="Cambria"/>
          <w:sz w:val="18"/>
          <w:szCs w:val="18"/>
        </w:rPr>
        <w:t xml:space="preserve"> ata de registro de preços será assinada por meio de assinatura digital e disponibilizada no Sistema de Registro de Preços.</w:t>
      </w:r>
      <w:r/>
    </w:p>
    <w:p>
      <w:pPr>
        <w:pStyle w:val="1068"/>
        <w:tabs>
          <w:tab w:val="left" w:pos="567" w:leader="none"/>
        </w:tabs>
        <w:rPr>
          <w:rFonts w:ascii="Cambria" w:hAnsi="Cambria" w:cs="Cambria"/>
          <w:sz w:val="18"/>
          <w:szCs w:val="18"/>
        </w:rPr>
      </w:pPr>
      <w:r>
        <w:rPr>
          <w:rFonts w:ascii="Cambria" w:hAnsi="Cambria" w:cs="Cambria"/>
          <w:sz w:val="18"/>
          <w:szCs w:val="18"/>
        </w:rPr>
        <w:t xml:space="preserve">Quando o convocado não assinar a ata de registro de preços no prazo e nas condições estabelecidos no</w:t>
      </w:r>
      <w:r>
        <w:rPr>
          <w:rFonts w:ascii="Cambria" w:hAnsi="Cambria" w:cs="Cambria"/>
          <w:sz w:val="18"/>
          <w:szCs w:val="18"/>
        </w:rPr>
        <w:t xml:space="preserve"> edital ou no aviso de contratação, e observado o disposto no item 4.7, observando o item 4.7 e subitens, fica facultado à Administração convocar os licitantes remanescentes do cadastro de reserva, na ordem de classificação, para fazê-lo em igual prazo e n</w:t>
      </w:r>
      <w:r>
        <w:rPr>
          <w:rFonts w:ascii="Cambria" w:hAnsi="Cambria" w:cs="Cambria"/>
          <w:sz w:val="18"/>
          <w:szCs w:val="18"/>
        </w:rPr>
        <w:t xml:space="preserve">as condições propostas pelo primeiro classificado.</w:t>
      </w:r>
      <w:r/>
    </w:p>
    <w:p>
      <w:pPr>
        <w:pStyle w:val="1068"/>
        <w:rPr>
          <w:rFonts w:ascii="Cambria" w:hAnsi="Cambria" w:cs="Cambria"/>
          <w:sz w:val="18"/>
          <w:szCs w:val="18"/>
        </w:rPr>
      </w:pPr>
      <w:r>
        <w:rPr>
          <w:rFonts w:ascii="Cambria" w:hAnsi="Cambria" w:cs="Cambria"/>
          <w:sz w:val="18"/>
          <w:szCs w:val="18"/>
        </w:rPr>
        <w:t xml:space="preserve">Na hipótese de nenhum dos licitantes que trata o item 4.4.2.1, aceitar a contratação nos termos do item anterior, a Administração, observados o valor es</w:t>
      </w:r>
      <w:r>
        <w:rPr>
          <w:rFonts w:ascii="Cambria" w:hAnsi="Cambria" w:eastAsia="Arial" w:cs="Cambria"/>
          <w:sz w:val="18"/>
          <w:szCs w:val="18"/>
        </w:rPr>
        <w:t xml:space="preserve">ti</w:t>
      </w:r>
      <w:r>
        <w:rPr>
          <w:rFonts w:ascii="Cambria" w:hAnsi="Cambria" w:cs="Cambria"/>
          <w:sz w:val="18"/>
          <w:szCs w:val="18"/>
        </w:rPr>
        <w:t xml:space="preserve">mado e sua eventual atualização nos termos </w:t>
      </w:r>
      <w:r>
        <w:rPr>
          <w:rFonts w:ascii="Cambria" w:hAnsi="Cambria" w:cs="Cambria"/>
          <w:i/>
          <w:iCs/>
          <w:color w:val="000000" w:themeColor="text1"/>
          <w:sz w:val="18"/>
          <w:szCs w:val="18"/>
        </w:rPr>
        <w:t xml:space="preserve">do </w:t>
      </w:r>
      <w:r>
        <w:rPr>
          <w:rFonts w:ascii="Cambria" w:hAnsi="Cambria" w:cs="Cambria"/>
          <w:i/>
          <w:iCs/>
          <w:color w:val="000000" w:themeColor="text1"/>
          <w:sz w:val="18"/>
          <w:szCs w:val="18"/>
        </w:rPr>
        <w:t xml:space="preserve">edita</w:t>
      </w:r>
      <w:r>
        <w:rPr>
          <w:rFonts w:ascii="Cambria" w:hAnsi="Cambria" w:cs="Cambria"/>
          <w:i/>
          <w:iCs/>
          <w:color w:val="000000" w:themeColor="text1"/>
          <w:sz w:val="18"/>
          <w:szCs w:val="18"/>
        </w:rPr>
        <w:t xml:space="preserve">l </w:t>
      </w:r>
      <w:r>
        <w:rPr>
          <w:rFonts w:ascii="Cambria" w:hAnsi="Cambria" w:cs="Cambria"/>
          <w:color w:val="000000" w:themeColor="text1"/>
          <w:sz w:val="18"/>
          <w:szCs w:val="18"/>
        </w:rPr>
        <w:t xml:space="preserve">,</w:t>
      </w:r>
      <w:r>
        <w:rPr>
          <w:rFonts w:ascii="Cambria" w:hAnsi="Cambria" w:cs="Cambria"/>
          <w:color w:val="000000" w:themeColor="text1"/>
          <w:sz w:val="18"/>
          <w:szCs w:val="18"/>
        </w:rPr>
        <w:t xml:space="preserve"> </w:t>
      </w:r>
      <w:r>
        <w:rPr>
          <w:rFonts w:ascii="Cambria" w:hAnsi="Cambria" w:cs="Cambria"/>
          <w:sz w:val="18"/>
          <w:szCs w:val="18"/>
        </w:rPr>
        <w:t xml:space="preserve">poderá:</w:t>
      </w:r>
      <w:r/>
    </w:p>
    <w:p>
      <w:pPr>
        <w:pStyle w:val="1133"/>
        <w:numPr>
          <w:ilvl w:val="0"/>
          <w:numId w:val="13"/>
        </w:numPr>
        <w:tabs>
          <w:tab w:val="left" w:pos="709" w:leader="none"/>
        </w:tabs>
        <w:rPr>
          <w:rFonts w:ascii="Cambria" w:hAnsi="Cambria" w:cs="Cambria"/>
          <w:sz w:val="18"/>
          <w:szCs w:val="18"/>
        </w:rPr>
      </w:pPr>
      <w:r>
        <w:rPr>
          <w:rFonts w:ascii="Cambria" w:hAnsi="Cambria" w:cs="Cambria"/>
          <w:sz w:val="18"/>
          <w:szCs w:val="18"/>
        </w:rPr>
        <w:t xml:space="preserve">Convocar para negociação os demais licitantes ou fornecedores remanescentes cujos preços foram registrados sem redução, observada a ordem de classificação, com vistas à obtenção de preço melhor, mesmo que acima do preço do adjudicatário; ou</w:t>
      </w:r>
      <w:r/>
    </w:p>
    <w:p>
      <w:pPr>
        <w:pStyle w:val="1133"/>
        <w:numPr>
          <w:ilvl w:val="0"/>
          <w:numId w:val="13"/>
        </w:numPr>
        <w:tabs>
          <w:tab w:val="left" w:pos="709" w:leader="none"/>
        </w:tabs>
        <w:rPr>
          <w:rFonts w:ascii="Cambria" w:hAnsi="Cambria" w:cs="Cambria"/>
          <w:sz w:val="18"/>
          <w:szCs w:val="18"/>
        </w:rPr>
      </w:pPr>
      <w:r>
        <w:rPr>
          <w:rFonts w:ascii="Cambria" w:hAnsi="Cambria" w:cs="Cambria"/>
          <w:sz w:val="18"/>
          <w:szCs w:val="18"/>
        </w:rPr>
        <w:t xml:space="preserve">Adj</w:t>
      </w:r>
      <w:r>
        <w:rPr>
          <w:rFonts w:ascii="Cambria" w:hAnsi="Cambria" w:cs="Cambria"/>
          <w:sz w:val="18"/>
          <w:szCs w:val="18"/>
        </w:rPr>
        <w:t xml:space="preserve">udicar e firmar o contrato nas condições ofertadas pelos licitantes ou fornecedores remanescentes, atendida a ordem classificatória, quando frustrada a negociação de melhor condição.</w:t>
      </w:r>
      <w:r/>
    </w:p>
    <w:p>
      <w:pPr>
        <w:pStyle w:val="1068"/>
        <w:tabs>
          <w:tab w:val="left" w:pos="709" w:leader="none"/>
        </w:tabs>
        <w:rPr>
          <w:rFonts w:ascii="Cambria" w:hAnsi="Cambria" w:cs="Cambria"/>
          <w:sz w:val="18"/>
          <w:szCs w:val="18"/>
        </w:rPr>
      </w:pPr>
      <w:r>
        <w:rPr>
          <w:rFonts w:ascii="Cambria" w:hAnsi="Cambria" w:cs="Cambria"/>
          <w:sz w:val="18"/>
          <w:szCs w:val="18"/>
        </w:rPr>
        <w:t xml:space="preserve">A existência de preços registrados implicará compromisso de fornecimento </w:t>
      </w:r>
      <w:r>
        <w:rPr>
          <w:rFonts w:ascii="Cambria" w:hAnsi="Cambria" w:cs="Cambria"/>
          <w:sz w:val="18"/>
          <w:szCs w:val="18"/>
        </w:rPr>
        <w:t xml:space="preserve">nas condições estabelecidas, mas não obrigará a Administração a contratar, facultada a realização de licitação específica para a aquisição pretendida, desde que devidamente justificada.</w:t>
      </w:r>
      <w:r/>
    </w:p>
    <w:p>
      <w:pPr>
        <w:pStyle w:val="1051"/>
        <w:rPr>
          <w:rFonts w:ascii="Cambria" w:hAnsi="Cambria" w:cs="Cambria"/>
          <w:sz w:val="18"/>
          <w:szCs w:val="18"/>
        </w:rPr>
      </w:pPr>
      <w:r>
        <w:rPr>
          <w:rFonts w:ascii="Cambria" w:hAnsi="Cambria" w:cs="Cambria"/>
          <w:sz w:val="18"/>
          <w:szCs w:val="18"/>
        </w:rPr>
        <w:t xml:space="preserve">ALTERAÇÃO OU ATUALIZAÇÃO DOS PREÇOS REGISTRADOS</w:t>
      </w:r>
      <w:r/>
    </w:p>
    <w:p>
      <w:pPr>
        <w:pStyle w:val="1068"/>
        <w:tabs>
          <w:tab w:val="left" w:pos="567" w:leader="none"/>
          <w:tab w:val="left" w:pos="992" w:leader="none"/>
        </w:tabs>
        <w:rPr>
          <w:rFonts w:ascii="Cambria" w:hAnsi="Cambria" w:cs="Cambria"/>
          <w:sz w:val="18"/>
          <w:szCs w:val="18"/>
        </w:rPr>
      </w:pPr>
      <w:r>
        <w:rPr>
          <w:rFonts w:ascii="Cambria" w:hAnsi="Cambria" w:cs="Cambria"/>
          <w:sz w:val="18"/>
          <w:szCs w:val="18"/>
        </w:rPr>
        <w:t xml:space="preserve">Os preços registrados poderão ser alterados ou atualizados em decorrência de eventual redução dos preços pra</w:t>
      </w:r>
      <w:r>
        <w:rPr>
          <w:rFonts w:ascii="Cambria" w:hAnsi="Cambria" w:eastAsia="Calibri" w:cs="Cambria"/>
          <w:sz w:val="18"/>
          <w:szCs w:val="18"/>
        </w:rPr>
        <w:t xml:space="preserve">ti</w:t>
      </w:r>
      <w:r>
        <w:rPr>
          <w:rFonts w:ascii="Cambria" w:hAnsi="Cambria" w:cs="Cambria"/>
          <w:sz w:val="18"/>
          <w:szCs w:val="18"/>
        </w:rPr>
        <w:t xml:space="preserve">cados no mercado ou de fato que eleve o custo dos bens, das obras ou dos serviços registrados, nas seguintes situações:</w:t>
      </w:r>
      <w:r/>
    </w:p>
    <w:p>
      <w:pPr>
        <w:pStyle w:val="1070"/>
        <w:rPr>
          <w:rFonts w:asciiTheme="minorHAnsi" w:hAnsiTheme="minorHAnsi"/>
          <w:sz w:val="18"/>
          <w:szCs w:val="18"/>
        </w:rPr>
      </w:pPr>
      <w:r>
        <w:rPr>
          <w:rFonts w:asciiTheme="minorHAnsi" w:hAnsiTheme="minorHAnsi"/>
          <w:sz w:val="18"/>
          <w:szCs w:val="18"/>
        </w:rPr>
        <w:t xml:space="preserve">Em caso de força maior, ca</w:t>
      </w:r>
      <w:r>
        <w:rPr>
          <w:rFonts w:asciiTheme="minorHAnsi" w:hAnsiTheme="minorHAnsi"/>
          <w:sz w:val="18"/>
          <w:szCs w:val="18"/>
        </w:rPr>
        <w:t xml:space="preserve">so fortuito ou fato do príncipe ou em decorrência de fatos imprevisíveis ou previsíveis de consequências incalculáveis, que inviabilizem a execução da ata tal como pactuada, nos termos da </w:t>
      </w:r>
      <w:r>
        <w:rPr>
          <w:rFonts w:asciiTheme="minorHAnsi" w:hAnsiTheme="minorHAnsi"/>
          <w:color w:val="0000ef"/>
          <w:sz w:val="18"/>
          <w:szCs w:val="18"/>
        </w:rPr>
        <w:t xml:space="preserve">alínea “d” do inciso II do caput do art. 124 da Lei nº 14.133, de 20</w:t>
      </w:r>
      <w:r>
        <w:rPr>
          <w:rFonts w:asciiTheme="minorHAnsi" w:hAnsiTheme="minorHAnsi"/>
          <w:color w:val="0000ef"/>
          <w:sz w:val="18"/>
          <w:szCs w:val="18"/>
        </w:rPr>
        <w:t xml:space="preserve">21;</w:t>
      </w:r>
      <w:r>
        <w:rPr>
          <w:rFonts w:asciiTheme="minorHAnsi" w:hAnsiTheme="minorHAnsi"/>
          <w:sz w:val="18"/>
          <w:szCs w:val="18"/>
        </w:rPr>
      </w:r>
      <w:r/>
    </w:p>
    <w:p>
      <w:pPr>
        <w:pStyle w:val="1133"/>
        <w:numPr>
          <w:ilvl w:val="2"/>
          <w:numId w:val="2"/>
        </w:numPr>
        <w:ind w:left="0"/>
        <w:rPr>
          <w:rFonts w:asciiTheme="minorHAnsi" w:hAnsiTheme="minorHAnsi"/>
          <w:sz w:val="18"/>
          <w:szCs w:val="18"/>
        </w:rPr>
      </w:pPr>
      <w:r>
        <w:rPr>
          <w:rFonts w:asciiTheme="minorHAnsi" w:hAnsiTheme="minorHAnsi"/>
          <w:sz w:val="18"/>
          <w:szCs w:val="18"/>
        </w:rPr>
        <w:t xml:space="preserve">Em caso de criação, alteração ou ex</w:t>
      </w:r>
      <w:r>
        <w:rPr>
          <w:rFonts w:eastAsia="Calibri" w:asciiTheme="minorHAnsi" w:hAnsiTheme="minorHAnsi"/>
          <w:sz w:val="18"/>
          <w:szCs w:val="18"/>
        </w:rPr>
        <w:t xml:space="preserve">ti</w:t>
      </w:r>
      <w:r>
        <w:rPr>
          <w:rFonts w:asciiTheme="minorHAnsi" w:hAnsiTheme="minorHAnsi"/>
          <w:sz w:val="18"/>
          <w:szCs w:val="18"/>
        </w:rPr>
        <w:t xml:space="preserve">nção de quaisquer tributos ou encargos legais ou a superveniência de disposições legais, com comprovada repercussão sobre os preços registrados; </w:t>
      </w:r>
      <w:r/>
    </w:p>
    <w:p>
      <w:pPr>
        <w:pStyle w:val="1133"/>
        <w:numPr>
          <w:ilvl w:val="2"/>
          <w:numId w:val="2"/>
        </w:numPr>
        <w:ind w:left="0"/>
        <w:tabs>
          <w:tab w:val="left" w:pos="567" w:leader="none"/>
          <w:tab w:val="left" w:pos="1134" w:leader="none"/>
        </w:tabs>
        <w:rPr>
          <w:rFonts w:cs="Cambria" w:asciiTheme="minorHAnsi" w:hAnsiTheme="minorHAnsi"/>
          <w:sz w:val="18"/>
          <w:szCs w:val="18"/>
        </w:rPr>
      </w:pPr>
      <w:r>
        <w:rPr>
          <w:rFonts w:cs="Cambria" w:asciiTheme="minorHAnsi" w:hAnsiTheme="minorHAnsi"/>
          <w:sz w:val="18"/>
          <w:szCs w:val="18"/>
        </w:rPr>
        <w:t xml:space="preserve">Na hipótese de previsão no edital ou no aviso de contratação direta d</w:t>
      </w:r>
      <w:r>
        <w:rPr>
          <w:rFonts w:cs="Cambria" w:asciiTheme="minorHAnsi" w:hAnsiTheme="minorHAnsi"/>
          <w:sz w:val="18"/>
          <w:szCs w:val="18"/>
        </w:rPr>
        <w:t xml:space="preserve">e cláusula de reajustamento ou repactuação sobre os preços registrados, nos termos da Lei nº 14.133, de 2021.</w:t>
      </w:r>
      <w:r/>
    </w:p>
    <w:p>
      <w:pPr>
        <w:pStyle w:val="1134"/>
        <w:numPr>
          <w:ilvl w:val="3"/>
          <w:numId w:val="2"/>
        </w:numPr>
        <w:tabs>
          <w:tab w:val="left" w:pos="567" w:leader="none"/>
        </w:tabs>
        <w:rPr>
          <w:rFonts w:ascii="Cambria" w:hAnsi="Cambria" w:cs="Cambria"/>
          <w:sz w:val="18"/>
          <w:szCs w:val="18"/>
        </w:rPr>
      </w:pPr>
      <w:r>
        <w:rPr>
          <w:rFonts w:ascii="Cambria" w:hAnsi="Cambria" w:cs="Cambria"/>
          <w:sz w:val="18"/>
          <w:szCs w:val="18"/>
        </w:rPr>
        <w:t xml:space="preserve">No caso do reajustamento, deverá ser respeitada a contagem da anualidade e o índice previstos para a contratação;  </w:t>
      </w:r>
      <w:r/>
    </w:p>
    <w:p>
      <w:pPr>
        <w:pStyle w:val="1134"/>
        <w:numPr>
          <w:ilvl w:val="3"/>
          <w:numId w:val="2"/>
        </w:numPr>
        <w:tabs>
          <w:tab w:val="left" w:pos="567" w:leader="none"/>
        </w:tabs>
        <w:rPr>
          <w:rFonts w:ascii="Cambria" w:hAnsi="Cambria" w:cs="Cambria"/>
          <w:sz w:val="18"/>
          <w:szCs w:val="18"/>
        </w:rPr>
      </w:pPr>
      <w:r>
        <w:rPr>
          <w:rFonts w:ascii="Cambria" w:hAnsi="Cambria" w:cs="Cambria"/>
          <w:sz w:val="18"/>
          <w:szCs w:val="18"/>
        </w:rPr>
        <w:t xml:space="preserve">No caso da repactuação, poderá</w:t>
      </w:r>
      <w:r>
        <w:rPr>
          <w:rFonts w:ascii="Cambria" w:hAnsi="Cambria" w:cs="Cambria"/>
          <w:sz w:val="18"/>
          <w:szCs w:val="18"/>
        </w:rPr>
        <w:t xml:space="preserve"> ser a pedido do interessado, conforme critérios definidos para a contratação.</w:t>
      </w:r>
      <w:r/>
    </w:p>
    <w:p>
      <w:pPr>
        <w:pStyle w:val="1051"/>
        <w:tabs>
          <w:tab w:val="left" w:pos="425" w:leader="none"/>
          <w:tab w:val="left" w:pos="992" w:leader="none"/>
        </w:tabs>
        <w:rPr>
          <w:rFonts w:ascii="Cambria" w:hAnsi="Cambria" w:cs="Cambria"/>
          <w:sz w:val="18"/>
          <w:szCs w:val="18"/>
        </w:rPr>
      </w:pPr>
      <w:r>
        <w:rPr>
          <w:rFonts w:ascii="Cambria" w:hAnsi="Cambria" w:cs="Cambria"/>
          <w:sz w:val="18"/>
          <w:szCs w:val="18"/>
        </w:rPr>
        <w:t xml:space="preserve">NEGOCIAÇÃO DE PREÇOS REGISTRADOS</w:t>
      </w:r>
      <w:r/>
    </w:p>
    <w:p>
      <w:pPr>
        <w:pStyle w:val="1068"/>
        <w:tabs>
          <w:tab w:val="left" w:pos="425" w:leader="none"/>
          <w:tab w:val="left" w:pos="567" w:leader="none"/>
          <w:tab w:val="left" w:pos="992" w:leader="none"/>
        </w:tabs>
        <w:rPr>
          <w:rFonts w:ascii="Cambria" w:hAnsi="Cambria" w:cs="Cambria"/>
          <w:sz w:val="18"/>
          <w:szCs w:val="18"/>
        </w:rPr>
      </w:pPr>
      <w:r>
        <w:rPr>
          <w:rFonts w:ascii="Cambria" w:hAnsi="Cambria" w:cs="Cambria"/>
          <w:sz w:val="18"/>
          <w:szCs w:val="18"/>
        </w:rPr>
        <w:t xml:space="preserve">Na hipótese de o preço registrado tornar-se superior ao preço pra</w:t>
      </w:r>
      <w:r>
        <w:rPr>
          <w:rFonts w:ascii="Cambria" w:hAnsi="Cambria" w:eastAsia="Calibri" w:cs="Cambria"/>
          <w:sz w:val="18"/>
          <w:szCs w:val="18"/>
        </w:rPr>
        <w:t xml:space="preserve">ti</w:t>
      </w:r>
      <w:r>
        <w:rPr>
          <w:rFonts w:ascii="Cambria" w:hAnsi="Cambria" w:cs="Cambria"/>
          <w:sz w:val="18"/>
          <w:szCs w:val="18"/>
        </w:rPr>
        <w:t xml:space="preserve">cado no mercado por mo</w:t>
      </w:r>
      <w:r>
        <w:rPr>
          <w:rFonts w:ascii="Cambria" w:hAnsi="Cambria" w:eastAsia="Calibri" w:cs="Cambria"/>
          <w:sz w:val="18"/>
          <w:szCs w:val="18"/>
        </w:rPr>
        <w:t xml:space="preserve">ti</w:t>
      </w:r>
      <w:r>
        <w:rPr>
          <w:rFonts w:ascii="Cambria" w:hAnsi="Cambria" w:cs="Cambria"/>
          <w:sz w:val="18"/>
          <w:szCs w:val="18"/>
        </w:rPr>
        <w:t xml:space="preserve">vo superveniente, o órgão ou en</w:t>
      </w:r>
      <w:r>
        <w:rPr>
          <w:rFonts w:ascii="Cambria" w:hAnsi="Cambria" w:eastAsia="Calibri" w:cs="Cambria"/>
          <w:sz w:val="18"/>
          <w:szCs w:val="18"/>
        </w:rPr>
        <w:t xml:space="preserve">ti</w:t>
      </w:r>
      <w:r>
        <w:rPr>
          <w:rFonts w:ascii="Cambria" w:hAnsi="Cambria" w:cs="Cambria"/>
          <w:sz w:val="18"/>
          <w:szCs w:val="18"/>
        </w:rPr>
        <w:t xml:space="preserve">dade gerenciadora co</w:t>
      </w:r>
      <w:r>
        <w:rPr>
          <w:rFonts w:ascii="Cambria" w:hAnsi="Cambria" w:cs="Cambria"/>
          <w:sz w:val="18"/>
          <w:szCs w:val="18"/>
        </w:rPr>
        <w:t xml:space="preserve">nvocará o fornecedor para negociar a redução do preço registrado.</w:t>
      </w:r>
      <w:r>
        <w:rPr>
          <w:rFonts w:ascii="Cambria" w:hAnsi="Cambria" w:cs="Cambria"/>
          <w:sz w:val="18"/>
          <w:szCs w:val="18"/>
        </w:rPr>
      </w:r>
      <w:r/>
    </w:p>
    <w:p>
      <w:pPr>
        <w:pStyle w:val="1133"/>
        <w:numPr>
          <w:ilvl w:val="2"/>
          <w:numId w:val="2"/>
        </w:numPr>
        <w:ind w:left="0"/>
        <w:rPr>
          <w:rFonts w:asciiTheme="minorHAnsi" w:hAnsiTheme="minorHAnsi"/>
          <w:sz w:val="18"/>
        </w:rPr>
      </w:pPr>
      <w:r>
        <w:rPr>
          <w:rFonts w:asciiTheme="minorHAnsi" w:hAnsiTheme="minorHAnsi"/>
          <w:sz w:val="18"/>
        </w:rPr>
        <w:t xml:space="preserve">Caso não aceite reduzir seu preço aos valores pra</w:t>
      </w:r>
      <w:r>
        <w:rPr>
          <w:rFonts w:eastAsia="Calibri" w:asciiTheme="minorHAnsi" w:hAnsiTheme="minorHAnsi"/>
          <w:sz w:val="18"/>
        </w:rPr>
        <w:t xml:space="preserve">ti</w:t>
      </w:r>
      <w:r>
        <w:rPr>
          <w:rFonts w:asciiTheme="minorHAnsi" w:hAnsiTheme="minorHAnsi"/>
          <w:sz w:val="18"/>
        </w:rPr>
        <w:t xml:space="preserve">cados pelo mercado, o fornecedor será liberado do compromisso assumido quanto ao item registrado, sem aplicação de penalidades administrativas.</w:t>
      </w:r>
      <w:r/>
    </w:p>
    <w:p>
      <w:pPr>
        <w:pStyle w:val="1133"/>
        <w:numPr>
          <w:ilvl w:val="2"/>
          <w:numId w:val="2"/>
        </w:numPr>
        <w:ind w:left="0"/>
        <w:tabs>
          <w:tab w:val="left" w:pos="425" w:leader="none"/>
          <w:tab w:val="left" w:pos="567" w:leader="none"/>
          <w:tab w:val="left" w:pos="1134" w:leader="none"/>
        </w:tabs>
        <w:rPr>
          <w:rFonts w:ascii="Cambria" w:hAnsi="Cambria" w:cs="Cambria"/>
          <w:sz w:val="18"/>
          <w:szCs w:val="18"/>
        </w:rPr>
      </w:pPr>
      <w:r>
        <w:rPr>
          <w:rFonts w:ascii="Cambria" w:hAnsi="Cambria" w:cs="Cambria"/>
          <w:sz w:val="18"/>
          <w:szCs w:val="18"/>
        </w:rPr>
        <w:t xml:space="preserve">N</w:t>
      </w:r>
      <w:r>
        <w:rPr>
          <w:rFonts w:ascii="Cambria" w:hAnsi="Cambria" w:cs="Cambria"/>
          <w:sz w:val="18"/>
          <w:szCs w:val="18"/>
        </w:rPr>
        <w:t xml:space="preserve">a hipótese prevista no item anterior, o gerenciador convocará os fornecedores do cadastro de reserva, na ordem </w:t>
      </w:r>
      <w:r>
        <w:rPr>
          <w:rFonts w:ascii="Cambria" w:hAnsi="Cambria" w:cs="Cambria"/>
          <w:sz w:val="18"/>
          <w:szCs w:val="18"/>
        </w:rPr>
        <w:t xml:space="preserve">de classificação, para verificar se aceitam reduzir seus preços aos valores de mercado e não convocará os licitantes ou fornecedores que tiveram seu registro cancelado. </w:t>
      </w:r>
      <w:r/>
    </w:p>
    <w:p>
      <w:pPr>
        <w:pStyle w:val="1133"/>
        <w:numPr>
          <w:ilvl w:val="2"/>
          <w:numId w:val="2"/>
        </w:numPr>
        <w:ind w:left="0"/>
        <w:tabs>
          <w:tab w:val="left" w:pos="425" w:leader="none"/>
          <w:tab w:val="left" w:pos="567" w:leader="none"/>
          <w:tab w:val="left" w:pos="1134" w:leader="none"/>
        </w:tabs>
        <w:rPr>
          <w:rFonts w:ascii="Cambria" w:hAnsi="Cambria" w:cs="Cambria"/>
          <w:sz w:val="18"/>
          <w:szCs w:val="18"/>
        </w:rPr>
      </w:pPr>
      <w:r>
        <w:rPr>
          <w:rFonts w:ascii="Cambria" w:hAnsi="Cambria" w:cs="Cambria"/>
          <w:sz w:val="18"/>
          <w:szCs w:val="18"/>
        </w:rPr>
        <w:t xml:space="preserve">Se não obtiver êxito nas negociações, o órgão ou en</w:t>
      </w:r>
      <w:r>
        <w:rPr>
          <w:rFonts w:ascii="Cambria" w:hAnsi="Cambria" w:eastAsia="Calibri" w:cs="Cambria"/>
          <w:sz w:val="18"/>
          <w:szCs w:val="18"/>
        </w:rPr>
        <w:t xml:space="preserve">tid</w:t>
      </w:r>
      <w:r>
        <w:rPr>
          <w:rFonts w:ascii="Cambria" w:hAnsi="Cambria" w:cs="Cambria"/>
          <w:sz w:val="18"/>
          <w:szCs w:val="18"/>
        </w:rPr>
        <w:t xml:space="preserve">ade gerenciadora procederá ao ca</w:t>
      </w:r>
      <w:r>
        <w:rPr>
          <w:rFonts w:ascii="Cambria" w:hAnsi="Cambria" w:cs="Cambria"/>
          <w:sz w:val="18"/>
          <w:szCs w:val="18"/>
        </w:rPr>
        <w:t xml:space="preserve">ncelamento da ata de registro de preços, adotando as medidas cabíveis para obtenção de contratação mais vantajosa.</w:t>
      </w:r>
      <w:r/>
    </w:p>
    <w:p>
      <w:pPr>
        <w:pStyle w:val="1133"/>
        <w:numPr>
          <w:ilvl w:val="2"/>
          <w:numId w:val="2"/>
        </w:numPr>
        <w:ind w:left="0"/>
        <w:tabs>
          <w:tab w:val="left" w:pos="425" w:leader="none"/>
          <w:tab w:val="left" w:pos="567" w:leader="none"/>
          <w:tab w:val="left" w:pos="1134" w:leader="none"/>
        </w:tabs>
        <w:rPr>
          <w:rFonts w:ascii="Cambria" w:hAnsi="Cambria" w:cs="Cambria"/>
          <w:sz w:val="18"/>
          <w:szCs w:val="18"/>
        </w:rPr>
      </w:pPr>
      <w:r>
        <w:rPr>
          <w:rFonts w:ascii="Cambria" w:hAnsi="Cambria" w:cs="Cambria"/>
          <w:sz w:val="18"/>
          <w:szCs w:val="18"/>
        </w:rPr>
        <w:t xml:space="preserve">Na hipótese de redução do preço registrado, o gerenciador comunicará aos órgãos e às en</w:t>
      </w:r>
      <w:r>
        <w:rPr>
          <w:rFonts w:ascii="Cambria" w:hAnsi="Cambria" w:eastAsia="Calibri" w:cs="Cambria"/>
          <w:sz w:val="18"/>
          <w:szCs w:val="18"/>
        </w:rPr>
        <w:t xml:space="preserve">ti</w:t>
      </w:r>
      <w:r>
        <w:rPr>
          <w:rFonts w:ascii="Cambria" w:hAnsi="Cambria" w:cs="Cambria"/>
          <w:sz w:val="18"/>
          <w:szCs w:val="18"/>
        </w:rPr>
        <w:t xml:space="preserve">dades que </w:t>
      </w:r>
      <w:r>
        <w:rPr>
          <w:rFonts w:ascii="Cambria" w:hAnsi="Cambria" w:eastAsia="Calibri" w:cs="Cambria"/>
          <w:sz w:val="18"/>
          <w:szCs w:val="18"/>
        </w:rPr>
        <w:t xml:space="preserve">ti</w:t>
      </w:r>
      <w:r>
        <w:rPr>
          <w:rFonts w:ascii="Cambria" w:hAnsi="Cambria" w:cs="Cambria"/>
          <w:sz w:val="18"/>
          <w:szCs w:val="18"/>
        </w:rPr>
        <w:t xml:space="preserve">verem firmado contratos decorrentes da a</w:t>
      </w:r>
      <w:r>
        <w:rPr>
          <w:rFonts w:ascii="Cambria" w:hAnsi="Cambria" w:cs="Cambria"/>
          <w:sz w:val="18"/>
          <w:szCs w:val="18"/>
        </w:rPr>
        <w:t xml:space="preserve">ta de registro de preços para que avaliem a conveniência e a oportunidade de diligenciarem negociação com vistas à alteração contratual, observado o disposto no art. 124 da Lei nº 14.133, de 2021.</w:t>
      </w:r>
      <w:r/>
    </w:p>
    <w:p>
      <w:pPr>
        <w:pStyle w:val="1133"/>
        <w:numPr>
          <w:ilvl w:val="2"/>
          <w:numId w:val="2"/>
        </w:numPr>
        <w:ind w:left="0"/>
        <w:rPr>
          <w:rFonts w:ascii="Cambria" w:hAnsi="Cambria" w:cs="Cambria"/>
          <w:sz w:val="18"/>
          <w:szCs w:val="18"/>
        </w:rPr>
      </w:pPr>
      <w:r>
        <w:rPr>
          <w:rFonts w:ascii="Cambria" w:hAnsi="Cambria" w:cs="Cambria"/>
          <w:sz w:val="18"/>
          <w:szCs w:val="18"/>
        </w:rPr>
        <w:t xml:space="preserve">Na hipótese de o preço de mercado tornar-se superior ao pre</w:t>
      </w:r>
      <w:r>
        <w:rPr>
          <w:rFonts w:ascii="Cambria" w:hAnsi="Cambria" w:cs="Cambria"/>
          <w:sz w:val="18"/>
          <w:szCs w:val="18"/>
        </w:rPr>
        <w:t xml:space="preserve">ço registrado e o fornecedor não poder cumprir as obrigações estabelecidas na ata, será facultado ao fornecedor requerer ao gerenciador a alteração do preço registrado, mediante comprovação de fato superveniente que supostamente o impossibilite de cumprir </w:t>
      </w:r>
      <w:r>
        <w:rPr>
          <w:rFonts w:ascii="Cambria" w:hAnsi="Cambria" w:cs="Cambria"/>
          <w:sz w:val="18"/>
          <w:szCs w:val="18"/>
        </w:rPr>
        <w:t xml:space="preserve">o compromisso.</w:t>
      </w:r>
      <w:r/>
    </w:p>
    <w:p>
      <w:pPr>
        <w:pStyle w:val="1133"/>
        <w:numPr>
          <w:ilvl w:val="2"/>
          <w:numId w:val="2"/>
        </w:numPr>
        <w:ind w:left="0"/>
        <w:rPr>
          <w:rFonts w:ascii="Cambria" w:hAnsi="Cambria" w:cs="Cambria"/>
          <w:sz w:val="18"/>
          <w:szCs w:val="18"/>
        </w:rPr>
      </w:pPr>
      <w:r>
        <w:rPr>
          <w:rFonts w:ascii="Cambria" w:hAnsi="Cambria" w:cs="Cambria"/>
          <w:sz w:val="18"/>
          <w:szCs w:val="18"/>
        </w:rPr>
        <w:t xml:space="preserve">Neste caso, o fornecedor encaminhará, juntamente com o pedido de alteração, a documentação comprobatória ou </w:t>
      </w:r>
      <w:r>
        <w:rPr>
          <w:rFonts w:ascii="Cambria" w:hAnsi="Cambria" w:cs="Cambria"/>
          <w:sz w:val="18"/>
          <w:szCs w:val="18"/>
        </w:rPr>
        <w:t xml:space="preserve">a</w:t>
      </w:r>
      <w:r>
        <w:rPr>
          <w:rFonts w:ascii="Cambria" w:hAnsi="Cambria" w:cs="Cambria"/>
          <w:sz w:val="18"/>
          <w:szCs w:val="18"/>
        </w:rPr>
        <w:t xml:space="preserve"> planilha de custos que demonstre a inviabilidade do preço registrado em relação às condições inicialmente pactuadas.</w:t>
      </w:r>
      <w:r/>
    </w:p>
    <w:p>
      <w:pPr>
        <w:pStyle w:val="1133"/>
        <w:numPr>
          <w:ilvl w:val="2"/>
          <w:numId w:val="2"/>
        </w:numPr>
        <w:ind w:left="0"/>
        <w:rPr>
          <w:rFonts w:ascii="Cambria" w:hAnsi="Cambria" w:cs="Cambria"/>
          <w:sz w:val="18"/>
          <w:szCs w:val="18"/>
        </w:rPr>
      </w:pPr>
      <w:r>
        <w:rPr>
          <w:rFonts w:ascii="Cambria" w:hAnsi="Cambria" w:cs="Cambria"/>
          <w:sz w:val="18"/>
          <w:szCs w:val="18"/>
        </w:rPr>
        <w:t xml:space="preserve">Na hipótese de</w:t>
      </w:r>
      <w:r>
        <w:rPr>
          <w:rFonts w:ascii="Cambria" w:hAnsi="Cambria" w:cs="Cambria"/>
          <w:sz w:val="18"/>
          <w:szCs w:val="18"/>
        </w:rPr>
        <w:t xml:space="preserve"> não comprovação da existência de fato superveniente que inviabilize o preço registrado, o pedido será indeferido pelo órgão ou en</w:t>
      </w:r>
      <w:r>
        <w:rPr>
          <w:rFonts w:ascii="Cambria" w:hAnsi="Cambria" w:eastAsia="Calibri" w:cs="Cambria"/>
          <w:sz w:val="18"/>
          <w:szCs w:val="18"/>
        </w:rPr>
        <w:t xml:space="preserve">ti</w:t>
      </w:r>
      <w:r>
        <w:rPr>
          <w:rFonts w:ascii="Cambria" w:hAnsi="Cambria" w:cs="Cambria"/>
          <w:sz w:val="18"/>
          <w:szCs w:val="18"/>
        </w:rPr>
        <w:t xml:space="preserve">dade gerenciadora e o fornecedor deverá cumprir as obrigações estabelecidas na ata, sob pena de cancelamento do seu registro</w:t>
      </w:r>
      <w:r>
        <w:rPr>
          <w:rFonts w:ascii="Cambria" w:hAnsi="Cambria" w:cs="Cambria"/>
          <w:sz w:val="18"/>
          <w:szCs w:val="18"/>
        </w:rPr>
        <w:t xml:space="preserve">, nos termos do item </w:t>
      </w:r>
      <w:r>
        <w:rPr>
          <w:rFonts w:ascii="Cambria" w:hAnsi="Cambria" w:cs="Cambria"/>
          <w:sz w:val="18"/>
          <w:szCs w:val="18"/>
        </w:rPr>
        <w:fldChar w:fldCharType="begin"/>
      </w:r>
      <w:r>
        <w:rPr>
          <w:rFonts w:ascii="Cambria" w:hAnsi="Cambria" w:cs="Cambria"/>
          <w:sz w:val="18"/>
          <w:szCs w:val="18"/>
        </w:rPr>
        <w:instrText xml:space="preserve"> REF cancelamento_do_fornecedor \r \h  \* MERGEFORMAT </w:instrText>
      </w:r>
      <w:r>
        <w:rPr>
          <w:rFonts w:ascii="Cambria" w:hAnsi="Cambria" w:cs="Cambria"/>
          <w:sz w:val="18"/>
          <w:szCs w:val="18"/>
        </w:rPr>
        <w:fldChar w:fldCharType="separate"/>
      </w:r>
      <w:r>
        <w:rPr>
          <w:rFonts w:ascii="Cambria" w:hAnsi="Cambria" w:cs="Cambria"/>
          <w:sz w:val="18"/>
          <w:szCs w:val="18"/>
        </w:rPr>
        <w:t xml:space="preserve">8.1</w:t>
      </w:r>
      <w:r>
        <w:rPr>
          <w:rFonts w:ascii="Cambria" w:hAnsi="Cambria" w:cs="Cambria"/>
          <w:sz w:val="18"/>
          <w:szCs w:val="18"/>
        </w:rPr>
        <w:fldChar w:fldCharType="end"/>
      </w:r>
      <w:r>
        <w:rPr>
          <w:rFonts w:ascii="Cambria" w:hAnsi="Cambria" w:cs="Cambria"/>
          <w:sz w:val="18"/>
          <w:szCs w:val="18"/>
        </w:rPr>
        <w:t xml:space="preserve">, sem prejuízo das sanções previstas na Lei nº 14.133, de 2021, e na legislação aplicável.</w:t>
      </w:r>
      <w:r/>
    </w:p>
    <w:p>
      <w:pPr>
        <w:pStyle w:val="1133"/>
        <w:numPr>
          <w:ilvl w:val="2"/>
          <w:numId w:val="2"/>
        </w:numPr>
        <w:ind w:left="0"/>
        <w:rPr>
          <w:rFonts w:ascii="Cambria" w:hAnsi="Cambria" w:cs="Cambria"/>
          <w:sz w:val="18"/>
          <w:szCs w:val="18"/>
        </w:rPr>
      </w:pPr>
      <w:r>
        <w:rPr>
          <w:rFonts w:ascii="Cambria" w:hAnsi="Cambria" w:cs="Cambria"/>
          <w:sz w:val="18"/>
          <w:szCs w:val="18"/>
        </w:rPr>
        <w:t xml:space="preserve">Na hip</w:t>
      </w:r>
      <w:r>
        <w:rPr>
          <w:rFonts w:ascii="Cambria" w:hAnsi="Cambria" w:cs="Cambria"/>
          <w:sz w:val="18"/>
          <w:szCs w:val="18"/>
        </w:rPr>
        <w:t xml:space="preserve">ótese de cancelamento do registro do fornecedor, nos termos do item anterior, o gerenciador convocará os fornecedores do cadastro de reserva, na ordem de classificação, para verificar se aceitam manter seus preços registrados, observado o disposto no item </w:t>
      </w:r>
      <w:r>
        <w:rPr>
          <w:rFonts w:ascii="Cambria" w:hAnsi="Cambria" w:cs="Cambria"/>
          <w:sz w:val="18"/>
          <w:szCs w:val="18"/>
        </w:rPr>
        <w:t xml:space="preserve">4.7.</w:t>
      </w:r>
      <w:r/>
    </w:p>
    <w:p>
      <w:pPr>
        <w:pStyle w:val="1133"/>
        <w:numPr>
          <w:ilvl w:val="2"/>
          <w:numId w:val="2"/>
        </w:numPr>
        <w:ind w:left="0"/>
        <w:rPr>
          <w:rFonts w:ascii="Cambria" w:hAnsi="Cambria" w:cs="Cambria"/>
          <w:sz w:val="18"/>
          <w:szCs w:val="18"/>
        </w:rPr>
      </w:pPr>
      <w:r>
        <w:rPr>
          <w:rFonts w:ascii="Cambria" w:hAnsi="Cambria" w:cs="Cambria"/>
          <w:sz w:val="18"/>
          <w:szCs w:val="18"/>
        </w:rPr>
        <w:t xml:space="preserve">Se não obtiver êxito nas negociações, o órgão ou entidade gerenciadora procederá ao cancelamento da ata de registro de preços, nos termos do item 8.4, e adotará as medidas cabíveis para a obtenção da contratação mais vantajosa.</w:t>
      </w:r>
      <w:r/>
    </w:p>
    <w:p>
      <w:pPr>
        <w:pStyle w:val="1133"/>
        <w:numPr>
          <w:ilvl w:val="2"/>
          <w:numId w:val="2"/>
        </w:numPr>
        <w:ind w:left="0"/>
        <w:rPr>
          <w:rFonts w:ascii="Cambria" w:hAnsi="Cambria" w:cs="Cambria"/>
          <w:sz w:val="18"/>
          <w:szCs w:val="18"/>
        </w:rPr>
      </w:pPr>
      <w:r>
        <w:rPr>
          <w:rFonts w:ascii="Cambria" w:hAnsi="Cambria" w:cs="Cambria"/>
          <w:sz w:val="18"/>
          <w:szCs w:val="18"/>
        </w:rPr>
        <w:t xml:space="preserve">Na hipótese de comprova</w:t>
      </w:r>
      <w:r>
        <w:rPr>
          <w:rFonts w:ascii="Cambria" w:hAnsi="Cambria" w:cs="Cambria"/>
          <w:sz w:val="18"/>
          <w:szCs w:val="18"/>
        </w:rPr>
        <w:t xml:space="preserve">ção da majoração do preço de mercado que inviabilize o preço registrado, conforme previsto no item 6.2 e no item 6.2.1, o órgão ou en</w:t>
      </w:r>
      <w:r>
        <w:rPr>
          <w:rFonts w:ascii="Cambria" w:hAnsi="Cambria" w:eastAsia="Calibri" w:cs="Cambria"/>
          <w:sz w:val="18"/>
          <w:szCs w:val="18"/>
        </w:rPr>
        <w:t xml:space="preserve">ti</w:t>
      </w:r>
      <w:r>
        <w:rPr>
          <w:rFonts w:ascii="Cambria" w:hAnsi="Cambria" w:cs="Cambria"/>
          <w:sz w:val="18"/>
          <w:szCs w:val="18"/>
        </w:rPr>
        <w:t xml:space="preserve">dade gerenciadora atualizará o preço registrado, de acordo com a realidade dos valores praticados pelo mercado.</w:t>
      </w:r>
      <w:r/>
    </w:p>
    <w:p>
      <w:pPr>
        <w:pStyle w:val="1133"/>
        <w:numPr>
          <w:ilvl w:val="2"/>
          <w:numId w:val="2"/>
        </w:numPr>
        <w:ind w:left="0"/>
        <w:rPr>
          <w:rFonts w:ascii="Cambria" w:hAnsi="Cambria" w:cs="Cambria"/>
          <w:sz w:val="18"/>
          <w:szCs w:val="18"/>
        </w:rPr>
      </w:pPr>
      <w:r>
        <w:rPr>
          <w:rFonts w:ascii="Cambria" w:hAnsi="Cambria" w:cs="Cambria"/>
          <w:sz w:val="18"/>
          <w:szCs w:val="18"/>
        </w:rPr>
        <w:t xml:space="preserve"> O órgão </w:t>
      </w:r>
      <w:r>
        <w:rPr>
          <w:rFonts w:ascii="Cambria" w:hAnsi="Cambria" w:cs="Cambria"/>
          <w:sz w:val="18"/>
          <w:szCs w:val="18"/>
        </w:rPr>
        <w:t xml:space="preserve">ou en</w:t>
      </w:r>
      <w:r>
        <w:rPr>
          <w:rFonts w:ascii="Cambria" w:hAnsi="Cambria" w:eastAsia="Calibri" w:cs="Cambria"/>
          <w:sz w:val="18"/>
          <w:szCs w:val="18"/>
        </w:rPr>
        <w:t xml:space="preserve">ti</w:t>
      </w:r>
      <w:r>
        <w:rPr>
          <w:rFonts w:ascii="Cambria" w:hAnsi="Cambria" w:cs="Cambria"/>
          <w:sz w:val="18"/>
          <w:szCs w:val="18"/>
        </w:rPr>
        <w:t xml:space="preserve">dade gerenciadora comunicará aos órgãos e às en</w:t>
      </w:r>
      <w:r>
        <w:rPr>
          <w:rFonts w:ascii="Cambria" w:hAnsi="Cambria" w:eastAsia="Calibri" w:cs="Cambria"/>
          <w:sz w:val="18"/>
          <w:szCs w:val="18"/>
        </w:rPr>
        <w:t xml:space="preserve">ti</w:t>
      </w:r>
      <w:r>
        <w:rPr>
          <w:rFonts w:ascii="Cambria" w:hAnsi="Cambria" w:cs="Cambria"/>
          <w:sz w:val="18"/>
          <w:szCs w:val="18"/>
        </w:rPr>
        <w:t xml:space="preserve">dades que </w:t>
      </w:r>
      <w:r>
        <w:rPr>
          <w:rFonts w:ascii="Cambria" w:hAnsi="Cambria" w:eastAsia="Calibri" w:cs="Cambria"/>
          <w:sz w:val="18"/>
          <w:szCs w:val="18"/>
        </w:rPr>
        <w:t xml:space="preserve">ti</w:t>
      </w:r>
      <w:r>
        <w:rPr>
          <w:rFonts w:ascii="Cambria" w:hAnsi="Cambria" w:cs="Cambria"/>
          <w:sz w:val="18"/>
          <w:szCs w:val="18"/>
        </w:rPr>
        <w:t xml:space="preserve">verem firmado contratos decorrentes da ata de registro de preços sobre a efe</w:t>
      </w:r>
      <w:r>
        <w:rPr>
          <w:rFonts w:ascii="Cambria" w:hAnsi="Cambria" w:eastAsia="Calibri" w:cs="Cambria"/>
          <w:sz w:val="18"/>
          <w:szCs w:val="18"/>
        </w:rPr>
        <w:t xml:space="preserve">ti</w:t>
      </w:r>
      <w:r>
        <w:rPr>
          <w:rFonts w:ascii="Cambria" w:hAnsi="Cambria" w:cs="Cambria"/>
          <w:sz w:val="18"/>
          <w:szCs w:val="18"/>
        </w:rPr>
        <w:t xml:space="preserve">va alteração do preço registrado, para que avaliem a necessidade de alteração contratual, observado o disposto</w:t>
      </w:r>
      <w:r>
        <w:rPr>
          <w:rFonts w:ascii="Cambria" w:hAnsi="Cambria" w:cs="Cambria"/>
          <w:sz w:val="18"/>
          <w:szCs w:val="18"/>
        </w:rPr>
        <w:t xml:space="preserve"> no art. 124 da Lei nº 14.133, de 2021.</w:t>
      </w:r>
      <w:r/>
    </w:p>
    <w:p>
      <w:pPr>
        <w:pStyle w:val="1051"/>
        <w:rPr>
          <w:rFonts w:ascii="Cambria" w:hAnsi="Cambria" w:cs="Cambria"/>
          <w:sz w:val="18"/>
          <w:szCs w:val="18"/>
        </w:rPr>
      </w:pPr>
      <w:r>
        <w:rPr>
          <w:rFonts w:ascii="Cambria" w:hAnsi="Cambria" w:cs="Cambria"/>
          <w:sz w:val="18"/>
          <w:szCs w:val="18"/>
        </w:rPr>
        <w:t xml:space="preserve">REMANEJAMENTO DAS QUANTIDADES REGISTRADAS NA ATA DE REGISTRO DE PREÇOS</w:t>
      </w:r>
      <w:r/>
    </w:p>
    <w:p>
      <w:pPr>
        <w:pStyle w:val="1068"/>
        <w:rPr>
          <w:rFonts w:ascii="Cambria" w:hAnsi="Cambria" w:cs="Cambria"/>
          <w:sz w:val="18"/>
          <w:szCs w:val="18"/>
        </w:rPr>
      </w:pPr>
      <w:r>
        <w:rPr>
          <w:rFonts w:ascii="Cambria" w:hAnsi="Cambria" w:cs="Cambria"/>
          <w:sz w:val="18"/>
          <w:szCs w:val="18"/>
        </w:rPr>
        <w:t xml:space="preserve"> As quan</w:t>
      </w:r>
      <w:r>
        <w:rPr>
          <w:rFonts w:ascii="Cambria" w:hAnsi="Cambria" w:eastAsia="Arial" w:cs="Cambria"/>
          <w:sz w:val="18"/>
          <w:szCs w:val="18"/>
        </w:rPr>
        <w:t xml:space="preserve">ti</w:t>
      </w:r>
      <w:r>
        <w:rPr>
          <w:rFonts w:ascii="Cambria" w:hAnsi="Cambria" w:cs="Cambria"/>
          <w:sz w:val="18"/>
          <w:szCs w:val="18"/>
        </w:rPr>
        <w:t xml:space="preserve">dades previstas para os itens com preços registrados nas atas de registro de preços poderão ser remanejadas pelo órgão ou en</w:t>
      </w:r>
      <w:r>
        <w:rPr>
          <w:rFonts w:ascii="Cambria" w:hAnsi="Cambria" w:eastAsia="Arial" w:cs="Cambria"/>
          <w:sz w:val="18"/>
          <w:szCs w:val="18"/>
        </w:rPr>
        <w:t xml:space="preserve">ti</w:t>
      </w:r>
      <w:r>
        <w:rPr>
          <w:rFonts w:ascii="Cambria" w:hAnsi="Cambria" w:cs="Cambria"/>
          <w:sz w:val="18"/>
          <w:szCs w:val="18"/>
        </w:rPr>
        <w:t xml:space="preserve">dade gere</w:t>
      </w:r>
      <w:r>
        <w:rPr>
          <w:rFonts w:ascii="Cambria" w:hAnsi="Cambria" w:cs="Cambria"/>
          <w:sz w:val="18"/>
          <w:szCs w:val="18"/>
        </w:rPr>
        <w:t xml:space="preserve">nciadora entre os órgãos ou as en</w:t>
      </w:r>
      <w:r>
        <w:rPr>
          <w:rFonts w:ascii="Cambria" w:hAnsi="Cambria" w:eastAsia="Arial" w:cs="Cambria"/>
          <w:sz w:val="18"/>
          <w:szCs w:val="18"/>
        </w:rPr>
        <w:t xml:space="preserve">ti</w:t>
      </w:r>
      <w:r>
        <w:rPr>
          <w:rFonts w:ascii="Cambria" w:hAnsi="Cambria" w:cs="Cambria"/>
          <w:sz w:val="18"/>
          <w:szCs w:val="18"/>
        </w:rPr>
        <w:t xml:space="preserve">dades par</w:t>
      </w:r>
      <w:r>
        <w:rPr>
          <w:rFonts w:ascii="Cambria" w:hAnsi="Cambria" w:eastAsia="Arial" w:cs="Cambria"/>
          <w:sz w:val="18"/>
          <w:szCs w:val="18"/>
        </w:rPr>
        <w:t xml:space="preserve">ti</w:t>
      </w:r>
      <w:r>
        <w:rPr>
          <w:rFonts w:ascii="Cambria" w:hAnsi="Cambria" w:cs="Cambria"/>
          <w:sz w:val="18"/>
          <w:szCs w:val="18"/>
        </w:rPr>
        <w:t xml:space="preserve">cipantes e não par</w:t>
      </w:r>
      <w:r>
        <w:rPr>
          <w:rFonts w:ascii="Cambria" w:hAnsi="Cambria" w:eastAsia="Arial" w:cs="Cambria"/>
          <w:sz w:val="18"/>
          <w:szCs w:val="18"/>
        </w:rPr>
        <w:t xml:space="preserve">ti</w:t>
      </w:r>
      <w:r>
        <w:rPr>
          <w:rFonts w:ascii="Cambria" w:hAnsi="Cambria" w:cs="Cambria"/>
          <w:sz w:val="18"/>
          <w:szCs w:val="18"/>
        </w:rPr>
        <w:t xml:space="preserve">cipantes do registro de preços.</w:t>
      </w:r>
      <w:r/>
    </w:p>
    <w:p>
      <w:pPr>
        <w:pStyle w:val="1068"/>
        <w:rPr>
          <w:rFonts w:ascii="Cambria" w:hAnsi="Cambria" w:cs="Cambria"/>
          <w:sz w:val="18"/>
          <w:szCs w:val="18"/>
        </w:rPr>
      </w:pPr>
      <w:r>
        <w:rPr>
          <w:rFonts w:ascii="Cambria" w:hAnsi="Cambria" w:cs="Cambria"/>
          <w:sz w:val="18"/>
          <w:szCs w:val="18"/>
        </w:rPr>
        <w:t xml:space="preserve"> O remanejamento somente poderá ser feito:</w:t>
      </w:r>
      <w:r/>
    </w:p>
    <w:p>
      <w:pPr>
        <w:pStyle w:val="1133"/>
        <w:numPr>
          <w:ilvl w:val="0"/>
          <w:numId w:val="14"/>
        </w:numPr>
        <w:rPr>
          <w:rFonts w:ascii="Cambria" w:hAnsi="Cambria" w:cs="Cambria"/>
          <w:sz w:val="18"/>
          <w:szCs w:val="18"/>
        </w:rPr>
      </w:pPr>
      <w:r>
        <w:rPr>
          <w:rFonts w:ascii="Cambria" w:hAnsi="Cambria" w:cs="Cambria"/>
          <w:sz w:val="18"/>
          <w:szCs w:val="18"/>
        </w:rPr>
        <w:t xml:space="preserve">De órgão ou en</w:t>
      </w:r>
      <w:r>
        <w:rPr>
          <w:rFonts w:ascii="Cambria" w:hAnsi="Cambria" w:eastAsia="Arial" w:cs="Cambria"/>
          <w:sz w:val="18"/>
          <w:szCs w:val="18"/>
        </w:rPr>
        <w:t xml:space="preserve">ti</w:t>
      </w:r>
      <w:r>
        <w:rPr>
          <w:rFonts w:ascii="Cambria" w:hAnsi="Cambria" w:cs="Cambria"/>
          <w:sz w:val="18"/>
          <w:szCs w:val="18"/>
        </w:rPr>
        <w:t xml:space="preserve">dade par</w:t>
      </w:r>
      <w:r>
        <w:rPr>
          <w:rFonts w:ascii="Cambria" w:hAnsi="Cambria" w:eastAsia="Arial" w:cs="Cambria"/>
          <w:sz w:val="18"/>
          <w:szCs w:val="18"/>
        </w:rPr>
        <w:t xml:space="preserve">ti</w:t>
      </w:r>
      <w:r>
        <w:rPr>
          <w:rFonts w:ascii="Cambria" w:hAnsi="Cambria" w:cs="Cambria"/>
          <w:sz w:val="18"/>
          <w:szCs w:val="18"/>
        </w:rPr>
        <w:t xml:space="preserve">cipante para órgão ou en</w:t>
      </w:r>
      <w:r>
        <w:rPr>
          <w:rFonts w:ascii="Cambria" w:hAnsi="Cambria" w:eastAsia="Arial" w:cs="Cambria"/>
          <w:sz w:val="18"/>
          <w:szCs w:val="18"/>
        </w:rPr>
        <w:t xml:space="preserve">ti</w:t>
      </w:r>
      <w:r>
        <w:rPr>
          <w:rFonts w:ascii="Cambria" w:hAnsi="Cambria" w:cs="Cambria"/>
          <w:sz w:val="18"/>
          <w:szCs w:val="18"/>
        </w:rPr>
        <w:t xml:space="preserve">dade par</w:t>
      </w:r>
      <w:r>
        <w:rPr>
          <w:rFonts w:ascii="Cambria" w:hAnsi="Cambria" w:eastAsia="Arial" w:cs="Cambria"/>
          <w:sz w:val="18"/>
          <w:szCs w:val="18"/>
        </w:rPr>
        <w:t xml:space="preserve">ti</w:t>
      </w:r>
      <w:r>
        <w:rPr>
          <w:rFonts w:ascii="Cambria" w:hAnsi="Cambria" w:cs="Cambria"/>
          <w:sz w:val="18"/>
          <w:szCs w:val="18"/>
        </w:rPr>
        <w:t xml:space="preserve">cipante; ou</w:t>
      </w:r>
      <w:r/>
    </w:p>
    <w:p>
      <w:pPr>
        <w:pStyle w:val="1133"/>
        <w:numPr>
          <w:ilvl w:val="0"/>
          <w:numId w:val="14"/>
        </w:numPr>
        <w:rPr>
          <w:rFonts w:ascii="Cambria" w:hAnsi="Cambria" w:cs="Cambria"/>
          <w:sz w:val="18"/>
          <w:szCs w:val="18"/>
        </w:rPr>
      </w:pPr>
      <w:r>
        <w:rPr>
          <w:rFonts w:ascii="Cambria" w:hAnsi="Cambria" w:cs="Cambria"/>
          <w:sz w:val="18"/>
          <w:szCs w:val="18"/>
        </w:rPr>
        <w:t xml:space="preserve">De órgão ou en</w:t>
      </w:r>
      <w:r>
        <w:rPr>
          <w:rFonts w:ascii="Cambria" w:hAnsi="Cambria" w:eastAsia="Arial" w:cs="Cambria"/>
          <w:sz w:val="18"/>
          <w:szCs w:val="18"/>
        </w:rPr>
        <w:t xml:space="preserve">ti</w:t>
      </w:r>
      <w:r>
        <w:rPr>
          <w:rFonts w:ascii="Cambria" w:hAnsi="Cambria" w:cs="Cambria"/>
          <w:sz w:val="18"/>
          <w:szCs w:val="18"/>
        </w:rPr>
        <w:t xml:space="preserve">dade par</w:t>
      </w:r>
      <w:r>
        <w:rPr>
          <w:rFonts w:ascii="Cambria" w:hAnsi="Cambria" w:eastAsia="Arial" w:cs="Cambria"/>
          <w:sz w:val="18"/>
          <w:szCs w:val="18"/>
        </w:rPr>
        <w:t xml:space="preserve">ti</w:t>
      </w:r>
      <w:r>
        <w:rPr>
          <w:rFonts w:ascii="Cambria" w:hAnsi="Cambria" w:cs="Cambria"/>
          <w:sz w:val="18"/>
          <w:szCs w:val="18"/>
        </w:rPr>
        <w:t xml:space="preserve">cipante para órgão ou entidade não participante.</w:t>
      </w:r>
      <w:r/>
    </w:p>
    <w:p>
      <w:pPr>
        <w:pStyle w:val="1068"/>
        <w:rPr>
          <w:rFonts w:ascii="Cambria" w:hAnsi="Cambria" w:cs="Cambria"/>
          <w:sz w:val="18"/>
          <w:szCs w:val="18"/>
        </w:rPr>
      </w:pPr>
      <w:r>
        <w:rPr>
          <w:rFonts w:ascii="Cambria" w:hAnsi="Cambria" w:cs="Cambria"/>
          <w:sz w:val="18"/>
          <w:szCs w:val="18"/>
        </w:rPr>
        <w:t xml:space="preserve">O órgão ou en</w:t>
      </w:r>
      <w:r>
        <w:rPr>
          <w:rFonts w:ascii="Cambria" w:hAnsi="Cambria" w:eastAsia="Arial" w:cs="Cambria"/>
          <w:sz w:val="18"/>
          <w:szCs w:val="18"/>
        </w:rPr>
        <w:t xml:space="preserve">ti</w:t>
      </w:r>
      <w:r>
        <w:rPr>
          <w:rFonts w:ascii="Cambria" w:hAnsi="Cambria" w:cs="Cambria"/>
          <w:sz w:val="18"/>
          <w:szCs w:val="18"/>
        </w:rPr>
        <w:t xml:space="preserve">dade gerenciadora que tiver es</w:t>
      </w:r>
      <w:r>
        <w:rPr>
          <w:rFonts w:ascii="Cambria" w:hAnsi="Cambria" w:eastAsia="Arial" w:cs="Cambria"/>
          <w:sz w:val="18"/>
          <w:szCs w:val="18"/>
        </w:rPr>
        <w:t xml:space="preserve">ti</w:t>
      </w:r>
      <w:r>
        <w:rPr>
          <w:rFonts w:ascii="Cambria" w:hAnsi="Cambria" w:cs="Cambria"/>
          <w:sz w:val="18"/>
          <w:szCs w:val="18"/>
        </w:rPr>
        <w:t xml:space="preserve">mado as quan</w:t>
      </w:r>
      <w:r>
        <w:rPr>
          <w:rFonts w:ascii="Cambria" w:hAnsi="Cambria" w:eastAsia="Arial" w:cs="Cambria"/>
          <w:sz w:val="18"/>
          <w:szCs w:val="18"/>
        </w:rPr>
        <w:t xml:space="preserve">ti</w:t>
      </w:r>
      <w:r>
        <w:rPr>
          <w:rFonts w:ascii="Cambria" w:hAnsi="Cambria" w:cs="Cambria"/>
          <w:sz w:val="18"/>
          <w:szCs w:val="18"/>
        </w:rPr>
        <w:t xml:space="preserve">dades que pretende contratar será considerado participante para efeito do remanejamento.</w:t>
      </w:r>
      <w:r/>
    </w:p>
    <w:p>
      <w:pPr>
        <w:pStyle w:val="1068"/>
        <w:rPr>
          <w:rFonts w:ascii="Cambria" w:hAnsi="Cambria" w:cs="Cambria"/>
          <w:sz w:val="18"/>
          <w:szCs w:val="18"/>
        </w:rPr>
      </w:pPr>
      <w:r>
        <w:rPr>
          <w:rFonts w:ascii="Cambria" w:hAnsi="Cambria" w:cs="Cambria"/>
          <w:sz w:val="18"/>
          <w:szCs w:val="18"/>
        </w:rPr>
        <w:t xml:space="preserve">Na hipótese de remanejamento de órgão ou entidade par</w:t>
      </w:r>
      <w:r>
        <w:rPr>
          <w:rFonts w:ascii="Cambria" w:hAnsi="Cambria" w:eastAsia="Arial" w:cs="Cambria"/>
          <w:sz w:val="18"/>
          <w:szCs w:val="18"/>
        </w:rPr>
        <w:t xml:space="preserve">ti</w:t>
      </w:r>
      <w:r>
        <w:rPr>
          <w:rFonts w:ascii="Cambria" w:hAnsi="Cambria" w:cs="Cambria"/>
          <w:sz w:val="18"/>
          <w:szCs w:val="18"/>
        </w:rPr>
        <w:t xml:space="preserve">ci</w:t>
      </w:r>
      <w:r>
        <w:rPr>
          <w:rFonts w:ascii="Cambria" w:hAnsi="Cambria" w:cs="Cambria"/>
          <w:sz w:val="18"/>
          <w:szCs w:val="18"/>
        </w:rPr>
        <w:t xml:space="preserve">pante para órgão ou entidade não participante, serão observados os limites previstos no Decreto nº 4.773, de 2024.</w:t>
      </w:r>
      <w:r/>
    </w:p>
    <w:p>
      <w:pPr>
        <w:pStyle w:val="1068"/>
        <w:rPr>
          <w:rFonts w:ascii="Cambria" w:hAnsi="Cambria" w:cs="Cambria"/>
          <w:sz w:val="18"/>
          <w:szCs w:val="18"/>
        </w:rPr>
      </w:pPr>
      <w:r>
        <w:rPr>
          <w:rFonts w:ascii="Cambria" w:hAnsi="Cambria" w:cs="Cambria"/>
          <w:sz w:val="18"/>
          <w:szCs w:val="18"/>
        </w:rPr>
        <w:t xml:space="preserve">Competirá ao órgão ou à en</w:t>
      </w:r>
      <w:r>
        <w:rPr>
          <w:rFonts w:ascii="Cambria" w:hAnsi="Cambria" w:eastAsia="Arial" w:cs="Cambria"/>
          <w:sz w:val="18"/>
          <w:szCs w:val="18"/>
        </w:rPr>
        <w:t xml:space="preserve">ti</w:t>
      </w:r>
      <w:r>
        <w:rPr>
          <w:rFonts w:ascii="Cambria" w:hAnsi="Cambria" w:cs="Cambria"/>
          <w:sz w:val="18"/>
          <w:szCs w:val="18"/>
        </w:rPr>
        <w:t xml:space="preserve">dade gerenciadora autorizar o remanejamento solicitado, com a redução do quan</w:t>
      </w:r>
      <w:r>
        <w:rPr>
          <w:rFonts w:ascii="Cambria" w:hAnsi="Cambria" w:eastAsia="Arial" w:cs="Cambria"/>
          <w:sz w:val="18"/>
          <w:szCs w:val="18"/>
        </w:rPr>
        <w:t xml:space="preserve">ti</w:t>
      </w:r>
      <w:r>
        <w:rPr>
          <w:rFonts w:ascii="Cambria" w:hAnsi="Cambria" w:cs="Cambria"/>
          <w:sz w:val="18"/>
          <w:szCs w:val="18"/>
        </w:rPr>
        <w:t xml:space="preserve">ta</w:t>
      </w:r>
      <w:r>
        <w:rPr>
          <w:rFonts w:ascii="Cambria" w:hAnsi="Cambria" w:eastAsia="Arial" w:cs="Cambria"/>
          <w:sz w:val="18"/>
          <w:szCs w:val="18"/>
        </w:rPr>
        <w:t xml:space="preserve">ti</w:t>
      </w:r>
      <w:r>
        <w:rPr>
          <w:rFonts w:ascii="Cambria" w:hAnsi="Cambria" w:cs="Cambria"/>
          <w:sz w:val="18"/>
          <w:szCs w:val="18"/>
        </w:rPr>
        <w:t xml:space="preserve">vo inicialmente informado pelo</w:t>
      </w:r>
      <w:r>
        <w:rPr>
          <w:rFonts w:ascii="Cambria" w:hAnsi="Cambria" w:cs="Cambria"/>
          <w:sz w:val="18"/>
          <w:szCs w:val="18"/>
        </w:rPr>
        <w:t xml:space="preserve"> órgão ou pela en</w:t>
      </w:r>
      <w:r>
        <w:rPr>
          <w:rFonts w:ascii="Cambria" w:hAnsi="Cambria" w:eastAsia="Arial" w:cs="Cambria"/>
          <w:sz w:val="18"/>
          <w:szCs w:val="18"/>
        </w:rPr>
        <w:t xml:space="preserve">ti</w:t>
      </w:r>
      <w:r>
        <w:rPr>
          <w:rFonts w:ascii="Cambria" w:hAnsi="Cambria" w:cs="Cambria"/>
          <w:sz w:val="18"/>
          <w:szCs w:val="18"/>
        </w:rPr>
        <w:t xml:space="preserve">dade par</w:t>
      </w:r>
      <w:r>
        <w:rPr>
          <w:rFonts w:ascii="Cambria" w:hAnsi="Cambria" w:eastAsia="Arial" w:cs="Cambria"/>
          <w:sz w:val="18"/>
          <w:szCs w:val="18"/>
        </w:rPr>
        <w:t xml:space="preserve">ti</w:t>
      </w:r>
      <w:r>
        <w:rPr>
          <w:rFonts w:ascii="Cambria" w:hAnsi="Cambria" w:cs="Cambria"/>
          <w:sz w:val="18"/>
          <w:szCs w:val="18"/>
        </w:rPr>
        <w:t xml:space="preserve">cipante, desde que haja prévia anuência do órgão ou da en</w:t>
      </w:r>
      <w:r>
        <w:rPr>
          <w:rFonts w:ascii="Cambria" w:hAnsi="Cambria" w:eastAsia="Arial" w:cs="Cambria"/>
          <w:sz w:val="18"/>
          <w:szCs w:val="18"/>
        </w:rPr>
        <w:t xml:space="preserve">ti</w:t>
      </w:r>
      <w:r>
        <w:rPr>
          <w:rFonts w:ascii="Cambria" w:hAnsi="Cambria" w:cs="Cambria"/>
          <w:sz w:val="18"/>
          <w:szCs w:val="18"/>
        </w:rPr>
        <w:t xml:space="preserve">dade que sofrer redução dos quantitativos informados.</w:t>
      </w:r>
      <w:r/>
    </w:p>
    <w:p>
      <w:pPr>
        <w:pStyle w:val="1068"/>
        <w:tabs>
          <w:tab w:val="left" w:pos="567" w:leader="none"/>
        </w:tabs>
        <w:rPr>
          <w:rFonts w:ascii="Cambria" w:hAnsi="Cambria" w:cs="Cambria"/>
          <w:sz w:val="18"/>
          <w:szCs w:val="18"/>
        </w:rPr>
      </w:pPr>
      <w:r>
        <w:rPr>
          <w:rFonts w:ascii="Cambria" w:hAnsi="Cambria" w:cs="Cambria"/>
          <w:sz w:val="18"/>
          <w:szCs w:val="18"/>
        </w:rPr>
        <w:t xml:space="preserve">Na hipótese da compra centralizada, não havendo indicação pelo órgão ou pela en</w:t>
      </w:r>
      <w:r>
        <w:rPr>
          <w:rFonts w:ascii="Cambria" w:hAnsi="Cambria" w:eastAsia="Arial" w:cs="Cambria"/>
          <w:sz w:val="18"/>
          <w:szCs w:val="18"/>
        </w:rPr>
        <w:t xml:space="preserve">ti</w:t>
      </w:r>
      <w:r>
        <w:rPr>
          <w:rFonts w:ascii="Cambria" w:hAnsi="Cambria" w:cs="Cambria"/>
          <w:sz w:val="18"/>
          <w:szCs w:val="18"/>
        </w:rPr>
        <w:t xml:space="preserve">dade gerenciadora, dos quan</w:t>
      </w:r>
      <w:r>
        <w:rPr>
          <w:rFonts w:ascii="Cambria" w:hAnsi="Cambria" w:eastAsia="Arial" w:cs="Cambria"/>
          <w:sz w:val="18"/>
          <w:szCs w:val="18"/>
        </w:rPr>
        <w:t xml:space="preserve">ti</w:t>
      </w:r>
      <w:r>
        <w:rPr>
          <w:rFonts w:ascii="Cambria" w:hAnsi="Cambria" w:cs="Cambria"/>
          <w:sz w:val="18"/>
          <w:szCs w:val="18"/>
        </w:rPr>
        <w:t xml:space="preserve">ta</w:t>
      </w:r>
      <w:r>
        <w:rPr>
          <w:rFonts w:ascii="Cambria" w:hAnsi="Cambria" w:eastAsia="Arial" w:cs="Cambria"/>
          <w:sz w:val="18"/>
          <w:szCs w:val="18"/>
        </w:rPr>
        <w:t xml:space="preserve">ti</w:t>
      </w:r>
      <w:r>
        <w:rPr>
          <w:rFonts w:ascii="Cambria" w:hAnsi="Cambria" w:cs="Cambria"/>
          <w:sz w:val="18"/>
          <w:szCs w:val="18"/>
        </w:rPr>
        <w:t xml:space="preserve">vos dos par</w:t>
      </w:r>
      <w:r>
        <w:rPr>
          <w:rFonts w:ascii="Cambria" w:hAnsi="Cambria" w:eastAsia="Arial" w:cs="Cambria"/>
          <w:sz w:val="18"/>
          <w:szCs w:val="18"/>
        </w:rPr>
        <w:t xml:space="preserve">ti</w:t>
      </w:r>
      <w:r>
        <w:rPr>
          <w:rFonts w:ascii="Cambria" w:hAnsi="Cambria" w:cs="Cambria"/>
          <w:sz w:val="18"/>
          <w:szCs w:val="18"/>
        </w:rPr>
        <w:t xml:space="preserve">cipantes da compra centralizada, nos termos do item 7.3, a distribuição das quantidades para a execução descentralizada será por meio do remanejamento.</w:t>
      </w:r>
      <w:r/>
    </w:p>
    <w:p>
      <w:pPr>
        <w:pStyle w:val="1051"/>
        <w:rPr>
          <w:rFonts w:ascii="Cambria" w:hAnsi="Cambria" w:cs="Cambria"/>
          <w:sz w:val="18"/>
          <w:szCs w:val="18"/>
        </w:rPr>
      </w:pPr>
      <w:r>
        <w:rPr>
          <w:rFonts w:ascii="Cambria" w:hAnsi="Cambria" w:cs="Cambria"/>
          <w:sz w:val="18"/>
          <w:szCs w:val="18"/>
        </w:rPr>
        <w:t xml:space="preserve">CANCELAMENTO DO REGISTRO DO LICITANTE VENCEDOR E DOS PREÇOS REGISTRADOS</w:t>
      </w:r>
      <w:bookmarkStart w:id="65" w:name="undefined"/>
      <w:r/>
      <w:r/>
    </w:p>
    <w:p>
      <w:pPr>
        <w:pStyle w:val="1068"/>
        <w:tabs>
          <w:tab w:val="left" w:pos="567" w:leader="none"/>
        </w:tabs>
        <w:rPr>
          <w:rFonts w:ascii="Cambria" w:hAnsi="Cambria" w:cs="Cambria"/>
          <w:sz w:val="18"/>
          <w:szCs w:val="18"/>
        </w:rPr>
      </w:pPr>
      <w:r>
        <w:rPr>
          <w:rFonts w:ascii="Cambria" w:hAnsi="Cambria" w:cs="Cambria"/>
          <w:sz w:val="18"/>
          <w:szCs w:val="18"/>
        </w:rPr>
        <w:t xml:space="preserve">O registro do forne</w:t>
      </w:r>
      <w:r>
        <w:rPr>
          <w:rFonts w:ascii="Cambria" w:hAnsi="Cambria" w:cs="Cambria"/>
          <w:sz w:val="18"/>
          <w:szCs w:val="18"/>
        </w:rPr>
        <w:t xml:space="preserve">cedor será cancelado pelo gerenciador, quando o fornecedor</w:t>
      </w:r>
      <w:r/>
    </w:p>
    <w:p>
      <w:pPr>
        <w:pStyle w:val="1068"/>
        <w:numPr>
          <w:ilvl w:val="2"/>
          <w:numId w:val="2"/>
        </w:numPr>
        <w:tabs>
          <w:tab w:val="left" w:pos="567" w:leader="none"/>
        </w:tabs>
        <w:rPr>
          <w:rFonts w:ascii="Cambria" w:hAnsi="Cambria" w:cs="Cambria"/>
          <w:sz w:val="18"/>
          <w:szCs w:val="18"/>
        </w:rPr>
      </w:pPr>
      <w:r/>
      <w:bookmarkStart w:id="66" w:name="cancelamento_do_fornecedor"/>
      <w:r/>
      <w:bookmarkEnd w:id="66"/>
      <w:r>
        <w:rPr>
          <w:rFonts w:ascii="Cambria" w:hAnsi="Cambria" w:cs="Cambria"/>
          <w:sz w:val="18"/>
          <w:szCs w:val="18"/>
        </w:rPr>
        <w:t xml:space="preserve">Descumprir as condições da ata de registro de preços, sem motivo justificado;</w:t>
      </w:r>
      <w:r/>
    </w:p>
    <w:p>
      <w:pPr>
        <w:pStyle w:val="1068"/>
        <w:numPr>
          <w:ilvl w:val="2"/>
          <w:numId w:val="2"/>
        </w:numPr>
        <w:tabs>
          <w:tab w:val="left" w:pos="567" w:leader="none"/>
        </w:tabs>
        <w:rPr>
          <w:rFonts w:ascii="Cambria" w:hAnsi="Cambria" w:cs="Cambria"/>
          <w:sz w:val="18"/>
          <w:szCs w:val="18"/>
        </w:rPr>
      </w:pPr>
      <w:r>
        <w:rPr>
          <w:rFonts w:ascii="Cambria" w:hAnsi="Cambria" w:cs="Cambria"/>
          <w:sz w:val="18"/>
          <w:szCs w:val="18"/>
        </w:rPr>
        <w:t xml:space="preserve">Não re</w:t>
      </w:r>
      <w:r>
        <w:rPr>
          <w:rFonts w:ascii="Cambria" w:hAnsi="Cambria" w:eastAsia="Arial" w:cs="Cambria"/>
          <w:sz w:val="18"/>
          <w:szCs w:val="18"/>
        </w:rPr>
        <w:t xml:space="preserve">ti</w:t>
      </w:r>
      <w:r>
        <w:rPr>
          <w:rFonts w:ascii="Cambria" w:hAnsi="Cambria" w:cs="Cambria"/>
          <w:sz w:val="18"/>
          <w:szCs w:val="18"/>
        </w:rPr>
        <w:t xml:space="preserve">rar a nota de empenho, ou instrumento equivalente, no prazo estabelecido pela Administração sem justificativa r</w:t>
      </w:r>
      <w:r>
        <w:rPr>
          <w:rFonts w:ascii="Cambria" w:hAnsi="Cambria" w:cs="Cambria"/>
          <w:sz w:val="18"/>
          <w:szCs w:val="18"/>
        </w:rPr>
        <w:t xml:space="preserve">azoável;</w:t>
      </w:r>
      <w:r/>
    </w:p>
    <w:p>
      <w:pPr>
        <w:pStyle w:val="1068"/>
        <w:numPr>
          <w:ilvl w:val="2"/>
          <w:numId w:val="2"/>
        </w:numPr>
        <w:tabs>
          <w:tab w:val="left" w:pos="567" w:leader="none"/>
        </w:tabs>
        <w:rPr>
          <w:rFonts w:ascii="Cambria" w:hAnsi="Cambria" w:cs="Cambria"/>
          <w:sz w:val="18"/>
          <w:szCs w:val="18"/>
        </w:rPr>
      </w:pPr>
      <w:r>
        <w:rPr>
          <w:rFonts w:ascii="Cambria" w:hAnsi="Cambria" w:cs="Cambria"/>
          <w:sz w:val="18"/>
          <w:szCs w:val="18"/>
        </w:rPr>
        <w:t xml:space="preserve">Não aceitar manter seu preço registrado, na hipótese prevista no artigo 28, § 2º, do </w:t>
      </w:r>
      <w:r>
        <w:rPr>
          <w:rFonts w:ascii="Cambria" w:hAnsi="Cambria" w:cs="Cambria"/>
          <w:color w:val="000000" w:themeColor="text1"/>
          <w:sz w:val="18"/>
          <w:szCs w:val="18"/>
        </w:rPr>
        <w:t xml:space="preserve">Decreto</w:t>
      </w:r>
      <w:r>
        <w:rPr>
          <w:rFonts w:ascii="Cambria" w:hAnsi="Cambria" w:cs="Cambria"/>
          <w:sz w:val="18"/>
          <w:szCs w:val="18"/>
        </w:rPr>
        <w:t xml:space="preserve"> nº 4.773, de 2024; </w:t>
      </w:r>
      <w:r/>
    </w:p>
    <w:p>
      <w:pPr>
        <w:pStyle w:val="1068"/>
        <w:numPr>
          <w:ilvl w:val="3"/>
          <w:numId w:val="2"/>
        </w:numPr>
        <w:tabs>
          <w:tab w:val="left" w:pos="567" w:leader="none"/>
        </w:tabs>
        <w:rPr>
          <w:rFonts w:ascii="Cambria" w:hAnsi="Cambria" w:cs="Cambria"/>
          <w:sz w:val="18"/>
          <w:szCs w:val="18"/>
        </w:rPr>
      </w:pPr>
      <w:r>
        <w:rPr>
          <w:rFonts w:ascii="Cambria" w:hAnsi="Cambria" w:cs="Cambria"/>
          <w:sz w:val="18"/>
          <w:szCs w:val="18"/>
        </w:rPr>
        <w:t xml:space="preserve">Na hipótese de aplicação de sanção prevista nos incisos III ou IV do caput do art. 156 da Lei nº 14.133, de 2021, caso a penalidade ap</w:t>
      </w:r>
      <w:r>
        <w:rPr>
          <w:rFonts w:ascii="Cambria" w:hAnsi="Cambria" w:cs="Cambria"/>
          <w:sz w:val="18"/>
          <w:szCs w:val="18"/>
        </w:rPr>
        <w:t xml:space="preserve">licada ao fornecedor não ultrapasse o prazo de vigência da ata de registro de preços, poderá o órgão ou a entidade gerenciadora poderá, mediante decisão fundamentada, decidir pela manutenção do registro de preços, vedadas contratações derivadas da ata enqu</w:t>
      </w:r>
      <w:r>
        <w:rPr>
          <w:rFonts w:ascii="Cambria" w:hAnsi="Cambria" w:cs="Cambria"/>
          <w:sz w:val="18"/>
          <w:szCs w:val="18"/>
        </w:rPr>
        <w:t xml:space="preserve">anto perdurarem os efeitos da sanção.</w:t>
      </w:r>
      <w:r/>
    </w:p>
    <w:p>
      <w:pPr>
        <w:pStyle w:val="1068"/>
        <w:tabs>
          <w:tab w:val="left" w:pos="0" w:leader="none"/>
        </w:tabs>
        <w:rPr>
          <w:rFonts w:ascii="Cambria" w:hAnsi="Cambria" w:cs="Cambria"/>
          <w:sz w:val="18"/>
          <w:szCs w:val="18"/>
        </w:rPr>
      </w:pPr>
      <w:r>
        <w:rPr>
          <w:rFonts w:ascii="Cambria" w:hAnsi="Cambria" w:cs="Cambria"/>
          <w:sz w:val="18"/>
          <w:szCs w:val="18"/>
        </w:rPr>
        <w:t xml:space="preserve"> O cancelamento de registros nas hipóteses previstas no item 8.1 será formalizado por despacho do órgão ou da entidade gerenciadora, garantidos os princípios do contraditório e da ampla defesa.</w:t>
      </w:r>
      <w:r/>
    </w:p>
    <w:p>
      <w:pPr>
        <w:pStyle w:val="1068"/>
        <w:ind w:left="567"/>
        <w:tabs>
          <w:tab w:val="left" w:pos="992" w:leader="none"/>
        </w:tabs>
        <w:rPr>
          <w:rFonts w:ascii="Cambria" w:hAnsi="Cambria" w:cs="Cambria"/>
          <w:sz w:val="18"/>
          <w:szCs w:val="18"/>
        </w:rPr>
      </w:pPr>
      <w:r>
        <w:rPr>
          <w:rFonts w:ascii="Cambria" w:hAnsi="Cambria" w:cs="Cambria"/>
          <w:sz w:val="18"/>
          <w:szCs w:val="18"/>
        </w:rPr>
        <w:t xml:space="preserve">Na hipótese de cancelame</w:t>
      </w:r>
      <w:r>
        <w:rPr>
          <w:rFonts w:ascii="Cambria" w:hAnsi="Cambria" w:cs="Cambria"/>
          <w:sz w:val="18"/>
          <w:szCs w:val="18"/>
        </w:rPr>
        <w:t xml:space="preserve">nto do registro do fornecedor, o órgão ou a entidade gerenciadora poderá convocar os licitantes que compõem o cadastro de reserva, observada a ordem de classificação.</w:t>
      </w:r>
      <w:r/>
    </w:p>
    <w:p>
      <w:pPr>
        <w:pStyle w:val="1068"/>
        <w:ind w:left="567"/>
        <w:tabs>
          <w:tab w:val="left" w:pos="992" w:leader="none"/>
        </w:tabs>
        <w:rPr>
          <w:rFonts w:ascii="Cambria" w:hAnsi="Cambria" w:cs="Cambria"/>
          <w:sz w:val="18"/>
          <w:szCs w:val="18"/>
        </w:rPr>
      </w:pPr>
      <w:r>
        <w:rPr>
          <w:rFonts w:ascii="Cambria" w:hAnsi="Cambria" w:cs="Cambria"/>
          <w:sz w:val="18"/>
          <w:szCs w:val="18"/>
        </w:rPr>
        <w:t xml:space="preserve">O cancelamento dos preços registrados poderá ser realizado pelo gerenciador, em determina</w:t>
      </w:r>
      <w:r>
        <w:rPr>
          <w:rFonts w:ascii="Cambria" w:hAnsi="Cambria" w:cs="Cambria"/>
          <w:sz w:val="18"/>
          <w:szCs w:val="18"/>
        </w:rPr>
        <w:t xml:space="preserve">da ata de registro de preços, total ou parcialmente, nas seguintes hipóteses, desde que devidamente comprovadas e justificadas:</w:t>
      </w:r>
      <w:bookmarkEnd w:id="65"/>
      <w:r>
        <w:rPr>
          <w:rFonts w:ascii="Cambria" w:hAnsi="Cambria" w:cs="Cambria"/>
          <w:sz w:val="18"/>
          <w:szCs w:val="18"/>
        </w:rPr>
        <w:t xml:space="preserve"> </w:t>
      </w:r>
      <w:r/>
    </w:p>
    <w:p>
      <w:pPr>
        <w:pStyle w:val="1068"/>
        <w:numPr>
          <w:ilvl w:val="2"/>
          <w:numId w:val="2"/>
        </w:numPr>
        <w:ind w:left="567"/>
        <w:tabs>
          <w:tab w:val="left" w:pos="992" w:leader="none"/>
        </w:tabs>
        <w:rPr>
          <w:rFonts w:ascii="Cambria" w:hAnsi="Cambria" w:cs="Cambria"/>
          <w:sz w:val="18"/>
          <w:szCs w:val="18"/>
        </w:rPr>
      </w:pPr>
      <w:r>
        <w:rPr>
          <w:rFonts w:ascii="Cambria" w:hAnsi="Cambria" w:cs="Cambria"/>
          <w:sz w:val="18"/>
          <w:szCs w:val="18"/>
        </w:rPr>
        <w:t xml:space="preserve">Por razão de interesse público;</w:t>
      </w:r>
      <w:r/>
    </w:p>
    <w:p>
      <w:pPr>
        <w:pStyle w:val="1068"/>
        <w:numPr>
          <w:ilvl w:val="2"/>
          <w:numId w:val="2"/>
        </w:numPr>
        <w:ind w:left="567"/>
        <w:tabs>
          <w:tab w:val="left" w:pos="992" w:leader="none"/>
        </w:tabs>
        <w:rPr>
          <w:rFonts w:ascii="Cambria" w:hAnsi="Cambria" w:cs="Cambria"/>
          <w:sz w:val="18"/>
          <w:szCs w:val="18"/>
        </w:rPr>
      </w:pPr>
      <w:r>
        <w:rPr>
          <w:rFonts w:ascii="Cambria" w:hAnsi="Cambria" w:cs="Cambria"/>
          <w:sz w:val="18"/>
          <w:szCs w:val="18"/>
        </w:rPr>
        <w:t xml:space="preserve">A pedido do fornecedor, decorrente de caso fortuito ou força maior; ou</w:t>
      </w:r>
      <w:r/>
    </w:p>
    <w:p>
      <w:pPr>
        <w:pStyle w:val="1068"/>
        <w:numPr>
          <w:ilvl w:val="2"/>
          <w:numId w:val="2"/>
        </w:numPr>
        <w:ind w:left="567"/>
        <w:tabs>
          <w:tab w:val="left" w:pos="992" w:leader="none"/>
        </w:tabs>
        <w:rPr>
          <w:rFonts w:ascii="Cambria" w:hAnsi="Cambria" w:cs="Cambria"/>
          <w:sz w:val="18"/>
          <w:szCs w:val="18"/>
        </w:rPr>
      </w:pPr>
      <w:r>
        <w:rPr>
          <w:rFonts w:ascii="Cambria" w:hAnsi="Cambria" w:cs="Cambria"/>
          <w:sz w:val="18"/>
          <w:szCs w:val="18"/>
        </w:rPr>
        <w:t xml:space="preserve">Se não houver êxito nas </w:t>
      </w:r>
      <w:r>
        <w:rPr>
          <w:rFonts w:ascii="Cambria" w:hAnsi="Cambria" w:cs="Cambria"/>
          <w:sz w:val="18"/>
          <w:szCs w:val="18"/>
        </w:rPr>
        <w:t xml:space="preserve">negociações, nas hipóteses em que o preço de mercado tornar-se superior ou inferior ao preço registrado, nos termos do artigos 27, § 3º </w:t>
      </w:r>
      <w:r>
        <w:rPr>
          <w:rFonts w:ascii="Cambria" w:hAnsi="Cambria" w:cs="Cambria"/>
          <w:sz w:val="18"/>
          <w:szCs w:val="18"/>
        </w:rPr>
        <w:t xml:space="preserve">e  28</w:t>
      </w:r>
      <w:r>
        <w:rPr>
          <w:rFonts w:ascii="Cambria" w:hAnsi="Cambria" w:cs="Cambria"/>
          <w:sz w:val="18"/>
          <w:szCs w:val="18"/>
        </w:rPr>
        <w:t xml:space="preserve">, § 4º, ambos do Decreto nº 4.773, de 2024. </w:t>
      </w:r>
      <w:r/>
    </w:p>
    <w:p>
      <w:pPr>
        <w:pStyle w:val="1051"/>
        <w:ind w:left="567"/>
        <w:tabs>
          <w:tab w:val="clear" w:pos="567" w:leader="none"/>
          <w:tab w:val="left" w:pos="1134" w:leader="none"/>
        </w:tabs>
        <w:rPr>
          <w:rFonts w:ascii="Cambria" w:hAnsi="Cambria" w:cs="Cambria"/>
          <w:sz w:val="18"/>
          <w:szCs w:val="18"/>
        </w:rPr>
      </w:pPr>
      <w:r>
        <w:rPr>
          <w:rFonts w:ascii="Cambria" w:hAnsi="Cambria" w:cs="Cambria"/>
          <w:sz w:val="18"/>
          <w:szCs w:val="18"/>
        </w:rPr>
        <w:t xml:space="preserve">DAS PENALIDADES</w:t>
      </w:r>
      <w:r/>
    </w:p>
    <w:p>
      <w:pPr>
        <w:pStyle w:val="1068"/>
        <w:ind w:left="567"/>
        <w:tabs>
          <w:tab w:val="left" w:pos="1134" w:leader="none"/>
        </w:tabs>
        <w:rPr>
          <w:rFonts w:ascii="Cambria" w:hAnsi="Cambria" w:cs="Cambria"/>
          <w:color w:val="000000" w:themeColor="text1"/>
          <w:sz w:val="18"/>
          <w:szCs w:val="18"/>
        </w:rPr>
      </w:pPr>
      <w:r>
        <w:rPr>
          <w:rFonts w:ascii="Cambria" w:hAnsi="Cambria" w:cs="Cambria"/>
          <w:color w:val="000000" w:themeColor="text1"/>
          <w:sz w:val="18"/>
          <w:szCs w:val="18"/>
        </w:rPr>
        <w:t xml:space="preserve">O descumprimento da Ata de Registro de Preços ensejará aplicação das penalidades estabelecidas </w:t>
      </w:r>
      <w:r>
        <w:rPr>
          <w:rFonts w:ascii="Cambria" w:hAnsi="Cambria" w:cs="Cambria"/>
          <w:i/>
          <w:color w:val="000000" w:themeColor="text1"/>
          <w:sz w:val="18"/>
          <w:szCs w:val="18"/>
        </w:rPr>
        <w:t xml:space="preserve">no edital</w:t>
      </w:r>
      <w:r>
        <w:rPr>
          <w:rFonts w:ascii="Cambria" w:hAnsi="Cambria" w:cs="Cambria"/>
          <w:color w:val="000000" w:themeColor="text1"/>
          <w:sz w:val="18"/>
          <w:szCs w:val="18"/>
        </w:rPr>
        <w:t xml:space="preserve">.</w:t>
      </w:r>
      <w:r>
        <w:rPr>
          <w:rFonts w:ascii="Cambria" w:hAnsi="Cambria" w:cs="Cambria"/>
          <w:color w:val="000000" w:themeColor="text1"/>
          <w:sz w:val="18"/>
          <w:szCs w:val="18"/>
        </w:rPr>
      </w:r>
      <w:r/>
    </w:p>
    <w:p>
      <w:pPr>
        <w:pStyle w:val="1133"/>
        <w:numPr>
          <w:ilvl w:val="2"/>
          <w:numId w:val="2"/>
        </w:numPr>
        <w:ind w:left="567"/>
        <w:rPr>
          <w:rFonts w:asciiTheme="minorHAnsi" w:hAnsiTheme="minorHAnsi"/>
          <w:sz w:val="18"/>
        </w:rPr>
      </w:pPr>
      <w:r>
        <w:rPr>
          <w:rFonts w:asciiTheme="minorHAnsi" w:hAnsiTheme="minorHAnsi"/>
          <w:sz w:val="18"/>
        </w:rPr>
        <w:t xml:space="preserve">As sanções também se aplicam aos integrantes do cadastro de reserva no registro de preços que, convocados, não honrarem o compromisso assumido injusti</w:t>
      </w:r>
      <w:r>
        <w:rPr>
          <w:rFonts w:asciiTheme="minorHAnsi" w:hAnsiTheme="minorHAnsi"/>
          <w:sz w:val="18"/>
        </w:rPr>
        <w:t xml:space="preserve">ficadamente após terem assinado a ata. </w:t>
      </w:r>
      <w:r/>
    </w:p>
    <w:p>
      <w:pPr>
        <w:pStyle w:val="1068"/>
        <w:ind w:left="567"/>
        <w:tabs>
          <w:tab w:val="left" w:pos="1134" w:leader="none"/>
        </w:tabs>
        <w:rPr>
          <w:rFonts w:ascii="Cambria" w:hAnsi="Cambria" w:cs="Cambria"/>
          <w:sz w:val="18"/>
          <w:szCs w:val="18"/>
        </w:rPr>
      </w:pPr>
      <w:r>
        <w:rPr>
          <w:rFonts w:ascii="Cambria" w:hAnsi="Cambria" w:cs="Cambria"/>
          <w:sz w:val="18"/>
          <w:szCs w:val="18"/>
        </w:rPr>
        <w:t xml:space="preserve">É</w:t>
      </w:r>
      <w:r>
        <w:rPr>
          <w:rFonts w:ascii="Cambria" w:hAnsi="Cambria" w:cs="Cambria"/>
          <w:sz w:val="18"/>
          <w:szCs w:val="18"/>
        </w:rPr>
        <w:t xml:space="preserve"> da competência do gerenciador a aplicação das penalidades decorrentes do descumprimento do pactuado nesta ata de registro de preço, exceto nas hipóteses em que o descumprimento disser respeito às contratações dos ó</w:t>
      </w:r>
      <w:r>
        <w:rPr>
          <w:rFonts w:ascii="Cambria" w:hAnsi="Cambria" w:cs="Cambria"/>
          <w:sz w:val="18"/>
          <w:szCs w:val="18"/>
        </w:rPr>
        <w:t xml:space="preserve">rgãos ou entidade participante, caso no qual caberá ao respectivo órgão participante a aplicação da penalidade.</w:t>
      </w:r>
      <w:r/>
    </w:p>
    <w:p>
      <w:pPr>
        <w:pStyle w:val="1068"/>
        <w:ind w:left="567"/>
        <w:tabs>
          <w:tab w:val="left" w:pos="1134" w:leader="none"/>
        </w:tabs>
        <w:rPr>
          <w:rFonts w:ascii="Cambria" w:hAnsi="Cambria" w:cs="Cambria"/>
          <w:sz w:val="18"/>
          <w:szCs w:val="18"/>
        </w:rPr>
      </w:pPr>
      <w:r>
        <w:rPr>
          <w:rFonts w:ascii="Cambria" w:hAnsi="Cambria" w:cs="Cambria"/>
          <w:sz w:val="18"/>
          <w:szCs w:val="18"/>
        </w:rPr>
        <w:t xml:space="preserve">O órgão ou entidade participante deverá comunicar ao órgão gerenciador qualquer das ocorrências previstas no item 8.1, dada a necessidade de ins</w:t>
      </w:r>
      <w:r>
        <w:rPr>
          <w:rFonts w:ascii="Cambria" w:hAnsi="Cambria" w:cs="Cambria"/>
          <w:sz w:val="18"/>
          <w:szCs w:val="18"/>
        </w:rPr>
        <w:t xml:space="preserve">tauração de procedimento para cancelamento do registro do fornecedor.</w:t>
      </w:r>
      <w:r/>
    </w:p>
    <w:p>
      <w:pPr>
        <w:pStyle w:val="1068"/>
        <w:numPr>
          <w:ilvl w:val="0"/>
          <w:numId w:val="2"/>
        </w:numPr>
        <w:ind w:left="567" w:firstLine="0"/>
        <w:tabs>
          <w:tab w:val="left" w:pos="1134" w:leader="none"/>
        </w:tabs>
        <w:rPr>
          <w:rFonts w:ascii="Cambria" w:hAnsi="Cambria" w:cs="Cambria"/>
          <w:sz w:val="18"/>
          <w:szCs w:val="18"/>
        </w:rPr>
      </w:pPr>
      <w:r>
        <w:rPr>
          <w:rFonts w:ascii="Cambria" w:hAnsi="Cambria" w:cs="Cambria"/>
          <w:b/>
          <w:sz w:val="18"/>
          <w:szCs w:val="18"/>
        </w:rPr>
        <w:t xml:space="preserve">CONDIÇÕES GERAIS</w:t>
      </w:r>
      <w:r/>
    </w:p>
    <w:p>
      <w:pPr>
        <w:pStyle w:val="1068"/>
        <w:numPr>
          <w:ilvl w:val="0"/>
          <w:numId w:val="0"/>
        </w:numPr>
        <w:ind w:left="567"/>
        <w:tabs>
          <w:tab w:val="left" w:pos="1134" w:leader="none"/>
        </w:tabs>
        <w:rPr>
          <w:rFonts w:ascii="Cambria" w:hAnsi="Cambria" w:cs="Cambria"/>
          <w:sz w:val="18"/>
          <w:szCs w:val="18"/>
        </w:rPr>
      </w:pPr>
      <w:r>
        <w:rPr>
          <w:rFonts w:ascii="Cambria" w:hAnsi="Cambria" w:cs="Cambria"/>
          <w:sz w:val="18"/>
          <w:szCs w:val="18"/>
        </w:rPr>
        <w:t xml:space="preserve">14.1. </w:t>
      </w:r>
      <w:r>
        <w:rPr>
          <w:rFonts w:ascii="Cambria" w:hAnsi="Cambria" w:cs="Cambria"/>
          <w:sz w:val="18"/>
          <w:szCs w:val="18"/>
        </w:rPr>
        <w:t xml:space="preserve">As condições gerais de execução do objeto, tais como os prazos para entrega e recebimento, as obrigações da Administração e do fornecedor registrado, penalidades e </w:t>
      </w:r>
      <w:r>
        <w:rPr>
          <w:rFonts w:ascii="Cambria" w:hAnsi="Cambria" w:cs="Cambria"/>
          <w:sz w:val="18"/>
          <w:szCs w:val="18"/>
        </w:rPr>
        <w:t xml:space="preserve">demais condições do ajuste, encontram-se definidos no Termo de Referência, ANEXO </w:t>
      </w:r>
      <w:r>
        <w:rPr>
          <w:rFonts w:ascii="Cambria" w:hAnsi="Cambria" w:cs="Cambria"/>
          <w:i/>
          <w:color w:val="000000" w:themeColor="text1"/>
          <w:sz w:val="18"/>
          <w:szCs w:val="18"/>
        </w:rPr>
        <w:t xml:space="preserve">AO EDITAL</w:t>
      </w:r>
      <w:r>
        <w:rPr>
          <w:rFonts w:ascii="Cambria" w:hAnsi="Cambria" w:cs="Cambria"/>
          <w:sz w:val="18"/>
          <w:szCs w:val="18"/>
        </w:rPr>
        <w:t xml:space="preserve">.</w:t>
      </w:r>
      <w:r/>
    </w:p>
    <w:p>
      <w:pPr>
        <w:pStyle w:val="1068"/>
        <w:numPr>
          <w:ilvl w:val="0"/>
          <w:numId w:val="0"/>
        </w:numPr>
        <w:ind w:left="567"/>
        <w:tabs>
          <w:tab w:val="left" w:pos="1134" w:leader="none"/>
        </w:tabs>
        <w:rPr>
          <w:rFonts w:ascii="Cambria" w:hAnsi="Cambria" w:cs="Cambria"/>
          <w:sz w:val="18"/>
          <w:szCs w:val="18"/>
        </w:rPr>
      </w:pPr>
      <w:r>
        <w:rPr>
          <w:rFonts w:ascii="Cambria" w:hAnsi="Cambria" w:cs="Cambria"/>
          <w:sz w:val="18"/>
          <w:szCs w:val="18"/>
        </w:rPr>
        <w:t xml:space="preserve">14.2. </w:t>
      </w:r>
      <w:r>
        <w:rPr>
          <w:rFonts w:ascii="Cambria" w:hAnsi="Cambria" w:cs="Cambria"/>
          <w:sz w:val="18"/>
          <w:szCs w:val="18"/>
        </w:rPr>
        <w:t xml:space="preserve">No caso de adjudicação por preço global de grupo de itens, só será admitida a contratação de parte de itens do grupo se houver prévia pesquisa de mercado e dem</w:t>
      </w:r>
      <w:r>
        <w:rPr>
          <w:rFonts w:ascii="Cambria" w:hAnsi="Cambria" w:cs="Cambria"/>
          <w:sz w:val="18"/>
          <w:szCs w:val="18"/>
        </w:rPr>
        <w:t xml:space="preserve">onstração de sua vantagem para o órgão ou a entidade</w:t>
      </w:r>
      <w:r/>
    </w:p>
    <w:p>
      <w:pPr>
        <w:ind w:left="567"/>
        <w:jc w:val="both"/>
        <w:spacing w:before="120" w:after="120" w:line="276" w:lineRule="auto"/>
        <w:widowControl w:val="off"/>
        <w:rPr>
          <w:rFonts w:ascii="Cambria" w:hAnsi="Cambria" w:cs="Cambria"/>
          <w:sz w:val="18"/>
          <w:szCs w:val="18"/>
        </w:rPr>
      </w:pPr>
      <w:r>
        <w:rPr>
          <w:rFonts w:ascii="Cambria" w:hAnsi="Cambria" w:cs="Cambria"/>
          <w:sz w:val="18"/>
          <w:szCs w:val="18"/>
        </w:rPr>
        <w:t xml:space="preserve">Para firmeza e validade do pactuado, a presente Ata foi lavrada em 02 (duas) vias de igual teor, que, depois de lida e achada em ordem, vai assinada pelas partes.</w:t>
      </w:r>
      <w:r/>
    </w:p>
    <w:p>
      <w:pPr>
        <w:ind w:right="-30"/>
        <w:jc w:val="right"/>
        <w:spacing w:line="360" w:lineRule="auto"/>
        <w:widowControl w:val="off"/>
        <w:rPr>
          <w:rFonts w:ascii="Cambria" w:hAnsi="Cambria" w:cs="Cambria"/>
          <w:sz w:val="18"/>
          <w:szCs w:val="18"/>
        </w:rPr>
      </w:pPr>
      <w:r>
        <w:rPr>
          <w:rFonts w:ascii="Cambria" w:hAnsi="Cambria" w:cs="Cambria"/>
          <w:sz w:val="18"/>
          <w:szCs w:val="18"/>
        </w:rPr>
        <w:t xml:space="preserve">Santa Bárbara do </w:t>
      </w:r>
      <w:r>
        <w:rPr>
          <w:rFonts w:ascii="Cambria" w:hAnsi="Cambria" w:cs="Cambria"/>
          <w:sz w:val="18"/>
          <w:szCs w:val="18"/>
        </w:rPr>
        <w:t xml:space="preserve">Sul, ....</w:t>
      </w:r>
      <w:r>
        <w:rPr>
          <w:rFonts w:ascii="Cambria" w:hAnsi="Cambria" w:cs="Cambria"/>
          <w:sz w:val="18"/>
          <w:szCs w:val="18"/>
        </w:rPr>
        <w:t xml:space="preserve">de ...........</w:t>
      </w:r>
      <w:r>
        <w:rPr>
          <w:rFonts w:ascii="Cambria" w:hAnsi="Cambria" w:cs="Cambria"/>
          <w:sz w:val="18"/>
          <w:szCs w:val="18"/>
        </w:rPr>
        <w:t xml:space="preserve">..............de 2024</w:t>
      </w:r>
      <w:r/>
    </w:p>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Assinaturas</w:t>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p>
    <w:p>
      <w:pPr>
        <w:ind w:right="-30"/>
        <w:jc w:val="left"/>
        <w:spacing w:line="360" w:lineRule="auto"/>
        <w:widowControl w:val="off"/>
        <w:rPr>
          <w:rFonts w:ascii="Cambria" w:hAnsi="Cambria" w:cs="Cambria"/>
          <w:sz w:val="18"/>
          <w:szCs w:val="18"/>
        </w:rPr>
      </w:pPr>
      <w:r>
        <w:rPr>
          <w:rFonts w:ascii="Cambria" w:hAnsi="Cambria" w:cs="Cambria"/>
          <w:sz w:val="18"/>
          <w:szCs w:val="18"/>
        </w:rPr>
      </w:r>
      <w:r/>
    </w:p>
    <w:p>
      <w:pPr>
        <w:ind w:right="-30"/>
        <w:jc w:val="center"/>
        <w:spacing w:line="360" w:lineRule="auto"/>
        <w:widowControl w:val="off"/>
        <w:rPr>
          <w:rFonts w:ascii="Cambria" w:hAnsi="Cambria" w:cs="Cambria"/>
          <w:sz w:val="18"/>
          <w:szCs w:val="18"/>
        </w:rPr>
      </w:pPr>
      <w:r/>
      <w:bookmarkStart w:id="67" w:name="_GoBack"/>
      <w:r/>
      <w:bookmarkEnd w:id="67"/>
      <w:r>
        <w:rPr>
          <w:rFonts w:ascii="Cambria" w:hAnsi="Cambria" w:cs="Cambria"/>
          <w:sz w:val="18"/>
          <w:szCs w:val="18"/>
        </w:rPr>
        <w:t xml:space="preserve">ANEXO III</w:t>
      </w:r>
      <w:r/>
    </w:p>
    <w:p>
      <w:pPr>
        <w:ind w:right="-30"/>
        <w:jc w:val="center"/>
        <w:spacing w:line="360" w:lineRule="auto"/>
        <w:widowControl w:val="off"/>
        <w:rPr>
          <w:rFonts w:ascii="Cambria" w:hAnsi="Cambria" w:cs="Cambria"/>
          <w:sz w:val="18"/>
          <w:szCs w:val="18"/>
        </w:rPr>
      </w:pP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color w:val="000000"/>
          <w:sz w:val="18"/>
          <w:szCs w:val="18"/>
        </w:rPr>
        <w:t xml:space="preserve">Cadastro Reserva</w:t>
      </w:r>
      <w:r/>
    </w:p>
    <w:p>
      <w:pPr>
        <w:ind w:right="-30"/>
        <w:jc w:val="center"/>
        <w:spacing w:line="360" w:lineRule="auto"/>
        <w:widowControl w:val="off"/>
        <w:rPr>
          <w:rFonts w:ascii="Cambria" w:hAnsi="Cambria" w:cs="Cambria"/>
          <w:sz w:val="18"/>
          <w:szCs w:val="18"/>
        </w:rPr>
      </w:pPr>
      <w:r>
        <w:rPr>
          <w:rFonts w:ascii="Cambria" w:hAnsi="Cambria" w:cs="Cambria"/>
          <w:sz w:val="18"/>
          <w:szCs w:val="18"/>
        </w:rPr>
      </w:r>
      <w:r/>
    </w:p>
    <w:p>
      <w:pPr>
        <w:ind w:right="567" w:firstLine="709"/>
        <w:jc w:val="both"/>
        <w:widowControl w:val="off"/>
        <w:rPr>
          <w:rFonts w:ascii="Cambria" w:hAnsi="Cambria" w:cs="Cambria"/>
          <w:sz w:val="18"/>
          <w:szCs w:val="18"/>
        </w:rPr>
      </w:pPr>
      <w:r>
        <w:rPr>
          <w:rFonts w:ascii="Cambria" w:hAnsi="Cambria" w:cs="Cambria"/>
          <w:color w:val="000000"/>
          <w:sz w:val="18"/>
          <w:szCs w:val="18"/>
        </w:rPr>
        <w:t xml:space="preserve">Seguindo a ordem de classificação, segue relação de fornecedores que aceitaram cotar os itens com preços iguais ao adjudicatário:</w:t>
      </w:r>
      <w:r/>
    </w:p>
    <w:p>
      <w:pPr>
        <w:ind w:right="-30"/>
        <w:jc w:val="center"/>
        <w:spacing w:line="360" w:lineRule="auto"/>
        <w:widowControl w:val="off"/>
        <w:rPr>
          <w:rFonts w:ascii="Cambria" w:hAnsi="Cambria" w:cs="Cambria"/>
          <w:sz w:val="18"/>
          <w:szCs w:val="18"/>
        </w:rPr>
      </w:pPr>
      <w:r>
        <w:rPr>
          <w:rFonts w:ascii="Cambria" w:hAnsi="Cambria" w:cs="Cambria"/>
          <w:sz w:val="18"/>
          <w:szCs w:val="18"/>
        </w:rPr>
      </w:r>
      <w:r/>
    </w:p>
    <w:tbl>
      <w:tblPr>
        <w:tblW w:w="9392" w:type="dxa"/>
        <w:tblInd w:w="10" w:type="dxa"/>
        <w:tblLayout w:type="fixed"/>
        <w:tblCellMar>
          <w:left w:w="10" w:type="dxa"/>
          <w:right w:w="10" w:type="dxa"/>
        </w:tblCellMar>
        <w:tblLook w:val="04A0" w:firstRow="1" w:lastRow="0" w:firstColumn="1" w:lastColumn="0" w:noHBand="0" w:noVBand="1"/>
      </w:tblPr>
      <w:tblGrid>
        <w:gridCol w:w="840"/>
        <w:gridCol w:w="1134"/>
        <w:gridCol w:w="1109"/>
        <w:gridCol w:w="1442"/>
        <w:gridCol w:w="992"/>
        <w:gridCol w:w="1134"/>
        <w:gridCol w:w="992"/>
        <w:gridCol w:w="905"/>
        <w:gridCol w:w="844"/>
      </w:tblGrid>
      <w:tr>
        <w:trPr>
          <w:trHeight w:val="511"/>
        </w:trPr>
        <w:tc>
          <w:tcPr>
            <w:tcBorders>
              <w:top w:val="single" w:color="000000" w:sz="2" w:space="0"/>
              <w:left w:val="single" w:color="000000" w:sz="2" w:space="0"/>
              <w:bottom w:val="single" w:color="000000" w:sz="2" w:space="0"/>
              <w:right w:val="single" w:color="000000" w:sz="2" w:space="0"/>
            </w:tcBorders>
            <w:tcW w:w="840" w:type="dxa"/>
            <w:vAlign w:val="center"/>
            <w:textDirection w:val="lrTb"/>
            <w:noWrap w:val="false"/>
          </w:tcPr>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Item</w:t>
            </w:r>
            <w:r/>
          </w:p>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do</w:t>
            </w:r>
            <w:r/>
          </w:p>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TR</w:t>
            </w:r>
            <w:r/>
          </w:p>
        </w:tc>
        <w:tc>
          <w:tcPr>
            <w:gridSpan w:val="8"/>
            <w:tcBorders>
              <w:top w:val="single" w:color="000000" w:sz="2" w:space="0"/>
              <w:left w:val="single" w:color="000000" w:sz="2" w:space="0"/>
              <w:bottom w:val="single" w:color="000000" w:sz="2" w:space="0"/>
              <w:right w:val="single" w:color="000000" w:sz="2" w:space="0"/>
            </w:tcBorders>
            <w:tcW w:w="8552" w:type="dxa"/>
            <w:textDirection w:val="lrTb"/>
            <w:noWrap w:val="false"/>
          </w:tcPr>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Fornecedor </w:t>
            </w:r>
            <w:r>
              <w:rPr>
                <w:rFonts w:ascii="Cambria" w:hAnsi="Cambria" w:cs="Cambria"/>
                <w:i/>
                <w:color w:val="ff0000"/>
                <w:sz w:val="18"/>
                <w:szCs w:val="18"/>
              </w:rPr>
              <w:t xml:space="preserve">(razão social, CNPJ/MF, endereço, contatos, representante)</w:t>
            </w:r>
            <w:r/>
          </w:p>
          <w:p>
            <w:pPr>
              <w:ind w:right="-30"/>
              <w:jc w:val="center"/>
              <w:spacing w:line="360" w:lineRule="auto"/>
              <w:widowControl w:val="off"/>
              <w:rPr>
                <w:rFonts w:ascii="Cambria" w:hAnsi="Cambria" w:cs="Cambria"/>
                <w:bCs/>
                <w:color w:val="ff0000"/>
                <w:sz w:val="18"/>
                <w:szCs w:val="18"/>
              </w:rPr>
            </w:pPr>
            <w:r>
              <w:rPr>
                <w:rFonts w:ascii="Cambria" w:hAnsi="Cambria" w:cs="Cambria"/>
                <w:bCs/>
                <w:color w:val="ff0000"/>
                <w:sz w:val="18"/>
                <w:szCs w:val="18"/>
              </w:rPr>
            </w:r>
            <w:r/>
          </w:p>
        </w:tc>
      </w:tr>
      <w:tr>
        <w:trPr>
          <w:trHeight w:val="674"/>
        </w:trPr>
        <w:tc>
          <w:tcPr>
            <w:tcBorders>
              <w:top w:val="none" w:color="000000" w:sz="4" w:space="0"/>
              <w:left w:val="single" w:color="000000" w:sz="2" w:space="0"/>
              <w:bottom w:val="single" w:color="000000" w:sz="2" w:space="0"/>
              <w:right w:val="none" w:color="000000" w:sz="4" w:space="0"/>
            </w:tcBorders>
            <w:tcW w:w="840" w:type="dxa"/>
            <w:vAlign w:val="center"/>
            <w:textDirection w:val="lrTb"/>
            <w:noWrap w:val="false"/>
          </w:tcPr>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X</w:t>
            </w:r>
            <w:r/>
          </w:p>
        </w:tc>
        <w:tc>
          <w:tcPr>
            <w:tcBorders>
              <w:top w:val="none" w:color="000000" w:sz="4" w:space="0"/>
              <w:left w:val="single" w:color="000000" w:sz="2" w:space="0"/>
              <w:bottom w:val="single" w:color="000000" w:sz="2" w:space="0"/>
              <w:right w:val="none" w:color="000000" w:sz="4" w:space="0"/>
            </w:tcBorders>
            <w:tcW w:w="1134" w:type="dxa"/>
            <w:textDirection w:val="lrTb"/>
            <w:noWrap w:val="false"/>
          </w:tcPr>
          <w:p>
            <w:pPr>
              <w:ind w:right="-30"/>
              <w:jc w:val="both"/>
              <w:spacing w:line="360" w:lineRule="auto"/>
              <w:widowControl w:val="off"/>
              <w:rPr>
                <w:rFonts w:ascii="Cambria" w:hAnsi="Cambria" w:cs="Cambria"/>
                <w:sz w:val="18"/>
                <w:szCs w:val="18"/>
              </w:rPr>
            </w:pPr>
            <w:r>
              <w:rPr>
                <w:rFonts w:ascii="Cambria" w:hAnsi="Cambria" w:cs="Cambria"/>
                <w:sz w:val="18"/>
                <w:szCs w:val="18"/>
              </w:rPr>
              <w:t xml:space="preserve">Especificação</w:t>
            </w:r>
            <w:r/>
          </w:p>
        </w:tc>
        <w:tc>
          <w:tcPr>
            <w:tcBorders>
              <w:top w:val="none" w:color="000000" w:sz="4" w:space="0"/>
              <w:left w:val="single" w:color="000000" w:sz="2" w:space="0"/>
              <w:bottom w:val="single" w:color="000000" w:sz="2" w:space="0"/>
              <w:right w:val="none" w:color="000000" w:sz="4" w:space="0"/>
            </w:tcBorders>
            <w:tcW w:w="1109" w:type="dxa"/>
            <w:textDirection w:val="lrTb"/>
            <w:noWrap w:val="false"/>
          </w:tcPr>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Marca </w:t>
            </w:r>
            <w:r/>
          </w:p>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(se exigida no edital)</w:t>
            </w:r>
            <w:r/>
          </w:p>
        </w:tc>
        <w:tc>
          <w:tcPr>
            <w:tcBorders>
              <w:top w:val="none" w:color="000000" w:sz="4" w:space="0"/>
              <w:left w:val="single" w:color="000000" w:sz="2" w:space="0"/>
              <w:bottom w:val="single" w:color="000000" w:sz="2" w:space="0"/>
              <w:right w:val="none" w:color="000000" w:sz="4" w:space="0"/>
            </w:tcBorders>
            <w:tcW w:w="1442" w:type="dxa"/>
            <w:textDirection w:val="lrTb"/>
            <w:noWrap w:val="false"/>
          </w:tcPr>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Modelo</w:t>
            </w:r>
            <w:r/>
          </w:p>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(se exigido no edital)</w:t>
            </w:r>
            <w:r/>
          </w:p>
        </w:tc>
        <w:tc>
          <w:tcPr>
            <w:tcBorders>
              <w:top w:val="none" w:color="000000" w:sz="4" w:space="0"/>
              <w:left w:val="single" w:color="000000" w:sz="2" w:space="0"/>
              <w:bottom w:val="single" w:color="000000" w:sz="2" w:space="0"/>
              <w:right w:val="none" w:color="000000" w:sz="4" w:space="0"/>
            </w:tcBorders>
            <w:tcW w:w="992" w:type="dxa"/>
            <w:textDirection w:val="lrTb"/>
            <w:noWrap w:val="false"/>
          </w:tcPr>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Unidade</w:t>
            </w:r>
            <w:r/>
          </w:p>
        </w:tc>
        <w:tc>
          <w:tcPr>
            <w:tcBorders>
              <w:top w:val="none" w:color="000000" w:sz="4" w:space="0"/>
              <w:left w:val="single" w:color="000000" w:sz="2" w:space="0"/>
              <w:bottom w:val="single" w:color="000000" w:sz="2" w:space="0"/>
              <w:right w:val="none" w:color="000000" w:sz="4" w:space="0"/>
            </w:tcBorders>
            <w:tcW w:w="1134" w:type="dxa"/>
            <w:textDirection w:val="lrTb"/>
            <w:noWrap w:val="false"/>
          </w:tcPr>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Quantidade</w:t>
            </w:r>
            <w:r/>
          </w:p>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Máxima</w:t>
            </w:r>
            <w:r/>
          </w:p>
        </w:tc>
        <w:tc>
          <w:tcPr>
            <w:tcBorders>
              <w:top w:val="none" w:color="000000" w:sz="4" w:space="0"/>
              <w:left w:val="single" w:color="000000" w:sz="2" w:space="0"/>
              <w:bottom w:val="single" w:color="000000" w:sz="2" w:space="0"/>
              <w:right w:val="single" w:color="000000" w:sz="2" w:space="0"/>
            </w:tcBorders>
            <w:tcW w:w="992" w:type="dxa"/>
            <w:textDirection w:val="lrTb"/>
            <w:noWrap w:val="false"/>
          </w:tcPr>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Quantidade Mínima</w:t>
            </w:r>
            <w:r/>
          </w:p>
        </w:tc>
        <w:tc>
          <w:tcPr>
            <w:tcBorders>
              <w:top w:val="none" w:color="000000" w:sz="4" w:space="0"/>
              <w:left w:val="single" w:color="000000" w:sz="2" w:space="0"/>
              <w:bottom w:val="single" w:color="000000" w:sz="2" w:space="0"/>
              <w:right w:val="none" w:color="000000" w:sz="4" w:space="0"/>
            </w:tcBorders>
            <w:tcW w:w="905" w:type="dxa"/>
            <w:textDirection w:val="lrTb"/>
            <w:noWrap w:val="false"/>
          </w:tcPr>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Valor </w:t>
            </w:r>
            <w:r>
              <w:rPr>
                <w:rFonts w:ascii="Cambria" w:hAnsi="Cambria" w:cs="Cambria"/>
                <w:sz w:val="18"/>
                <w:szCs w:val="18"/>
              </w:rPr>
              <w:t xml:space="preserve">Un</w:t>
            </w:r>
            <w:r/>
          </w:p>
        </w:tc>
        <w:tc>
          <w:tcPr>
            <w:tcBorders>
              <w:top w:val="none" w:color="000000" w:sz="4" w:space="0"/>
              <w:left w:val="single" w:color="000000" w:sz="2" w:space="0"/>
              <w:bottom w:val="single" w:color="000000" w:sz="2" w:space="0"/>
              <w:right w:val="single" w:color="000000" w:sz="2" w:space="0"/>
            </w:tcBorders>
            <w:tcW w:w="844" w:type="dxa"/>
            <w:textDirection w:val="lrTb"/>
            <w:noWrap w:val="false"/>
          </w:tcPr>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Prazo garantia ou validade</w:t>
            </w:r>
            <w:r/>
          </w:p>
        </w:tc>
      </w:tr>
      <w:tr>
        <w:trPr>
          <w:trHeight w:val="174"/>
        </w:trPr>
        <w:tc>
          <w:tcPr>
            <w:tcBorders>
              <w:top w:val="none" w:color="000000" w:sz="4" w:space="0"/>
              <w:left w:val="single" w:color="000000" w:sz="2" w:space="0"/>
              <w:bottom w:val="single" w:color="000000" w:sz="2" w:space="0"/>
              <w:right w:val="none" w:color="000000" w:sz="4" w:space="0"/>
            </w:tcBorders>
            <w:tcW w:w="840" w:type="dxa"/>
            <w:textDirection w:val="lrTb"/>
            <w:noWrap w:val="false"/>
          </w:tcPr>
          <w:p>
            <w:pPr>
              <w:ind w:right="-30"/>
              <w:jc w:val="both"/>
              <w:spacing w:line="360" w:lineRule="auto"/>
              <w:widowControl w:val="off"/>
              <w:rPr>
                <w:rFonts w:ascii="Cambria" w:hAnsi="Cambria" w:cs="Cambria"/>
                <w:sz w:val="18"/>
                <w:szCs w:val="18"/>
              </w:rPr>
            </w:pPr>
            <w:r>
              <w:rPr>
                <w:rFonts w:ascii="Cambria" w:hAnsi="Cambria" w:cs="Cambria"/>
                <w:sz w:val="18"/>
                <w:szCs w:val="18"/>
              </w:rPr>
            </w:r>
            <w:r/>
          </w:p>
        </w:tc>
        <w:tc>
          <w:tcPr>
            <w:tcBorders>
              <w:top w:val="none" w:color="000000" w:sz="4" w:space="0"/>
              <w:left w:val="single" w:color="000000" w:sz="2" w:space="0"/>
              <w:bottom w:val="single" w:color="000000" w:sz="2" w:space="0"/>
              <w:right w:val="none" w:color="000000" w:sz="4" w:space="0"/>
            </w:tcBorders>
            <w:tcW w:w="1134" w:type="dxa"/>
            <w:textDirection w:val="lrTb"/>
            <w:noWrap w:val="false"/>
          </w:tcPr>
          <w:p>
            <w:pPr>
              <w:ind w:right="-30"/>
              <w:jc w:val="both"/>
              <w:spacing w:line="360" w:lineRule="auto"/>
              <w:widowControl w:val="off"/>
              <w:rPr>
                <w:rFonts w:ascii="Cambria" w:hAnsi="Cambria" w:cs="Cambria"/>
                <w:sz w:val="18"/>
                <w:szCs w:val="18"/>
              </w:rPr>
            </w:pPr>
            <w:r>
              <w:rPr>
                <w:rFonts w:ascii="Cambria" w:hAnsi="Cambria" w:cs="Cambria"/>
                <w:sz w:val="18"/>
                <w:szCs w:val="18"/>
              </w:rPr>
            </w:r>
            <w:r/>
          </w:p>
        </w:tc>
        <w:tc>
          <w:tcPr>
            <w:tcBorders>
              <w:top w:val="none" w:color="000000" w:sz="4" w:space="0"/>
              <w:left w:val="single" w:color="000000" w:sz="2" w:space="0"/>
              <w:bottom w:val="single" w:color="000000" w:sz="2" w:space="0"/>
              <w:right w:val="none" w:color="000000" w:sz="4" w:space="0"/>
            </w:tcBorders>
            <w:tcW w:w="1109" w:type="dxa"/>
            <w:textDirection w:val="lrTb"/>
            <w:noWrap w:val="false"/>
          </w:tcPr>
          <w:p>
            <w:pPr>
              <w:ind w:right="-30"/>
              <w:jc w:val="both"/>
              <w:spacing w:line="360" w:lineRule="auto"/>
              <w:widowControl w:val="off"/>
              <w:rPr>
                <w:rFonts w:ascii="Cambria" w:hAnsi="Cambria" w:cs="Cambria"/>
                <w:sz w:val="18"/>
                <w:szCs w:val="18"/>
              </w:rPr>
            </w:pPr>
            <w:r>
              <w:rPr>
                <w:rFonts w:ascii="Cambria" w:hAnsi="Cambria" w:cs="Cambria"/>
                <w:sz w:val="18"/>
                <w:szCs w:val="18"/>
              </w:rPr>
            </w:r>
            <w:r/>
          </w:p>
        </w:tc>
        <w:tc>
          <w:tcPr>
            <w:tcBorders>
              <w:top w:val="none" w:color="000000" w:sz="4" w:space="0"/>
              <w:left w:val="single" w:color="000000" w:sz="2" w:space="0"/>
              <w:bottom w:val="single" w:color="000000" w:sz="2" w:space="0"/>
              <w:right w:val="none" w:color="000000" w:sz="4" w:space="0"/>
            </w:tcBorders>
            <w:tcW w:w="1442" w:type="dxa"/>
            <w:textDirection w:val="lrTb"/>
            <w:noWrap w:val="false"/>
          </w:tcPr>
          <w:p>
            <w:pPr>
              <w:ind w:right="-30"/>
              <w:jc w:val="both"/>
              <w:spacing w:line="360" w:lineRule="auto"/>
              <w:widowControl w:val="off"/>
              <w:rPr>
                <w:rFonts w:ascii="Cambria" w:hAnsi="Cambria" w:cs="Cambria"/>
                <w:sz w:val="18"/>
                <w:szCs w:val="18"/>
              </w:rPr>
            </w:pPr>
            <w:r>
              <w:rPr>
                <w:rFonts w:ascii="Cambria" w:hAnsi="Cambria" w:cs="Cambria"/>
                <w:sz w:val="18"/>
                <w:szCs w:val="18"/>
              </w:rPr>
            </w:r>
            <w:r/>
          </w:p>
        </w:tc>
        <w:tc>
          <w:tcPr>
            <w:tcBorders>
              <w:top w:val="none" w:color="000000" w:sz="4" w:space="0"/>
              <w:left w:val="single" w:color="000000" w:sz="2" w:space="0"/>
              <w:bottom w:val="single" w:color="000000" w:sz="2" w:space="0"/>
              <w:right w:val="none" w:color="000000" w:sz="4" w:space="0"/>
            </w:tcBorders>
            <w:tcW w:w="992" w:type="dxa"/>
            <w:textDirection w:val="lrTb"/>
            <w:noWrap w:val="false"/>
          </w:tcPr>
          <w:p>
            <w:pPr>
              <w:ind w:right="-30"/>
              <w:jc w:val="both"/>
              <w:spacing w:line="360" w:lineRule="auto"/>
              <w:widowControl w:val="off"/>
              <w:rPr>
                <w:rFonts w:ascii="Cambria" w:hAnsi="Cambria" w:cs="Cambria"/>
                <w:sz w:val="18"/>
                <w:szCs w:val="18"/>
              </w:rPr>
            </w:pPr>
            <w:r>
              <w:rPr>
                <w:rFonts w:ascii="Cambria" w:hAnsi="Cambria" w:cs="Cambria"/>
                <w:sz w:val="18"/>
                <w:szCs w:val="18"/>
              </w:rPr>
            </w:r>
            <w:r/>
          </w:p>
        </w:tc>
        <w:tc>
          <w:tcPr>
            <w:tcBorders>
              <w:top w:val="none" w:color="000000" w:sz="4" w:space="0"/>
              <w:left w:val="single" w:color="000000" w:sz="2" w:space="0"/>
              <w:bottom w:val="single" w:color="000000" w:sz="2" w:space="0"/>
              <w:right w:val="none" w:color="000000" w:sz="4" w:space="0"/>
            </w:tcBorders>
            <w:tcW w:w="1134" w:type="dxa"/>
            <w:textDirection w:val="lrTb"/>
            <w:noWrap w:val="false"/>
          </w:tcPr>
          <w:p>
            <w:pPr>
              <w:ind w:right="-30"/>
              <w:jc w:val="both"/>
              <w:spacing w:line="360" w:lineRule="auto"/>
              <w:widowControl w:val="off"/>
              <w:rPr>
                <w:rFonts w:ascii="Cambria" w:hAnsi="Cambria" w:cs="Cambria"/>
                <w:sz w:val="18"/>
                <w:szCs w:val="18"/>
              </w:rPr>
            </w:pPr>
            <w:r>
              <w:rPr>
                <w:rFonts w:ascii="Cambria" w:hAnsi="Cambria" w:cs="Cambria"/>
                <w:sz w:val="18"/>
                <w:szCs w:val="18"/>
              </w:rPr>
            </w:r>
            <w:r/>
          </w:p>
        </w:tc>
        <w:tc>
          <w:tcPr>
            <w:tcBorders>
              <w:top w:val="none" w:color="000000" w:sz="4" w:space="0"/>
              <w:left w:val="single" w:color="000000" w:sz="2" w:space="0"/>
              <w:bottom w:val="single" w:color="000000" w:sz="2" w:space="0"/>
              <w:right w:val="single" w:color="000000" w:sz="2" w:space="0"/>
            </w:tcBorders>
            <w:tcW w:w="992" w:type="dxa"/>
            <w:textDirection w:val="lrTb"/>
            <w:noWrap w:val="false"/>
          </w:tcPr>
          <w:p>
            <w:pPr>
              <w:ind w:right="-30"/>
              <w:jc w:val="both"/>
              <w:spacing w:line="360" w:lineRule="auto"/>
              <w:widowControl w:val="off"/>
              <w:rPr>
                <w:rFonts w:ascii="Cambria" w:hAnsi="Cambria" w:cs="Cambria"/>
                <w:sz w:val="18"/>
                <w:szCs w:val="18"/>
              </w:rPr>
            </w:pPr>
            <w:r>
              <w:rPr>
                <w:rFonts w:ascii="Cambria" w:hAnsi="Cambria" w:cs="Cambria"/>
                <w:sz w:val="18"/>
                <w:szCs w:val="18"/>
              </w:rPr>
            </w:r>
            <w:r/>
          </w:p>
        </w:tc>
        <w:tc>
          <w:tcPr>
            <w:tcBorders>
              <w:top w:val="none" w:color="000000" w:sz="4" w:space="0"/>
              <w:left w:val="single" w:color="000000" w:sz="2" w:space="0"/>
              <w:bottom w:val="single" w:color="000000" w:sz="2" w:space="0"/>
              <w:right w:val="none" w:color="000000" w:sz="4" w:space="0"/>
            </w:tcBorders>
            <w:tcW w:w="905" w:type="dxa"/>
            <w:textDirection w:val="lrTb"/>
            <w:noWrap w:val="false"/>
          </w:tcPr>
          <w:p>
            <w:pPr>
              <w:ind w:right="-30"/>
              <w:jc w:val="both"/>
              <w:spacing w:line="360" w:lineRule="auto"/>
              <w:widowControl w:val="off"/>
              <w:rPr>
                <w:rFonts w:ascii="Cambria" w:hAnsi="Cambria" w:cs="Cambria"/>
                <w:sz w:val="18"/>
                <w:szCs w:val="18"/>
              </w:rPr>
            </w:pPr>
            <w:r>
              <w:rPr>
                <w:rFonts w:ascii="Cambria" w:hAnsi="Cambria" w:cs="Cambria"/>
                <w:sz w:val="18"/>
                <w:szCs w:val="18"/>
              </w:rPr>
            </w:r>
            <w:r/>
          </w:p>
        </w:tc>
        <w:tc>
          <w:tcPr>
            <w:tcBorders>
              <w:top w:val="none" w:color="000000" w:sz="4" w:space="0"/>
              <w:left w:val="single" w:color="000000" w:sz="2" w:space="0"/>
              <w:bottom w:val="single" w:color="000000" w:sz="2" w:space="0"/>
              <w:right w:val="single" w:color="000000" w:sz="2" w:space="0"/>
            </w:tcBorders>
            <w:tcW w:w="844" w:type="dxa"/>
            <w:textDirection w:val="lrTb"/>
            <w:noWrap w:val="false"/>
          </w:tcPr>
          <w:p>
            <w:pPr>
              <w:ind w:right="-30"/>
              <w:jc w:val="both"/>
              <w:spacing w:line="360" w:lineRule="auto"/>
              <w:widowControl w:val="off"/>
              <w:rPr>
                <w:rFonts w:ascii="Cambria" w:hAnsi="Cambria" w:cs="Cambria"/>
                <w:sz w:val="18"/>
                <w:szCs w:val="18"/>
              </w:rPr>
            </w:pPr>
            <w:r>
              <w:rPr>
                <w:rFonts w:ascii="Cambria" w:hAnsi="Cambria" w:cs="Cambria"/>
                <w:sz w:val="18"/>
                <w:szCs w:val="18"/>
              </w:rPr>
            </w:r>
            <w:r/>
          </w:p>
        </w:tc>
      </w:tr>
    </w:tbl>
    <w:p>
      <w:pPr>
        <w:ind w:right="-30"/>
        <w:jc w:val="center"/>
        <w:spacing w:line="360" w:lineRule="auto"/>
        <w:widowControl w:val="off"/>
        <w:rPr>
          <w:rFonts w:ascii="Cambria" w:hAnsi="Cambria" w:cs="Cambria"/>
          <w:sz w:val="18"/>
          <w:szCs w:val="18"/>
        </w:rPr>
      </w:pP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p>
    <w:p>
      <w:pPr>
        <w:ind w:firstLine="709"/>
        <w:jc w:val="both"/>
        <w:spacing w:line="360" w:lineRule="auto"/>
        <w:widowControl w:val="off"/>
        <w:rPr>
          <w:rFonts w:ascii="Cambria" w:hAnsi="Cambria" w:cs="Cambria"/>
          <w:sz w:val="18"/>
          <w:szCs w:val="18"/>
        </w:rPr>
      </w:pPr>
      <w:r>
        <w:rPr>
          <w:rFonts w:ascii="Cambria" w:hAnsi="Cambria" w:cs="Cambria"/>
          <w:color w:val="000000"/>
          <w:sz w:val="18"/>
          <w:szCs w:val="18"/>
        </w:rPr>
        <w:t xml:space="preserve">Seguindo a ordem de classificação, segue relação de fornecedores que mantiveram sua proposta original:</w:t>
      </w:r>
      <w:r/>
    </w:p>
    <w:p>
      <w:pPr>
        <w:ind w:right="-30"/>
        <w:jc w:val="center"/>
        <w:spacing w:line="360" w:lineRule="auto"/>
        <w:widowControl w:val="off"/>
        <w:rPr>
          <w:rFonts w:ascii="Cambria" w:hAnsi="Cambria" w:cs="Cambria"/>
          <w:sz w:val="18"/>
          <w:szCs w:val="18"/>
        </w:rPr>
      </w:pPr>
      <w:r>
        <w:rPr>
          <w:rFonts w:ascii="Cambria" w:hAnsi="Cambria" w:cs="Cambria"/>
          <w:sz w:val="18"/>
          <w:szCs w:val="18"/>
        </w:rPr>
      </w:r>
      <w:r/>
    </w:p>
    <w:tbl>
      <w:tblPr>
        <w:tblW w:w="9392" w:type="dxa"/>
        <w:tblInd w:w="10" w:type="dxa"/>
        <w:tblLayout w:type="fixed"/>
        <w:tblCellMar>
          <w:left w:w="10" w:type="dxa"/>
          <w:right w:w="10" w:type="dxa"/>
        </w:tblCellMar>
        <w:tblLook w:val="04A0" w:firstRow="1" w:lastRow="0" w:firstColumn="1" w:lastColumn="0" w:noHBand="0" w:noVBand="1"/>
      </w:tblPr>
      <w:tblGrid>
        <w:gridCol w:w="695"/>
        <w:gridCol w:w="1134"/>
        <w:gridCol w:w="1253"/>
        <w:gridCol w:w="1159"/>
        <w:gridCol w:w="1134"/>
        <w:gridCol w:w="1276"/>
        <w:gridCol w:w="1056"/>
        <w:gridCol w:w="841"/>
        <w:gridCol w:w="844"/>
      </w:tblGrid>
      <w:tr>
        <w:trPr>
          <w:trHeight w:val="511"/>
        </w:trPr>
        <w:tc>
          <w:tcPr>
            <w:tcBorders>
              <w:top w:val="single" w:color="000000" w:sz="2" w:space="0"/>
              <w:left w:val="single" w:color="000000" w:sz="2" w:space="0"/>
              <w:bottom w:val="single" w:color="000000" w:sz="2" w:space="0"/>
              <w:right w:val="single" w:color="000000" w:sz="2" w:space="0"/>
            </w:tcBorders>
            <w:tcW w:w="696" w:type="dxa"/>
            <w:vAlign w:val="center"/>
            <w:textDirection w:val="lrTb"/>
            <w:noWrap w:val="false"/>
          </w:tcPr>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Item</w:t>
            </w:r>
            <w:r/>
          </w:p>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do</w:t>
            </w:r>
            <w:r/>
          </w:p>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TR</w:t>
            </w:r>
            <w:r/>
          </w:p>
        </w:tc>
        <w:tc>
          <w:tcPr>
            <w:gridSpan w:val="8"/>
            <w:tcBorders>
              <w:top w:val="single" w:color="000000" w:sz="2" w:space="0"/>
              <w:left w:val="single" w:color="000000" w:sz="2" w:space="0"/>
              <w:bottom w:val="single" w:color="000000" w:sz="2" w:space="0"/>
              <w:right w:val="single" w:color="000000" w:sz="2" w:space="0"/>
            </w:tcBorders>
            <w:tcW w:w="8696" w:type="dxa"/>
            <w:textDirection w:val="lrTb"/>
            <w:noWrap w:val="false"/>
          </w:tcPr>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Fornecedor </w:t>
            </w:r>
            <w:r>
              <w:rPr>
                <w:rFonts w:ascii="Cambria" w:hAnsi="Cambria" w:cs="Cambria"/>
                <w:i/>
                <w:color w:val="ff0000"/>
                <w:sz w:val="18"/>
                <w:szCs w:val="18"/>
              </w:rPr>
              <w:t xml:space="preserve">(razão social, CNPJ/MF, endereço, contatos, representante)</w:t>
            </w:r>
            <w:r/>
          </w:p>
          <w:p>
            <w:pPr>
              <w:ind w:right="-30"/>
              <w:jc w:val="center"/>
              <w:spacing w:line="360" w:lineRule="auto"/>
              <w:widowControl w:val="off"/>
              <w:rPr>
                <w:rFonts w:ascii="Cambria" w:hAnsi="Cambria" w:cs="Cambria"/>
                <w:bCs/>
                <w:color w:val="ff0000"/>
                <w:sz w:val="18"/>
                <w:szCs w:val="18"/>
              </w:rPr>
            </w:pPr>
            <w:r>
              <w:rPr>
                <w:rFonts w:ascii="Cambria" w:hAnsi="Cambria" w:cs="Cambria"/>
                <w:bCs/>
                <w:color w:val="ff0000"/>
                <w:sz w:val="18"/>
                <w:szCs w:val="18"/>
              </w:rPr>
            </w:r>
            <w:r/>
          </w:p>
        </w:tc>
      </w:tr>
      <w:tr>
        <w:trPr>
          <w:trHeight w:val="674"/>
        </w:trPr>
        <w:tc>
          <w:tcPr>
            <w:tcBorders>
              <w:top w:val="none" w:color="000000" w:sz="4" w:space="0"/>
              <w:left w:val="single" w:color="000000" w:sz="2" w:space="0"/>
              <w:bottom w:val="single" w:color="000000" w:sz="2" w:space="0"/>
              <w:right w:val="none" w:color="000000" w:sz="4" w:space="0"/>
            </w:tcBorders>
            <w:tcW w:w="696" w:type="dxa"/>
            <w:vAlign w:val="center"/>
            <w:textDirection w:val="lrTb"/>
            <w:noWrap w:val="false"/>
          </w:tcPr>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X</w:t>
            </w:r>
            <w:r/>
          </w:p>
        </w:tc>
        <w:tc>
          <w:tcPr>
            <w:tcBorders>
              <w:top w:val="none" w:color="000000" w:sz="4" w:space="0"/>
              <w:left w:val="single" w:color="000000" w:sz="2" w:space="0"/>
              <w:bottom w:val="single" w:color="000000" w:sz="2" w:space="0"/>
              <w:right w:val="none" w:color="000000" w:sz="4" w:space="0"/>
            </w:tcBorders>
            <w:tcW w:w="1134" w:type="dxa"/>
            <w:textDirection w:val="lrTb"/>
            <w:noWrap w:val="false"/>
          </w:tcPr>
          <w:p>
            <w:pPr>
              <w:ind w:right="-30"/>
              <w:jc w:val="both"/>
              <w:spacing w:line="360" w:lineRule="auto"/>
              <w:widowControl w:val="off"/>
              <w:rPr>
                <w:rFonts w:ascii="Cambria" w:hAnsi="Cambria" w:cs="Cambria"/>
                <w:sz w:val="18"/>
                <w:szCs w:val="18"/>
              </w:rPr>
            </w:pPr>
            <w:r>
              <w:rPr>
                <w:rFonts w:ascii="Cambria" w:hAnsi="Cambria" w:cs="Cambria"/>
                <w:sz w:val="18"/>
                <w:szCs w:val="18"/>
              </w:rPr>
              <w:t xml:space="preserve">Especificação</w:t>
            </w:r>
            <w:r/>
          </w:p>
        </w:tc>
        <w:tc>
          <w:tcPr>
            <w:tcBorders>
              <w:top w:val="none" w:color="000000" w:sz="4" w:space="0"/>
              <w:left w:val="single" w:color="000000" w:sz="2" w:space="0"/>
              <w:bottom w:val="single" w:color="000000" w:sz="2" w:space="0"/>
              <w:right w:val="none" w:color="000000" w:sz="4" w:space="0"/>
            </w:tcBorders>
            <w:tcW w:w="1253" w:type="dxa"/>
            <w:textDirection w:val="lrTb"/>
            <w:noWrap w:val="false"/>
          </w:tcPr>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Marca </w:t>
            </w:r>
            <w:r/>
          </w:p>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(se exigida no edital)</w:t>
            </w:r>
            <w:r/>
          </w:p>
        </w:tc>
        <w:tc>
          <w:tcPr>
            <w:tcBorders>
              <w:top w:val="none" w:color="000000" w:sz="4" w:space="0"/>
              <w:left w:val="single" w:color="000000" w:sz="2" w:space="0"/>
              <w:bottom w:val="single" w:color="000000" w:sz="2" w:space="0"/>
              <w:right w:val="none" w:color="000000" w:sz="4" w:space="0"/>
            </w:tcBorders>
            <w:tcW w:w="1159" w:type="dxa"/>
            <w:textDirection w:val="lrTb"/>
            <w:noWrap w:val="false"/>
          </w:tcPr>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Modelo</w:t>
            </w:r>
            <w:r/>
          </w:p>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(se exigido no edital)</w:t>
            </w:r>
            <w:r/>
          </w:p>
        </w:tc>
        <w:tc>
          <w:tcPr>
            <w:tcBorders>
              <w:top w:val="none" w:color="000000" w:sz="4" w:space="0"/>
              <w:left w:val="single" w:color="000000" w:sz="2" w:space="0"/>
              <w:bottom w:val="single" w:color="000000" w:sz="2" w:space="0"/>
              <w:right w:val="none" w:color="000000" w:sz="4" w:space="0"/>
            </w:tcBorders>
            <w:tcW w:w="1134" w:type="dxa"/>
            <w:textDirection w:val="lrTb"/>
            <w:noWrap w:val="false"/>
          </w:tcPr>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Unidade</w:t>
            </w:r>
            <w:r/>
          </w:p>
        </w:tc>
        <w:tc>
          <w:tcPr>
            <w:tcBorders>
              <w:top w:val="none" w:color="000000" w:sz="4" w:space="0"/>
              <w:left w:val="single" w:color="000000" w:sz="2" w:space="0"/>
              <w:bottom w:val="single" w:color="000000" w:sz="2" w:space="0"/>
              <w:right w:val="none" w:color="000000" w:sz="4" w:space="0"/>
            </w:tcBorders>
            <w:tcW w:w="1276" w:type="dxa"/>
            <w:textDirection w:val="lrTb"/>
            <w:noWrap w:val="false"/>
          </w:tcPr>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Quantidade</w:t>
            </w:r>
            <w:r/>
          </w:p>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Máxima</w:t>
            </w:r>
            <w:r/>
          </w:p>
        </w:tc>
        <w:tc>
          <w:tcPr>
            <w:tcBorders>
              <w:top w:val="none" w:color="000000" w:sz="4" w:space="0"/>
              <w:left w:val="single" w:color="000000" w:sz="2" w:space="0"/>
              <w:bottom w:val="single" w:color="000000" w:sz="2" w:space="0"/>
              <w:right w:val="single" w:color="000000" w:sz="2" w:space="0"/>
            </w:tcBorders>
            <w:tcW w:w="1056" w:type="dxa"/>
            <w:textDirection w:val="lrTb"/>
            <w:noWrap w:val="false"/>
          </w:tcPr>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Quantidade Mínima</w:t>
            </w:r>
            <w:r/>
          </w:p>
        </w:tc>
        <w:tc>
          <w:tcPr>
            <w:tcBorders>
              <w:top w:val="none" w:color="000000" w:sz="4" w:space="0"/>
              <w:left w:val="single" w:color="000000" w:sz="2" w:space="0"/>
              <w:bottom w:val="single" w:color="000000" w:sz="2" w:space="0"/>
              <w:right w:val="none" w:color="000000" w:sz="4" w:space="0"/>
            </w:tcBorders>
            <w:tcW w:w="841" w:type="dxa"/>
            <w:textDirection w:val="lrTb"/>
            <w:noWrap w:val="false"/>
          </w:tcPr>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Valor </w:t>
            </w:r>
            <w:r>
              <w:rPr>
                <w:rFonts w:ascii="Cambria" w:hAnsi="Cambria" w:cs="Cambria"/>
                <w:sz w:val="18"/>
                <w:szCs w:val="18"/>
              </w:rPr>
              <w:t xml:space="preserve">Un</w:t>
            </w:r>
            <w:r/>
          </w:p>
        </w:tc>
        <w:tc>
          <w:tcPr>
            <w:tcBorders>
              <w:top w:val="none" w:color="000000" w:sz="4" w:space="0"/>
              <w:left w:val="single" w:color="000000" w:sz="2" w:space="0"/>
              <w:bottom w:val="single" w:color="000000" w:sz="2" w:space="0"/>
              <w:right w:val="single" w:color="000000" w:sz="2" w:space="0"/>
            </w:tcBorders>
            <w:tcW w:w="844" w:type="dxa"/>
            <w:textDirection w:val="lrTb"/>
            <w:noWrap w:val="false"/>
          </w:tcPr>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Prazo garantia ou validade</w:t>
            </w:r>
            <w:r/>
          </w:p>
        </w:tc>
      </w:tr>
      <w:tr>
        <w:trPr>
          <w:trHeight w:val="174"/>
        </w:trPr>
        <w:tc>
          <w:tcPr>
            <w:tcBorders>
              <w:top w:val="none" w:color="000000" w:sz="4" w:space="0"/>
              <w:left w:val="single" w:color="000000" w:sz="2" w:space="0"/>
              <w:bottom w:val="single" w:color="000000" w:sz="2" w:space="0"/>
              <w:right w:val="none" w:color="000000" w:sz="4" w:space="0"/>
            </w:tcBorders>
            <w:tcW w:w="696" w:type="dxa"/>
            <w:textDirection w:val="lrTb"/>
            <w:noWrap w:val="false"/>
          </w:tcPr>
          <w:p>
            <w:pPr>
              <w:ind w:right="-30"/>
              <w:jc w:val="both"/>
              <w:spacing w:line="360" w:lineRule="auto"/>
              <w:widowControl w:val="off"/>
              <w:rPr>
                <w:rFonts w:ascii="Cambria" w:hAnsi="Cambria" w:cs="Cambria"/>
                <w:sz w:val="18"/>
                <w:szCs w:val="18"/>
              </w:rPr>
            </w:pPr>
            <w:r>
              <w:rPr>
                <w:rFonts w:ascii="Cambria" w:hAnsi="Cambria" w:cs="Cambria"/>
                <w:sz w:val="18"/>
                <w:szCs w:val="18"/>
              </w:rPr>
            </w:r>
            <w:r/>
          </w:p>
        </w:tc>
        <w:tc>
          <w:tcPr>
            <w:tcBorders>
              <w:top w:val="none" w:color="000000" w:sz="4" w:space="0"/>
              <w:left w:val="single" w:color="000000" w:sz="2" w:space="0"/>
              <w:bottom w:val="single" w:color="000000" w:sz="2" w:space="0"/>
              <w:right w:val="none" w:color="000000" w:sz="4" w:space="0"/>
            </w:tcBorders>
            <w:tcW w:w="1134" w:type="dxa"/>
            <w:textDirection w:val="lrTb"/>
            <w:noWrap w:val="false"/>
          </w:tcPr>
          <w:p>
            <w:pPr>
              <w:ind w:right="-30"/>
              <w:jc w:val="both"/>
              <w:spacing w:line="360" w:lineRule="auto"/>
              <w:widowControl w:val="off"/>
              <w:rPr>
                <w:rFonts w:ascii="Cambria" w:hAnsi="Cambria" w:cs="Cambria"/>
                <w:sz w:val="18"/>
                <w:szCs w:val="18"/>
              </w:rPr>
            </w:pPr>
            <w:r>
              <w:rPr>
                <w:rFonts w:ascii="Cambria" w:hAnsi="Cambria" w:cs="Cambria"/>
                <w:sz w:val="18"/>
                <w:szCs w:val="18"/>
              </w:rPr>
            </w:r>
            <w:r/>
          </w:p>
        </w:tc>
        <w:tc>
          <w:tcPr>
            <w:tcBorders>
              <w:top w:val="none" w:color="000000" w:sz="4" w:space="0"/>
              <w:left w:val="single" w:color="000000" w:sz="2" w:space="0"/>
              <w:bottom w:val="single" w:color="000000" w:sz="2" w:space="0"/>
              <w:right w:val="none" w:color="000000" w:sz="4" w:space="0"/>
            </w:tcBorders>
            <w:tcW w:w="1253" w:type="dxa"/>
            <w:textDirection w:val="lrTb"/>
            <w:noWrap w:val="false"/>
          </w:tcPr>
          <w:p>
            <w:pPr>
              <w:ind w:right="-30"/>
              <w:jc w:val="both"/>
              <w:spacing w:line="360" w:lineRule="auto"/>
              <w:widowControl w:val="off"/>
              <w:rPr>
                <w:rFonts w:ascii="Cambria" w:hAnsi="Cambria" w:cs="Cambria"/>
                <w:sz w:val="18"/>
                <w:szCs w:val="18"/>
              </w:rPr>
            </w:pPr>
            <w:r>
              <w:rPr>
                <w:rFonts w:ascii="Cambria" w:hAnsi="Cambria" w:cs="Cambria"/>
                <w:sz w:val="18"/>
                <w:szCs w:val="18"/>
              </w:rPr>
            </w:r>
            <w:r/>
          </w:p>
        </w:tc>
        <w:tc>
          <w:tcPr>
            <w:tcBorders>
              <w:top w:val="none" w:color="000000" w:sz="4" w:space="0"/>
              <w:left w:val="single" w:color="000000" w:sz="2" w:space="0"/>
              <w:bottom w:val="single" w:color="000000" w:sz="2" w:space="0"/>
              <w:right w:val="none" w:color="000000" w:sz="4" w:space="0"/>
            </w:tcBorders>
            <w:tcW w:w="1159" w:type="dxa"/>
            <w:textDirection w:val="lrTb"/>
            <w:noWrap w:val="false"/>
          </w:tcPr>
          <w:p>
            <w:pPr>
              <w:ind w:right="-30"/>
              <w:jc w:val="both"/>
              <w:spacing w:line="360" w:lineRule="auto"/>
              <w:widowControl w:val="off"/>
              <w:rPr>
                <w:rFonts w:ascii="Cambria" w:hAnsi="Cambria" w:cs="Cambria"/>
                <w:sz w:val="18"/>
                <w:szCs w:val="18"/>
              </w:rPr>
            </w:pPr>
            <w:r>
              <w:rPr>
                <w:rFonts w:ascii="Cambria" w:hAnsi="Cambria" w:cs="Cambria"/>
                <w:sz w:val="18"/>
                <w:szCs w:val="18"/>
              </w:rPr>
            </w:r>
            <w:r/>
          </w:p>
        </w:tc>
        <w:tc>
          <w:tcPr>
            <w:tcBorders>
              <w:top w:val="none" w:color="000000" w:sz="4" w:space="0"/>
              <w:left w:val="single" w:color="000000" w:sz="2" w:space="0"/>
              <w:bottom w:val="single" w:color="000000" w:sz="2" w:space="0"/>
              <w:right w:val="none" w:color="000000" w:sz="4" w:space="0"/>
            </w:tcBorders>
            <w:tcW w:w="1134" w:type="dxa"/>
            <w:textDirection w:val="lrTb"/>
            <w:noWrap w:val="false"/>
          </w:tcPr>
          <w:p>
            <w:pPr>
              <w:ind w:right="-30"/>
              <w:jc w:val="both"/>
              <w:spacing w:line="360" w:lineRule="auto"/>
              <w:widowControl w:val="off"/>
              <w:rPr>
                <w:rFonts w:ascii="Cambria" w:hAnsi="Cambria" w:cs="Cambria"/>
                <w:sz w:val="18"/>
                <w:szCs w:val="18"/>
              </w:rPr>
            </w:pPr>
            <w:r>
              <w:rPr>
                <w:rFonts w:ascii="Cambria" w:hAnsi="Cambria" w:cs="Cambria"/>
                <w:sz w:val="18"/>
                <w:szCs w:val="18"/>
              </w:rPr>
            </w:r>
            <w:r/>
          </w:p>
        </w:tc>
        <w:tc>
          <w:tcPr>
            <w:tcBorders>
              <w:top w:val="none" w:color="000000" w:sz="4" w:space="0"/>
              <w:left w:val="single" w:color="000000" w:sz="2" w:space="0"/>
              <w:bottom w:val="single" w:color="000000" w:sz="2" w:space="0"/>
              <w:right w:val="none" w:color="000000" w:sz="4" w:space="0"/>
            </w:tcBorders>
            <w:tcW w:w="1276" w:type="dxa"/>
            <w:textDirection w:val="lrTb"/>
            <w:noWrap w:val="false"/>
          </w:tcPr>
          <w:p>
            <w:pPr>
              <w:ind w:right="-30"/>
              <w:jc w:val="both"/>
              <w:spacing w:line="360" w:lineRule="auto"/>
              <w:widowControl w:val="off"/>
              <w:rPr>
                <w:rFonts w:ascii="Cambria" w:hAnsi="Cambria" w:cs="Cambria"/>
                <w:sz w:val="18"/>
                <w:szCs w:val="18"/>
              </w:rPr>
            </w:pPr>
            <w:r>
              <w:rPr>
                <w:rFonts w:ascii="Cambria" w:hAnsi="Cambria" w:cs="Cambria"/>
                <w:sz w:val="18"/>
                <w:szCs w:val="18"/>
              </w:rPr>
            </w:r>
            <w:r/>
          </w:p>
        </w:tc>
        <w:tc>
          <w:tcPr>
            <w:tcBorders>
              <w:top w:val="none" w:color="000000" w:sz="4" w:space="0"/>
              <w:left w:val="single" w:color="000000" w:sz="2" w:space="0"/>
              <w:bottom w:val="single" w:color="000000" w:sz="2" w:space="0"/>
              <w:right w:val="single" w:color="000000" w:sz="2" w:space="0"/>
            </w:tcBorders>
            <w:tcW w:w="1056" w:type="dxa"/>
            <w:textDirection w:val="lrTb"/>
            <w:noWrap w:val="false"/>
          </w:tcPr>
          <w:p>
            <w:pPr>
              <w:ind w:right="-30"/>
              <w:jc w:val="both"/>
              <w:spacing w:line="360" w:lineRule="auto"/>
              <w:widowControl w:val="off"/>
              <w:rPr>
                <w:rFonts w:ascii="Cambria" w:hAnsi="Cambria" w:cs="Cambria"/>
                <w:sz w:val="18"/>
                <w:szCs w:val="18"/>
              </w:rPr>
            </w:pPr>
            <w:r>
              <w:rPr>
                <w:rFonts w:ascii="Cambria" w:hAnsi="Cambria" w:cs="Cambria"/>
                <w:sz w:val="18"/>
                <w:szCs w:val="18"/>
              </w:rPr>
            </w:r>
            <w:r/>
          </w:p>
        </w:tc>
        <w:tc>
          <w:tcPr>
            <w:tcBorders>
              <w:top w:val="none" w:color="000000" w:sz="4" w:space="0"/>
              <w:left w:val="single" w:color="000000" w:sz="2" w:space="0"/>
              <w:bottom w:val="single" w:color="000000" w:sz="2" w:space="0"/>
              <w:right w:val="none" w:color="000000" w:sz="4" w:space="0"/>
            </w:tcBorders>
            <w:tcW w:w="841" w:type="dxa"/>
            <w:textDirection w:val="lrTb"/>
            <w:noWrap w:val="false"/>
          </w:tcPr>
          <w:p>
            <w:pPr>
              <w:ind w:right="-30"/>
              <w:jc w:val="both"/>
              <w:spacing w:line="360" w:lineRule="auto"/>
              <w:widowControl w:val="off"/>
              <w:rPr>
                <w:rFonts w:ascii="Cambria" w:hAnsi="Cambria" w:cs="Cambria"/>
                <w:sz w:val="18"/>
                <w:szCs w:val="18"/>
              </w:rPr>
            </w:pPr>
            <w:r>
              <w:rPr>
                <w:rFonts w:ascii="Cambria" w:hAnsi="Cambria" w:cs="Cambria"/>
                <w:sz w:val="18"/>
                <w:szCs w:val="18"/>
              </w:rPr>
            </w:r>
            <w:r/>
          </w:p>
        </w:tc>
        <w:tc>
          <w:tcPr>
            <w:tcBorders>
              <w:top w:val="none" w:color="000000" w:sz="4" w:space="0"/>
              <w:left w:val="single" w:color="000000" w:sz="2" w:space="0"/>
              <w:bottom w:val="single" w:color="000000" w:sz="2" w:space="0"/>
              <w:right w:val="single" w:color="000000" w:sz="2" w:space="0"/>
            </w:tcBorders>
            <w:tcW w:w="844" w:type="dxa"/>
            <w:textDirection w:val="lrTb"/>
            <w:noWrap w:val="false"/>
          </w:tcPr>
          <w:p>
            <w:pPr>
              <w:ind w:right="-30"/>
              <w:jc w:val="both"/>
              <w:spacing w:line="360" w:lineRule="auto"/>
              <w:widowControl w:val="off"/>
              <w:rPr>
                <w:rFonts w:ascii="Cambria" w:hAnsi="Cambria" w:cs="Cambria"/>
                <w:sz w:val="18"/>
                <w:szCs w:val="18"/>
              </w:rPr>
            </w:pPr>
            <w:r>
              <w:rPr>
                <w:rFonts w:ascii="Cambria" w:hAnsi="Cambria" w:cs="Cambria"/>
                <w:sz w:val="18"/>
                <w:szCs w:val="18"/>
              </w:rPr>
            </w:r>
            <w:r/>
          </w:p>
        </w:tc>
      </w:tr>
    </w:tbl>
    <w:p>
      <w:pPr>
        <w:ind w:right="-30"/>
        <w:jc w:val="center"/>
        <w:spacing w:line="360" w:lineRule="auto"/>
        <w:widowControl w:val="off"/>
        <w:rPr>
          <w:rFonts w:ascii="Cambria" w:hAnsi="Cambria" w:cs="Cambria"/>
          <w:sz w:val="18"/>
          <w:szCs w:val="18"/>
        </w:rPr>
      </w:pPr>
      <w:r>
        <w:rPr>
          <w:rFonts w:ascii="Cambria" w:hAnsi="Cambria" w:cs="Cambria"/>
          <w:sz w:val="18"/>
          <w:szCs w:val="18"/>
        </w:rPr>
      </w:r>
      <w:r/>
    </w:p>
    <w:p>
      <w:pPr>
        <w:jc w:val="center"/>
        <w:rPr>
          <w:rFonts w:ascii="Cambria" w:hAnsi="Cambria" w:cs="Cambria"/>
          <w:bCs/>
          <w:i/>
          <w:color w:val="000000"/>
          <w:sz w:val="18"/>
          <w:szCs w:val="18"/>
        </w:rPr>
      </w:pPr>
      <w:r>
        <w:rPr>
          <w:rFonts w:ascii="Cambria" w:hAnsi="Cambria" w:cs="Cambria"/>
          <w:bCs/>
          <w:i/>
          <w:color w:val="000000"/>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p>
    <w:p>
      <w:pPr>
        <w:ind w:right="-30"/>
        <w:spacing w:line="360" w:lineRule="auto"/>
        <w:widowControl w:val="off"/>
        <w:rPr>
          <w:rFonts w:ascii="Cambria" w:hAnsi="Cambria" w:cs="Cambria"/>
          <w:sz w:val="18"/>
          <w:szCs w:val="18"/>
        </w:rPr>
      </w:pPr>
      <w:r>
        <w:rPr>
          <w:rFonts w:ascii="Cambria" w:hAnsi="Cambria" w:cs="Cambria"/>
          <w:sz w:val="18"/>
          <w:szCs w:val="18"/>
        </w:rPr>
      </w:r>
      <w:r/>
    </w:p>
    <w:p>
      <w:pPr>
        <w:jc w:val="center"/>
        <w:spacing w:line="360" w:lineRule="auto"/>
        <w:rPr>
          <w:rFonts w:ascii="Cambria" w:hAnsi="Cambria" w:cs="Cambria"/>
          <w:sz w:val="18"/>
          <w:szCs w:val="18"/>
        </w:rPr>
      </w:pPr>
      <w:r>
        <w:rPr>
          <w:rFonts w:ascii="Cambria" w:hAnsi="Cambria" w:cs="Cambria"/>
          <w:b/>
          <w:sz w:val="18"/>
          <w:szCs w:val="18"/>
        </w:rPr>
        <w:t xml:space="preserve">ESTADO DO RIO GRANDE DO SUL</w:t>
      </w:r>
      <w:r/>
    </w:p>
    <w:p>
      <w:pPr>
        <w:jc w:val="center"/>
        <w:spacing w:line="360" w:lineRule="auto"/>
        <w:rPr>
          <w:rFonts w:ascii="Cambria" w:hAnsi="Cambria" w:cs="Cambria"/>
          <w:sz w:val="18"/>
          <w:szCs w:val="18"/>
        </w:rPr>
      </w:pPr>
      <w:r>
        <w:rPr>
          <w:rFonts w:ascii="Cambria" w:hAnsi="Cambria" w:cs="Cambria"/>
          <w:b/>
          <w:sz w:val="18"/>
          <w:szCs w:val="18"/>
        </w:rPr>
        <w:t xml:space="preserve">PREFEITURA MUNICIPAL DE SANTA BÁRBARA DO SUL</w:t>
      </w:r>
      <w:r/>
    </w:p>
    <w:p>
      <w:pPr>
        <w:jc w:val="center"/>
        <w:spacing w:line="360" w:lineRule="auto"/>
        <w:rPr>
          <w:rFonts w:ascii="Cambria" w:hAnsi="Cambria" w:cs="Cambria"/>
          <w:sz w:val="18"/>
          <w:szCs w:val="18"/>
        </w:rPr>
      </w:pPr>
      <w:r>
        <w:rPr>
          <w:rFonts w:ascii="Cambria" w:hAnsi="Cambria" w:cs="Cambria"/>
          <w:b/>
          <w:sz w:val="18"/>
          <w:szCs w:val="18"/>
        </w:rPr>
        <w:t xml:space="preserve">AVISO DE LICITAÇÃO</w:t>
      </w:r>
      <w:r/>
    </w:p>
    <w:p>
      <w:pPr>
        <w:jc w:val="both"/>
        <w:spacing w:line="360" w:lineRule="auto"/>
        <w:rPr>
          <w:rFonts w:ascii="Cambria" w:hAnsi="Cambria" w:cs="Cambria"/>
          <w:sz w:val="18"/>
          <w:szCs w:val="18"/>
        </w:rPr>
      </w:pPr>
      <w:r>
        <w:rPr>
          <w:rFonts w:ascii="Cambria" w:hAnsi="Cambria" w:cs="Cambria"/>
          <w:sz w:val="18"/>
          <w:szCs w:val="18"/>
        </w:rPr>
      </w:r>
      <w:r/>
    </w:p>
    <w:p>
      <w:pPr>
        <w:jc w:val="both"/>
        <w:spacing w:line="360" w:lineRule="auto"/>
        <w:rPr>
          <w:rFonts w:ascii="Cambria" w:hAnsi="Cambria" w:cs="Cambria"/>
          <w:color w:val="000000"/>
          <w:sz w:val="18"/>
          <w:szCs w:val="18"/>
        </w:rPr>
      </w:pPr>
      <w:r>
        <w:rPr>
          <w:rFonts w:ascii="Cambria" w:hAnsi="Cambria" w:cs="Cambria"/>
          <w:color w:val="000000"/>
          <w:sz w:val="18"/>
          <w:szCs w:val="18"/>
          <w:shd w:val="clear" w:color="auto" w:fill="ffffff"/>
        </w:rPr>
        <w:t xml:space="preserve">Torno público abertura do </w:t>
      </w:r>
      <w:r>
        <w:rPr>
          <w:rFonts w:ascii="Cambria" w:hAnsi="Cambria" w:cs="Cambria"/>
          <w:b/>
          <w:color w:val="000000"/>
          <w:sz w:val="18"/>
          <w:szCs w:val="18"/>
          <w:shd w:val="clear" w:color="auto" w:fill="ffffff"/>
        </w:rPr>
        <w:t xml:space="preserve">Processo Licitatório n° 44/2024</w:t>
      </w:r>
      <w:r>
        <w:rPr>
          <w:rFonts w:ascii="Cambria" w:hAnsi="Cambria" w:cs="Cambria"/>
          <w:color w:val="000000"/>
          <w:sz w:val="18"/>
          <w:szCs w:val="18"/>
          <w:shd w:val="clear" w:color="auto" w:fill="ffffff"/>
        </w:rPr>
        <w:t xml:space="preserve">, na modalidade </w:t>
      </w:r>
      <w:r>
        <w:rPr>
          <w:rFonts w:ascii="Cambria" w:hAnsi="Cambria" w:cs="Cambria"/>
          <w:b/>
          <w:sz w:val="18"/>
          <w:szCs w:val="18"/>
          <w:shd w:val="clear" w:color="auto" w:fill="ffffff"/>
        </w:rPr>
        <w:t xml:space="preserve">PREGÃO ELETRÔNICO Nº 12/2024</w:t>
      </w:r>
      <w:r>
        <w:rPr>
          <w:rFonts w:ascii="Cambria" w:hAnsi="Cambria" w:cs="Cambria"/>
          <w:color w:val="000000"/>
          <w:sz w:val="18"/>
          <w:szCs w:val="18"/>
          <w:shd w:val="clear" w:color="auto" w:fill="ffffff"/>
        </w:rPr>
        <w:t xml:space="preserve">, </w:t>
      </w:r>
      <w:r>
        <w:rPr>
          <w:rFonts w:ascii="Cambria" w:hAnsi="Cambria" w:cs="Cambria"/>
          <w:color w:val="000000"/>
          <w:sz w:val="18"/>
          <w:szCs w:val="18"/>
        </w:rPr>
        <w:t xml:space="preserve">REGISTRO DE PREÇOS PARA AQUISIÇÃO DE LEIVAS DE GRAMA</w:t>
      </w:r>
      <w:r>
        <w:rPr>
          <w:rFonts w:ascii="Cambria" w:hAnsi="Cambria" w:cs="Cambria"/>
          <w:color w:val="000000"/>
          <w:sz w:val="18"/>
          <w:szCs w:val="18"/>
        </w:rPr>
        <w:t xml:space="preserve">.</w:t>
      </w:r>
      <w:r>
        <w:rPr>
          <w:rFonts w:ascii="Cambria" w:hAnsi="Cambria" w:cs="Cambria"/>
          <w:color w:val="000000"/>
          <w:sz w:val="18"/>
          <w:szCs w:val="18"/>
          <w:shd w:val="clear" w:color="auto" w:fill="ffffff"/>
        </w:rPr>
        <w:t xml:space="preserve"> Início </w:t>
      </w:r>
      <w:r>
        <w:rPr>
          <w:rFonts w:ascii="Cambria" w:hAnsi="Cambria" w:cs="Cambria"/>
          <w:color w:val="000000"/>
          <w:sz w:val="18"/>
          <w:szCs w:val="18"/>
          <w:highlight w:val="none"/>
          <w:shd w:val="clear" w:color="ffffff" w:themeColor="background1" w:fill="ffffff" w:themeFill="background1"/>
        </w:rPr>
        <w:t xml:space="preserve">das </w:t>
      </w:r>
      <w:r>
        <w:rPr>
          <w:rFonts w:ascii="Cambria" w:hAnsi="Cambria" w:cs="Cambria"/>
          <w:b/>
          <w:color w:val="000000"/>
          <w:sz w:val="18"/>
          <w:szCs w:val="18"/>
          <w:highlight w:val="none"/>
          <w:shd w:val="clear" w:color="ffffff" w:themeColor="background1" w:fill="ffffff" w:themeFill="background1"/>
        </w:rPr>
        <w:t xml:space="preserve">Propos</w:t>
      </w:r>
      <w:r>
        <w:rPr>
          <w:rFonts w:ascii="Cambria" w:hAnsi="Cambria" w:cs="Cambria"/>
          <w:b/>
          <w:color w:val="000000"/>
          <w:sz w:val="18"/>
          <w:szCs w:val="18"/>
          <w:highlight w:val="none"/>
          <w:shd w:val="clear" w:color="ffffff" w:themeColor="background1" w:fill="ffffff" w:themeFill="background1"/>
        </w:rPr>
        <w:t xml:space="preserve">tas:</w:t>
      </w:r>
      <w:r>
        <w:rPr>
          <w:rFonts w:ascii="Cambria" w:hAnsi="Cambria" w:cs="Cambria"/>
          <w:b/>
          <w:color w:val="000000"/>
          <w:sz w:val="18"/>
          <w:szCs w:val="18"/>
          <w:highlight w:val="none"/>
          <w:shd w:val="clear" w:color="ffffff" w:themeColor="background1" w:fill="ffffff" w:themeFill="background1"/>
        </w:rPr>
        <w:t xml:space="preserve"> </w:t>
      </w:r>
      <w:r>
        <w:rPr>
          <w:rFonts w:ascii="Cambria" w:hAnsi="Cambria" w:cs="Cambria"/>
          <w:b/>
          <w:color w:val="000000"/>
          <w:sz w:val="18"/>
          <w:szCs w:val="18"/>
          <w:highlight w:val="none"/>
          <w:shd w:val="clear" w:color="ffffff" w:themeColor="background1" w:fill="ffffff" w:themeFill="background1"/>
        </w:rPr>
        <w:t xml:space="preserve">07:59h d</w:t>
      </w:r>
      <w:r>
        <w:rPr>
          <w:rFonts w:ascii="Cambria" w:hAnsi="Cambria" w:cs="Cambria"/>
          <w:b/>
          <w:color w:val="000000"/>
          <w:sz w:val="18"/>
          <w:szCs w:val="18"/>
          <w:highlight w:val="none"/>
          <w:shd w:val="clear" w:color="ffffff" w:themeColor="background1" w:fill="ffffff" w:themeFill="background1"/>
        </w:rPr>
        <w:t xml:space="preserve">o dia 28/03/2024 até às 0</w:t>
      </w:r>
      <w:r>
        <w:rPr>
          <w:rFonts w:ascii="Cambria" w:hAnsi="Cambria" w:cs="Cambria"/>
          <w:b/>
          <w:color w:val="000000"/>
          <w:sz w:val="18"/>
          <w:szCs w:val="18"/>
        </w:rPr>
        <w:t xml:space="preserve">7:59h do dia 11/04/2024. Início da sessão Pública: às 08hs do dia 11/04/2024</w:t>
      </w:r>
      <w:r>
        <w:rPr>
          <w:rFonts w:ascii="Cambria" w:hAnsi="Cambria" w:cs="Cambria"/>
          <w:color w:val="000000"/>
          <w:sz w:val="18"/>
          <w:szCs w:val="18"/>
          <w:shd w:val="clear" w:color="auto" w:fill="ffffff"/>
        </w:rPr>
        <w:t xml:space="preserve">, </w:t>
      </w:r>
      <w:r>
        <w:rPr>
          <w:rFonts w:ascii="Cambria" w:hAnsi="Cambria" w:cs="Cambria"/>
          <w:sz w:val="18"/>
          <w:szCs w:val="18"/>
          <w:shd w:val="clear" w:color="auto" w:fill="ffffff"/>
        </w:rPr>
        <w:t xml:space="preserve">todos via portal </w:t>
      </w:r>
      <w:hyperlink r:id="rId54" w:tooltip="http://www.cidadecompras.com.br/" w:history="1">
        <w:r>
          <w:rPr>
            <w:rStyle w:val="1135"/>
            <w:rFonts w:ascii="Cambria" w:hAnsi="Cambria" w:cs="Cambria"/>
            <w:sz w:val="18"/>
            <w:szCs w:val="18"/>
          </w:rPr>
          <w:t xml:space="preserve">www.pregaobanrisul.com.br</w:t>
        </w:r>
      </w:hyperlink>
      <w:r>
        <w:rPr>
          <w:rFonts w:ascii="Cambria" w:hAnsi="Cambria" w:cs="Cambria"/>
          <w:bCs/>
          <w:iCs/>
          <w:color w:val="000000"/>
          <w:sz w:val="18"/>
          <w:szCs w:val="18"/>
          <w:shd w:val="clear" w:color="auto" w:fill="ffffff"/>
        </w:rPr>
        <w:t xml:space="preserve">, no horário de </w:t>
      </w:r>
      <w:r>
        <w:rPr>
          <w:rFonts w:ascii="Cambria" w:hAnsi="Cambria" w:cs="Cambria"/>
          <w:bCs/>
          <w:iCs/>
          <w:color w:val="000000"/>
          <w:sz w:val="18"/>
          <w:szCs w:val="18"/>
        </w:rPr>
        <w:t xml:space="preserve">Brasília – DF.</w:t>
      </w:r>
      <w:r>
        <w:rPr>
          <w:rFonts w:ascii="Cambria" w:hAnsi="Cambria" w:cs="Cambria"/>
          <w:sz w:val="18"/>
          <w:szCs w:val="18"/>
        </w:rPr>
        <w:t xml:space="preserve"> O Edital e informações complementares encontram-se a disposição dos interessados, junto à Comissão de Licitações, sito a Av. Eduardo de Brito, 101, Fone: 0xx 55 3372 3200, no horário de expediente e n</w:t>
      </w:r>
      <w:r>
        <w:rPr>
          <w:rFonts w:ascii="Cambria" w:hAnsi="Cambria" w:cs="Cambria"/>
          <w:sz w:val="18"/>
          <w:szCs w:val="18"/>
        </w:rPr>
        <w:t xml:space="preserve">os Sites: </w:t>
      </w:r>
      <w:hyperlink r:id="rId55" w:tooltip="http://www.pregaobanrisul.com.br/" w:history="1">
        <w:r>
          <w:rPr>
            <w:rStyle w:val="1135"/>
            <w:rFonts w:ascii="Cambria" w:hAnsi="Cambria" w:cs="Cambria"/>
            <w:sz w:val="18"/>
            <w:szCs w:val="18"/>
          </w:rPr>
          <w:t xml:space="preserve">www.pregaobanrisul.com.br</w:t>
        </w:r>
      </w:hyperlink>
      <w:r>
        <w:rPr>
          <w:rFonts w:ascii="Cambria" w:hAnsi="Cambria" w:cs="Cambria"/>
          <w:sz w:val="18"/>
          <w:szCs w:val="18"/>
        </w:rPr>
        <w:t xml:space="preserve"> </w:t>
      </w:r>
      <w:r>
        <w:rPr>
          <w:rStyle w:val="1123"/>
          <w:rFonts w:ascii="Cambria" w:hAnsi="Cambria" w:cs="Cambria"/>
          <w:iCs/>
          <w:sz w:val="18"/>
          <w:szCs w:val="18"/>
        </w:rPr>
        <w:t xml:space="preserve">e  </w:t>
      </w:r>
      <w:hyperlink r:id="rId56" w:tooltip="http://www.santabarbaradosul.rs.gov.br/" w:history="1">
        <w:r>
          <w:rPr>
            <w:rStyle w:val="1123"/>
            <w:rFonts w:ascii="Cambria" w:hAnsi="Cambria" w:cs="Cambria"/>
            <w:sz w:val="18"/>
            <w:szCs w:val="18"/>
          </w:rPr>
          <w:t xml:space="preserve">www.santabarbaradosul.rs.go</w:t>
        </w:r>
        <w:r>
          <w:rPr>
            <w:rStyle w:val="1123"/>
            <w:rFonts w:ascii="Cambria" w:hAnsi="Cambria" w:cs="Cambria"/>
            <w:sz w:val="18"/>
            <w:szCs w:val="18"/>
          </w:rPr>
          <w:t xml:space="preserve">v.br</w:t>
        </w:r>
      </w:hyperlink>
      <w:r>
        <w:rPr>
          <w:rStyle w:val="1123"/>
          <w:rFonts w:ascii="Cambria" w:hAnsi="Cambria" w:cs="Cambria"/>
          <w:sz w:val="18"/>
          <w:szCs w:val="18"/>
        </w:rPr>
        <w:t xml:space="preserve">.</w:t>
      </w:r>
      <w:r>
        <w:rPr>
          <w:rFonts w:ascii="Cambria" w:hAnsi="Cambria" w:cs="Cambria"/>
          <w:color w:val="000000"/>
          <w:sz w:val="18"/>
          <w:szCs w:val="18"/>
        </w:rPr>
      </w:r>
      <w:r/>
    </w:p>
    <w:p>
      <w:pPr>
        <w:jc w:val="both"/>
        <w:spacing w:line="360" w:lineRule="auto"/>
        <w:rPr>
          <w:rFonts w:ascii="Cambria" w:hAnsi="Cambria" w:cs="Cambria"/>
          <w:sz w:val="18"/>
          <w:szCs w:val="18"/>
        </w:rPr>
      </w:pPr>
      <w:r>
        <w:rPr>
          <w:rStyle w:val="1123"/>
          <w:rFonts w:ascii="Cambria" w:hAnsi="Cambria" w:cs="Cambria"/>
          <w:i/>
          <w:color w:val="auto"/>
          <w:sz w:val="18"/>
          <w:szCs w:val="18"/>
          <w:u w:val="none"/>
        </w:rPr>
        <w:t xml:space="preserve">Emitido por Vivian Lima Vargas - Pregoeira</w:t>
      </w:r>
      <w:r/>
    </w:p>
    <w:p>
      <w:pPr>
        <w:jc w:val="both"/>
        <w:spacing w:line="360" w:lineRule="auto"/>
        <w:rPr>
          <w:rFonts w:ascii="Cambria" w:hAnsi="Cambria" w:cs="Cambria"/>
          <w:sz w:val="18"/>
          <w:szCs w:val="18"/>
        </w:rPr>
      </w:pPr>
      <w:r>
        <w:rPr>
          <w:rFonts w:ascii="Cambria" w:hAnsi="Cambria" w:cs="Cambria"/>
          <w:sz w:val="18"/>
          <w:szCs w:val="18"/>
        </w:rPr>
      </w:r>
      <w:r/>
    </w:p>
    <w:p>
      <w:pPr>
        <w:jc w:val="both"/>
        <w:spacing w:line="360" w:lineRule="auto"/>
        <w:rPr>
          <w:rFonts w:ascii="Cambria" w:hAnsi="Cambria" w:cs="Cambria"/>
          <w:sz w:val="18"/>
          <w:szCs w:val="18"/>
        </w:rPr>
      </w:pPr>
      <w:r>
        <w:rPr>
          <w:rFonts w:ascii="Cambria" w:hAnsi="Cambria" w:cs="Cambria"/>
          <w:sz w:val="18"/>
          <w:szCs w:val="18"/>
        </w:rPr>
      </w:r>
      <w:r/>
    </w:p>
    <w:p>
      <w:pPr>
        <w:jc w:val="right"/>
        <w:spacing w:line="360" w:lineRule="auto"/>
        <w:rPr>
          <w:rFonts w:ascii="Cambria" w:hAnsi="Cambria" w:cs="Cambria"/>
          <w:sz w:val="18"/>
          <w:szCs w:val="18"/>
        </w:rPr>
      </w:pPr>
      <w:r>
        <w:rPr>
          <w:rFonts w:ascii="Cambria" w:hAnsi="Cambria" w:cs="Cambria"/>
          <w:sz w:val="18"/>
          <w:szCs w:val="18"/>
          <w:shd w:val="clear" w:color="auto" w:fill="ffffff"/>
        </w:rPr>
        <w:t xml:space="preserve">Santa Bárbara do Sul, RS 27/03</w:t>
      </w:r>
      <w:r>
        <w:rPr>
          <w:rFonts w:ascii="Cambria" w:hAnsi="Cambria" w:cs="Cambria"/>
          <w:color w:val="000000"/>
          <w:sz w:val="18"/>
          <w:szCs w:val="18"/>
          <w:shd w:val="clear" w:color="auto" w:fill="ffffff"/>
        </w:rPr>
        <w:t xml:space="preserve">/2024.</w:t>
      </w:r>
      <w:r/>
    </w:p>
    <w:p>
      <w:pPr>
        <w:jc w:val="both"/>
        <w:spacing w:line="360" w:lineRule="auto"/>
        <w:rPr>
          <w:rFonts w:ascii="Cambria" w:hAnsi="Cambria" w:cs="Cambria"/>
          <w:sz w:val="18"/>
          <w:szCs w:val="18"/>
        </w:rPr>
      </w:pPr>
      <w:r>
        <w:rPr>
          <w:rFonts w:ascii="Cambria" w:hAnsi="Cambria" w:cs="Cambria"/>
          <w:sz w:val="18"/>
          <w:szCs w:val="18"/>
        </w:rPr>
      </w:r>
      <w:r/>
    </w:p>
    <w:p>
      <w:pPr>
        <w:jc w:val="both"/>
        <w:spacing w:line="360" w:lineRule="auto"/>
        <w:rPr>
          <w:rFonts w:ascii="Cambria" w:hAnsi="Cambria" w:cs="Cambria"/>
          <w:sz w:val="18"/>
          <w:szCs w:val="18"/>
        </w:rPr>
      </w:pPr>
      <w:r>
        <w:rPr>
          <w:rFonts w:ascii="Cambria" w:hAnsi="Cambria" w:cs="Cambria"/>
          <w:sz w:val="18"/>
          <w:szCs w:val="18"/>
        </w:rPr>
      </w:r>
      <w:r/>
    </w:p>
    <w:p>
      <w:pPr>
        <w:jc w:val="both"/>
        <w:spacing w:line="360" w:lineRule="auto"/>
        <w:rPr>
          <w:rFonts w:ascii="Cambria" w:hAnsi="Cambria" w:cs="Cambria"/>
          <w:sz w:val="18"/>
          <w:szCs w:val="18"/>
        </w:rPr>
      </w:pPr>
      <w:r>
        <w:rPr>
          <w:rFonts w:ascii="Cambria" w:hAnsi="Cambria" w:cs="Cambria"/>
          <w:sz w:val="18"/>
          <w:szCs w:val="18"/>
        </w:rPr>
      </w:r>
      <w:r/>
    </w:p>
    <w:p>
      <w:pPr>
        <w:jc w:val="center"/>
        <w:spacing w:line="360" w:lineRule="auto"/>
        <w:rPr>
          <w:rFonts w:ascii="Cambria" w:hAnsi="Cambria" w:cs="Cambria"/>
          <w:sz w:val="18"/>
          <w:szCs w:val="18"/>
        </w:rPr>
      </w:pPr>
      <w:r>
        <w:rPr>
          <w:rFonts w:ascii="Cambria" w:hAnsi="Cambria" w:cs="Cambria"/>
          <w:sz w:val="18"/>
          <w:szCs w:val="18"/>
        </w:rPr>
        <w:t xml:space="preserve">Mário Roberto </w:t>
      </w:r>
      <w:r>
        <w:rPr>
          <w:rFonts w:ascii="Cambria" w:hAnsi="Cambria" w:cs="Cambria"/>
          <w:sz w:val="18"/>
          <w:szCs w:val="18"/>
        </w:rPr>
        <w:t xml:space="preserve">Utzig</w:t>
      </w:r>
      <w:r>
        <w:rPr>
          <w:rFonts w:ascii="Cambria" w:hAnsi="Cambria" w:cs="Cambria"/>
          <w:sz w:val="18"/>
          <w:szCs w:val="18"/>
        </w:rPr>
        <w:t xml:space="preserve"> Filho</w:t>
      </w:r>
      <w:r/>
    </w:p>
    <w:p>
      <w:pPr>
        <w:jc w:val="center"/>
        <w:spacing w:line="360" w:lineRule="auto"/>
        <w:rPr>
          <w:rFonts w:ascii="Cambria" w:hAnsi="Cambria" w:cs="Cambria"/>
          <w:sz w:val="18"/>
          <w:szCs w:val="18"/>
        </w:rPr>
      </w:pPr>
      <w:r>
        <w:rPr>
          <w:rFonts w:ascii="Cambria" w:hAnsi="Cambria" w:cs="Cambria"/>
          <w:sz w:val="18"/>
          <w:szCs w:val="18"/>
        </w:rPr>
        <w:t xml:space="preserve">Prefeito </w:t>
      </w:r>
      <w:r/>
    </w:p>
    <w:p>
      <w:pPr>
        <w:jc w:val="center"/>
        <w:spacing w:line="360" w:lineRule="auto"/>
        <w:rPr>
          <w:rFonts w:ascii="Cambria" w:hAnsi="Cambria" w:cs="Cambria"/>
          <w:sz w:val="18"/>
          <w:szCs w:val="18"/>
        </w:rPr>
      </w:pPr>
      <w:r>
        <w:rPr>
          <w:rFonts w:ascii="Cambria" w:hAnsi="Cambria" w:cs="Cambria"/>
          <w:sz w:val="18"/>
          <w:szCs w:val="18"/>
        </w:rPr>
      </w:r>
      <w:r/>
    </w:p>
    <w:p>
      <w:pPr>
        <w:jc w:val="both"/>
        <w:spacing w:line="360" w:lineRule="auto"/>
        <w:rPr>
          <w:rFonts w:ascii="Cambria" w:hAnsi="Cambria" w:cs="Cambria"/>
          <w:sz w:val="18"/>
          <w:szCs w:val="18"/>
        </w:rPr>
      </w:pPr>
      <w:r>
        <w:rPr>
          <w:rFonts w:ascii="Cambria" w:hAnsi="Cambria" w:cs="Cambria"/>
          <w:sz w:val="18"/>
          <w:szCs w:val="18"/>
        </w:rPr>
      </w:r>
      <w:r/>
    </w:p>
    <w:p>
      <w:pPr>
        <w:ind w:firstLine="567"/>
        <w:jc w:val="center"/>
        <w:spacing w:before="288" w:after="288" w:line="312" w:lineRule="auto"/>
        <w:rPr>
          <w:rFonts w:ascii="Cambria" w:hAnsi="Cambria" w:cs="Cambria"/>
          <w:sz w:val="18"/>
          <w:szCs w:val="18"/>
        </w:rPr>
      </w:pPr>
      <w:r>
        <w:rPr>
          <w:rFonts w:ascii="Cambria" w:hAnsi="Cambria" w:cs="Cambria"/>
          <w:sz w:val="18"/>
          <w:szCs w:val="18"/>
        </w:rPr>
      </w:r>
      <w:r/>
    </w:p>
    <w:p>
      <w:pPr>
        <w:ind w:firstLine="567"/>
        <w:jc w:val="center"/>
        <w:spacing w:before="288" w:after="288" w:line="312" w:lineRule="auto"/>
        <w:rPr>
          <w:rFonts w:ascii="Cambria" w:hAnsi="Cambria" w:cs="Cambria"/>
          <w:sz w:val="18"/>
          <w:szCs w:val="18"/>
        </w:rPr>
      </w:pPr>
      <w:r>
        <w:rPr>
          <w:rFonts w:ascii="Cambria" w:hAnsi="Cambria" w:cs="Cambria"/>
          <w:sz w:val="18"/>
          <w:szCs w:val="18"/>
        </w:rPr>
      </w:r>
      <w:r/>
    </w:p>
    <w:p>
      <w:pPr>
        <w:ind w:firstLine="567"/>
        <w:jc w:val="center"/>
        <w:spacing w:before="288" w:after="288" w:line="312" w:lineRule="auto"/>
        <w:rPr>
          <w:rFonts w:ascii="Cambria" w:hAnsi="Cambria" w:cs="Cambria"/>
          <w:sz w:val="18"/>
          <w:szCs w:val="18"/>
        </w:rPr>
      </w:pPr>
      <w:r>
        <w:rPr>
          <w:rFonts w:ascii="Cambria" w:hAnsi="Cambria" w:cs="Cambria"/>
          <w:sz w:val="18"/>
          <w:szCs w:val="18"/>
        </w:rPr>
      </w:r>
      <w:r/>
    </w:p>
    <w:p>
      <w:pPr>
        <w:spacing w:line="360" w:lineRule="auto"/>
        <w:rPr>
          <w:rFonts w:ascii="Cambria" w:hAnsi="Cambria" w:cs="Cambria"/>
          <w:sz w:val="18"/>
          <w:szCs w:val="18"/>
        </w:rPr>
      </w:pPr>
      <w:r>
        <w:rPr>
          <w:rFonts w:ascii="Cambria" w:hAnsi="Cambria" w:cs="Cambria"/>
          <w:sz w:val="18"/>
          <w:szCs w:val="18"/>
        </w:rPr>
      </w:r>
      <w:r/>
    </w:p>
    <w:p>
      <w:pPr>
        <w:jc w:val="center"/>
        <w:spacing w:line="360" w:lineRule="auto"/>
        <w:rPr>
          <w:rFonts w:ascii="Cambria" w:hAnsi="Cambria" w:cs="Cambria"/>
          <w:sz w:val="18"/>
          <w:szCs w:val="18"/>
        </w:rPr>
      </w:pPr>
      <w:r>
        <w:rPr>
          <w:rFonts w:ascii="Cambria" w:hAnsi="Cambria" w:cs="Cambria"/>
          <w:sz w:val="18"/>
          <w:szCs w:val="18"/>
        </w:rPr>
      </w:r>
      <w:r/>
    </w:p>
    <w:p>
      <w:pPr>
        <w:jc w:val="center"/>
        <w:spacing w:line="360" w:lineRule="auto"/>
        <w:rPr>
          <w:rFonts w:ascii="Cambria" w:hAnsi="Cambria" w:cs="Cambria"/>
          <w:b/>
          <w:bCs/>
          <w:sz w:val="18"/>
          <w:szCs w:val="18"/>
        </w:rPr>
      </w:pPr>
      <w:r>
        <w:rPr>
          <w:rFonts w:ascii="Cambria" w:hAnsi="Cambria" w:cs="Cambria"/>
          <w:b/>
          <w:bCs/>
          <w:sz w:val="18"/>
          <w:szCs w:val="18"/>
        </w:rPr>
      </w:r>
      <w:r/>
    </w:p>
    <w:p>
      <w:pPr>
        <w:jc w:val="center"/>
        <w:spacing w:line="360" w:lineRule="auto"/>
        <w:rPr>
          <w:rFonts w:ascii="Cambria" w:hAnsi="Cambria" w:cs="Cambria"/>
          <w:b/>
          <w:bCs/>
          <w:sz w:val="18"/>
          <w:szCs w:val="18"/>
        </w:rPr>
      </w:pPr>
      <w:r>
        <w:rPr>
          <w:rFonts w:ascii="Cambria" w:hAnsi="Cambria" w:cs="Cambria"/>
          <w:b/>
          <w:bCs/>
          <w:sz w:val="18"/>
          <w:szCs w:val="18"/>
        </w:rPr>
      </w:r>
      <w:r/>
    </w:p>
    <w:p>
      <w:pPr>
        <w:jc w:val="center"/>
        <w:spacing w:line="360" w:lineRule="auto"/>
        <w:rPr>
          <w:rFonts w:ascii="Cambria" w:hAnsi="Cambria" w:cs="Cambria"/>
          <w:b/>
          <w:bCs/>
          <w:sz w:val="18"/>
          <w:szCs w:val="18"/>
        </w:rPr>
      </w:pPr>
      <w:r>
        <w:rPr>
          <w:rFonts w:ascii="Cambria" w:hAnsi="Cambria" w:cs="Cambria"/>
          <w:b/>
          <w:bCs/>
          <w:sz w:val="18"/>
          <w:szCs w:val="18"/>
        </w:rPr>
      </w:r>
      <w:r/>
    </w:p>
    <w:p>
      <w:pPr>
        <w:jc w:val="center"/>
        <w:spacing w:line="360" w:lineRule="auto"/>
        <w:rPr>
          <w:rFonts w:ascii="Cambria" w:hAnsi="Cambria" w:cs="Cambria"/>
          <w:b/>
          <w:bCs/>
          <w:sz w:val="18"/>
          <w:szCs w:val="18"/>
        </w:rPr>
      </w:pPr>
      <w:r>
        <w:rPr>
          <w:rFonts w:ascii="Cambria" w:hAnsi="Cambria" w:cs="Cambria"/>
          <w:b/>
          <w:bCs/>
          <w:sz w:val="18"/>
          <w:szCs w:val="18"/>
        </w:rPr>
      </w:r>
      <w:r/>
    </w:p>
    <w:p>
      <w:pPr>
        <w:jc w:val="center"/>
        <w:spacing w:line="360" w:lineRule="auto"/>
        <w:rPr>
          <w:rFonts w:ascii="Cambria" w:hAnsi="Cambria" w:cs="Cambria"/>
          <w:b/>
          <w:bCs/>
          <w:sz w:val="18"/>
          <w:szCs w:val="18"/>
        </w:rPr>
      </w:pPr>
      <w:r>
        <w:rPr>
          <w:rFonts w:ascii="Cambria" w:hAnsi="Cambria" w:cs="Cambria"/>
          <w:b/>
          <w:bCs/>
          <w:sz w:val="18"/>
          <w:szCs w:val="18"/>
        </w:rPr>
      </w:r>
      <w:r/>
    </w:p>
    <w:p>
      <w:pPr>
        <w:jc w:val="center"/>
        <w:spacing w:line="360" w:lineRule="auto"/>
        <w:rPr>
          <w:rFonts w:ascii="Cambria" w:hAnsi="Cambria" w:cs="Cambria"/>
          <w:b/>
          <w:bCs/>
          <w:sz w:val="18"/>
          <w:szCs w:val="18"/>
        </w:rPr>
      </w:pPr>
      <w:r>
        <w:rPr>
          <w:rFonts w:ascii="Cambria" w:hAnsi="Cambria" w:cs="Cambria"/>
          <w:b/>
          <w:bCs/>
          <w:sz w:val="18"/>
          <w:szCs w:val="18"/>
        </w:rPr>
      </w:r>
      <w:r/>
    </w:p>
    <w:p>
      <w:pPr>
        <w:jc w:val="center"/>
        <w:spacing w:line="360" w:lineRule="auto"/>
        <w:rPr>
          <w:rFonts w:ascii="Cambria" w:hAnsi="Cambria" w:cs="Cambria"/>
          <w:b/>
          <w:bCs/>
          <w:sz w:val="18"/>
          <w:szCs w:val="18"/>
        </w:rPr>
      </w:pPr>
      <w:r>
        <w:rPr>
          <w:rFonts w:ascii="Cambria" w:hAnsi="Cambria" w:cs="Cambria"/>
          <w:b/>
          <w:bCs/>
          <w:sz w:val="18"/>
          <w:szCs w:val="18"/>
        </w:rPr>
      </w:r>
      <w:r/>
    </w:p>
    <w:p>
      <w:pPr>
        <w:jc w:val="left"/>
        <w:spacing w:line="360" w:lineRule="auto"/>
        <w:rPr>
          <w:rFonts w:ascii="Cambria" w:hAnsi="Cambria" w:cs="Cambria"/>
          <w:b/>
          <w:bCs/>
          <w:sz w:val="18"/>
          <w:szCs w:val="18"/>
        </w:rPr>
      </w:pPr>
      <w:r>
        <w:rPr>
          <w:rFonts w:ascii="Cambria" w:hAnsi="Cambria" w:cs="Cambria"/>
          <w:b/>
          <w:bCs/>
          <w:sz w:val="18"/>
          <w:szCs w:val="18"/>
        </w:rPr>
      </w:r>
      <w:r/>
    </w:p>
    <w:p>
      <w:pPr>
        <w:jc w:val="center"/>
        <w:spacing w:line="360" w:lineRule="auto"/>
        <w:rPr>
          <w:rFonts w:ascii="Cambria" w:hAnsi="Cambria" w:cs="Cambria"/>
          <w:b/>
          <w:bCs/>
          <w:sz w:val="18"/>
          <w:szCs w:val="18"/>
        </w:rPr>
      </w:pPr>
      <w:r>
        <w:rPr>
          <w:rFonts w:ascii="Cambria" w:hAnsi="Cambria" w:cs="Cambria"/>
          <w:b/>
          <w:bCs/>
          <w:sz w:val="18"/>
          <w:szCs w:val="18"/>
        </w:rPr>
        <w:t xml:space="preserve">ANEXO IV</w:t>
      </w:r>
      <w:r/>
    </w:p>
    <w:p>
      <w:pPr>
        <w:jc w:val="center"/>
        <w:spacing w:before="200" w:after="200"/>
        <w:rPr>
          <w:rFonts w:ascii="Cambria" w:hAnsi="Cambria" w:cs="Cambria"/>
          <w:sz w:val="18"/>
          <w:szCs w:val="18"/>
        </w:rPr>
      </w:pPr>
      <w:r>
        <w:rPr>
          <w:rFonts w:ascii="Cambria" w:hAnsi="Cambria" w:eastAsia="Arial" w:cs="Cambria"/>
          <w:b/>
          <w:color w:val="000000"/>
          <w:sz w:val="18"/>
          <w:szCs w:val="18"/>
        </w:rPr>
        <w:t xml:space="preserve">AUTORIZAÇÃO</w:t>
      </w:r>
      <w:r/>
    </w:p>
    <w:p>
      <w:pPr>
        <w:ind w:firstLine="2835"/>
        <w:jc w:val="both"/>
        <w:spacing w:before="200" w:after="200" w:line="480" w:lineRule="auto"/>
        <w:rPr>
          <w:rFonts w:ascii="Cambria" w:hAnsi="Cambria" w:cs="Cambria"/>
          <w:sz w:val="18"/>
          <w:szCs w:val="18"/>
        </w:rPr>
      </w:pPr>
      <w:r>
        <w:rPr>
          <w:rFonts w:ascii="Cambria" w:hAnsi="Cambria" w:cs="Cambria"/>
          <w:sz w:val="18"/>
          <w:szCs w:val="18"/>
        </w:rPr>
      </w:r>
      <w:r/>
    </w:p>
    <w:p>
      <w:pPr>
        <w:jc w:val="both"/>
        <w:spacing w:line="480" w:lineRule="auto"/>
        <w:rPr>
          <w:rFonts w:ascii="Cambria" w:hAnsi="Cambria" w:cs="Cambria"/>
          <w:sz w:val="18"/>
          <w:szCs w:val="18"/>
        </w:rPr>
      </w:pPr>
      <w:r>
        <w:rPr>
          <w:rFonts w:ascii="Cambria" w:hAnsi="Cambria" w:eastAsia="Arial" w:cs="Cambria"/>
          <w:color w:val="000000"/>
          <w:sz w:val="18"/>
          <w:szCs w:val="18"/>
        </w:rPr>
        <w:t xml:space="preserve">Considerando o Pedido de Compras anexos ao processo, </w:t>
      </w:r>
      <w:r>
        <w:rPr>
          <w:rFonts w:ascii="Cambria" w:hAnsi="Cambria" w:eastAsia="Arial" w:cs="Cambria"/>
          <w:b/>
          <w:color w:val="000000"/>
          <w:sz w:val="18"/>
          <w:szCs w:val="18"/>
        </w:rPr>
        <w:t xml:space="preserve"> AUTORIZO </w:t>
      </w:r>
      <w:r>
        <w:rPr>
          <w:rFonts w:ascii="Cambria" w:hAnsi="Cambria" w:eastAsia="Arial" w:cs="Cambria"/>
          <w:color w:val="000000"/>
          <w:sz w:val="18"/>
          <w:szCs w:val="18"/>
        </w:rPr>
        <w:t xml:space="preserve">a Equipe de Licitações através de pregoeiro (a) </w:t>
      </w:r>
      <w:r>
        <w:rPr>
          <w:rFonts w:ascii="Cambria" w:hAnsi="Cambria" w:eastAsia="Arial" w:cs="Cambria"/>
          <w:color w:val="000000"/>
          <w:sz w:val="18"/>
          <w:szCs w:val="18"/>
        </w:rPr>
        <w:t xml:space="preserve">intituida</w:t>
      </w:r>
      <w:r>
        <w:rPr>
          <w:rFonts w:ascii="Cambria" w:hAnsi="Cambria" w:eastAsia="Arial" w:cs="Cambria"/>
          <w:color w:val="000000"/>
          <w:sz w:val="18"/>
          <w:szCs w:val="18"/>
        </w:rPr>
        <w:t xml:space="preserve"> pela </w:t>
      </w:r>
      <w:r>
        <w:rPr>
          <w:rFonts w:ascii="Cambria" w:hAnsi="Cambria" w:eastAsia="Arial" w:cs="Cambria"/>
          <w:b/>
          <w:color w:val="000000"/>
          <w:sz w:val="18"/>
          <w:szCs w:val="18"/>
        </w:rPr>
        <w:t xml:space="preserve">Portaria n. 011/2024</w:t>
      </w:r>
      <w:r>
        <w:rPr>
          <w:rFonts w:ascii="Cambria" w:hAnsi="Cambria" w:eastAsia="Arial" w:cs="Cambria"/>
          <w:color w:val="000000"/>
          <w:sz w:val="18"/>
          <w:szCs w:val="18"/>
        </w:rPr>
        <w:t xml:space="preserve">,e em consonância ao disposto na </w:t>
      </w:r>
      <w:r>
        <w:rPr>
          <w:rFonts w:ascii="Cambria" w:hAnsi="Cambria" w:eastAsia="Arial" w:cs="Cambria"/>
          <w:b/>
          <w:color w:val="000000"/>
          <w:sz w:val="18"/>
          <w:szCs w:val="18"/>
        </w:rPr>
        <w:t xml:space="preserve">Lei Federal nº 14.133</w:t>
      </w:r>
      <w:r>
        <w:rPr>
          <w:rFonts w:ascii="Cambria" w:hAnsi="Cambria" w:eastAsia="Arial" w:cs="Cambria"/>
          <w:color w:val="000000"/>
          <w:sz w:val="18"/>
          <w:szCs w:val="18"/>
        </w:rPr>
        <w:t xml:space="preserve">, de 01 de abril de 2021, com suas alterações posteriores, a abrir processo licitatório próprio para </w:t>
      </w:r>
      <w:r>
        <w:rPr>
          <w:rFonts w:ascii="Cambria" w:hAnsi="Cambria" w:cs="Cambria"/>
          <w:i/>
          <w:iCs/>
          <w:color w:val="000000"/>
          <w:sz w:val="18"/>
          <w:szCs w:val="18"/>
        </w:rPr>
        <w:t xml:space="preserve">REGISTRO DE PREÇOS</w:t>
      </w:r>
      <w:r>
        <w:rPr>
          <w:rFonts w:ascii="Cambria" w:hAnsi="Cambria" w:cs="Cambria"/>
          <w:i/>
          <w:iCs/>
          <w:color w:val="000000"/>
          <w:sz w:val="18"/>
          <w:szCs w:val="18"/>
        </w:rPr>
        <w:t xml:space="preserve"> PARA AQUISIÇÃO DE LEIVAS DE GRAMA</w:t>
      </w:r>
      <w:r>
        <w:rPr>
          <w:rFonts w:ascii="Cambria" w:hAnsi="Cambria" w:eastAsia="Arial" w:cs="Cambria"/>
          <w:color w:val="000000"/>
          <w:sz w:val="18"/>
          <w:szCs w:val="18"/>
        </w:rPr>
        <w:t xml:space="preserve">,</w:t>
      </w:r>
      <w:r>
        <w:rPr>
          <w:rFonts w:ascii="Cambria" w:hAnsi="Cambria" w:eastAsia="Arial" w:cs="Cambria"/>
          <w:color w:val="000000"/>
          <w:sz w:val="18"/>
          <w:szCs w:val="18"/>
          <w:shd w:val="clear" w:color="auto" w:fill="ffffff"/>
        </w:rPr>
        <w:t xml:space="preserve"> conforme</w:t>
      </w:r>
      <w:r>
        <w:rPr>
          <w:rFonts w:ascii="Cambria" w:hAnsi="Cambria" w:eastAsia="Arial" w:cs="Cambria"/>
          <w:color w:val="000000"/>
          <w:sz w:val="18"/>
          <w:szCs w:val="18"/>
          <w:shd w:val="clear" w:color="auto" w:fill="ffffff"/>
        </w:rPr>
        <w:t xml:space="preserve"> pesquisa de preços efetuados pelo Setor de compras, c</w:t>
      </w:r>
      <w:r>
        <w:rPr>
          <w:rFonts w:ascii="Cambria" w:hAnsi="Cambria" w:eastAsia="Arial" w:cs="Cambria"/>
          <w:color w:val="000000"/>
          <w:sz w:val="18"/>
          <w:szCs w:val="18"/>
        </w:rPr>
        <w:t xml:space="preserve">om fiel observância à legislação e formalidades pertinentes em vigor, devendo ser mantido prévio entendimento com a Secretaria Municipal de  Fazenda, par</w:t>
      </w:r>
      <w:r>
        <w:rPr>
          <w:rFonts w:ascii="Cambria" w:hAnsi="Cambria" w:eastAsia="Arial" w:cs="Cambria"/>
          <w:color w:val="000000"/>
          <w:sz w:val="18"/>
          <w:szCs w:val="18"/>
        </w:rPr>
        <w:t xml:space="preserve">a verificar a existência de disponibilidade orçamentária.</w:t>
      </w:r>
      <w:r/>
    </w:p>
    <w:p>
      <w:pPr>
        <w:ind w:firstLine="2835"/>
        <w:jc w:val="both"/>
        <w:spacing w:before="200" w:after="200" w:line="480" w:lineRule="auto"/>
        <w:rPr>
          <w:rFonts w:ascii="Cambria" w:hAnsi="Cambria" w:cs="Cambria"/>
          <w:sz w:val="18"/>
          <w:szCs w:val="18"/>
        </w:rPr>
      </w:pPr>
      <w:r>
        <w:rPr>
          <w:rFonts w:ascii="Cambria" w:hAnsi="Cambria" w:cs="Cambria"/>
          <w:sz w:val="18"/>
          <w:szCs w:val="18"/>
        </w:rPr>
        <w:br/>
      </w:r>
      <w:r/>
    </w:p>
    <w:p>
      <w:pPr>
        <w:jc w:val="right"/>
        <w:spacing w:before="200" w:after="200"/>
        <w:rPr>
          <w:rFonts w:ascii="Cambria" w:hAnsi="Cambria" w:cs="Cambria"/>
          <w:sz w:val="18"/>
          <w:szCs w:val="18"/>
        </w:rPr>
      </w:pPr>
      <w:r>
        <w:rPr>
          <w:rFonts w:ascii="Cambria" w:hAnsi="Cambria" w:eastAsia="Arial" w:cs="Cambria"/>
          <w:color w:val="000000"/>
          <w:sz w:val="18"/>
          <w:szCs w:val="18"/>
          <w:shd w:val="clear" w:color="auto" w:fill="ffffff"/>
        </w:rPr>
        <w:t xml:space="preserve">Santa Bárbara do Sul, 19 de março de 2024</w:t>
      </w:r>
      <w:r/>
    </w:p>
    <w:p>
      <w:pPr>
        <w:jc w:val="right"/>
        <w:spacing w:before="200" w:after="200"/>
        <w:rPr>
          <w:rFonts w:ascii="Cambria" w:hAnsi="Cambria" w:cs="Cambria"/>
          <w:sz w:val="18"/>
          <w:szCs w:val="18"/>
        </w:rPr>
      </w:pPr>
      <w:r>
        <w:rPr>
          <w:rFonts w:ascii="Cambria" w:hAnsi="Cambria" w:cs="Cambria"/>
          <w:sz w:val="18"/>
          <w:szCs w:val="18"/>
        </w:rPr>
      </w:r>
      <w:r/>
    </w:p>
    <w:p>
      <w:pPr>
        <w:jc w:val="both"/>
        <w:spacing w:before="200" w:after="200"/>
        <w:rPr>
          <w:rFonts w:ascii="Cambria" w:hAnsi="Cambria" w:cs="Cambria"/>
          <w:sz w:val="18"/>
          <w:szCs w:val="18"/>
        </w:rPr>
      </w:pPr>
      <w:r>
        <w:rPr>
          <w:rFonts w:ascii="Cambria" w:hAnsi="Cambria" w:cs="Cambria"/>
          <w:sz w:val="18"/>
          <w:szCs w:val="18"/>
        </w:rPr>
      </w:r>
      <w:r/>
    </w:p>
    <w:p>
      <w:pPr>
        <w:jc w:val="both"/>
        <w:spacing w:before="200" w:after="200"/>
        <w:rPr>
          <w:rFonts w:ascii="Cambria" w:hAnsi="Cambria" w:cs="Cambria"/>
          <w:sz w:val="18"/>
          <w:szCs w:val="18"/>
        </w:rPr>
      </w:pPr>
      <w:r>
        <w:rPr>
          <w:rFonts w:ascii="Cambria" w:hAnsi="Cambria" w:cs="Cambria"/>
          <w:sz w:val="18"/>
          <w:szCs w:val="18"/>
        </w:rPr>
        <w:br/>
      </w:r>
      <w:r/>
    </w:p>
    <w:p>
      <w:pPr>
        <w:jc w:val="center"/>
        <w:spacing w:line="360" w:lineRule="auto"/>
        <w:rPr>
          <w:rFonts w:ascii="Cambria" w:hAnsi="Cambria" w:cs="Cambria"/>
          <w:sz w:val="18"/>
          <w:szCs w:val="18"/>
        </w:rPr>
      </w:pPr>
      <w:r>
        <w:rPr>
          <w:rFonts w:ascii="Cambria" w:hAnsi="Cambria" w:cs="Cambria"/>
          <w:sz w:val="18"/>
          <w:szCs w:val="18"/>
        </w:rPr>
        <w:t xml:space="preserve">Mário Roberto </w:t>
      </w:r>
      <w:r>
        <w:rPr>
          <w:rFonts w:ascii="Cambria" w:hAnsi="Cambria" w:cs="Cambria"/>
          <w:sz w:val="18"/>
          <w:szCs w:val="18"/>
        </w:rPr>
        <w:t xml:space="preserve">Utzig</w:t>
      </w:r>
      <w:r>
        <w:rPr>
          <w:rFonts w:ascii="Cambria" w:hAnsi="Cambria" w:cs="Cambria"/>
          <w:sz w:val="18"/>
          <w:szCs w:val="18"/>
        </w:rPr>
        <w:t xml:space="preserve"> Filho</w:t>
      </w:r>
      <w:r/>
    </w:p>
    <w:p>
      <w:pPr>
        <w:jc w:val="center"/>
        <w:spacing w:line="360" w:lineRule="auto"/>
        <w:rPr>
          <w:rFonts w:ascii="Cambria" w:hAnsi="Cambria" w:cs="Cambria"/>
          <w:sz w:val="18"/>
          <w:szCs w:val="18"/>
        </w:rPr>
      </w:pPr>
      <w:r>
        <w:rPr>
          <w:rFonts w:ascii="Cambria" w:hAnsi="Cambria" w:cs="Cambria"/>
          <w:sz w:val="18"/>
          <w:szCs w:val="18"/>
        </w:rPr>
        <w:t xml:space="preserve">Prefeito </w:t>
      </w:r>
      <w:r/>
    </w:p>
    <w:p>
      <w:pPr>
        <w:ind w:firstLine="567"/>
        <w:jc w:val="center"/>
        <w:spacing w:before="288" w:after="288" w:line="312" w:lineRule="auto"/>
        <w:rPr>
          <w:rFonts w:ascii="Cambria" w:hAnsi="Cambria" w:cs="Cambria"/>
          <w:b/>
          <w:bCs/>
          <w:i/>
          <w:color w:val="000000"/>
          <w:sz w:val="18"/>
          <w:szCs w:val="18"/>
          <w:u w:val="single"/>
        </w:rPr>
      </w:pPr>
      <w:r>
        <w:rPr>
          <w:rFonts w:ascii="Cambria" w:hAnsi="Cambria" w:cs="Cambria"/>
          <w:b/>
          <w:bCs/>
          <w:i/>
          <w:color w:val="000000"/>
          <w:sz w:val="18"/>
          <w:szCs w:val="18"/>
          <w:u w:val="single"/>
        </w:rPr>
      </w:r>
      <w:r/>
    </w:p>
    <w:p>
      <w:pPr>
        <w:ind w:right="-30"/>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b/>
          <w:bCs/>
          <w:sz w:val="18"/>
          <w:szCs w:val="18"/>
          <w:highlight w:val="none"/>
        </w:rPr>
      </w:pPr>
      <w:r>
        <w:rPr>
          <w:rFonts w:ascii="Cambria" w:hAnsi="Cambria" w:cs="Cambria"/>
          <w:b/>
          <w:bCs/>
          <w:sz w:val="18"/>
          <w:szCs w:val="18"/>
        </w:rPr>
        <w:t xml:space="preserve">ESTUDO TÉCNICO PRELIMINAR</w:t>
      </w:r>
      <w:r>
        <w:rPr>
          <w:rFonts w:ascii="Cambria" w:hAnsi="Cambria" w:cs="Cambria"/>
          <w:b/>
          <w:bCs/>
          <w:sz w:val="18"/>
          <w:szCs w:val="18"/>
        </w:rPr>
      </w:r>
      <w:r/>
    </w:p>
    <w:p>
      <w:pPr>
        <w:ind w:right="-30"/>
        <w:jc w:val="center"/>
        <w:spacing w:line="360" w:lineRule="auto"/>
        <w:widowControl w:val="off"/>
        <w:rPr>
          <w:rFonts w:ascii="Cambria" w:hAnsi="Cambria" w:cs="Cambria"/>
          <w:b/>
          <w:bCs/>
          <w:sz w:val="18"/>
          <w:szCs w:val="18"/>
        </w:rPr>
      </w:pPr>
      <w:r>
        <w:rPr>
          <w:rFonts w:ascii="Cambria" w:hAnsi="Cambria" w:cs="Cambria"/>
          <w:b/>
          <w:bCs/>
          <w:sz w:val="18"/>
          <w:szCs w:val="18"/>
        </w:rPr>
      </w:r>
      <w:r>
        <w:rPr>
          <w:rFonts w:ascii="Cambria" w:hAnsi="Cambria" w:cs="Cambria"/>
          <w:b/>
          <w:bCs/>
          <w:sz w:val="18"/>
          <w:szCs w:val="18"/>
        </w:rPr>
      </w:r>
      <w:r/>
    </w:p>
    <w:p>
      <w:pPr>
        <w:ind w:right="-30"/>
        <w:jc w:val="both"/>
        <w:spacing w:line="360" w:lineRule="auto"/>
        <w:widowControl w:val="off"/>
        <w:rPr>
          <w:rFonts w:ascii="Cambria" w:hAnsi="Cambria" w:cs="Cambria"/>
          <w:sz w:val="18"/>
          <w:szCs w:val="18"/>
        </w:rPr>
      </w:pPr>
      <w:r>
        <w:rPr>
          <w:rFonts w:ascii="Cambria" w:hAnsi="Cambria" w:cs="Cambria"/>
          <w:b w:val="0"/>
          <w:bCs w:val="0"/>
          <w:sz w:val="18"/>
          <w:szCs w:val="18"/>
          <w:highlight w:val="none"/>
        </w:rPr>
      </w:r>
      <w:r>
        <w:rPr>
          <w:rFonts w:ascii="Cambria" w:hAnsi="Cambria" w:cs="Cambria"/>
          <w:sz w:val="18"/>
          <w:szCs w:val="18"/>
        </w:rPr>
        <w:t xml:space="preserve">DESCRIÇÃODANECESSIDADE </w:t>
      </w:r>
      <w:r>
        <w:rPr>
          <w:rFonts w:ascii="Cambria" w:hAnsi="Cambria" w:cs="Cambria"/>
          <w:b w:val="0"/>
          <w:bCs w:val="0"/>
          <w:sz w:val="18"/>
          <w:szCs w:val="18"/>
        </w:rPr>
      </w:r>
      <w:r/>
    </w:p>
    <w:p>
      <w:pPr>
        <w:ind w:right="-30"/>
        <w:jc w:val="both"/>
        <w:spacing w:line="360" w:lineRule="auto"/>
        <w:widowControl w:val="off"/>
        <w:rPr>
          <w:rFonts w:ascii="Cambria" w:hAnsi="Cambria" w:cs="Cambria"/>
          <w:sz w:val="18"/>
          <w:szCs w:val="18"/>
        </w:rPr>
      </w:pPr>
      <w:r>
        <w:rPr>
          <w:rFonts w:ascii="Cambria" w:hAnsi="Cambria" w:cs="Cambria"/>
          <w:sz w:val="18"/>
          <w:szCs w:val="18"/>
        </w:rPr>
        <w:t xml:space="preserve">O objeto da presente licitação é a aquisição de grama em leiva da variedade São Carlos. Acontratação é necessária para proporcionar, especialmente as crianças, principais usuárias dos espaços acima citados. </w:t>
      </w:r>
      <w:r>
        <w:rPr>
          <w:rFonts w:ascii="Cambria" w:hAnsi="Cambria" w:cs="Cambria"/>
          <w:b w:val="0"/>
          <w:bCs w:val="0"/>
          <w:sz w:val="18"/>
          <w:szCs w:val="18"/>
        </w:rPr>
      </w:r>
      <w:r/>
    </w:p>
    <w:p>
      <w:pPr>
        <w:ind w:right="-30"/>
        <w:jc w:val="both"/>
        <w:spacing w:line="360" w:lineRule="auto"/>
        <w:widowControl w:val="off"/>
        <w:rPr>
          <w:rFonts w:ascii="Cambria" w:hAnsi="Cambria" w:cs="Cambria"/>
          <w:sz w:val="18"/>
          <w:szCs w:val="18"/>
        </w:rPr>
      </w:pPr>
      <w:r>
        <w:rPr>
          <w:rFonts w:ascii="Cambria" w:hAnsi="Cambria" w:cs="Cambria"/>
          <w:sz w:val="18"/>
          <w:szCs w:val="18"/>
        </w:rPr>
        <w:t xml:space="preserve">ESTIMATIVADASQUANTIDADES </w:t>
      </w:r>
      <w:r>
        <w:rPr>
          <w:rFonts w:ascii="Cambria" w:hAnsi="Cambria" w:cs="Cambria"/>
          <w:b w:val="0"/>
          <w:bCs w:val="0"/>
          <w:sz w:val="18"/>
          <w:szCs w:val="18"/>
        </w:rPr>
      </w:r>
      <w:r/>
    </w:p>
    <w:p>
      <w:pPr>
        <w:ind w:right="-30"/>
        <w:jc w:val="both"/>
        <w:spacing w:line="360" w:lineRule="auto"/>
        <w:widowControl w:val="off"/>
        <w:rPr>
          <w:rFonts w:ascii="Cambria" w:hAnsi="Cambria" w:cs="Cambria"/>
          <w:sz w:val="18"/>
          <w:szCs w:val="18"/>
        </w:rPr>
      </w:pPr>
      <w:r>
        <w:rPr>
          <w:rFonts w:ascii="Cambria" w:hAnsi="Cambria" w:cs="Cambria"/>
          <w:sz w:val="18"/>
          <w:szCs w:val="18"/>
        </w:rPr>
        <w:t xml:space="preserve">Os</w:t>
      </w:r>
      <w:r>
        <w:rPr>
          <w:rFonts w:ascii="Cambria" w:hAnsi="Cambria" w:cs="Cambria"/>
          <w:sz w:val="18"/>
          <w:szCs w:val="18"/>
        </w:rPr>
        <w:t xml:space="preserve"> quantitativos estimados para a contratação pretendida têm como parâmetro a área estimada para cobertura com grama. </w:t>
      </w:r>
      <w:r>
        <w:rPr>
          <w:rFonts w:ascii="Cambria" w:hAnsi="Cambria" w:cs="Cambria"/>
          <w:b w:val="0"/>
          <w:bCs w:val="0"/>
          <w:sz w:val="18"/>
          <w:szCs w:val="18"/>
        </w:rPr>
      </w:r>
      <w:r/>
    </w:p>
    <w:p>
      <w:pPr>
        <w:ind w:right="-30"/>
        <w:jc w:val="both"/>
        <w:spacing w:line="360" w:lineRule="auto"/>
        <w:widowControl w:val="off"/>
        <w:rPr>
          <w:rFonts w:ascii="Cambria" w:hAnsi="Cambria" w:cs="Cambria"/>
          <w:sz w:val="18"/>
          <w:szCs w:val="18"/>
        </w:rPr>
      </w:pPr>
      <w:r>
        <w:rPr>
          <w:rFonts w:ascii="Cambria" w:hAnsi="Cambria" w:cs="Cambria"/>
          <w:sz w:val="18"/>
          <w:szCs w:val="18"/>
        </w:rPr>
        <w:t xml:space="preserve">ESTIMATIVADOVALORDACONTRATAÇÃO </w:t>
      </w:r>
      <w:r>
        <w:rPr>
          <w:rFonts w:ascii="Cambria" w:hAnsi="Cambria" w:cs="Cambria"/>
          <w:b w:val="0"/>
          <w:bCs w:val="0"/>
          <w:sz w:val="18"/>
          <w:szCs w:val="18"/>
        </w:rPr>
      </w:r>
      <w:r/>
    </w:p>
    <w:p>
      <w:pPr>
        <w:ind w:right="-30"/>
        <w:jc w:val="both"/>
        <w:spacing w:line="360" w:lineRule="auto"/>
        <w:widowControl w:val="off"/>
        <w:rPr>
          <w:rFonts w:ascii="Cambria" w:hAnsi="Cambria" w:cs="Cambria"/>
          <w:sz w:val="18"/>
          <w:szCs w:val="18"/>
        </w:rPr>
      </w:pPr>
      <w:r>
        <w:rPr>
          <w:rFonts w:ascii="Cambria" w:hAnsi="Cambria" w:cs="Cambria"/>
          <w:sz w:val="18"/>
          <w:szCs w:val="18"/>
        </w:rPr>
        <w:t xml:space="preserve">Estima-se para a contratação almejada o valor total de R$ 58.750,00, ou seja R$ 12,50 ao m². Vislumbra-se que</w:t>
      </w:r>
      <w:r>
        <w:rPr>
          <w:rFonts w:ascii="Cambria" w:hAnsi="Cambria" w:cs="Cambria"/>
          <w:sz w:val="18"/>
          <w:szCs w:val="18"/>
        </w:rPr>
        <w:t xml:space="preserve"> tal valor é compatível com o praticado pelo mercado correspondente, uma vezque a pesquisa de preço foi realizada com empresas da região fornecedoras desse tipo de produto, e observando-se o disposto no Decreto Municipal n.º 5.517/2024, que “Estabelece o p</w:t>
      </w:r>
      <w:r>
        <w:rPr>
          <w:rFonts w:ascii="Cambria" w:hAnsi="Cambria" w:cs="Cambria"/>
          <w:sz w:val="18"/>
          <w:szCs w:val="18"/>
        </w:rPr>
        <w:t xml:space="preserve">rocedimento administrativo para a realização de pesquisa de preços para aquisição de bens, contratação de serviços em geral e para contratação de obras e serviços de engenharia no âmbito do Município de Santa Bárbara do Sul, nos termos da Lei Federal nº 14</w:t>
      </w:r>
      <w:r>
        <w:rPr>
          <w:rFonts w:ascii="Cambria" w:hAnsi="Cambria" w:cs="Cambria"/>
          <w:sz w:val="18"/>
          <w:szCs w:val="18"/>
        </w:rPr>
        <w:t xml:space="preserve">.133/2021”. </w:t>
      </w:r>
      <w:r>
        <w:rPr>
          <w:rFonts w:ascii="Cambria" w:hAnsi="Cambria" w:cs="Cambria"/>
          <w:b w:val="0"/>
          <w:bCs w:val="0"/>
          <w:sz w:val="18"/>
          <w:szCs w:val="18"/>
        </w:rPr>
      </w:r>
      <w:r/>
    </w:p>
    <w:p>
      <w:pPr>
        <w:ind w:right="-30"/>
        <w:jc w:val="both"/>
        <w:spacing w:line="360" w:lineRule="auto"/>
        <w:widowControl w:val="off"/>
        <w:rPr>
          <w:rFonts w:ascii="Cambria" w:hAnsi="Cambria" w:cs="Cambria"/>
          <w:sz w:val="18"/>
          <w:szCs w:val="18"/>
        </w:rPr>
      </w:pPr>
      <w:r>
        <w:rPr>
          <w:rFonts w:ascii="Cambria" w:hAnsi="Cambria" w:cs="Cambria"/>
          <w:sz w:val="18"/>
          <w:szCs w:val="18"/>
        </w:rPr>
        <w:t xml:space="preserve">DECLARAÇÃODEVIABILIDADE </w:t>
      </w:r>
      <w:r>
        <w:rPr>
          <w:rFonts w:ascii="Cambria" w:hAnsi="Cambria" w:cs="Cambria"/>
          <w:b w:val="0"/>
          <w:bCs w:val="0"/>
          <w:sz w:val="18"/>
          <w:szCs w:val="18"/>
        </w:rPr>
      </w:r>
      <w:r/>
    </w:p>
    <w:p>
      <w:pPr>
        <w:ind w:right="-30"/>
        <w:jc w:val="both"/>
        <w:spacing w:line="360" w:lineRule="auto"/>
        <w:widowControl w:val="off"/>
        <w:rPr>
          <w:rFonts w:ascii="Cambria" w:hAnsi="Cambria" w:cs="Cambria"/>
          <w:b w:val="0"/>
          <w:bCs w:val="0"/>
          <w:sz w:val="18"/>
          <w:szCs w:val="18"/>
        </w:rPr>
      </w:pPr>
      <w:r>
        <w:rPr>
          <w:rFonts w:ascii="Cambria" w:hAnsi="Cambria" w:cs="Cambria"/>
          <w:sz w:val="18"/>
          <w:szCs w:val="18"/>
        </w:rPr>
        <w:t xml:space="preserve">Com base na justificativa e nas especificações técnicas constantes neste Estudo Técnico Preliminar e seus anexos, e na existência de planejamento orçamentário para subsidiar esta contratação, declaramos que a contratação</w:t>
      </w:r>
      <w:r>
        <w:rPr>
          <w:rFonts w:ascii="Cambria" w:hAnsi="Cambria" w:cs="Cambria"/>
          <w:sz w:val="18"/>
          <w:szCs w:val="18"/>
        </w:rPr>
        <w:t xml:space="preserve"> é viável, atendendo aos padrões e preços de mercado.</w:t>
      </w:r>
      <w:r>
        <w:rPr>
          <w:rFonts w:ascii="Cambria" w:hAnsi="Cambria" w:cs="Cambria"/>
          <w:sz w:val="18"/>
          <w:szCs w:val="18"/>
        </w:rPr>
      </w:r>
      <w:r/>
    </w:p>
    <w:p>
      <w:pPr>
        <w:ind w:right="-30"/>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highlight w:val="none"/>
        </w:rPr>
      </w:pPr>
      <w:r>
        <w:rPr>
          <w:rFonts w:ascii="Cambria" w:hAnsi="Cambria" w:cs="Cambria"/>
          <w:sz w:val="18"/>
          <w:szCs w:val="18"/>
        </w:rPr>
        <w:t xml:space="preserve">Marco Túlio Magalhães Rosito</w:t>
      </w:r>
      <w:r/>
    </w:p>
    <w:p>
      <w:pPr>
        <w:ind w:right="-30"/>
        <w:jc w:val="center"/>
        <w:spacing w:line="360" w:lineRule="auto"/>
        <w:widowControl w:val="off"/>
        <w:rPr>
          <w:rFonts w:ascii="Cambria" w:hAnsi="Cambria" w:cs="Cambria"/>
          <w:sz w:val="18"/>
          <w:szCs w:val="18"/>
        </w:rPr>
      </w:pPr>
      <w:r>
        <w:rPr>
          <w:rFonts w:ascii="Cambria" w:hAnsi="Cambria" w:cs="Cambria"/>
          <w:sz w:val="18"/>
          <w:szCs w:val="18"/>
          <w:highlight w:val="none"/>
        </w:rPr>
        <w:t xml:space="preserve">Secretário de Agricultura e Meio Ambiente</w:t>
      </w:r>
      <w:r>
        <w:rPr>
          <w:rFonts w:ascii="Cambria" w:hAnsi="Cambria" w:cs="Cambria"/>
          <w:sz w:val="18"/>
          <w:szCs w:val="18"/>
          <w:highlight w:val="none"/>
        </w:rPr>
      </w:r>
      <w:r/>
    </w:p>
    <w:sectPr>
      <w:headerReference w:type="default" r:id="rId9"/>
      <w:headerReference w:type="first" r:id="rId10"/>
      <w:footerReference w:type="default" r:id="rId11"/>
      <w:footerReference w:type="first" r:id="rId12"/>
      <w:footnotePr/>
      <w:endnotePr/>
      <w:type w:val="nextPage"/>
      <w:pgSz w:w="11906" w:h="16838" w:orient="portrait"/>
      <w:pgMar w:top="89" w:right="1134" w:bottom="1418" w:left="1134" w:header="0" w:footer="0" w:gutter="0"/>
      <w:cols w:num="1" w:sep="0" w:space="708"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elv, Arial">
    <w:panose1 w:val="02000603000000000000"/>
  </w:font>
  <w:font w:name="Zurich BT">
    <w:panose1 w:val="02000603000000000000"/>
  </w:font>
  <w:font w:name="Cambria">
    <w:panose1 w:val="02040503050406030204"/>
  </w:font>
  <w:font w:name="Courier New">
    <w:panose1 w:val="02070309020205020404"/>
  </w:font>
  <w:font w:name="Symbol">
    <w:panose1 w:val="05050102010706020507"/>
  </w:font>
  <w:font w:name="Lucida Sans">
    <w:panose1 w:val="020B0602030504020204"/>
  </w:font>
  <w:font w:name="Wingdings">
    <w:panose1 w:val="05000000000000000000"/>
  </w:font>
  <w:font w:name="Liberation Serif">
    <w:panose1 w:val="02020603050405020304"/>
  </w:font>
  <w:font w:name="WenQuanYi Micro Hei">
    <w:panose1 w:val="02000603000000000000"/>
  </w:font>
  <w:font w:name="Calibri">
    <w:panose1 w:val="020F0502020204030204"/>
  </w:font>
  <w:font w:name="MS Mincho">
    <w:panose1 w:val="02020503050405090304"/>
  </w:font>
  <w:font w:name="Tahoma">
    <w:panose1 w:val="020B0604030504040204"/>
  </w:font>
  <w:font w:name="Lohit Hindi">
    <w:panose1 w:val="02000603000000000000"/>
  </w:font>
  <w:font w:name="Ecofont_Spranq_eco_Sans">
    <w:panose1 w:val="02000603000000000000"/>
  </w:font>
  <w:font w:name="NSimSun">
    <w:panose1 w:val="02010609030101010101"/>
  </w:font>
  <w:font w:name="CIDFont">
    <w:panose1 w:val="02000603000000000000"/>
  </w:font>
  <w:font w:name="Arial">
    <w:panose1 w:val="020B0604020202020204"/>
  </w:font>
  <w:font w:name="SimSun">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6111550"/>
      <w:rPr/>
    </w:sdtPr>
    <w:sdtContent>
      <w:p>
        <w:pPr>
          <w:pStyle w:val="1086"/>
          <w:rPr>
            <w:rFonts w:ascii="Arial" w:hAnsi="Arial" w:cs="Arial"/>
            <w:sz w:val="14"/>
            <w:szCs w:val="14"/>
          </w:rPr>
        </w:pPr>
        <w:r/>
        <w:bookmarkStart w:id="68" w:name="_Hlk135299703"/>
        <w:r/>
        <w:bookmarkEnd w:id="68"/>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W w:w="0" w:type="auto"/>
      <w:tblLayout w:type="fixed"/>
      <w:tblLook w:val="04A0" w:firstRow="1" w:lastRow="0" w:firstColumn="1" w:lastColumn="0" w:noHBand="0" w:noVBand="1"/>
    </w:tblPr>
    <w:tblGrid>
      <w:gridCol w:w="3210"/>
      <w:gridCol w:w="3210"/>
      <w:gridCol w:w="3210"/>
    </w:tblGrid>
    <w:tr>
      <w:trPr>
        <w:trHeight w:val="300"/>
      </w:trPr>
      <w:tc>
        <w:tcPr>
          <w:tcW w:w="3210" w:type="dxa"/>
          <w:textDirection w:val="lrTb"/>
          <w:noWrap w:val="false"/>
        </w:tcPr>
        <w:p>
          <w:pPr>
            <w:pStyle w:val="853"/>
            <w:ind w:left="-115"/>
          </w:pPr>
          <w:r/>
          <w:r/>
        </w:p>
      </w:tc>
      <w:tc>
        <w:tcPr>
          <w:tcW w:w="3210" w:type="dxa"/>
          <w:textDirection w:val="lrTb"/>
          <w:noWrap w:val="false"/>
        </w:tcPr>
        <w:p>
          <w:pPr>
            <w:pStyle w:val="853"/>
            <w:jc w:val="center"/>
          </w:pPr>
          <w:r/>
          <w:r/>
        </w:p>
      </w:tc>
      <w:tc>
        <w:tcPr>
          <w:tcW w:w="3210" w:type="dxa"/>
          <w:textDirection w:val="lrTb"/>
          <w:noWrap w:val="false"/>
        </w:tcPr>
        <w:p>
          <w:pPr>
            <w:pStyle w:val="853"/>
            <w:ind w:right="-115"/>
            <w:jc w:val="right"/>
          </w:pPr>
          <w:r/>
          <w:r/>
        </w:p>
      </w:tc>
    </w:tr>
  </w:tbl>
  <w:p>
    <w:pPr>
      <w:pStyle w:val="85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369570</wp:posOffset>
              </wp:positionH>
              <wp:positionV relativeFrom="paragraph">
                <wp:posOffset>-654685</wp:posOffset>
              </wp:positionV>
              <wp:extent cx="5654040" cy="831215"/>
              <wp:effectExtent l="0" t="0" r="0" b="0"/>
              <wp:wrapNone/>
              <wp:docPr id="3" name="image1.png" descr="Interface gráfica do usuário, 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descr="Interface gráfica do usuário, Texto&#10;&#10;Descrição gerada automaticamente"/>
                      <pic:cNvPicPr>
                        <a:picLocks noChangeAspect="1"/>
                      </pic:cNvPicPr>
                      <pic:nvPr/>
                    </pic:nvPicPr>
                    <pic:blipFill>
                      <a:blip r:embed="rId1"/>
                      <a:srcRect l="140" t="0" r="140" b="0"/>
                      <a:stretch/>
                    </pic:blipFill>
                    <pic:spPr bwMode="auto">
                      <a:xfrm>
                        <a:off x="0" y="0"/>
                        <a:ext cx="5654040" cy="83121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29.1pt;mso-position-horizontal:absolute;mso-position-vertical-relative:text;margin-top:-51.5pt;mso-position-vertical:absolute;width:445.2pt;height:65.5pt;mso-wrap-distance-left:9.0pt;mso-wrap-distance-top:0.0pt;mso-wrap-distance-right:9.0pt;mso-wrap-distance-bottom:0.0pt;" stroked="false">
              <v:path textboxrect="0,0,0,0"/>
              <v:imagedata r:id="rId1" o:title=""/>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jc w:val="right"/>
      <w:rPr>
        <w:rFonts w:ascii="Arial" w:hAnsi="Arial" w:cs="Arial"/>
        <w:sz w:val="20"/>
        <w:szCs w:val="20"/>
      </w:rPr>
    </w:pPr>
    <w:r>
      <w:rPr>
        <w:rFonts w:ascii="Arial" w:hAnsi="Arial" w:cs="Arial"/>
        <w:sz w:val="20"/>
        <w:szCs w:val="20"/>
      </w:rPr>
    </w:r>
    <w:r/>
  </w:p>
  <w:p>
    <w:pPr>
      <w:pStyle w:val="853"/>
      <w:jc w:val="right"/>
      <w:rPr>
        <w:rFonts w:ascii="Arial" w:hAnsi="Arial" w:cs="Arial"/>
        <w:sz w:val="20"/>
        <w:szCs w:val="20"/>
      </w:rPr>
    </w:pPr>
    <w:r>
      <w:rPr>
        <w:rFonts w:ascii="Arial" w:hAnsi="Arial" w:cs="Arial"/>
        <w:sz w:val="20"/>
        <w:szCs w:val="20"/>
      </w:rPr>
    </w:r>
    <w:r/>
  </w:p>
  <w:p>
    <w:pPr>
      <w:pStyle w:val="853"/>
      <w:jc w:val="right"/>
      <w:rPr>
        <w:rFonts w:ascii="Arial" w:hAnsi="Arial" w:cs="Arial"/>
        <w:sz w:val="20"/>
        <w:szCs w:val="20"/>
      </w:rPr>
    </w:pPr>
    <w:r>
      <w:rPr>
        <w:rFonts w:ascii="Arial" w:hAnsi="Arial" w:cs="Arial"/>
        <w:sz w:val="20"/>
        <w:szCs w:val="20"/>
      </w:rPr>
    </w:r>
    <w:r/>
  </w:p>
  <w:p>
    <w:pPr>
      <w:pStyle w:val="853"/>
      <w:jc w:val="right"/>
      <w:rPr>
        <w:rFonts w:ascii="Arial" w:hAnsi="Arial" w:cs="Arial"/>
        <w:sz w:val="20"/>
        <w:szCs w:val="20"/>
      </w:rPr>
    </w:pPr>
    <w:r>
      <mc:AlternateContent>
        <mc:Choice Requires="wpg">
          <w:drawing>
            <wp:inline xmlns:wp="http://schemas.openxmlformats.org/drawingml/2006/wordprocessingDrawing" distT="0" distB="0" distL="0" distR="0">
              <wp:extent cx="6120130" cy="1114352"/>
              <wp:effectExtent l="0" t="0" r="0" b="0"/>
              <wp:docPr id="1" name="image2.png" descr="Fundo preto com letras brancas&#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06240" name="image2.png" descr="Fundo preto com letras brancas&#10;&#10;Descrição gerada automaticamente"/>
                      <pic:cNvPicPr>
                        <a:picLocks noChangeAspect="1"/>
                      </pic:cNvPicPr>
                      <pic:nvPr/>
                    </pic:nvPicPr>
                    <pic:blipFill>
                      <a:blip r:embed="rId1"/>
                      <a:srcRect l="126" t="0" r="126" b="0"/>
                      <a:stretch/>
                    </pic:blipFill>
                    <pic:spPr bwMode="auto">
                      <a:xfrm>
                        <a:off x="0" y="0"/>
                        <a:ext cx="6120129" cy="111435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81.9pt;height:87.7pt;mso-wrap-distance-left:0.0pt;mso-wrap-distance-top:0.0pt;mso-wrap-distance-right:0.0pt;mso-wrap-distance-bottom:0.0pt;" stroked="false">
              <v:path textboxrect="0,0,0,0"/>
              <v:imagedata r:id="rId1" o:title=""/>
            </v:shape>
          </w:pict>
        </mc:Fallback>
      </mc:AlternateContent>
    </w:r>
    <w:r>
      <w:rPr>
        <w:rFonts w:ascii="Arial" w:hAnsi="Arial" w:cs="Arial"/>
        <w:sz w:val="20"/>
        <w:szCs w:val="20"/>
      </w:rPr>
      <w:t xml:space="preserve">EDITAL - PREGÃO ELETRÔNICO Nº </w:t>
    </w:r>
    <w:r>
      <w:rPr>
        <w:rFonts w:ascii="Arial" w:hAnsi="Arial" w:cs="Arial"/>
        <w:sz w:val="20"/>
        <w:szCs w:val="20"/>
      </w:rPr>
      <w:t xml:space="preserve">013</w:t>
    </w:r>
    <w:r>
      <w:rPr>
        <w:rFonts w:ascii="Arial" w:hAnsi="Arial" w:cs="Arial"/>
        <w:sz w:val="20"/>
        <w:szCs w:val="20"/>
      </w:rPr>
      <w:t xml:space="preserve">/2024</w:t>
    </w:r>
    <w:r/>
  </w:p>
  <w:p>
    <w:pPr>
      <w:pStyle w:val="853"/>
      <w:jc w:val="righ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inline xmlns:wp="http://schemas.openxmlformats.org/drawingml/2006/wordprocessingDrawing" distT="0" distB="0" distL="0" distR="0">
              <wp:extent cx="6179820" cy="1125220"/>
              <wp:effectExtent l="0" t="0" r="0" b="0"/>
              <wp:docPr id="2" name="image2.png" descr="Fundo preto com letras brancas&#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png" descr="Fundo preto com letras brancas&#10;&#10;Descrição gerada automaticamente"/>
                      <pic:cNvPicPr>
                        <a:picLocks noChangeAspect="1"/>
                      </pic:cNvPicPr>
                      <pic:nvPr/>
                    </pic:nvPicPr>
                    <pic:blipFill>
                      <a:blip r:embed="rId1"/>
                      <a:srcRect l="126" t="0" r="126" b="0"/>
                      <a:stretch/>
                    </pic:blipFill>
                    <pic:spPr bwMode="auto">
                      <a:xfrm>
                        <a:off x="0" y="0"/>
                        <a:ext cx="6179820" cy="11252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86.6pt;height:88.6pt;mso-wrap-distance-left:0.0pt;mso-wrap-distance-top:0.0pt;mso-wrap-distance-right:0.0pt;mso-wrap-distance-bottom:0.0pt;" stroked="false">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lowerLetter"/>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
    <w:multiLevelType w:val="hybridMultilevel"/>
    <w:lvl w:ilvl="0">
      <w:start w:val="1"/>
      <w:numFmt w:val="bullet"/>
      <w:pStyle w:val="848"/>
      <w:isLgl w:val="false"/>
      <w:suff w:val="tab"/>
      <w:lvlText w:val=""/>
      <w:lvlJc w:val="left"/>
      <w:pPr>
        <w:ind w:left="1492" w:hanging="360"/>
        <w:tabs>
          <w:tab w:val="left"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lowerLetter"/>
      <w:isLgl w:val="false"/>
      <w:suff w:val="tab"/>
      <w:lvlText w:val="%1)"/>
      <w:lvlJc w:val="left"/>
      <w:pPr>
        <w:ind w:left="1287" w:hanging="360"/>
      </w:pPr>
    </w:lvl>
    <w:lvl w:ilvl="1">
      <w:start w:val="1"/>
      <w:numFmt w:val="lowerLetter"/>
      <w:isLgl w:val="false"/>
      <w:suff w:val="tab"/>
      <w:lvlText w:val="%2."/>
      <w:lvlJc w:val="left"/>
      <w:pPr>
        <w:ind w:left="2007" w:hanging="360"/>
      </w:pPr>
    </w:lvl>
    <w:lvl w:ilvl="2">
      <w:start w:val="1"/>
      <w:numFmt w:val="lowerRoman"/>
      <w:isLgl w:val="false"/>
      <w:suff w:val="tab"/>
      <w:lvlText w:val="%3."/>
      <w:lvlJc w:val="right"/>
      <w:pPr>
        <w:ind w:left="2727" w:hanging="180"/>
      </w:pPr>
    </w:lvl>
    <w:lvl w:ilvl="3">
      <w:start w:val="1"/>
      <w:numFmt w:val="decimal"/>
      <w:isLgl w:val="false"/>
      <w:suff w:val="tab"/>
      <w:lvlText w:val="%4."/>
      <w:lvlJc w:val="left"/>
      <w:pPr>
        <w:ind w:left="3447" w:hanging="360"/>
      </w:pPr>
    </w:lvl>
    <w:lvl w:ilvl="4">
      <w:start w:val="1"/>
      <w:numFmt w:val="lowerLetter"/>
      <w:isLgl w:val="false"/>
      <w:suff w:val="tab"/>
      <w:lvlText w:val="%5."/>
      <w:lvlJc w:val="left"/>
      <w:pPr>
        <w:ind w:left="4167" w:hanging="360"/>
      </w:pPr>
    </w:lvl>
    <w:lvl w:ilvl="5">
      <w:start w:val="1"/>
      <w:numFmt w:val="lowerRoman"/>
      <w:isLgl w:val="false"/>
      <w:suff w:val="tab"/>
      <w:lvlText w:val="%6."/>
      <w:lvlJc w:val="right"/>
      <w:pPr>
        <w:ind w:left="4887" w:hanging="180"/>
      </w:pPr>
    </w:lvl>
    <w:lvl w:ilvl="6">
      <w:start w:val="1"/>
      <w:numFmt w:val="decimal"/>
      <w:isLgl w:val="false"/>
      <w:suff w:val="tab"/>
      <w:lvlText w:val="%7."/>
      <w:lvlJc w:val="left"/>
      <w:pPr>
        <w:ind w:left="5607" w:hanging="360"/>
      </w:pPr>
    </w:lvl>
    <w:lvl w:ilvl="7">
      <w:start w:val="1"/>
      <w:numFmt w:val="lowerLetter"/>
      <w:isLgl w:val="false"/>
      <w:suff w:val="tab"/>
      <w:lvlText w:val="%8."/>
      <w:lvlJc w:val="left"/>
      <w:pPr>
        <w:ind w:left="6327" w:hanging="360"/>
      </w:pPr>
    </w:lvl>
    <w:lvl w:ilvl="8">
      <w:start w:val="1"/>
      <w:numFmt w:val="lowerRoman"/>
      <w:isLgl w:val="false"/>
      <w:suff w:val="tab"/>
      <w:lvlText w:val="%9."/>
      <w:lvlJc w:val="right"/>
      <w:pPr>
        <w:ind w:left="7047" w:hanging="180"/>
      </w:pPr>
    </w:lvl>
  </w:abstractNum>
  <w:abstractNum w:abstractNumId="3">
    <w:multiLevelType w:val="hybridMultilevel"/>
    <w:lvl w:ilvl="0">
      <w:start w:val="4"/>
      <w:numFmt w:val="decimal"/>
      <w:isLgl w:val="false"/>
      <w:suff w:val="tab"/>
      <w:lvlText w:val="%1"/>
      <w:lvlJc w:val="left"/>
      <w:pPr>
        <w:ind w:left="420" w:hanging="420"/>
      </w:pPr>
      <w:rPr>
        <w:rFonts w:hint="default"/>
      </w:rPr>
    </w:lvl>
    <w:lvl w:ilvl="1">
      <w:start w:val="4"/>
      <w:numFmt w:val="decimal"/>
      <w:isLgl w:val="false"/>
      <w:suff w:val="tab"/>
      <w:lvlText w:val="%1.%2"/>
      <w:lvlJc w:val="left"/>
      <w:pPr>
        <w:ind w:left="420" w:hanging="420"/>
      </w:pPr>
      <w:rPr>
        <w:rFonts w:hint="default" w:ascii="Cambria" w:hAnsi="Cambria" w:eastAsia="Cambria" w:cs="Cambria"/>
        <w:color w:val="000000" w:themeColor="text1"/>
        <w:sz w:val="18"/>
      </w:rPr>
    </w:lvl>
    <w:lvl w:ilvl="2">
      <w:start w:val="1"/>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720" w:hanging="720"/>
      </w:pPr>
      <w:rPr>
        <w:rFonts w:hint="default"/>
      </w:rPr>
    </w:lvl>
    <w:lvl w:ilvl="4">
      <w:start w:val="1"/>
      <w:numFmt w:val="decimal"/>
      <w:isLgl w:val="false"/>
      <w:suff w:val="tab"/>
      <w:lvlText w:val="%1.%2.%3.%4.%5"/>
      <w:lvlJc w:val="left"/>
      <w:pPr>
        <w:ind w:left="720" w:hanging="720"/>
      </w:pPr>
      <w:rPr>
        <w:rFonts w:hint="default"/>
      </w:rPr>
    </w:lvl>
    <w:lvl w:ilvl="5">
      <w:start w:val="1"/>
      <w:numFmt w:val="decimal"/>
      <w:isLgl w:val="false"/>
      <w:suff w:val="tab"/>
      <w:lvlText w:val="%1.%2.%3.%4.%5.%6"/>
      <w:lvlJc w:val="left"/>
      <w:pPr>
        <w:ind w:left="1080" w:hanging="1080"/>
      </w:pPr>
      <w:rPr>
        <w:rFonts w:hint="default"/>
      </w:rPr>
    </w:lvl>
    <w:lvl w:ilvl="6">
      <w:start w:val="1"/>
      <w:numFmt w:val="decimal"/>
      <w:isLgl w:val="false"/>
      <w:suff w:val="tab"/>
      <w:lvlText w:val="%1.%2.%3.%4.%5.%6.%7"/>
      <w:lvlJc w:val="left"/>
      <w:pPr>
        <w:ind w:left="1080" w:hanging="1080"/>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440" w:hanging="1440"/>
      </w:pPr>
      <w:rPr>
        <w:rFonts w:hint="default"/>
      </w:rPr>
    </w:lvl>
  </w:abstractNum>
  <w:abstractNum w:abstractNumId="4">
    <w:multiLevelType w:val="hybridMultilevel"/>
    <w:lvl w:ilvl="0">
      <w:start w:val="4"/>
      <w:numFmt w:val="decimal"/>
      <w:isLgl w:val="false"/>
      <w:suff w:val="tab"/>
      <w:lvlText w:val="%1"/>
      <w:lvlJc w:val="left"/>
      <w:pPr>
        <w:ind w:left="420" w:hanging="420"/>
      </w:pPr>
      <w:rPr>
        <w:rFonts w:hint="default"/>
      </w:rPr>
    </w:lvl>
    <w:lvl w:ilvl="1">
      <w:start w:val="12"/>
      <w:numFmt w:val="decimal"/>
      <w:isLgl w:val="false"/>
      <w:suff w:val="tab"/>
      <w:lvlText w:val="%1.%2"/>
      <w:lvlJc w:val="left"/>
      <w:pPr>
        <w:ind w:left="420" w:hanging="420"/>
      </w:pPr>
      <w:rPr>
        <w:rFonts w:hint="default" w:ascii="Cambria" w:hAnsi="Cambria" w:eastAsia="Cambria" w:cs="Cambria"/>
        <w:color w:val="000000" w:themeColor="text1"/>
        <w:sz w:val="18"/>
      </w:rPr>
    </w:lvl>
    <w:lvl w:ilvl="2">
      <w:start w:val="1"/>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720" w:hanging="720"/>
      </w:pPr>
      <w:rPr>
        <w:rFonts w:hint="default"/>
      </w:rPr>
    </w:lvl>
    <w:lvl w:ilvl="4">
      <w:start w:val="1"/>
      <w:numFmt w:val="decimal"/>
      <w:isLgl w:val="false"/>
      <w:suff w:val="tab"/>
      <w:lvlText w:val="%1.%2.%3.%4.%5"/>
      <w:lvlJc w:val="left"/>
      <w:pPr>
        <w:ind w:left="720" w:hanging="720"/>
      </w:pPr>
      <w:rPr>
        <w:rFonts w:hint="default"/>
      </w:rPr>
    </w:lvl>
    <w:lvl w:ilvl="5">
      <w:start w:val="1"/>
      <w:numFmt w:val="decimal"/>
      <w:isLgl w:val="false"/>
      <w:suff w:val="tab"/>
      <w:lvlText w:val="%1.%2.%3.%4.%5.%6"/>
      <w:lvlJc w:val="left"/>
      <w:pPr>
        <w:ind w:left="1080" w:hanging="1080"/>
      </w:pPr>
      <w:rPr>
        <w:rFonts w:hint="default"/>
      </w:rPr>
    </w:lvl>
    <w:lvl w:ilvl="6">
      <w:start w:val="1"/>
      <w:numFmt w:val="decimal"/>
      <w:isLgl w:val="false"/>
      <w:suff w:val="tab"/>
      <w:lvlText w:val="%1.%2.%3.%4.%5.%6.%7"/>
      <w:lvlJc w:val="left"/>
      <w:pPr>
        <w:ind w:left="1080" w:hanging="1080"/>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440" w:hanging="1440"/>
      </w:pPr>
      <w:rPr>
        <w:rFonts w:hint="default"/>
      </w:rPr>
    </w:lvl>
  </w:abstractNum>
  <w:abstractNum w:abstractNumId="5">
    <w:multiLevelType w:val="hybridMultilevel"/>
    <w:lvl w:ilvl="0">
      <w:start w:val="1"/>
      <w:numFmt w:val="decimal"/>
      <w:isLgl w:val="false"/>
      <w:suff w:val="tab"/>
      <w:lvlText w:val="%1."/>
      <w:lvlJc w:val="left"/>
      <w:pPr>
        <w:ind w:left="360" w:hanging="360"/>
      </w:pPr>
      <w:rPr>
        <w:b/>
        <w:color w:val="auto"/>
      </w:rPr>
    </w:lvl>
    <w:lvl w:ilvl="1">
      <w:start w:val="1"/>
      <w:numFmt w:val="decimal"/>
      <w:isLgl w:val="false"/>
      <w:suff w:val="tab"/>
      <w:lvlText w:val="%1.%2."/>
      <w:lvlJc w:val="left"/>
      <w:pPr>
        <w:ind w:left="1283" w:hanging="432"/>
      </w:pPr>
      <w:rPr>
        <w:sz w:val="20"/>
        <w:szCs w:val="20"/>
      </w:rPr>
    </w:lvl>
    <w:lvl w:ilvl="2">
      <w:start w:val="1"/>
      <w:numFmt w:val="decimal"/>
      <w:pStyle w:val="1133"/>
      <w:isLgl w:val="false"/>
      <w:suff w:val="tab"/>
      <w:lvlText w:val="%1.%2.%3."/>
      <w:lvlJc w:val="left"/>
      <w:pPr>
        <w:ind w:left="1497" w:hanging="504"/>
      </w:pPr>
    </w:lvl>
    <w:lvl w:ilvl="3">
      <w:start w:val="1"/>
      <w:numFmt w:val="decimal"/>
      <w:pStyle w:val="1134"/>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6">
    <w:multiLevelType w:val="hybridMultilevel"/>
    <w:lvl w:ilvl="0">
      <w:start w:val="5"/>
      <w:numFmt w:val="decimal"/>
      <w:isLgl w:val="false"/>
      <w:suff w:val="tab"/>
      <w:lvlText w:val="%1"/>
      <w:lvlJc w:val="left"/>
      <w:pPr>
        <w:ind w:left="420" w:hanging="420"/>
      </w:pPr>
      <w:rPr>
        <w:rFonts w:hint="default"/>
      </w:rPr>
    </w:lvl>
    <w:lvl w:ilvl="1">
      <w:start w:val="1"/>
      <w:numFmt w:val="decimal"/>
      <w:isLgl w:val="false"/>
      <w:suff w:val="tab"/>
      <w:lvlText w:val="%1.%2"/>
      <w:lvlJc w:val="left"/>
      <w:pPr>
        <w:ind w:left="420" w:hanging="420"/>
      </w:pPr>
      <w:rPr>
        <w:rFonts w:hint="default" w:ascii="Cambria" w:hAnsi="Cambria" w:eastAsia="Cambria" w:cs="Cambria"/>
        <w:color w:val="000000" w:themeColor="text1"/>
        <w:sz w:val="18"/>
      </w:rPr>
    </w:lvl>
    <w:lvl w:ilvl="2">
      <w:start w:val="1"/>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720" w:hanging="720"/>
      </w:pPr>
      <w:rPr>
        <w:rFonts w:hint="default"/>
      </w:rPr>
    </w:lvl>
    <w:lvl w:ilvl="4">
      <w:start w:val="1"/>
      <w:numFmt w:val="decimal"/>
      <w:isLgl w:val="false"/>
      <w:suff w:val="tab"/>
      <w:lvlText w:val="%1.%2.%3.%4.%5"/>
      <w:lvlJc w:val="left"/>
      <w:pPr>
        <w:ind w:left="720" w:hanging="720"/>
      </w:pPr>
      <w:rPr>
        <w:rFonts w:hint="default"/>
      </w:rPr>
    </w:lvl>
    <w:lvl w:ilvl="5">
      <w:start w:val="1"/>
      <w:numFmt w:val="decimal"/>
      <w:isLgl w:val="false"/>
      <w:suff w:val="tab"/>
      <w:lvlText w:val="%1.%2.%3.%4.%5.%6"/>
      <w:lvlJc w:val="left"/>
      <w:pPr>
        <w:ind w:left="1080" w:hanging="1080"/>
      </w:pPr>
      <w:rPr>
        <w:rFonts w:hint="default"/>
      </w:rPr>
    </w:lvl>
    <w:lvl w:ilvl="6">
      <w:start w:val="1"/>
      <w:numFmt w:val="decimal"/>
      <w:isLgl w:val="false"/>
      <w:suff w:val="tab"/>
      <w:lvlText w:val="%1.%2.%3.%4.%5.%6.%7"/>
      <w:lvlJc w:val="left"/>
      <w:pPr>
        <w:ind w:left="1080" w:hanging="1080"/>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440" w:hanging="1440"/>
      </w:pPr>
      <w:rPr>
        <w:rFonts w:hint="default"/>
      </w:rPr>
    </w:lvl>
  </w:abstractNum>
  <w:abstractNum w:abstractNumId="7">
    <w:multiLevelType w:val="hybridMultilevel"/>
    <w:lvl w:ilvl="0">
      <w:start w:val="1"/>
      <w:numFmt w:val="lowerLetter"/>
      <w:isLgl w:val="false"/>
      <w:suff w:val="tab"/>
      <w:lvlText w:val="%1)"/>
      <w:lvlJc w:val="left"/>
      <w:pPr>
        <w:ind w:left="1004" w:hanging="360"/>
      </w:pPr>
    </w:lvl>
    <w:lvl w:ilvl="1">
      <w:start w:val="1"/>
      <w:numFmt w:val="lowerLetter"/>
      <w:isLgl w:val="false"/>
      <w:suff w:val="tab"/>
      <w:lvlText w:val="%2."/>
      <w:lvlJc w:val="left"/>
      <w:pPr>
        <w:ind w:left="1724" w:hanging="360"/>
      </w:pPr>
    </w:lvl>
    <w:lvl w:ilvl="2">
      <w:start w:val="1"/>
      <w:numFmt w:val="lowerRoman"/>
      <w:isLgl w:val="false"/>
      <w:suff w:val="tab"/>
      <w:lvlText w:val="%3."/>
      <w:lvlJc w:val="right"/>
      <w:pPr>
        <w:ind w:left="2444" w:hanging="180"/>
      </w:pPr>
    </w:lvl>
    <w:lvl w:ilvl="3">
      <w:start w:val="1"/>
      <w:numFmt w:val="decimal"/>
      <w:isLgl w:val="false"/>
      <w:suff w:val="tab"/>
      <w:lvlText w:val="%4."/>
      <w:lvlJc w:val="left"/>
      <w:pPr>
        <w:ind w:left="3164" w:hanging="360"/>
      </w:pPr>
    </w:lvl>
    <w:lvl w:ilvl="4">
      <w:start w:val="1"/>
      <w:numFmt w:val="lowerLetter"/>
      <w:isLgl w:val="false"/>
      <w:suff w:val="tab"/>
      <w:lvlText w:val="%5."/>
      <w:lvlJc w:val="left"/>
      <w:pPr>
        <w:ind w:left="3884" w:hanging="360"/>
      </w:pPr>
    </w:lvl>
    <w:lvl w:ilvl="5">
      <w:start w:val="1"/>
      <w:numFmt w:val="lowerRoman"/>
      <w:isLgl w:val="false"/>
      <w:suff w:val="tab"/>
      <w:lvlText w:val="%6."/>
      <w:lvlJc w:val="right"/>
      <w:pPr>
        <w:ind w:left="4604" w:hanging="180"/>
      </w:pPr>
    </w:lvl>
    <w:lvl w:ilvl="6">
      <w:start w:val="1"/>
      <w:numFmt w:val="decimal"/>
      <w:isLgl w:val="false"/>
      <w:suff w:val="tab"/>
      <w:lvlText w:val="%7."/>
      <w:lvlJc w:val="left"/>
      <w:pPr>
        <w:ind w:left="5324" w:hanging="360"/>
      </w:pPr>
    </w:lvl>
    <w:lvl w:ilvl="7">
      <w:start w:val="1"/>
      <w:numFmt w:val="lowerLetter"/>
      <w:isLgl w:val="false"/>
      <w:suff w:val="tab"/>
      <w:lvlText w:val="%8."/>
      <w:lvlJc w:val="left"/>
      <w:pPr>
        <w:ind w:left="6044" w:hanging="360"/>
      </w:pPr>
    </w:lvl>
    <w:lvl w:ilvl="8">
      <w:start w:val="1"/>
      <w:numFmt w:val="lowerRoman"/>
      <w:isLgl w:val="false"/>
      <w:suff w:val="tab"/>
      <w:lvlText w:val="%9."/>
      <w:lvlJc w:val="right"/>
      <w:pPr>
        <w:ind w:left="6764" w:hanging="180"/>
      </w:pPr>
    </w:lvl>
  </w:abstractNum>
  <w:abstractNum w:abstractNumId="8">
    <w:multiLevelType w:val="hybridMultilevel"/>
    <w:lvl w:ilvl="0">
      <w:start w:val="1"/>
      <w:numFmt w:val="upperRoman"/>
      <w:isLgl w:val="false"/>
      <w:suff w:val="tab"/>
      <w:lvlText w:val="%1)"/>
      <w:lvlJc w:val="left"/>
      <w:pPr>
        <w:ind w:left="1287" w:hanging="720"/>
      </w:pPr>
      <w:rPr>
        <w:rFonts w:hint="default"/>
      </w:rPr>
    </w:lvl>
    <w:lvl w:ilvl="1">
      <w:start w:val="1"/>
      <w:numFmt w:val="lowerLetter"/>
      <w:isLgl w:val="false"/>
      <w:suff w:val="tab"/>
      <w:lvlText w:val="%2."/>
      <w:lvlJc w:val="left"/>
      <w:pPr>
        <w:ind w:left="1647" w:hanging="360"/>
      </w:pPr>
    </w:lvl>
    <w:lvl w:ilvl="2">
      <w:start w:val="1"/>
      <w:numFmt w:val="lowerRoman"/>
      <w:isLgl w:val="false"/>
      <w:suff w:val="tab"/>
      <w:lvlText w:val="%3."/>
      <w:lvlJc w:val="right"/>
      <w:pPr>
        <w:ind w:left="2367" w:hanging="180"/>
      </w:pPr>
    </w:lvl>
    <w:lvl w:ilvl="3">
      <w:start w:val="1"/>
      <w:numFmt w:val="decimal"/>
      <w:isLgl w:val="false"/>
      <w:suff w:val="tab"/>
      <w:lvlText w:val="%4."/>
      <w:lvlJc w:val="left"/>
      <w:pPr>
        <w:ind w:left="3087" w:hanging="360"/>
      </w:pPr>
    </w:lvl>
    <w:lvl w:ilvl="4">
      <w:start w:val="1"/>
      <w:numFmt w:val="lowerLetter"/>
      <w:isLgl w:val="false"/>
      <w:suff w:val="tab"/>
      <w:lvlText w:val="%5."/>
      <w:lvlJc w:val="left"/>
      <w:pPr>
        <w:ind w:left="3807" w:hanging="360"/>
      </w:pPr>
    </w:lvl>
    <w:lvl w:ilvl="5">
      <w:start w:val="1"/>
      <w:numFmt w:val="lowerRoman"/>
      <w:isLgl w:val="false"/>
      <w:suff w:val="tab"/>
      <w:lvlText w:val="%6."/>
      <w:lvlJc w:val="right"/>
      <w:pPr>
        <w:ind w:left="4527" w:hanging="180"/>
      </w:pPr>
    </w:lvl>
    <w:lvl w:ilvl="6">
      <w:start w:val="1"/>
      <w:numFmt w:val="decimal"/>
      <w:isLgl w:val="false"/>
      <w:suff w:val="tab"/>
      <w:lvlText w:val="%7."/>
      <w:lvlJc w:val="left"/>
      <w:pPr>
        <w:ind w:left="5247" w:hanging="360"/>
      </w:pPr>
    </w:lvl>
    <w:lvl w:ilvl="7">
      <w:start w:val="1"/>
      <w:numFmt w:val="lowerLetter"/>
      <w:isLgl w:val="false"/>
      <w:suff w:val="tab"/>
      <w:lvlText w:val="%8."/>
      <w:lvlJc w:val="left"/>
      <w:pPr>
        <w:ind w:left="5967" w:hanging="360"/>
      </w:pPr>
    </w:lvl>
    <w:lvl w:ilvl="8">
      <w:start w:val="1"/>
      <w:numFmt w:val="lowerRoman"/>
      <w:isLgl w:val="false"/>
      <w:suff w:val="tab"/>
      <w:lvlText w:val="%9."/>
      <w:lvlJc w:val="right"/>
      <w:pPr>
        <w:ind w:left="6687" w:hanging="180"/>
      </w:pPr>
    </w:lvl>
  </w:abstractNum>
  <w:abstractNum w:abstractNumId="9">
    <w:multiLevelType w:val="hybridMultilevel"/>
    <w:lvl w:ilvl="0">
      <w:start w:val="1"/>
      <w:numFmt w:val="decimal"/>
      <w:pStyle w:val="1051"/>
      <w:isLgl w:val="false"/>
      <w:suff w:val="tab"/>
      <w:lvlText w:val="%1."/>
      <w:lvlJc w:val="left"/>
      <w:pPr>
        <w:ind w:left="360" w:hanging="360"/>
      </w:pPr>
      <w:rPr>
        <w:b/>
      </w:rPr>
    </w:lvl>
    <w:lvl w:ilvl="1">
      <w:start w:val="1"/>
      <w:numFmt w:val="decimal"/>
      <w:pStyle w:val="1068"/>
      <w:isLgl w:val="false"/>
      <w:suff w:val="tab"/>
      <w:lvlText w:val="%1.%2."/>
      <w:lvlJc w:val="left"/>
      <w:pPr>
        <w:ind w:left="999" w:hanging="432"/>
      </w:pPr>
      <w:rPr>
        <w:b w:val="0"/>
        <w:i w:val="0"/>
        <w:strike w:val="0"/>
        <w:color w:val="auto"/>
        <w:sz w:val="20"/>
        <w:szCs w:val="20"/>
        <w:u w:val="none"/>
      </w:rPr>
    </w:lvl>
    <w:lvl w:ilvl="2">
      <w:start w:val="1"/>
      <w:numFmt w:val="decimal"/>
      <w:pStyle w:val="1070"/>
      <w:isLgl w:val="false"/>
      <w:suff w:val="tab"/>
      <w:lvlText w:val="%1.%2.%3."/>
      <w:lvlJc w:val="left"/>
      <w:pPr>
        <w:ind w:left="1638" w:hanging="504"/>
      </w:pPr>
      <w:rPr>
        <w:rFonts w:hint="default" w:ascii="Times New Roman" w:hAnsi="Times New Roman" w:eastAsia="Times New Roman" w:cs="Times New Roman"/>
        <w:b w:val="0"/>
        <w:i w:val="0"/>
        <w:strike w:val="0"/>
        <w:color w:val="auto"/>
        <w:sz w:val="20"/>
        <w:szCs w:val="20"/>
      </w:rPr>
    </w:lvl>
    <w:lvl w:ilvl="3">
      <w:start w:val="1"/>
      <w:numFmt w:val="decimal"/>
      <w:pStyle w:val="1071"/>
      <w:isLgl w:val="false"/>
      <w:suff w:val="tab"/>
      <w:lvlText w:val="%1.%2.%3.%4."/>
      <w:lvlJc w:val="left"/>
      <w:pPr>
        <w:ind w:left="2491" w:hanging="648"/>
      </w:pPr>
    </w:lvl>
    <w:lvl w:ilvl="4">
      <w:start w:val="1"/>
      <w:numFmt w:val="decimal"/>
      <w:pStyle w:val="1072"/>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0">
    <w:multiLevelType w:val="hybridMultilevel"/>
    <w:lvl w:ilvl="0">
      <w:start w:val="1"/>
      <w:numFmt w:val="lowerLetter"/>
      <w:isLgl w:val="false"/>
      <w:suff w:val="tab"/>
      <w:lvlText w:val="%1)"/>
      <w:lvlJc w:val="left"/>
      <w:pPr>
        <w:ind w:left="1004" w:hanging="360"/>
      </w:pPr>
    </w:lvl>
    <w:lvl w:ilvl="1">
      <w:start w:val="1"/>
      <w:numFmt w:val="lowerLetter"/>
      <w:isLgl w:val="false"/>
      <w:suff w:val="tab"/>
      <w:lvlText w:val="%2."/>
      <w:lvlJc w:val="left"/>
      <w:pPr>
        <w:ind w:left="1724" w:hanging="360"/>
      </w:pPr>
    </w:lvl>
    <w:lvl w:ilvl="2">
      <w:start w:val="1"/>
      <w:numFmt w:val="lowerRoman"/>
      <w:isLgl w:val="false"/>
      <w:suff w:val="tab"/>
      <w:lvlText w:val="%3."/>
      <w:lvlJc w:val="right"/>
      <w:pPr>
        <w:ind w:left="2444" w:hanging="180"/>
      </w:pPr>
    </w:lvl>
    <w:lvl w:ilvl="3">
      <w:start w:val="1"/>
      <w:numFmt w:val="decimal"/>
      <w:isLgl w:val="false"/>
      <w:suff w:val="tab"/>
      <w:lvlText w:val="%4."/>
      <w:lvlJc w:val="left"/>
      <w:pPr>
        <w:ind w:left="3164" w:hanging="360"/>
      </w:pPr>
    </w:lvl>
    <w:lvl w:ilvl="4">
      <w:start w:val="1"/>
      <w:numFmt w:val="lowerLetter"/>
      <w:isLgl w:val="false"/>
      <w:suff w:val="tab"/>
      <w:lvlText w:val="%5."/>
      <w:lvlJc w:val="left"/>
      <w:pPr>
        <w:ind w:left="3884" w:hanging="360"/>
      </w:pPr>
    </w:lvl>
    <w:lvl w:ilvl="5">
      <w:start w:val="1"/>
      <w:numFmt w:val="lowerRoman"/>
      <w:isLgl w:val="false"/>
      <w:suff w:val="tab"/>
      <w:lvlText w:val="%6."/>
      <w:lvlJc w:val="right"/>
      <w:pPr>
        <w:ind w:left="4604" w:hanging="180"/>
      </w:pPr>
    </w:lvl>
    <w:lvl w:ilvl="6">
      <w:start w:val="1"/>
      <w:numFmt w:val="decimal"/>
      <w:isLgl w:val="false"/>
      <w:suff w:val="tab"/>
      <w:lvlText w:val="%7."/>
      <w:lvlJc w:val="left"/>
      <w:pPr>
        <w:ind w:left="5324" w:hanging="360"/>
      </w:pPr>
    </w:lvl>
    <w:lvl w:ilvl="7">
      <w:start w:val="1"/>
      <w:numFmt w:val="lowerLetter"/>
      <w:isLgl w:val="false"/>
      <w:suff w:val="tab"/>
      <w:lvlText w:val="%8."/>
      <w:lvlJc w:val="left"/>
      <w:pPr>
        <w:ind w:left="6044" w:hanging="360"/>
      </w:pPr>
    </w:lvl>
    <w:lvl w:ilvl="8">
      <w:start w:val="1"/>
      <w:numFmt w:val="lowerRoman"/>
      <w:isLgl w:val="false"/>
      <w:suff w:val="tab"/>
      <w:lvlText w:val="%9."/>
      <w:lvlJc w:val="right"/>
      <w:pPr>
        <w:ind w:left="6764" w:hanging="180"/>
      </w:pPr>
    </w:lvl>
  </w:abstractNum>
  <w:abstractNum w:abstractNumId="11">
    <w:multiLevelType w:val="hybridMultilevel"/>
    <w:lvl w:ilvl="0">
      <w:start w:val="4"/>
      <w:numFmt w:val="decimal"/>
      <w:isLgl w:val="false"/>
      <w:suff w:val="tab"/>
      <w:lvlText w:val="%1"/>
      <w:lvlJc w:val="left"/>
      <w:pPr>
        <w:ind w:left="420" w:hanging="420"/>
      </w:pPr>
      <w:rPr>
        <w:rFonts w:hint="default"/>
        <w:i w:val="0"/>
        <w:color w:val="auto"/>
      </w:rPr>
    </w:lvl>
    <w:lvl w:ilvl="1">
      <w:start w:val="4"/>
      <w:numFmt w:val="decimal"/>
      <w:isLgl w:val="false"/>
      <w:suff w:val="tab"/>
      <w:lvlText w:val="%1.%2"/>
      <w:lvlJc w:val="left"/>
      <w:pPr>
        <w:ind w:left="420" w:hanging="420"/>
      </w:pPr>
      <w:rPr>
        <w:rFonts w:hint="default"/>
        <w:i w:val="0"/>
        <w:color w:val="auto"/>
      </w:rPr>
    </w:lvl>
    <w:lvl w:ilvl="2">
      <w:start w:val="1"/>
      <w:numFmt w:val="decimal"/>
      <w:isLgl w:val="false"/>
      <w:suff w:val="tab"/>
      <w:lvlText w:val="%1.%2.%3"/>
      <w:lvlJc w:val="left"/>
      <w:pPr>
        <w:ind w:left="720" w:hanging="720"/>
      </w:pPr>
      <w:rPr>
        <w:rFonts w:hint="default"/>
        <w:i w:val="0"/>
        <w:color w:val="auto"/>
      </w:rPr>
    </w:lvl>
    <w:lvl w:ilvl="3">
      <w:start w:val="1"/>
      <w:numFmt w:val="decimal"/>
      <w:isLgl w:val="false"/>
      <w:suff w:val="tab"/>
      <w:lvlText w:val="%1.%2.%3.%4"/>
      <w:lvlJc w:val="left"/>
      <w:pPr>
        <w:ind w:left="720" w:hanging="720"/>
      </w:pPr>
      <w:rPr>
        <w:rFonts w:hint="default"/>
        <w:i w:val="0"/>
        <w:color w:val="auto"/>
      </w:rPr>
    </w:lvl>
    <w:lvl w:ilvl="4">
      <w:start w:val="1"/>
      <w:numFmt w:val="decimal"/>
      <w:isLgl w:val="false"/>
      <w:suff w:val="tab"/>
      <w:lvlText w:val="%1.%2.%3.%4.%5"/>
      <w:lvlJc w:val="left"/>
      <w:pPr>
        <w:ind w:left="720" w:hanging="720"/>
      </w:pPr>
      <w:rPr>
        <w:rFonts w:hint="default"/>
        <w:i w:val="0"/>
        <w:color w:val="auto"/>
      </w:rPr>
    </w:lvl>
    <w:lvl w:ilvl="5">
      <w:start w:val="1"/>
      <w:numFmt w:val="decimal"/>
      <w:isLgl w:val="false"/>
      <w:suff w:val="tab"/>
      <w:lvlText w:val="%1.%2.%3.%4.%5.%6"/>
      <w:lvlJc w:val="left"/>
      <w:pPr>
        <w:ind w:left="1080" w:hanging="1080"/>
      </w:pPr>
      <w:rPr>
        <w:rFonts w:hint="default"/>
        <w:i w:val="0"/>
        <w:color w:val="auto"/>
      </w:rPr>
    </w:lvl>
    <w:lvl w:ilvl="6">
      <w:start w:val="1"/>
      <w:numFmt w:val="decimal"/>
      <w:isLgl w:val="false"/>
      <w:suff w:val="tab"/>
      <w:lvlText w:val="%1.%2.%3.%4.%5.%6.%7"/>
      <w:lvlJc w:val="left"/>
      <w:pPr>
        <w:ind w:left="1080" w:hanging="1080"/>
      </w:pPr>
      <w:rPr>
        <w:rFonts w:hint="default"/>
        <w:i w:val="0"/>
        <w:color w:val="auto"/>
      </w:rPr>
    </w:lvl>
    <w:lvl w:ilvl="7">
      <w:start w:val="1"/>
      <w:numFmt w:val="decimal"/>
      <w:isLgl w:val="false"/>
      <w:suff w:val="tab"/>
      <w:lvlText w:val="%1.%2.%3.%4.%5.%6.%7.%8"/>
      <w:lvlJc w:val="left"/>
      <w:pPr>
        <w:ind w:left="1440" w:hanging="1440"/>
      </w:pPr>
      <w:rPr>
        <w:rFonts w:hint="default"/>
        <w:i w:val="0"/>
        <w:color w:val="auto"/>
      </w:rPr>
    </w:lvl>
    <w:lvl w:ilvl="8">
      <w:start w:val="1"/>
      <w:numFmt w:val="decimal"/>
      <w:isLgl w:val="false"/>
      <w:suff w:val="tab"/>
      <w:lvlText w:val="%1.%2.%3.%4.%5.%6.%7.%8.%9"/>
      <w:lvlJc w:val="left"/>
      <w:pPr>
        <w:ind w:left="1440" w:hanging="1440"/>
      </w:pPr>
      <w:rPr>
        <w:rFonts w:hint="default"/>
        <w:i w:val="0"/>
        <w:color w:val="auto"/>
      </w:rPr>
    </w:lvl>
  </w:abstractNum>
  <w:num w:numId="1">
    <w:abstractNumId w:val="1"/>
  </w:num>
  <w:num w:numId="2">
    <w:abstractNumId w:val="9"/>
  </w:num>
  <w:num w:numId="3">
    <w:abstractNumId w:val="11"/>
  </w:num>
  <w:num w:numId="4">
    <w:abstractNumId w:val="3"/>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9"/>
    </w:lvlOverride>
    <w:lvlOverride w:ilvl="1">
      <w:startOverride w:val="2"/>
    </w:lvlOverride>
    <w:lvlOverride w:ilvl="2">
      <w:startOverride w:val="1"/>
    </w:lvlOverride>
  </w:num>
  <w:num w:numId="7">
    <w:abstractNumId w:val="8"/>
  </w:num>
  <w:num w:numId="8">
    <w:abstractNumId w:val="5"/>
  </w:num>
  <w:num w:numId="9">
    <w:abstractNumId w:val="4"/>
  </w:num>
  <w:num w:numId="10">
    <w:abstractNumId w:val="6"/>
  </w:num>
  <w:num w:numId="11">
    <w:abstractNumId w:val="2"/>
  </w:num>
  <w:num w:numId="12">
    <w:abstractNumId w:val="7"/>
  </w:num>
  <w:num w:numId="13">
    <w:abstractNumId w:val="10"/>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SimSun" w:cs="Times New Roman"/>
        <w:lang w:val="pt-BR" w:eastAsia="pt-BR"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00">
    <w:name w:val="Plain Table 1"/>
    <w:basedOn w:val="8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name w:val="Plain Table 2"/>
    <w:basedOn w:val="8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name w:val="Plain Table 3"/>
    <w:basedOn w:val="8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name w:val="Plain Table 4"/>
    <w:basedOn w:val="8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name w:val="Plain Table 5"/>
    <w:basedOn w:val="8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5">
    <w:name w:val="Grid Table 1 Light"/>
    <w:basedOn w:val="8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6">
    <w:name w:val="Grid Table 2"/>
    <w:basedOn w:val="8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7">
    <w:name w:val="Grid Table 3"/>
    <w:basedOn w:val="8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4"/>
    <w:basedOn w:val="8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9">
    <w:name w:val="Grid Table 5 Dark"/>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0">
    <w:name w:val="Grid Table 6 Colorful"/>
    <w:basedOn w:val="8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1">
    <w:name w:val="Grid Table 7 Colorful"/>
    <w:basedOn w:val="8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2">
    <w:name w:val="List Table 1 Light"/>
    <w:basedOn w:val="8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3">
    <w:name w:val="List Table 2"/>
    <w:basedOn w:val="8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4">
    <w:name w:val="List Table 3"/>
    <w:basedOn w:val="8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4"/>
    <w:basedOn w:val="8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5 Dark"/>
    <w:basedOn w:val="8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6 Colorful"/>
    <w:basedOn w:val="8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8">
    <w:name w:val="List Table 7 Colorful"/>
    <w:basedOn w:val="8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19">
    <w:name w:val="TOC Heading"/>
    <w:uiPriority w:val="39"/>
    <w:unhideWhenUsed/>
  </w:style>
  <w:style w:type="paragraph" w:styleId="820" w:default="1">
    <w:name w:val="Normal"/>
    <w:qFormat/>
    <w:rPr>
      <w:rFonts w:ascii="Ecofont_Spranq_eco_Sans" w:hAnsi="Ecofont_Spranq_eco_Sans" w:cs="Tahoma" w:eastAsiaTheme="minorEastAsia"/>
      <w:sz w:val="24"/>
      <w:szCs w:val="24"/>
    </w:rPr>
  </w:style>
  <w:style w:type="paragraph" w:styleId="821">
    <w:name w:val="Heading 1"/>
    <w:basedOn w:val="820"/>
    <w:next w:val="820"/>
    <w:link w:val="1055"/>
    <w:qFormat/>
    <w:pPr>
      <w:keepLines/>
      <w:keepNext/>
      <w:spacing w:before="480"/>
      <w:outlineLvl w:val="0"/>
    </w:pPr>
    <w:rPr>
      <w:rFonts w:asciiTheme="majorHAnsi" w:hAnsiTheme="majorHAnsi" w:eastAsiaTheme="majorEastAsia" w:cstheme="majorBidi"/>
      <w:b/>
      <w:bCs/>
      <w:color w:val="365f91" w:themeColor="accent1" w:themeShade="BF"/>
      <w:sz w:val="28"/>
      <w:szCs w:val="28"/>
    </w:rPr>
  </w:style>
  <w:style w:type="paragraph" w:styleId="822">
    <w:name w:val="Heading 2"/>
    <w:basedOn w:val="820"/>
    <w:next w:val="820"/>
    <w:link w:val="1038"/>
    <w:qFormat/>
    <w:pPr>
      <w:ind w:right="-1"/>
      <w:jc w:val="center"/>
      <w:keepNext/>
      <w:tabs>
        <w:tab w:val="left" w:pos="1701" w:leader="none"/>
      </w:tabs>
      <w:outlineLvl w:val="1"/>
    </w:pPr>
    <w:rPr>
      <w:rFonts w:ascii="Times New Roman" w:hAnsi="Times New Roman" w:cs="Times New Roman"/>
      <w:b/>
      <w:color w:val="000000"/>
      <w:szCs w:val="20"/>
    </w:rPr>
  </w:style>
  <w:style w:type="paragraph" w:styleId="823">
    <w:name w:val="Heading 3"/>
    <w:basedOn w:val="820"/>
    <w:next w:val="820"/>
    <w:link w:val="1100"/>
    <w:uiPriority w:val="9"/>
    <w:semiHidden/>
    <w:unhideWhenUsed/>
    <w:qFormat/>
    <w:pPr>
      <w:keepLines/>
      <w:keepNext/>
      <w:spacing w:before="40" w:line="259" w:lineRule="auto"/>
      <w:outlineLvl w:val="2"/>
    </w:pPr>
    <w:rPr>
      <w:rFonts w:asciiTheme="majorHAnsi" w:hAnsiTheme="majorHAnsi" w:eastAsiaTheme="majorEastAsia" w:cstheme="majorBidi"/>
      <w:color w:val="244061" w:themeColor="accent1" w:themeShade="80"/>
      <w:lang w:eastAsia="en-US"/>
    </w:rPr>
  </w:style>
  <w:style w:type="paragraph" w:styleId="824">
    <w:name w:val="Heading 4"/>
    <w:basedOn w:val="820"/>
    <w:next w:val="820"/>
    <w:link w:val="1050"/>
    <w:semiHidden/>
    <w:unhideWhenUsed/>
    <w:qFormat/>
    <w:pPr>
      <w:keepLines/>
      <w:keepNext/>
      <w:spacing w:before="40"/>
      <w:outlineLvl w:val="3"/>
    </w:pPr>
    <w:rPr>
      <w:rFonts w:asciiTheme="majorHAnsi" w:hAnsiTheme="majorHAnsi" w:eastAsiaTheme="majorEastAsia" w:cstheme="majorBidi"/>
      <w:i/>
      <w:iCs/>
      <w:color w:val="365f91" w:themeColor="accent1" w:themeShade="BF"/>
    </w:rPr>
  </w:style>
  <w:style w:type="paragraph" w:styleId="825">
    <w:name w:val="Heading 5"/>
    <w:basedOn w:val="820"/>
    <w:next w:val="820"/>
    <w:link w:val="896"/>
    <w:uiPriority w:val="9"/>
    <w:unhideWhenUsed/>
    <w:qFormat/>
    <w:pPr>
      <w:keepLines/>
      <w:keepNext/>
      <w:spacing w:before="320" w:after="200"/>
      <w:outlineLvl w:val="4"/>
    </w:pPr>
    <w:rPr>
      <w:rFonts w:ascii="Arial" w:hAnsi="Arial" w:eastAsia="Arial" w:cs="Arial"/>
      <w:b/>
      <w:bCs/>
    </w:rPr>
  </w:style>
  <w:style w:type="paragraph" w:styleId="826">
    <w:name w:val="Heading 6"/>
    <w:basedOn w:val="820"/>
    <w:next w:val="820"/>
    <w:link w:val="1101"/>
    <w:uiPriority w:val="9"/>
    <w:semiHidden/>
    <w:unhideWhenUsed/>
    <w:qFormat/>
    <w:pPr>
      <w:keepLines/>
      <w:keepNext/>
      <w:spacing w:before="40" w:line="259" w:lineRule="auto"/>
      <w:outlineLvl w:val="5"/>
    </w:pPr>
    <w:rPr>
      <w:rFonts w:asciiTheme="majorHAnsi" w:hAnsiTheme="majorHAnsi" w:eastAsiaTheme="majorEastAsia" w:cstheme="majorBidi"/>
      <w:color w:val="244061" w:themeColor="accent1" w:themeShade="80"/>
      <w:sz w:val="22"/>
      <w:szCs w:val="22"/>
      <w:lang w:eastAsia="en-US"/>
    </w:rPr>
  </w:style>
  <w:style w:type="paragraph" w:styleId="827">
    <w:name w:val="Heading 7"/>
    <w:basedOn w:val="820"/>
    <w:next w:val="820"/>
    <w:link w:val="898"/>
    <w:uiPriority w:val="9"/>
    <w:unhideWhenUsed/>
    <w:qFormat/>
    <w:pPr>
      <w:keepLines/>
      <w:keepNext/>
      <w:spacing w:before="320" w:after="200"/>
      <w:outlineLvl w:val="6"/>
    </w:pPr>
    <w:rPr>
      <w:rFonts w:ascii="Arial" w:hAnsi="Arial" w:eastAsia="Arial" w:cs="Arial"/>
      <w:b/>
      <w:bCs/>
      <w:i/>
      <w:iCs/>
      <w:sz w:val="22"/>
      <w:szCs w:val="22"/>
    </w:rPr>
  </w:style>
  <w:style w:type="paragraph" w:styleId="828">
    <w:name w:val="Heading 8"/>
    <w:basedOn w:val="820"/>
    <w:next w:val="820"/>
    <w:link w:val="899"/>
    <w:uiPriority w:val="9"/>
    <w:unhideWhenUsed/>
    <w:qFormat/>
    <w:pPr>
      <w:keepLines/>
      <w:keepNext/>
      <w:spacing w:before="320" w:after="200"/>
      <w:outlineLvl w:val="7"/>
    </w:pPr>
    <w:rPr>
      <w:rFonts w:ascii="Arial" w:hAnsi="Arial" w:eastAsia="Arial" w:cs="Arial"/>
      <w:i/>
      <w:iCs/>
      <w:sz w:val="22"/>
      <w:szCs w:val="22"/>
    </w:rPr>
  </w:style>
  <w:style w:type="paragraph" w:styleId="829">
    <w:name w:val="Heading 9"/>
    <w:basedOn w:val="820"/>
    <w:next w:val="820"/>
    <w:link w:val="900"/>
    <w:uiPriority w:val="9"/>
    <w:unhideWhenUsed/>
    <w:qFormat/>
    <w:pPr>
      <w:keepLines/>
      <w:keepNext/>
      <w:spacing w:before="320" w:after="200"/>
      <w:outlineLvl w:val="8"/>
    </w:pPr>
    <w:rPr>
      <w:rFonts w:ascii="Arial" w:hAnsi="Arial" w:eastAsia="Arial" w:cs="Arial"/>
      <w:i/>
      <w:iCs/>
      <w:sz w:val="21"/>
      <w:szCs w:val="21"/>
    </w:rPr>
  </w:style>
  <w:style w:type="character" w:styleId="830" w:default="1">
    <w:name w:val="Default Paragraph Font"/>
    <w:uiPriority w:val="1"/>
    <w:semiHidden/>
    <w:unhideWhenUsed/>
  </w:style>
  <w:style w:type="table" w:styleId="831" w:default="1">
    <w:name w:val="Normal Table"/>
    <w:uiPriority w:val="99"/>
    <w:semiHidden/>
    <w:unhideWhenUsed/>
    <w:tblPr>
      <w:tblInd w:w="0" w:type="dxa"/>
      <w:tblCellMar>
        <w:left w:w="108" w:type="dxa"/>
        <w:top w:w="0" w:type="dxa"/>
        <w:right w:w="108" w:type="dxa"/>
        <w:bottom w:w="0" w:type="dxa"/>
      </w:tblCellMar>
    </w:tblPr>
  </w:style>
  <w:style w:type="numbering" w:styleId="832" w:default="1">
    <w:name w:val="No List"/>
    <w:uiPriority w:val="99"/>
    <w:semiHidden/>
    <w:unhideWhenUsed/>
  </w:style>
  <w:style w:type="character" w:styleId="833">
    <w:name w:val="endnote reference"/>
    <w:basedOn w:val="830"/>
    <w:uiPriority w:val="99"/>
    <w:semiHidden/>
    <w:unhideWhenUsed/>
    <w:qFormat/>
    <w:rPr>
      <w:vertAlign w:val="superscript"/>
    </w:rPr>
  </w:style>
  <w:style w:type="character" w:styleId="834">
    <w:name w:val="Strong"/>
    <w:basedOn w:val="830"/>
    <w:uiPriority w:val="22"/>
    <w:qFormat/>
    <w:rPr>
      <w:b/>
      <w:bCs/>
    </w:rPr>
  </w:style>
  <w:style w:type="character" w:styleId="835">
    <w:name w:val="annotation reference"/>
    <w:basedOn w:val="830"/>
    <w:unhideWhenUsed/>
    <w:qFormat/>
    <w:rPr>
      <w:sz w:val="16"/>
      <w:szCs w:val="16"/>
    </w:rPr>
  </w:style>
  <w:style w:type="character" w:styleId="836">
    <w:name w:val="FollowedHyperlink"/>
    <w:basedOn w:val="830"/>
    <w:semiHidden/>
    <w:unhideWhenUsed/>
    <w:qFormat/>
    <w:rPr>
      <w:color w:val="800080" w:themeColor="followedHyperlink"/>
      <w:u w:val="single"/>
    </w:rPr>
  </w:style>
  <w:style w:type="character" w:styleId="837">
    <w:name w:val="Emphasis"/>
    <w:basedOn w:val="830"/>
    <w:qFormat/>
    <w:rPr>
      <w:i/>
      <w:iCs/>
    </w:rPr>
  </w:style>
  <w:style w:type="character" w:styleId="838">
    <w:name w:val="footnote reference"/>
    <w:basedOn w:val="830"/>
    <w:uiPriority w:val="99"/>
    <w:unhideWhenUsed/>
    <w:qFormat/>
    <w:rPr>
      <w:vertAlign w:val="superscript"/>
    </w:rPr>
  </w:style>
  <w:style w:type="character" w:styleId="839">
    <w:name w:val="Hyperlink"/>
    <w:uiPriority w:val="99"/>
    <w:qFormat/>
    <w:rPr>
      <w:color w:val="000080"/>
      <w:u w:val="single"/>
    </w:rPr>
  </w:style>
  <w:style w:type="paragraph" w:styleId="840">
    <w:name w:val="toc 2"/>
    <w:basedOn w:val="820"/>
    <w:next w:val="820"/>
    <w:uiPriority w:val="39"/>
    <w:unhideWhenUsed/>
    <w:qFormat/>
    <w:pPr>
      <w:ind w:left="283"/>
      <w:spacing w:after="57"/>
    </w:pPr>
  </w:style>
  <w:style w:type="paragraph" w:styleId="841">
    <w:name w:val="toc 9"/>
    <w:basedOn w:val="820"/>
    <w:next w:val="820"/>
    <w:uiPriority w:val="39"/>
    <w:unhideWhenUsed/>
    <w:qFormat/>
    <w:pPr>
      <w:ind w:left="2268"/>
      <w:spacing w:after="57"/>
    </w:pPr>
  </w:style>
  <w:style w:type="paragraph" w:styleId="842">
    <w:name w:val="Body Text"/>
    <w:basedOn w:val="820"/>
    <w:link w:val="1064"/>
    <w:unhideWhenUsed/>
    <w:qFormat/>
    <w:pPr>
      <w:spacing w:before="100" w:beforeAutospacing="1" w:after="100" w:afterAutospacing="1"/>
    </w:pPr>
    <w:rPr>
      <w:rFonts w:ascii="Times New Roman" w:hAnsi="Times New Roman" w:eastAsia="Times New Roman" w:cs="Times New Roman"/>
    </w:rPr>
  </w:style>
  <w:style w:type="paragraph" w:styleId="843">
    <w:name w:val="toc 6"/>
    <w:basedOn w:val="820"/>
    <w:next w:val="820"/>
    <w:uiPriority w:val="39"/>
    <w:unhideWhenUsed/>
    <w:qFormat/>
    <w:pPr>
      <w:ind w:left="1417"/>
      <w:spacing w:after="57"/>
    </w:pPr>
  </w:style>
  <w:style w:type="paragraph" w:styleId="844">
    <w:name w:val="annotation text"/>
    <w:basedOn w:val="820"/>
    <w:link w:val="1048"/>
    <w:unhideWhenUsed/>
    <w:rPr>
      <w:sz w:val="20"/>
      <w:szCs w:val="20"/>
    </w:rPr>
  </w:style>
  <w:style w:type="paragraph" w:styleId="845">
    <w:name w:val="toc 5"/>
    <w:basedOn w:val="820"/>
    <w:next w:val="820"/>
    <w:uiPriority w:val="39"/>
    <w:unhideWhenUsed/>
    <w:qFormat/>
    <w:pPr>
      <w:ind w:left="1134"/>
      <w:spacing w:after="57"/>
    </w:pPr>
  </w:style>
  <w:style w:type="paragraph" w:styleId="846">
    <w:name w:val="table of figures"/>
    <w:basedOn w:val="820"/>
    <w:next w:val="820"/>
    <w:uiPriority w:val="99"/>
    <w:unhideWhenUsed/>
    <w:qFormat/>
  </w:style>
  <w:style w:type="paragraph" w:styleId="847">
    <w:name w:val="Title"/>
    <w:basedOn w:val="820"/>
    <w:next w:val="820"/>
    <w:link w:val="1053"/>
    <w:pPr>
      <w:contextualSpacing/>
      <w:spacing w:after="300"/>
      <w:pBdr>
        <w:bottom w:val="single" w:color="4F81BD" w:themeColor="accent1" w:sz="8" w:space="4"/>
      </w:pBdr>
    </w:pPr>
    <w:rPr>
      <w:rFonts w:asciiTheme="majorHAnsi" w:hAnsiTheme="majorHAnsi" w:eastAsiaTheme="majorEastAsia" w:cstheme="majorBidi"/>
      <w:color w:val="17365d" w:themeColor="text2" w:themeShade="BF"/>
      <w:spacing w:val="5"/>
      <w:sz w:val="52"/>
      <w:szCs w:val="52"/>
    </w:rPr>
  </w:style>
  <w:style w:type="paragraph" w:styleId="848">
    <w:name w:val="List Bullet 5"/>
    <w:basedOn w:val="820"/>
    <w:qFormat/>
    <w:pPr>
      <w:numPr>
        <w:numId w:val="1"/>
      </w:numPr>
      <w:contextualSpacing/>
    </w:pPr>
  </w:style>
  <w:style w:type="paragraph" w:styleId="849">
    <w:name w:val="endnote text"/>
    <w:basedOn w:val="820"/>
    <w:link w:val="1035"/>
    <w:uiPriority w:val="99"/>
    <w:semiHidden/>
    <w:unhideWhenUsed/>
    <w:qFormat/>
    <w:rPr>
      <w:sz w:val="20"/>
    </w:rPr>
  </w:style>
  <w:style w:type="paragraph" w:styleId="850">
    <w:name w:val="Normal (Web)"/>
    <w:basedOn w:val="820"/>
    <w:uiPriority w:val="99"/>
    <w:qFormat/>
    <w:pPr>
      <w:spacing w:before="100" w:beforeAutospacing="1" w:after="100" w:afterAutospacing="1"/>
    </w:pPr>
    <w:rPr>
      <w:rFonts w:ascii="Times New Roman" w:hAnsi="Times New Roman" w:cs="Times New Roman"/>
    </w:rPr>
  </w:style>
  <w:style w:type="paragraph" w:styleId="851">
    <w:name w:val="toc 4"/>
    <w:basedOn w:val="820"/>
    <w:next w:val="820"/>
    <w:uiPriority w:val="39"/>
    <w:unhideWhenUsed/>
    <w:qFormat/>
    <w:pPr>
      <w:ind w:left="850"/>
      <w:spacing w:after="57"/>
    </w:pPr>
  </w:style>
  <w:style w:type="paragraph" w:styleId="852">
    <w:name w:val="toc 8"/>
    <w:basedOn w:val="820"/>
    <w:next w:val="820"/>
    <w:uiPriority w:val="39"/>
    <w:unhideWhenUsed/>
    <w:qFormat/>
    <w:pPr>
      <w:ind w:left="1984"/>
      <w:spacing w:after="57"/>
    </w:pPr>
  </w:style>
  <w:style w:type="paragraph" w:styleId="853">
    <w:name w:val="Header"/>
    <w:basedOn w:val="820"/>
    <w:link w:val="1046"/>
    <w:qFormat/>
    <w:pPr>
      <w:tabs>
        <w:tab w:val="center" w:pos="4252" w:leader="none"/>
        <w:tab w:val="right" w:pos="8504" w:leader="none"/>
      </w:tabs>
    </w:pPr>
  </w:style>
  <w:style w:type="paragraph" w:styleId="854">
    <w:name w:val="annotation subject"/>
    <w:basedOn w:val="844"/>
    <w:next w:val="844"/>
    <w:link w:val="1049"/>
    <w:semiHidden/>
    <w:unhideWhenUsed/>
    <w:qFormat/>
    <w:rPr>
      <w:b/>
      <w:bCs/>
    </w:rPr>
  </w:style>
  <w:style w:type="paragraph" w:styleId="855">
    <w:name w:val="Footer"/>
    <w:basedOn w:val="820"/>
    <w:link w:val="1047"/>
    <w:uiPriority w:val="99"/>
    <w:qFormat/>
    <w:pPr>
      <w:tabs>
        <w:tab w:val="center" w:pos="4252" w:leader="none"/>
        <w:tab w:val="right" w:pos="8504" w:leader="none"/>
      </w:tabs>
    </w:pPr>
  </w:style>
  <w:style w:type="paragraph" w:styleId="856">
    <w:name w:val="Caption"/>
    <w:basedOn w:val="820"/>
    <w:next w:val="820"/>
    <w:uiPriority w:val="35"/>
    <w:semiHidden/>
    <w:unhideWhenUsed/>
    <w:qFormat/>
    <w:pPr>
      <w:spacing w:line="276" w:lineRule="auto"/>
    </w:pPr>
    <w:rPr>
      <w:b/>
      <w:bCs/>
      <w:color w:val="4f81bd" w:themeColor="accent1"/>
      <w:sz w:val="18"/>
      <w:szCs w:val="18"/>
    </w:rPr>
  </w:style>
  <w:style w:type="paragraph" w:styleId="857">
    <w:name w:val="toc 7"/>
    <w:basedOn w:val="820"/>
    <w:next w:val="820"/>
    <w:uiPriority w:val="39"/>
    <w:unhideWhenUsed/>
    <w:qFormat/>
    <w:pPr>
      <w:ind w:left="1701"/>
      <w:spacing w:after="57"/>
    </w:pPr>
  </w:style>
  <w:style w:type="paragraph" w:styleId="858">
    <w:name w:val="toc 3"/>
    <w:basedOn w:val="820"/>
    <w:next w:val="820"/>
    <w:uiPriority w:val="39"/>
    <w:unhideWhenUsed/>
    <w:qFormat/>
    <w:pPr>
      <w:ind w:left="567"/>
      <w:spacing w:after="57"/>
    </w:pPr>
  </w:style>
  <w:style w:type="paragraph" w:styleId="859">
    <w:name w:val="Balloon Text"/>
    <w:basedOn w:val="820"/>
    <w:link w:val="1037"/>
    <w:uiPriority w:val="99"/>
    <w:qFormat/>
    <w:rPr>
      <w:rFonts w:ascii="Tahoma" w:hAnsi="Tahoma"/>
      <w:sz w:val="16"/>
      <w:szCs w:val="16"/>
    </w:rPr>
  </w:style>
  <w:style w:type="paragraph" w:styleId="860">
    <w:name w:val="Subtitle"/>
    <w:basedOn w:val="820"/>
    <w:next w:val="820"/>
    <w:link w:val="903"/>
    <w:uiPriority w:val="11"/>
    <w:qFormat/>
    <w:pPr>
      <w:spacing w:before="200" w:after="200"/>
    </w:pPr>
  </w:style>
  <w:style w:type="paragraph" w:styleId="861">
    <w:name w:val="footnote text"/>
    <w:basedOn w:val="820"/>
    <w:link w:val="1034"/>
    <w:uiPriority w:val="99"/>
    <w:semiHidden/>
    <w:unhideWhenUsed/>
    <w:qFormat/>
    <w:pPr>
      <w:spacing w:after="40"/>
    </w:pPr>
    <w:rPr>
      <w:sz w:val="18"/>
    </w:rPr>
  </w:style>
  <w:style w:type="paragraph" w:styleId="862">
    <w:name w:val="toc 1"/>
    <w:basedOn w:val="820"/>
    <w:next w:val="820"/>
    <w:uiPriority w:val="39"/>
    <w:unhideWhenUsed/>
    <w:qFormat/>
    <w:pPr>
      <w:spacing w:after="100"/>
      <w:tabs>
        <w:tab w:val="left" w:pos="426" w:leader="none"/>
        <w:tab w:val="right" w:pos="9628" w:leader="dot"/>
      </w:tabs>
    </w:pPr>
    <w:rPr>
      <w:rFonts w:ascii="Arial" w:hAnsi="Arial" w:eastAsia="Times New Roman"/>
      <w:sz w:val="20"/>
    </w:rPr>
  </w:style>
  <w:style w:type="table" w:styleId="863">
    <w:name w:val="Table Grid"/>
    <w:basedOn w:val="831"/>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4" w:customStyle="1">
    <w:name w:val="Heading 5 Char"/>
    <w:basedOn w:val="830"/>
    <w:uiPriority w:val="9"/>
    <w:rPr>
      <w:rFonts w:ascii="Arial" w:hAnsi="Arial" w:eastAsia="Arial" w:cs="Arial"/>
      <w:b/>
      <w:bCs/>
      <w:sz w:val="24"/>
      <w:szCs w:val="24"/>
    </w:rPr>
  </w:style>
  <w:style w:type="character" w:styleId="865" w:customStyle="1">
    <w:name w:val="Heading 7 Char"/>
    <w:basedOn w:val="830"/>
    <w:uiPriority w:val="9"/>
    <w:rPr>
      <w:rFonts w:ascii="Arial" w:hAnsi="Arial" w:eastAsia="Arial" w:cs="Arial"/>
      <w:b/>
      <w:bCs/>
      <w:i/>
      <w:iCs/>
      <w:sz w:val="22"/>
      <w:szCs w:val="22"/>
    </w:rPr>
  </w:style>
  <w:style w:type="character" w:styleId="866" w:customStyle="1">
    <w:name w:val="Heading 8 Char"/>
    <w:basedOn w:val="830"/>
    <w:uiPriority w:val="9"/>
    <w:qFormat/>
    <w:rPr>
      <w:rFonts w:ascii="Arial" w:hAnsi="Arial" w:eastAsia="Arial" w:cs="Arial"/>
      <w:i/>
      <w:iCs/>
      <w:sz w:val="22"/>
      <w:szCs w:val="22"/>
    </w:rPr>
  </w:style>
  <w:style w:type="character" w:styleId="867" w:customStyle="1">
    <w:name w:val="Heading 9 Char"/>
    <w:basedOn w:val="830"/>
    <w:uiPriority w:val="9"/>
    <w:qFormat/>
    <w:rPr>
      <w:rFonts w:ascii="Arial" w:hAnsi="Arial" w:eastAsia="Arial" w:cs="Arial"/>
      <w:i/>
      <w:iCs/>
      <w:sz w:val="21"/>
      <w:szCs w:val="21"/>
    </w:rPr>
  </w:style>
  <w:style w:type="character" w:styleId="868" w:customStyle="1">
    <w:name w:val="Subtitle Char"/>
    <w:basedOn w:val="830"/>
    <w:uiPriority w:val="11"/>
    <w:qFormat/>
    <w:rPr>
      <w:sz w:val="24"/>
      <w:szCs w:val="24"/>
    </w:rPr>
  </w:style>
  <w:style w:type="character" w:styleId="869" w:customStyle="1">
    <w:name w:val="Intense Quote Char"/>
    <w:uiPriority w:val="30"/>
    <w:rPr>
      <w:i/>
    </w:rPr>
  </w:style>
  <w:style w:type="table" w:styleId="870" w:customStyle="1">
    <w:name w:val="Tabela Simples 11"/>
    <w:basedOn w:val="83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1" w:customStyle="1">
    <w:name w:val="Tabela Simples 21"/>
    <w:basedOn w:val="831"/>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2" w:customStyle="1">
    <w:name w:val="Tabela Simples 31"/>
    <w:basedOn w:val="831"/>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3" w:customStyle="1">
    <w:name w:val="Tabela Simples 41"/>
    <w:basedOn w:val="831"/>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4" w:customStyle="1">
    <w:name w:val="Tabela Simples 51"/>
    <w:basedOn w:val="831"/>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5" w:customStyle="1">
    <w:name w:val="Tabela de Grade 1 Clara1"/>
    <w:basedOn w:val="831"/>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76" w:customStyle="1">
    <w:name w:val="Tabela de Grade 21"/>
    <w:basedOn w:val="831"/>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77" w:customStyle="1">
    <w:name w:val="Tabela de Grade 31"/>
    <w:basedOn w:val="831"/>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Tabela de Grade 41"/>
    <w:basedOn w:val="831"/>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9" w:customStyle="1">
    <w:name w:val="Tabela de Grade 5 Escura1"/>
    <w:basedOn w:val="83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0" w:customStyle="1">
    <w:name w:val="Tabela de Grade 6 Colorida1"/>
    <w:basedOn w:val="831"/>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81" w:customStyle="1">
    <w:name w:val="Tabela de Grade 7 Colorida1"/>
    <w:basedOn w:val="831"/>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2" w:customStyle="1">
    <w:name w:val="Tabela de Lista 1 Clara1"/>
    <w:basedOn w:val="831"/>
    <w:uiPriority w:val="99"/>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3" w:customStyle="1">
    <w:name w:val="Tabela de Lista 21"/>
    <w:basedOn w:val="831"/>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84" w:customStyle="1">
    <w:name w:val="Tabela de Lista 31"/>
    <w:basedOn w:val="8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Tabela de Lista 41"/>
    <w:basedOn w:val="8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Tabela de Lista 5 Escura1"/>
    <w:basedOn w:val="83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87" w:customStyle="1">
    <w:name w:val="Tabela de Lista 6 Colorida1"/>
    <w:basedOn w:val="831"/>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88" w:customStyle="1">
    <w:name w:val="Tabela de Lista 7 Colorida1"/>
    <w:basedOn w:val="831"/>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89" w:customStyle="1">
    <w:name w:val="Footnote Text Char"/>
    <w:uiPriority w:val="99"/>
    <w:qFormat/>
    <w:rPr>
      <w:sz w:val="18"/>
    </w:rPr>
  </w:style>
  <w:style w:type="character" w:styleId="890" w:customStyle="1">
    <w:name w:val="Endnote Text Char"/>
    <w:uiPriority w:val="99"/>
    <w:qFormat/>
    <w:rPr>
      <w:sz w:val="20"/>
    </w:rPr>
  </w:style>
  <w:style w:type="paragraph" w:styleId="891" w:customStyle="1">
    <w:name w:val="Cabeçalho do Sumário1"/>
    <w:uiPriority w:val="39"/>
    <w:unhideWhenUsed/>
    <w:qFormat/>
  </w:style>
  <w:style w:type="character" w:styleId="892" w:customStyle="1">
    <w:name w:val="Heading 1 Char"/>
    <w:basedOn w:val="830"/>
    <w:uiPriority w:val="9"/>
    <w:rPr>
      <w:rFonts w:ascii="Arial" w:hAnsi="Arial" w:eastAsia="Arial" w:cs="Arial"/>
      <w:sz w:val="40"/>
      <w:szCs w:val="40"/>
    </w:rPr>
  </w:style>
  <w:style w:type="character" w:styleId="893" w:customStyle="1">
    <w:name w:val="Heading 2 Char"/>
    <w:basedOn w:val="830"/>
    <w:uiPriority w:val="9"/>
    <w:rPr>
      <w:rFonts w:ascii="Arial" w:hAnsi="Arial" w:eastAsia="Arial" w:cs="Arial"/>
      <w:sz w:val="34"/>
    </w:rPr>
  </w:style>
  <w:style w:type="character" w:styleId="894" w:customStyle="1">
    <w:name w:val="Heading 3 Char"/>
    <w:basedOn w:val="830"/>
    <w:uiPriority w:val="9"/>
    <w:rPr>
      <w:rFonts w:ascii="Arial" w:hAnsi="Arial" w:eastAsia="Arial" w:cs="Arial"/>
      <w:sz w:val="30"/>
      <w:szCs w:val="30"/>
    </w:rPr>
  </w:style>
  <w:style w:type="character" w:styleId="895" w:customStyle="1">
    <w:name w:val="Heading 4 Char"/>
    <w:basedOn w:val="830"/>
    <w:uiPriority w:val="9"/>
    <w:rPr>
      <w:rFonts w:ascii="Arial" w:hAnsi="Arial" w:eastAsia="Arial" w:cs="Arial"/>
      <w:b/>
      <w:bCs/>
      <w:sz w:val="26"/>
      <w:szCs w:val="26"/>
    </w:rPr>
  </w:style>
  <w:style w:type="character" w:styleId="896" w:customStyle="1">
    <w:name w:val="Título 5 Char"/>
    <w:basedOn w:val="830"/>
    <w:link w:val="825"/>
    <w:uiPriority w:val="9"/>
    <w:rPr>
      <w:rFonts w:ascii="Arial" w:hAnsi="Arial" w:eastAsia="Arial" w:cs="Arial"/>
      <w:b/>
      <w:bCs/>
      <w:sz w:val="24"/>
      <w:szCs w:val="24"/>
    </w:rPr>
  </w:style>
  <w:style w:type="character" w:styleId="897" w:customStyle="1">
    <w:name w:val="Heading 6 Char"/>
    <w:basedOn w:val="830"/>
    <w:uiPriority w:val="9"/>
    <w:rPr>
      <w:rFonts w:ascii="Arial" w:hAnsi="Arial" w:eastAsia="Arial" w:cs="Arial"/>
      <w:b/>
      <w:bCs/>
      <w:sz w:val="22"/>
      <w:szCs w:val="22"/>
    </w:rPr>
  </w:style>
  <w:style w:type="character" w:styleId="898" w:customStyle="1">
    <w:name w:val="Título 7 Char"/>
    <w:basedOn w:val="830"/>
    <w:link w:val="827"/>
    <w:uiPriority w:val="9"/>
    <w:qFormat/>
    <w:rPr>
      <w:rFonts w:ascii="Arial" w:hAnsi="Arial" w:eastAsia="Arial" w:cs="Arial"/>
      <w:b/>
      <w:bCs/>
      <w:i/>
      <w:iCs/>
      <w:sz w:val="22"/>
      <w:szCs w:val="22"/>
    </w:rPr>
  </w:style>
  <w:style w:type="character" w:styleId="899" w:customStyle="1">
    <w:name w:val="Título 8 Char"/>
    <w:basedOn w:val="830"/>
    <w:link w:val="828"/>
    <w:uiPriority w:val="9"/>
    <w:rPr>
      <w:rFonts w:ascii="Arial" w:hAnsi="Arial" w:eastAsia="Arial" w:cs="Arial"/>
      <w:i/>
      <w:iCs/>
      <w:sz w:val="22"/>
      <w:szCs w:val="22"/>
    </w:rPr>
  </w:style>
  <w:style w:type="character" w:styleId="900" w:customStyle="1">
    <w:name w:val="Título 9 Char"/>
    <w:basedOn w:val="830"/>
    <w:link w:val="829"/>
    <w:uiPriority w:val="9"/>
    <w:rPr>
      <w:rFonts w:ascii="Arial" w:hAnsi="Arial" w:eastAsia="Arial" w:cs="Arial"/>
      <w:i/>
      <w:iCs/>
      <w:sz w:val="21"/>
      <w:szCs w:val="21"/>
    </w:rPr>
  </w:style>
  <w:style w:type="paragraph" w:styleId="901">
    <w:name w:val="No Spacing"/>
    <w:uiPriority w:val="1"/>
    <w:qFormat/>
    <w:rPr>
      <w:rFonts w:eastAsiaTheme="minorEastAsia"/>
      <w:lang w:eastAsia="ja-JP"/>
    </w:rPr>
  </w:style>
  <w:style w:type="character" w:styleId="902" w:customStyle="1">
    <w:name w:val="Title Char"/>
    <w:basedOn w:val="830"/>
    <w:uiPriority w:val="10"/>
    <w:qFormat/>
    <w:rPr>
      <w:sz w:val="48"/>
      <w:szCs w:val="48"/>
    </w:rPr>
  </w:style>
  <w:style w:type="character" w:styleId="903" w:customStyle="1">
    <w:name w:val="Subtítulo Char"/>
    <w:basedOn w:val="830"/>
    <w:link w:val="860"/>
    <w:uiPriority w:val="11"/>
    <w:qFormat/>
    <w:rPr>
      <w:sz w:val="24"/>
      <w:szCs w:val="24"/>
    </w:rPr>
  </w:style>
  <w:style w:type="paragraph" w:styleId="904">
    <w:name w:val="Intense Quote"/>
    <w:basedOn w:val="820"/>
    <w:next w:val="820"/>
    <w:link w:val="90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5" w:customStyle="1">
    <w:name w:val="Citação Intensa Char"/>
    <w:link w:val="904"/>
    <w:uiPriority w:val="30"/>
    <w:rPr>
      <w:i/>
    </w:rPr>
  </w:style>
  <w:style w:type="character" w:styleId="906" w:customStyle="1">
    <w:name w:val="Header Char"/>
    <w:basedOn w:val="830"/>
    <w:uiPriority w:val="99"/>
  </w:style>
  <w:style w:type="character" w:styleId="907" w:customStyle="1">
    <w:name w:val="Footer Char"/>
    <w:basedOn w:val="830"/>
    <w:uiPriority w:val="99"/>
  </w:style>
  <w:style w:type="character" w:styleId="908" w:customStyle="1">
    <w:name w:val="Caption Char"/>
    <w:uiPriority w:val="99"/>
  </w:style>
  <w:style w:type="table" w:styleId="909" w:customStyle="1">
    <w:name w:val="Table Grid Light"/>
    <w:basedOn w:val="83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910" w:customStyle="1">
    <w:name w:val="Simples Tabela 11"/>
    <w:basedOn w:val="83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1" w:customStyle="1">
    <w:name w:val="Simples Tabela 21"/>
    <w:basedOn w:val="831"/>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2" w:customStyle="1">
    <w:name w:val="Simples Tabela 31"/>
    <w:basedOn w:val="83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3" w:customStyle="1">
    <w:name w:val="Tabela Simples 41"/>
    <w:basedOn w:val="83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4" w:customStyle="1">
    <w:name w:val="Tabela Simples 51"/>
    <w:basedOn w:val="83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5" w:customStyle="1">
    <w:name w:val="Tabela de Grade 1 Clara1"/>
    <w:basedOn w:val="831"/>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1"/>
    <w:basedOn w:val="831"/>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2"/>
    <w:basedOn w:val="831"/>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3"/>
    <w:basedOn w:val="83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4"/>
    <w:basedOn w:val="831"/>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0" w:customStyle="1">
    <w:name w:val="Grid Table 1 Light - Accent 5"/>
    <w:basedOn w:val="831"/>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6"/>
    <w:basedOn w:val="831"/>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2" w:customStyle="1">
    <w:name w:val="Tabela de Grade 21"/>
    <w:basedOn w:val="831"/>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23" w:customStyle="1">
    <w:name w:val="Grid Table 2 - Accent 1"/>
    <w:basedOn w:val="83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24" w:customStyle="1">
    <w:name w:val="Grid Table 2 - Accent 2"/>
    <w:basedOn w:val="831"/>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25" w:customStyle="1">
    <w:name w:val="Grid Table 2 - Accent 3"/>
    <w:basedOn w:val="831"/>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26" w:customStyle="1">
    <w:name w:val="Grid Table 2 - Accent 4"/>
    <w:basedOn w:val="83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7" w:customStyle="1">
    <w:name w:val="Grid Table 2 - Accent 5"/>
    <w:basedOn w:val="83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8" w:customStyle="1">
    <w:name w:val="Grid Table 2 - Accent 6"/>
    <w:basedOn w:val="83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9" w:customStyle="1">
    <w:name w:val="Tabela de Grade 31"/>
    <w:basedOn w:val="8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1"/>
    <w:basedOn w:val="83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2"/>
    <w:basedOn w:val="831"/>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3"/>
    <w:basedOn w:val="831"/>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4"/>
    <w:basedOn w:val="83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5"/>
    <w:basedOn w:val="83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6"/>
    <w:basedOn w:val="83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Tabela de Grade 41"/>
    <w:basedOn w:val="83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7" w:customStyle="1">
    <w:name w:val="Grid Table 4 - Accent 1"/>
    <w:basedOn w:val="83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38" w:customStyle="1">
    <w:name w:val="Grid Table 4 - Accent 2"/>
    <w:basedOn w:val="831"/>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39" w:customStyle="1">
    <w:name w:val="Grid Table 4 - Accent 3"/>
    <w:basedOn w:val="83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40" w:customStyle="1">
    <w:name w:val="Grid Table 4 - Accent 4"/>
    <w:basedOn w:val="83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1" w:customStyle="1">
    <w:name w:val="Grid Table 4 - Accent 5"/>
    <w:basedOn w:val="83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2" w:customStyle="1">
    <w:name w:val="Grid Table 4 - Accent 6"/>
    <w:basedOn w:val="83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3" w:customStyle="1">
    <w:name w:val="Tabela de Grade 5 Escura1"/>
    <w:basedOn w:val="8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4" w:customStyle="1">
    <w:name w:val="Grid Table 5 Dark- Accent 1"/>
    <w:basedOn w:val="8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5" w:customStyle="1">
    <w:name w:val="Grid Table 5 Dark - Accent 2"/>
    <w:basedOn w:val="8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6" w:customStyle="1">
    <w:name w:val="Grid Table 5 Dark - Accent 3"/>
    <w:basedOn w:val="8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7" w:customStyle="1">
    <w:name w:val="Grid Table 5 Dark- Accent 4"/>
    <w:basedOn w:val="8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8" w:customStyle="1">
    <w:name w:val="Grid Table 5 Dark - Accent 5"/>
    <w:basedOn w:val="8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9" w:customStyle="1">
    <w:name w:val="Grid Table 5 Dark - Accent 6"/>
    <w:basedOn w:val="83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0" w:customStyle="1">
    <w:name w:val="Tabela de Grade 6 Colorida1"/>
    <w:basedOn w:val="831"/>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51" w:customStyle="1">
    <w:name w:val="Grid Table 6 Colorful - Accent 1"/>
    <w:basedOn w:val="83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52" w:customStyle="1">
    <w:name w:val="Grid Table 6 Colorful - Accent 2"/>
    <w:basedOn w:val="831"/>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53" w:customStyle="1">
    <w:name w:val="Grid Table 6 Colorful - Accent 3"/>
    <w:basedOn w:val="831"/>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54" w:customStyle="1">
    <w:name w:val="Grid Table 6 Colorful - Accent 4"/>
    <w:basedOn w:val="83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55" w:customStyle="1">
    <w:name w:val="Grid Table 6 Colorful - Accent 5"/>
    <w:basedOn w:val="83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56" w:customStyle="1">
    <w:name w:val="Grid Table 6 Colorful - Accent 6"/>
    <w:basedOn w:val="831"/>
    <w:link w:val="113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57" w:customStyle="1">
    <w:name w:val="Tabela de Grade 7 Colorida1"/>
    <w:basedOn w:val="83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58" w:customStyle="1">
    <w:name w:val="Grid Table 7 Colorful - Accent 1"/>
    <w:basedOn w:val="831"/>
    <w:link w:val="1134"/>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9" w:customStyle="1">
    <w:name w:val="Grid Table 7 Colorful - Accent 2"/>
    <w:basedOn w:val="831"/>
    <w:uiPriority w:val="99"/>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60" w:customStyle="1">
    <w:name w:val="Grid Table 7 Colorful - Accent 3"/>
    <w:basedOn w:val="831"/>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61" w:customStyle="1">
    <w:name w:val="Grid Table 7 Colorful - Accent 4"/>
    <w:basedOn w:val="831"/>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2" w:customStyle="1">
    <w:name w:val="Grid Table 7 Colorful - Accent 5"/>
    <w:basedOn w:val="83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3" w:customStyle="1">
    <w:name w:val="Grid Table 7 Colorful - Accent 6"/>
    <w:basedOn w:val="83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4" w:customStyle="1">
    <w:name w:val="Tabela de Lista 1 Clara1"/>
    <w:basedOn w:val="831"/>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5" w:customStyle="1">
    <w:name w:val="List Table 1 Light - Accent 1"/>
    <w:basedOn w:val="831"/>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6" w:customStyle="1">
    <w:name w:val="List Table 1 Light - Accent 2"/>
    <w:basedOn w:val="831"/>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7" w:customStyle="1">
    <w:name w:val="List Table 1 Light - Accent 3"/>
    <w:basedOn w:val="831"/>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8" w:customStyle="1">
    <w:name w:val="List Table 1 Light - Accent 4"/>
    <w:basedOn w:val="831"/>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9" w:customStyle="1">
    <w:name w:val="List Table 1 Light - Accent 5"/>
    <w:basedOn w:val="831"/>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0" w:customStyle="1">
    <w:name w:val="List Table 1 Light - Accent 6"/>
    <w:basedOn w:val="831"/>
    <w:uiPriority w:val="99"/>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1" w:customStyle="1">
    <w:name w:val="Tabela de Lista 21"/>
    <w:basedOn w:val="83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72" w:customStyle="1">
    <w:name w:val="List Table 2 - Accent 1"/>
    <w:basedOn w:val="83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3" w:customStyle="1">
    <w:name w:val="List Table 2 - Accent 2"/>
    <w:basedOn w:val="831"/>
    <w:uiPriority w:val="99"/>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74" w:customStyle="1">
    <w:name w:val="List Table 2 - Accent 3"/>
    <w:basedOn w:val="831"/>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5" w:customStyle="1">
    <w:name w:val="List Table 2 - Accent 4"/>
    <w:basedOn w:val="831"/>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6" w:customStyle="1">
    <w:name w:val="List Table 2 - Accent 5"/>
    <w:basedOn w:val="83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7" w:customStyle="1">
    <w:name w:val="List Table 2 - Accent 6"/>
    <w:basedOn w:val="831"/>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8" w:customStyle="1">
    <w:name w:val="Tabela de Lista 31"/>
    <w:basedOn w:val="83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9" w:customStyle="1">
    <w:name w:val="List Table 3 - Accent 1"/>
    <w:basedOn w:val="83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0" w:customStyle="1">
    <w:name w:val="List Table 3 - Accent 2"/>
    <w:basedOn w:val="831"/>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81" w:customStyle="1">
    <w:name w:val="List Table 3 - Accent 3"/>
    <w:basedOn w:val="831"/>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82" w:customStyle="1">
    <w:name w:val="List Table 3 - Accent 4"/>
    <w:basedOn w:val="831"/>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3" w:customStyle="1">
    <w:name w:val="List Table 3 - Accent 5"/>
    <w:basedOn w:val="83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4" w:customStyle="1">
    <w:name w:val="List Table 3 - Accent 6"/>
    <w:basedOn w:val="83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5" w:customStyle="1">
    <w:name w:val="Tabela de Lista 41"/>
    <w:basedOn w:val="8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6" w:customStyle="1">
    <w:name w:val="List Table 4 - Accent 1"/>
    <w:basedOn w:val="83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7" w:customStyle="1">
    <w:name w:val="List Table 4 - Accent 2"/>
    <w:basedOn w:val="831"/>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8" w:customStyle="1">
    <w:name w:val="List Table 4 - Accent 3"/>
    <w:basedOn w:val="83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9" w:customStyle="1">
    <w:name w:val="List Table 4 - Accent 4"/>
    <w:basedOn w:val="83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0" w:customStyle="1">
    <w:name w:val="List Table 4 - Accent 5"/>
    <w:basedOn w:val="83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1" w:customStyle="1">
    <w:name w:val="List Table 4 - Accent 6"/>
    <w:basedOn w:val="83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2" w:customStyle="1">
    <w:name w:val="Tabela de Lista 5 Escura1"/>
    <w:basedOn w:val="83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93" w:customStyle="1">
    <w:name w:val="List Table 5 Dark - Accent 1"/>
    <w:basedOn w:val="83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94" w:customStyle="1">
    <w:name w:val="List Table 5 Dark - Accent 2"/>
    <w:basedOn w:val="831"/>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95" w:customStyle="1">
    <w:name w:val="List Table 5 Dark - Accent 3"/>
    <w:basedOn w:val="831"/>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96" w:customStyle="1">
    <w:name w:val="List Table 5 Dark - Accent 4"/>
    <w:basedOn w:val="83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97" w:customStyle="1">
    <w:name w:val="List Table 5 Dark - Accent 5"/>
    <w:basedOn w:val="83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98" w:customStyle="1">
    <w:name w:val="List Table 5 Dark - Accent 6"/>
    <w:basedOn w:val="83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99" w:customStyle="1">
    <w:name w:val="Tabela de Lista 6 Colorida1"/>
    <w:basedOn w:val="831"/>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00" w:customStyle="1">
    <w:name w:val="List Table 6 Colorful - Accent 1"/>
    <w:basedOn w:val="831"/>
    <w:uiPriority w:val="99"/>
    <w:qFormat/>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001" w:customStyle="1">
    <w:name w:val="List Table 6 Colorful - Accent 2"/>
    <w:basedOn w:val="831"/>
    <w:uiPriority w:val="99"/>
    <w:qFormat/>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002" w:customStyle="1">
    <w:name w:val="List Table 6 Colorful - Accent 3"/>
    <w:basedOn w:val="831"/>
    <w:uiPriority w:val="99"/>
    <w:qFormat/>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003" w:customStyle="1">
    <w:name w:val="List Table 6 Colorful - Accent 4"/>
    <w:basedOn w:val="831"/>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04" w:customStyle="1">
    <w:name w:val="List Table 6 Colorful - Accent 5"/>
    <w:basedOn w:val="831"/>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05" w:customStyle="1">
    <w:name w:val="List Table 6 Colorful - Accent 6"/>
    <w:basedOn w:val="831"/>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06" w:customStyle="1">
    <w:name w:val="Tabela de Lista 7 Colorida1"/>
    <w:basedOn w:val="831"/>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07" w:customStyle="1">
    <w:name w:val="List Table 7 Colorful - Accent 1"/>
    <w:basedOn w:val="831"/>
    <w:uiPriority w:val="99"/>
    <w:qFormat/>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8" w:customStyle="1">
    <w:name w:val="List Table 7 Colorful - Accent 2"/>
    <w:basedOn w:val="831"/>
    <w:uiPriority w:val="99"/>
    <w:qFormat/>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09" w:customStyle="1">
    <w:name w:val="List Table 7 Colorful - Accent 3"/>
    <w:basedOn w:val="831"/>
    <w:uiPriority w:val="99"/>
    <w:qFormat/>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10" w:customStyle="1">
    <w:name w:val="List Table 7 Colorful - Accent 4"/>
    <w:basedOn w:val="831"/>
    <w:uiPriority w:val="99"/>
    <w:qFormat/>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1" w:customStyle="1">
    <w:name w:val="List Table 7 Colorful - Accent 5"/>
    <w:basedOn w:val="831"/>
    <w:uiPriority w:val="99"/>
    <w:qFormat/>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2" w:customStyle="1">
    <w:name w:val="List Table 7 Colorful - Accent 6"/>
    <w:basedOn w:val="831"/>
    <w:uiPriority w:val="99"/>
    <w:qFormat/>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3" w:customStyle="1">
    <w:name w:val="Lined - Accent"/>
    <w:basedOn w:val="8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14" w:customStyle="1">
    <w:name w:val="Lined - Accent 1"/>
    <w:basedOn w:val="8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15" w:customStyle="1">
    <w:name w:val="Lined - Accent 2"/>
    <w:basedOn w:val="8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16" w:customStyle="1">
    <w:name w:val="Lined - Accent 3"/>
    <w:basedOn w:val="8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17" w:customStyle="1">
    <w:name w:val="Lined - Accent 4"/>
    <w:basedOn w:val="8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8" w:customStyle="1">
    <w:name w:val="Lined - Accent 5"/>
    <w:basedOn w:val="8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9" w:customStyle="1">
    <w:name w:val="Lined - Accent 6"/>
    <w:basedOn w:val="8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0" w:customStyle="1">
    <w:name w:val="Bordered &amp; Lined - Accent"/>
    <w:basedOn w:val="831"/>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21" w:customStyle="1">
    <w:name w:val="Bordered &amp; Lined - Accent 1"/>
    <w:basedOn w:val="83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22" w:customStyle="1">
    <w:name w:val="Bordered &amp; Lined - Accent 2"/>
    <w:basedOn w:val="831"/>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23" w:customStyle="1">
    <w:name w:val="Bordered &amp; Lined - Accent 3"/>
    <w:basedOn w:val="831"/>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24" w:customStyle="1">
    <w:name w:val="Bordered &amp; Lined - Accent 4"/>
    <w:basedOn w:val="83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5" w:customStyle="1">
    <w:name w:val="Bordered &amp; Lined - Accent 5"/>
    <w:basedOn w:val="83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6" w:customStyle="1">
    <w:name w:val="Bordered &amp; Lined - Accent 6"/>
    <w:basedOn w:val="83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7" w:customStyle="1">
    <w:name w:val="Bordered"/>
    <w:basedOn w:val="831"/>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28" w:customStyle="1">
    <w:name w:val="Bordered - Accent 1"/>
    <w:basedOn w:val="83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9" w:customStyle="1">
    <w:name w:val="Bordered - Accent 2"/>
    <w:basedOn w:val="831"/>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30" w:customStyle="1">
    <w:name w:val="Bordered - Accent 3"/>
    <w:basedOn w:val="83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31" w:customStyle="1">
    <w:name w:val="Bordered - Accent 4"/>
    <w:basedOn w:val="83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2" w:customStyle="1">
    <w:name w:val="Bordered - Accent 5"/>
    <w:basedOn w:val="831"/>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3" w:customStyle="1">
    <w:name w:val="Bordered - Accent 6"/>
    <w:basedOn w:val="83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4" w:customStyle="1">
    <w:name w:val="Texto de nota de rodapé Char"/>
    <w:link w:val="861"/>
    <w:uiPriority w:val="99"/>
    <w:qFormat/>
    <w:rPr>
      <w:sz w:val="18"/>
    </w:rPr>
  </w:style>
  <w:style w:type="character" w:styleId="1035" w:customStyle="1">
    <w:name w:val="Texto de nota de fim Char"/>
    <w:link w:val="849"/>
    <w:uiPriority w:val="99"/>
    <w:qFormat/>
    <w:rPr>
      <w:sz w:val="20"/>
    </w:rPr>
  </w:style>
  <w:style w:type="paragraph" w:styleId="1036">
    <w:name w:val="List Paragraph"/>
    <w:basedOn w:val="820"/>
    <w:link w:val="1099"/>
    <w:uiPriority w:val="34"/>
    <w:qFormat/>
    <w:pPr>
      <w:contextualSpacing/>
      <w:ind w:left="720"/>
    </w:pPr>
  </w:style>
  <w:style w:type="character" w:styleId="1037" w:customStyle="1">
    <w:name w:val="Texto de balão Char"/>
    <w:link w:val="859"/>
    <w:uiPriority w:val="99"/>
    <w:qFormat/>
    <w:rPr>
      <w:rFonts w:ascii="Tahoma" w:hAnsi="Tahoma" w:cs="Tahoma"/>
      <w:sz w:val="16"/>
      <w:szCs w:val="16"/>
    </w:rPr>
  </w:style>
  <w:style w:type="character" w:styleId="1038" w:customStyle="1">
    <w:name w:val="Título 2 Char"/>
    <w:link w:val="822"/>
    <w:qFormat/>
    <w:rPr>
      <w:b/>
      <w:color w:val="000000"/>
      <w:sz w:val="24"/>
    </w:rPr>
  </w:style>
  <w:style w:type="paragraph" w:styleId="1039" w:customStyle="1">
    <w:name w:val="Nível 2"/>
    <w:basedOn w:val="820"/>
    <w:next w:val="820"/>
    <w:qFormat/>
    <w:pPr>
      <w:jc w:val="both"/>
      <w:spacing w:after="120"/>
    </w:pPr>
    <w:rPr>
      <w:rFonts w:ascii="Arial" w:hAnsi="Arial" w:cs="Times New Roman"/>
      <w:b/>
      <w:szCs w:val="20"/>
    </w:rPr>
  </w:style>
  <w:style w:type="character" w:styleId="1040" w:customStyle="1">
    <w:name w:val="normal__char1"/>
    <w:qFormat/>
    <w:rPr>
      <w:rFonts w:hint="default" w:ascii="Arial" w:hAnsi="Arial" w:cs="Arial"/>
      <w:sz w:val="24"/>
      <w:szCs w:val="24"/>
      <w:u w:val="none"/>
    </w:rPr>
  </w:style>
  <w:style w:type="character" w:styleId="1041" w:customStyle="1">
    <w:name w:val="apple-style-span"/>
    <w:basedOn w:val="830"/>
    <w:qFormat/>
  </w:style>
  <w:style w:type="paragraph" w:styleId="1042">
    <w:name w:val="Quote"/>
    <w:basedOn w:val="820"/>
    <w:next w:val="820"/>
    <w:link w:val="1043"/>
    <w:qFormat/>
    <w:pPr>
      <w:jc w:val="both"/>
      <w:spacing w:before="120"/>
      <w:shd w:val="clear" w:color="auto" w:fill="ffffcc"/>
      <w:pBdr>
        <w:top w:val="single" w:color="1F497D" w:sz="4" w:space="1"/>
        <w:left w:val="single" w:color="1F497D" w:sz="4" w:space="4"/>
        <w:bottom w:val="single" w:color="1F497D" w:sz="4" w:space="1"/>
        <w:right w:val="single" w:color="1F497D" w:sz="4" w:space="4"/>
      </w:pBdr>
    </w:pPr>
    <w:rPr>
      <w:rFonts w:ascii="Arial" w:hAnsi="Arial" w:eastAsia="Calibri"/>
      <w:i/>
      <w:iCs/>
      <w:color w:val="000000"/>
      <w:sz w:val="20"/>
      <w:lang w:eastAsia="en-US"/>
    </w:rPr>
  </w:style>
  <w:style w:type="character" w:styleId="1043" w:customStyle="1">
    <w:name w:val="Citação Char"/>
    <w:link w:val="1042"/>
    <w:qFormat/>
    <w:rPr>
      <w:rFonts w:ascii="Arial" w:hAnsi="Arial" w:eastAsia="Calibri" w:cs="Tahoma"/>
      <w:i/>
      <w:iCs/>
      <w:color w:val="000000"/>
      <w:szCs w:val="24"/>
      <w:shd w:val="clear" w:color="auto" w:fill="ffffcc"/>
    </w:rPr>
  </w:style>
  <w:style w:type="paragraph" w:styleId="1044" w:customStyle="1">
    <w:name w:val="Nota explicativa"/>
    <w:basedOn w:val="1042"/>
    <w:link w:val="1045"/>
    <w:qFormat/>
    <w:rPr>
      <w:szCs w:val="20"/>
    </w:rPr>
  </w:style>
  <w:style w:type="character" w:styleId="1045" w:customStyle="1">
    <w:name w:val="Nota explicativa Char"/>
    <w:basedOn w:val="1043"/>
    <w:link w:val="1044"/>
    <w:qFormat/>
    <w:rPr>
      <w:rFonts w:ascii="Arial" w:hAnsi="Arial" w:eastAsia="Calibri" w:cs="Tahoma"/>
      <w:i/>
      <w:iCs/>
      <w:color w:val="000000"/>
      <w:szCs w:val="24"/>
      <w:shd w:val="clear" w:color="auto" w:fill="ffffcc"/>
    </w:rPr>
  </w:style>
  <w:style w:type="character" w:styleId="1046" w:customStyle="1">
    <w:name w:val="Cabeçalho Char"/>
    <w:link w:val="853"/>
    <w:qFormat/>
    <w:rPr>
      <w:rFonts w:ascii="Ecofont_Spranq_eco_Sans" w:hAnsi="Ecofont_Spranq_eco_Sans" w:cs="Tahoma"/>
      <w:sz w:val="24"/>
      <w:szCs w:val="24"/>
    </w:rPr>
  </w:style>
  <w:style w:type="character" w:styleId="1047" w:customStyle="1">
    <w:name w:val="Rodapé Char"/>
    <w:link w:val="855"/>
    <w:uiPriority w:val="99"/>
    <w:qFormat/>
    <w:rPr>
      <w:rFonts w:ascii="Ecofont_Spranq_eco_Sans" w:hAnsi="Ecofont_Spranq_eco_Sans" w:cs="Tahoma"/>
      <w:sz w:val="24"/>
      <w:szCs w:val="24"/>
    </w:rPr>
  </w:style>
  <w:style w:type="character" w:styleId="1048" w:customStyle="1">
    <w:name w:val="Texto de comentário Char"/>
    <w:basedOn w:val="830"/>
    <w:link w:val="844"/>
    <w:qFormat/>
    <w:rPr>
      <w:rFonts w:ascii="Ecofont_Spranq_eco_Sans" w:hAnsi="Ecofont_Spranq_eco_Sans" w:cs="Tahoma"/>
      <w:lang w:eastAsia="pt-BR"/>
    </w:rPr>
  </w:style>
  <w:style w:type="character" w:styleId="1049" w:customStyle="1">
    <w:name w:val="Assunto do comentário Char"/>
    <w:basedOn w:val="1048"/>
    <w:link w:val="854"/>
    <w:semiHidden/>
    <w:qFormat/>
    <w:rPr>
      <w:rFonts w:ascii="Ecofont_Spranq_eco_Sans" w:hAnsi="Ecofont_Spranq_eco_Sans" w:cs="Tahoma"/>
      <w:b/>
      <w:bCs/>
      <w:lang w:eastAsia="pt-BR"/>
    </w:rPr>
  </w:style>
  <w:style w:type="character" w:styleId="1050" w:customStyle="1">
    <w:name w:val="Título 4 Char"/>
    <w:basedOn w:val="830"/>
    <w:link w:val="824"/>
    <w:qFormat/>
    <w:rPr>
      <w:rFonts w:asciiTheme="majorHAnsi" w:hAnsiTheme="majorHAnsi" w:eastAsiaTheme="majorEastAsia" w:cstheme="majorBidi"/>
      <w:i/>
      <w:iCs/>
      <w:color w:val="365f91" w:themeColor="accent1" w:themeShade="BF"/>
      <w:sz w:val="24"/>
      <w:szCs w:val="24"/>
      <w:lang w:eastAsia="pt-BR"/>
    </w:rPr>
  </w:style>
  <w:style w:type="paragraph" w:styleId="1051" w:customStyle="1">
    <w:name w:val="Nivel 01"/>
    <w:basedOn w:val="821"/>
    <w:next w:val="820"/>
    <w:link w:val="1054"/>
    <w:qFormat/>
    <w:pPr>
      <w:numPr>
        <w:numId w:val="2"/>
      </w:numPr>
      <w:jc w:val="both"/>
      <w:spacing w:before="288" w:after="288" w:line="312" w:lineRule="auto"/>
      <w:tabs>
        <w:tab w:val="left" w:pos="567" w:leader="none"/>
      </w:tabs>
    </w:pPr>
    <w:rPr>
      <w:rFonts w:ascii="Arial" w:hAnsi="Arial" w:cs="Arial"/>
      <w:color w:val="auto"/>
      <w:sz w:val="20"/>
      <w:szCs w:val="20"/>
    </w:rPr>
  </w:style>
  <w:style w:type="paragraph" w:styleId="1052" w:customStyle="1">
    <w:name w:val="Nivel_01_Titulo"/>
    <w:basedOn w:val="1051"/>
    <w:link w:val="1056"/>
    <w:qFormat/>
    <w:pPr>
      <w:jc w:val="left"/>
    </w:pPr>
    <w:rPr>
      <w:rFonts w:cstheme="majorBidi"/>
      <w:color w:val="000000" w:themeColor="text1"/>
      <w:spacing w:val="5"/>
      <w:sz w:val="52"/>
      <w:szCs w:val="52"/>
    </w:rPr>
  </w:style>
  <w:style w:type="character" w:styleId="1053" w:customStyle="1">
    <w:name w:val="Título Char"/>
    <w:basedOn w:val="830"/>
    <w:link w:val="847"/>
    <w:qFormat/>
    <w:rPr>
      <w:rFonts w:asciiTheme="majorHAnsi" w:hAnsiTheme="majorHAnsi" w:eastAsiaTheme="majorEastAsia" w:cstheme="majorBidi"/>
      <w:color w:val="17365d" w:themeColor="text2" w:themeShade="BF"/>
      <w:spacing w:val="5"/>
      <w:sz w:val="52"/>
      <w:szCs w:val="52"/>
      <w:lang w:eastAsia="pt-BR"/>
    </w:rPr>
  </w:style>
  <w:style w:type="character" w:styleId="1054" w:customStyle="1">
    <w:name w:val="Nivel 01 Char"/>
    <w:basedOn w:val="1053"/>
    <w:link w:val="1051"/>
    <w:qFormat/>
    <w:rPr>
      <w:rFonts w:ascii="Arial" w:hAnsi="Arial" w:cs="Arial" w:eastAsiaTheme="majorEastAsia"/>
      <w:b/>
      <w:bCs/>
      <w:color w:val="17365d" w:themeColor="text2" w:themeShade="BF"/>
      <w:spacing w:val="5"/>
      <w:sz w:val="52"/>
      <w:szCs w:val="52"/>
      <w:lang w:eastAsia="pt-BR"/>
    </w:rPr>
  </w:style>
  <w:style w:type="character" w:styleId="1055" w:customStyle="1">
    <w:name w:val="Título 1 Char"/>
    <w:basedOn w:val="830"/>
    <w:link w:val="821"/>
    <w:qFormat/>
    <w:rPr>
      <w:rFonts w:asciiTheme="majorHAnsi" w:hAnsiTheme="majorHAnsi" w:eastAsiaTheme="majorEastAsia" w:cstheme="majorBidi"/>
      <w:b/>
      <w:bCs/>
      <w:color w:val="365f91" w:themeColor="accent1" w:themeShade="BF"/>
      <w:sz w:val="28"/>
      <w:szCs w:val="28"/>
      <w:lang w:eastAsia="pt-BR"/>
    </w:rPr>
  </w:style>
  <w:style w:type="character" w:styleId="1056" w:customStyle="1">
    <w:name w:val="Nivel_01_Titulo Char"/>
    <w:basedOn w:val="1054"/>
    <w:link w:val="1052"/>
    <w:qFormat/>
    <w:rPr>
      <w:rFonts w:ascii="Arial" w:hAnsi="Arial" w:eastAsiaTheme="majorEastAsia" w:cstheme="majorBidi"/>
      <w:b/>
      <w:bCs/>
      <w:color w:val="000000" w:themeColor="text1"/>
      <w:spacing w:val="5"/>
      <w:sz w:val="52"/>
      <w:szCs w:val="52"/>
      <w:lang w:eastAsia="pt-BR"/>
    </w:rPr>
  </w:style>
  <w:style w:type="paragraph" w:styleId="1057" w:customStyle="1">
    <w:name w:val="PADRÃO"/>
    <w:qFormat/>
    <w:pPr>
      <w:ind w:firstLine="567"/>
      <w:jc w:val="both"/>
      <w:keepNext/>
      <w:spacing w:before="119" w:after="119" w:line="276" w:lineRule="auto"/>
      <w:shd w:val="clear" w:color="auto" w:fill="ffffff"/>
      <w:widowControl w:val="off"/>
    </w:pPr>
    <w:rPr>
      <w:rFonts w:ascii="Ecofont_Spranq_eco_Sans" w:hAnsi="Ecofont_Spranq_eco_Sans" w:eastAsia="WenQuanYi Micro Hei" w:cs="Lohit Hindi"/>
      <w:szCs w:val="24"/>
      <w:lang w:eastAsia="zh-CN" w:bidi="hi-IN"/>
    </w:rPr>
  </w:style>
  <w:style w:type="character" w:styleId="1058" w:customStyle="1">
    <w:name w:val="Quote Char"/>
    <w:basedOn w:val="830"/>
    <w:link w:val="1059"/>
    <w:qFormat/>
    <w:rPr>
      <w:rFonts w:ascii="Ecofont_Spranq_eco_Sans" w:hAnsi="Ecofont_Spranq_eco_Sans" w:eastAsia="Calibri" w:cs="Tahoma"/>
      <w:i/>
      <w:iCs/>
      <w:color w:val="000000"/>
      <w:shd w:val="clear" w:color="auto" w:fill="ffffcc"/>
    </w:rPr>
  </w:style>
  <w:style w:type="paragraph" w:styleId="1059" w:customStyle="1">
    <w:name w:val="Citação1"/>
    <w:basedOn w:val="820"/>
    <w:next w:val="820"/>
    <w:link w:val="1058"/>
    <w:qFormat/>
    <w:pPr>
      <w:jc w:val="both"/>
      <w:spacing w:before="120"/>
      <w:shd w:val="clear" w:color="auto" w:fill="ffffcc"/>
      <w:pBdr>
        <w:top w:val="single" w:color="1F497D" w:sz="4" w:space="1"/>
        <w:left w:val="single" w:color="1F497D" w:sz="4" w:space="4"/>
        <w:bottom w:val="single" w:color="1F497D" w:sz="4" w:space="1"/>
        <w:right w:val="single" w:color="1F497D" w:sz="4" w:space="4"/>
      </w:pBdr>
    </w:pPr>
    <w:rPr>
      <w:rFonts w:eastAsia="Calibri"/>
      <w:i/>
      <w:iCs/>
      <w:color w:val="000000"/>
      <w:sz w:val="20"/>
      <w:szCs w:val="20"/>
      <w:lang w:eastAsia="en-US"/>
    </w:rPr>
  </w:style>
  <w:style w:type="paragraph" w:styleId="1060" w:customStyle="1">
    <w:name w:val="paragraph"/>
    <w:basedOn w:val="820"/>
    <w:qFormat/>
    <w:pPr>
      <w:spacing w:before="100" w:beforeAutospacing="1" w:after="100" w:afterAutospacing="1"/>
    </w:pPr>
    <w:rPr>
      <w:rFonts w:ascii="Times New Roman" w:hAnsi="Times New Roman" w:eastAsia="Times New Roman" w:cs="Times New Roman"/>
    </w:rPr>
  </w:style>
  <w:style w:type="character" w:styleId="1061" w:customStyle="1">
    <w:name w:val="normaltextrun"/>
    <w:basedOn w:val="830"/>
    <w:qFormat/>
  </w:style>
  <w:style w:type="character" w:styleId="1062" w:customStyle="1">
    <w:name w:val="eop"/>
    <w:basedOn w:val="830"/>
    <w:qFormat/>
  </w:style>
  <w:style w:type="character" w:styleId="1063" w:customStyle="1">
    <w:name w:val="spellingerror"/>
    <w:basedOn w:val="830"/>
    <w:qFormat/>
  </w:style>
  <w:style w:type="character" w:styleId="1064" w:customStyle="1">
    <w:name w:val="Corpo de texto Char"/>
    <w:basedOn w:val="830"/>
    <w:link w:val="842"/>
    <w:qFormat/>
    <w:rPr>
      <w:rFonts w:eastAsia="Times New Roman"/>
      <w:sz w:val="24"/>
      <w:szCs w:val="24"/>
      <w:lang w:eastAsia="pt-BR"/>
    </w:rPr>
  </w:style>
  <w:style w:type="paragraph" w:styleId="1065" w:customStyle="1">
    <w:name w:val="Nivel1"/>
    <w:basedOn w:val="821"/>
    <w:link w:val="1066"/>
    <w:qFormat/>
    <w:pPr>
      <w:ind w:left="357" w:hanging="357"/>
      <w:jc w:val="both"/>
      <w:spacing w:line="276" w:lineRule="auto"/>
    </w:pPr>
    <w:rPr>
      <w:rFonts w:ascii="Arial" w:hAnsi="Arial" w:cs="Arial"/>
      <w:bCs w:val="0"/>
      <w:color w:val="000000"/>
    </w:rPr>
  </w:style>
  <w:style w:type="character" w:styleId="1066" w:customStyle="1">
    <w:name w:val="Nivel1 Char"/>
    <w:basedOn w:val="1055"/>
    <w:link w:val="1065"/>
    <w:qFormat/>
    <w:rPr>
      <w:rFonts w:ascii="Arial" w:hAnsi="Arial" w:cs="Arial" w:eastAsiaTheme="majorEastAsia"/>
      <w:b/>
      <w:bCs w:val="0"/>
      <w:color w:val="000000"/>
      <w:sz w:val="28"/>
      <w:szCs w:val="28"/>
      <w:lang w:eastAsia="pt-BR"/>
    </w:rPr>
  </w:style>
  <w:style w:type="paragraph" w:styleId="1067" w:customStyle="1">
    <w:name w:val="Parágrafo da Lista1"/>
    <w:basedOn w:val="820"/>
    <w:qFormat/>
    <w:pPr>
      <w:ind w:left="720"/>
    </w:pPr>
    <w:rPr>
      <w:rFonts w:eastAsia="Times New Roman" w:cs="Ecofont_Spranq_eco_Sans"/>
    </w:rPr>
  </w:style>
  <w:style w:type="paragraph" w:styleId="1068" w:customStyle="1">
    <w:name w:val="Nivel 2"/>
    <w:basedOn w:val="820"/>
    <w:link w:val="1093"/>
    <w:qFormat/>
    <w:pPr>
      <w:numPr>
        <w:ilvl w:val="1"/>
        <w:numId w:val="2"/>
      </w:numPr>
      <w:ind w:left="0" w:firstLine="0"/>
      <w:jc w:val="both"/>
      <w:spacing w:before="120" w:after="120" w:line="276" w:lineRule="auto"/>
    </w:pPr>
    <w:rPr>
      <w:rFonts w:ascii="Arial" w:hAnsi="Arial" w:cs="Arial"/>
      <w:color w:val="000000"/>
      <w:sz w:val="20"/>
      <w:szCs w:val="20"/>
    </w:rPr>
  </w:style>
  <w:style w:type="paragraph" w:styleId="1069" w:customStyle="1">
    <w:name w:val="Nivel 1"/>
    <w:basedOn w:val="1068"/>
    <w:next w:val="1068"/>
    <w:qFormat/>
    <w:pPr>
      <w:numPr>
        <w:ilvl w:val="0"/>
        <w:numId w:val="0"/>
      </w:numPr>
      <w:ind w:left="360" w:hanging="360"/>
    </w:pPr>
    <w:rPr>
      <w:b/>
    </w:rPr>
  </w:style>
  <w:style w:type="paragraph" w:styleId="1070" w:customStyle="1">
    <w:name w:val="Nivel 3"/>
    <w:basedOn w:val="820"/>
    <w:link w:val="1119"/>
    <w:qFormat/>
    <w:pPr>
      <w:numPr>
        <w:ilvl w:val="2"/>
        <w:numId w:val="2"/>
      </w:numPr>
      <w:ind w:left="284" w:firstLine="0"/>
      <w:jc w:val="both"/>
      <w:spacing w:before="120" w:after="120" w:line="276" w:lineRule="auto"/>
    </w:pPr>
    <w:rPr>
      <w:rFonts w:ascii="Arial" w:hAnsi="Arial" w:cs="Arial"/>
      <w:color w:val="000000"/>
      <w:sz w:val="20"/>
      <w:szCs w:val="20"/>
    </w:rPr>
  </w:style>
  <w:style w:type="paragraph" w:styleId="1071" w:customStyle="1">
    <w:name w:val="Nivel 4"/>
    <w:basedOn w:val="1070"/>
    <w:link w:val="1073"/>
    <w:qFormat/>
    <w:pPr>
      <w:numPr>
        <w:ilvl w:val="3"/>
      </w:numPr>
      <w:ind w:left="567" w:firstLine="0"/>
    </w:pPr>
    <w:rPr>
      <w:color w:val="auto"/>
    </w:rPr>
  </w:style>
  <w:style w:type="paragraph" w:styleId="1072" w:customStyle="1">
    <w:name w:val="Nivel 5"/>
    <w:basedOn w:val="1071"/>
    <w:qFormat/>
    <w:pPr>
      <w:numPr>
        <w:ilvl w:val="4"/>
      </w:numPr>
      <w:ind w:left="851" w:firstLine="0"/>
    </w:pPr>
  </w:style>
  <w:style w:type="character" w:styleId="1073" w:customStyle="1">
    <w:name w:val="Nivel 4 Char"/>
    <w:basedOn w:val="830"/>
    <w:link w:val="1071"/>
    <w:qFormat/>
    <w:rPr>
      <w:rFonts w:ascii="Arial" w:hAnsi="Arial" w:cs="Arial"/>
      <w:lang w:eastAsia="pt-BR"/>
    </w:rPr>
  </w:style>
  <w:style w:type="paragraph" w:styleId="1074" w:customStyle="1">
    <w:name w:val="textbody"/>
    <w:basedOn w:val="820"/>
    <w:qFormat/>
    <w:pPr>
      <w:spacing w:before="100" w:beforeAutospacing="1" w:after="100" w:afterAutospacing="1"/>
    </w:pPr>
    <w:rPr>
      <w:rFonts w:ascii="Times New Roman" w:hAnsi="Times New Roman" w:eastAsia="Times New Roman" w:cs="Times New Roman"/>
    </w:rPr>
  </w:style>
  <w:style w:type="paragraph" w:styleId="1075" w:customStyle="1">
    <w:name w:val="em_0020ementa"/>
    <w:basedOn w:val="820"/>
    <w:qFormat/>
    <w:pPr>
      <w:ind w:left="4160"/>
      <w:jc w:val="both"/>
    </w:pPr>
    <w:rPr>
      <w:rFonts w:ascii="Times New Roman" w:hAnsi="Times New Roman" w:eastAsia="Times New Roman" w:cs="Times New Roman"/>
      <w:sz w:val="28"/>
      <w:szCs w:val="28"/>
    </w:rPr>
  </w:style>
  <w:style w:type="character" w:styleId="1076" w:customStyle="1">
    <w:name w:val="cp_0020corpodespacho__char1"/>
    <w:qFormat/>
    <w:rPr>
      <w:rFonts w:hint="default" w:ascii="Times New Roman" w:hAnsi="Times New Roman" w:cs="Times New Roman"/>
      <w:sz w:val="26"/>
      <w:szCs w:val="26"/>
      <w:u w:val="none"/>
    </w:rPr>
  </w:style>
  <w:style w:type="character" w:styleId="1077" w:customStyle="1">
    <w:name w:val="em_0020ementa__char1"/>
    <w:qFormat/>
    <w:rPr>
      <w:rFonts w:hint="default" w:ascii="Times New Roman" w:hAnsi="Times New Roman" w:cs="Times New Roman"/>
      <w:sz w:val="28"/>
      <w:szCs w:val="28"/>
      <w:u w:val="none"/>
    </w:rPr>
  </w:style>
  <w:style w:type="paragraph" w:styleId="1078" w:customStyle="1">
    <w:name w:val="Revisão1"/>
    <w:hidden/>
    <w:uiPriority w:val="99"/>
    <w:semiHidden/>
    <w:qFormat/>
    <w:rPr>
      <w:rFonts w:ascii="Ecofont_Spranq_eco_Sans" w:hAnsi="Ecofont_Spranq_eco_Sans" w:eastAsia="Times New Roman" w:cs="Tahoma"/>
      <w:sz w:val="24"/>
      <w:szCs w:val="24"/>
    </w:rPr>
  </w:style>
  <w:style w:type="character" w:styleId="1079" w:customStyle="1">
    <w:name w:val="Manoel"/>
    <w:qFormat/>
    <w:rPr>
      <w:rFonts w:ascii="Arial" w:hAnsi="Arial" w:cs="Arial"/>
      <w:color w:val="7030a0"/>
      <w:sz w:val="20"/>
    </w:rPr>
  </w:style>
  <w:style w:type="character" w:styleId="1080" w:customStyle="1">
    <w:name w:val="ListLabel 12"/>
    <w:qFormat/>
    <w:rPr>
      <w:b/>
    </w:rPr>
  </w:style>
  <w:style w:type="paragraph" w:styleId="1081" w:customStyle="1">
    <w:name w:val="texto1"/>
    <w:basedOn w:val="820"/>
    <w:qFormat/>
    <w:pPr>
      <w:spacing w:before="100" w:beforeAutospacing="1" w:after="100" w:afterAutospacing="1"/>
    </w:pPr>
    <w:rPr>
      <w:rFonts w:ascii="Times New Roman" w:hAnsi="Times New Roman" w:eastAsia="Times New Roman" w:cs="Times New Roman"/>
    </w:rPr>
  </w:style>
  <w:style w:type="paragraph" w:styleId="1082" w:customStyle="1">
    <w:name w:val="Grade Colorida - Ênfase 11"/>
    <w:basedOn w:val="820"/>
    <w:next w:val="820"/>
    <w:link w:val="1083"/>
    <w:uiPriority w:val="29"/>
    <w:qFormat/>
    <w:pPr>
      <w:jc w:val="both"/>
      <w:spacing w:before="120"/>
      <w:shd w:val="clear" w:color="auto" w:fill="ffffcc"/>
      <w:pBdr>
        <w:top w:val="single" w:color="1F497D" w:sz="4" w:space="1"/>
        <w:left w:val="single" w:color="1F497D" w:sz="4" w:space="4"/>
        <w:bottom w:val="single" w:color="1F497D" w:sz="4" w:space="1"/>
        <w:right w:val="single" w:color="1F497D" w:sz="4" w:space="4"/>
      </w:pBdr>
    </w:pPr>
    <w:rPr>
      <w:rFonts w:ascii="Arial" w:hAnsi="Arial" w:eastAsia="Calibri" w:cs="Times New Roman"/>
      <w:i/>
      <w:iCs/>
      <w:color w:val="000000"/>
      <w:sz w:val="20"/>
      <w:lang w:eastAsia="en-US"/>
    </w:rPr>
  </w:style>
  <w:style w:type="character" w:styleId="1083" w:customStyle="1">
    <w:name w:val="Grade Colorida - Ênfase 1 Char"/>
    <w:link w:val="1082"/>
    <w:uiPriority w:val="29"/>
    <w:qFormat/>
    <w:rPr>
      <w:rFonts w:ascii="Arial" w:hAnsi="Arial" w:eastAsia="Calibri"/>
      <w:i/>
      <w:iCs/>
      <w:color w:val="000000"/>
      <w:szCs w:val="24"/>
      <w:shd w:val="clear" w:color="auto" w:fill="ffffcc"/>
    </w:rPr>
  </w:style>
  <w:style w:type="paragraph" w:styleId="1084" w:customStyle="1">
    <w:name w:val="x_western"/>
    <w:basedOn w:val="820"/>
    <w:qFormat/>
    <w:pPr>
      <w:spacing w:before="100" w:beforeAutospacing="1" w:after="100" w:afterAutospacing="1"/>
    </w:pPr>
    <w:rPr>
      <w:rFonts w:ascii="Times New Roman" w:hAnsi="Times New Roman" w:eastAsia="Times New Roman" w:cs="Times New Roman"/>
    </w:rPr>
  </w:style>
  <w:style w:type="paragraph" w:styleId="1085" w:customStyle="1">
    <w:name w:val="TCU - Ac - item 9 - §§_0"/>
    <w:basedOn w:val="820"/>
    <w:qFormat/>
    <w:pPr>
      <w:ind w:firstLine="1134"/>
      <w:jc w:val="both"/>
    </w:pPr>
    <w:rPr>
      <w:rFonts w:ascii="Times New Roman" w:hAnsi="Times New Roman" w:eastAsia="Times New Roman" w:cs="Times New Roman"/>
      <w:szCs w:val="22"/>
      <w:lang w:eastAsia="en-US"/>
    </w:rPr>
  </w:style>
  <w:style w:type="paragraph" w:styleId="1086" w:customStyle="1">
    <w:name w:val="Normal_1"/>
    <w:qFormat/>
    <w:rPr>
      <w:rFonts w:eastAsia="Times New Roman"/>
      <w:sz w:val="24"/>
      <w:szCs w:val="22"/>
      <w:lang w:eastAsia="en-US"/>
    </w:rPr>
  </w:style>
  <w:style w:type="paragraph" w:styleId="1087" w:customStyle="1">
    <w:name w:val="tcu_-__ac_-_item_9_-_1ª_linha"/>
    <w:basedOn w:val="820"/>
    <w:qFormat/>
    <w:pPr>
      <w:spacing w:before="100" w:beforeAutospacing="1" w:after="100" w:afterAutospacing="1"/>
    </w:pPr>
    <w:rPr>
      <w:rFonts w:ascii="Times New Roman" w:hAnsi="Times New Roman" w:eastAsia="Times New Roman" w:cs="Times New Roman"/>
    </w:rPr>
  </w:style>
  <w:style w:type="paragraph" w:styleId="1088" w:customStyle="1">
    <w:name w:val="texto_justificado_recuo_primeira_linha"/>
    <w:basedOn w:val="820"/>
    <w:qFormat/>
    <w:pPr>
      <w:spacing w:before="100" w:beforeAutospacing="1" w:after="100" w:afterAutospacing="1"/>
    </w:pPr>
    <w:rPr>
      <w:rFonts w:ascii="Times New Roman" w:hAnsi="Times New Roman" w:eastAsia="Times New Roman" w:cs="Times New Roman"/>
    </w:rPr>
  </w:style>
  <w:style w:type="character" w:styleId="1089" w:customStyle="1">
    <w:name w:val="highlight"/>
    <w:basedOn w:val="830"/>
    <w:qFormat/>
  </w:style>
  <w:style w:type="paragraph" w:styleId="1090" w:customStyle="1">
    <w:name w:val="texto_justificado"/>
    <w:basedOn w:val="820"/>
    <w:qFormat/>
    <w:pPr>
      <w:spacing w:before="100" w:beforeAutospacing="1" w:after="100" w:afterAutospacing="1"/>
    </w:pPr>
    <w:rPr>
      <w:rFonts w:ascii="Times New Roman" w:hAnsi="Times New Roman" w:eastAsia="Times New Roman" w:cs="Times New Roman"/>
    </w:rPr>
  </w:style>
  <w:style w:type="character" w:styleId="1091" w:customStyle="1">
    <w:name w:val="Menção Pendente1"/>
    <w:basedOn w:val="830"/>
    <w:uiPriority w:val="99"/>
    <w:semiHidden/>
    <w:unhideWhenUsed/>
    <w:qFormat/>
    <w:rPr>
      <w:color w:val="605e5c"/>
      <w:shd w:val="clear" w:color="auto" w:fill="e1dfdd"/>
    </w:rPr>
  </w:style>
  <w:style w:type="character" w:styleId="1092" w:customStyle="1">
    <w:name w:val="Menção Pendente2"/>
    <w:basedOn w:val="830"/>
    <w:uiPriority w:val="99"/>
    <w:semiHidden/>
    <w:unhideWhenUsed/>
    <w:qFormat/>
    <w:rPr>
      <w:color w:val="605e5c"/>
      <w:shd w:val="clear" w:color="auto" w:fill="e1dfdd"/>
    </w:rPr>
  </w:style>
  <w:style w:type="character" w:styleId="1093" w:customStyle="1">
    <w:name w:val="Nivel 2 Char"/>
    <w:basedOn w:val="830"/>
    <w:link w:val="1068"/>
    <w:qFormat/>
    <w:rPr>
      <w:rFonts w:ascii="Arial" w:hAnsi="Arial" w:cs="Arial"/>
      <w:color w:val="000000"/>
      <w:lang w:eastAsia="pt-BR"/>
    </w:rPr>
  </w:style>
  <w:style w:type="paragraph" w:styleId="1094" w:customStyle="1">
    <w:name w:val="Nível 2 Opcional"/>
    <w:basedOn w:val="1068"/>
    <w:link w:val="1096"/>
    <w:qFormat/>
    <w:pPr>
      <w:numPr>
        <w:ilvl w:val="0"/>
        <w:numId w:val="0"/>
      </w:numPr>
      <w:ind w:left="432" w:hanging="432"/>
    </w:pPr>
    <w:rPr>
      <w:rFonts w:eastAsia="Times New Roman"/>
      <w:i/>
      <w:color w:val="ff0000"/>
    </w:rPr>
  </w:style>
  <w:style w:type="paragraph" w:styleId="1095" w:customStyle="1">
    <w:name w:val="Nível 3 Opcional"/>
    <w:basedOn w:val="1070"/>
    <w:link w:val="1097"/>
    <w:qFormat/>
    <w:pPr>
      <w:numPr>
        <w:ilvl w:val="0"/>
        <w:numId w:val="0"/>
      </w:numPr>
      <w:ind w:left="1072" w:hanging="504"/>
    </w:pPr>
    <w:rPr>
      <w:rFonts w:eastAsia="Times New Roman"/>
      <w:i/>
      <w:iCs/>
      <w:color w:val="ff0000"/>
    </w:rPr>
  </w:style>
  <w:style w:type="character" w:styleId="1096" w:customStyle="1">
    <w:name w:val="Nível 2 Opcional Char"/>
    <w:basedOn w:val="830"/>
    <w:link w:val="1094"/>
    <w:qFormat/>
    <w:rPr>
      <w:rFonts w:ascii="Arial" w:hAnsi="Arial" w:eastAsia="Times New Roman" w:cs="Arial"/>
      <w:i/>
      <w:color w:val="ff0000"/>
      <w:lang w:eastAsia="pt-BR"/>
    </w:rPr>
  </w:style>
  <w:style w:type="character" w:styleId="1097" w:customStyle="1">
    <w:name w:val="Nível 3 Opcional Char"/>
    <w:basedOn w:val="830"/>
    <w:link w:val="1095"/>
    <w:qFormat/>
    <w:rPr>
      <w:rFonts w:ascii="Arial" w:hAnsi="Arial" w:eastAsia="Times New Roman" w:cs="Arial"/>
      <w:i/>
      <w:iCs/>
      <w:color w:val="ff0000"/>
      <w:lang w:eastAsia="pt-BR"/>
    </w:rPr>
  </w:style>
  <w:style w:type="character" w:styleId="1098">
    <w:name w:val="Placeholder Text"/>
    <w:basedOn w:val="830"/>
    <w:uiPriority w:val="67"/>
    <w:semiHidden/>
    <w:qFormat/>
    <w:rPr>
      <w:color w:val="808080"/>
    </w:rPr>
  </w:style>
  <w:style w:type="character" w:styleId="1099" w:customStyle="1">
    <w:name w:val="Parágrafo da Lista Char"/>
    <w:basedOn w:val="830"/>
    <w:link w:val="1036"/>
    <w:uiPriority w:val="34"/>
    <w:qFormat/>
    <w:rPr>
      <w:rFonts w:ascii="Ecofont_Spranq_eco_Sans" w:hAnsi="Ecofont_Spranq_eco_Sans" w:cs="Tahoma"/>
      <w:sz w:val="24"/>
      <w:szCs w:val="24"/>
      <w:lang w:eastAsia="pt-BR"/>
    </w:rPr>
  </w:style>
  <w:style w:type="character" w:styleId="1100" w:customStyle="1">
    <w:name w:val="Título 3 Char"/>
    <w:basedOn w:val="830"/>
    <w:link w:val="823"/>
    <w:uiPriority w:val="9"/>
    <w:semiHidden/>
    <w:qFormat/>
    <w:rPr>
      <w:rFonts w:asciiTheme="majorHAnsi" w:hAnsiTheme="majorHAnsi" w:eastAsiaTheme="majorEastAsia" w:cstheme="majorBidi"/>
      <w:color w:val="244061" w:themeColor="accent1" w:themeShade="80"/>
      <w:sz w:val="24"/>
      <w:szCs w:val="24"/>
    </w:rPr>
  </w:style>
  <w:style w:type="character" w:styleId="1101" w:customStyle="1">
    <w:name w:val="Título 6 Char"/>
    <w:basedOn w:val="830"/>
    <w:link w:val="826"/>
    <w:uiPriority w:val="9"/>
    <w:semiHidden/>
    <w:qFormat/>
    <w:rPr>
      <w:rFonts w:asciiTheme="majorHAnsi" w:hAnsiTheme="majorHAnsi" w:eastAsiaTheme="majorEastAsia" w:cstheme="majorBidi"/>
      <w:color w:val="244061" w:themeColor="accent1" w:themeShade="80"/>
      <w:sz w:val="22"/>
      <w:szCs w:val="22"/>
    </w:rPr>
  </w:style>
  <w:style w:type="paragraph" w:styleId="1102" w:customStyle="1">
    <w:name w:val="Sombreamento Médio 1 - Ênfase 31"/>
    <w:basedOn w:val="820"/>
    <w:next w:val="820"/>
    <w:qFormat/>
    <w:pPr>
      <w:jc w:val="both"/>
      <w:spacing w:before="120"/>
      <w:shd w:val="clear" w:color="auto" w:fill="ffffcc"/>
      <w:pBdr>
        <w:top w:val="single" w:color="000080" w:sz="4" w:space="1"/>
        <w:left w:val="single" w:color="000080" w:sz="4" w:space="4"/>
        <w:bottom w:val="single" w:color="000080" w:sz="4" w:space="1"/>
        <w:right w:val="single" w:color="000080" w:sz="4" w:space="4"/>
      </w:pBdr>
    </w:pPr>
    <w:rPr>
      <w:rFonts w:eastAsia="Calibri"/>
      <w:i/>
      <w:iCs/>
      <w:color w:val="000000"/>
      <w:sz w:val="20"/>
      <w:lang w:eastAsia="zh-CN"/>
    </w:rPr>
  </w:style>
  <w:style w:type="paragraph" w:styleId="1103" w:customStyle="1">
    <w:name w:val="corpo"/>
    <w:basedOn w:val="820"/>
    <w:qFormat/>
    <w:pPr>
      <w:spacing w:before="100" w:beforeAutospacing="1" w:after="100" w:afterAutospacing="1"/>
    </w:pPr>
    <w:rPr>
      <w:rFonts w:ascii="Times New Roman" w:hAnsi="Times New Roman" w:eastAsia="Times New Roman" w:cs="Times New Roman"/>
    </w:rPr>
  </w:style>
  <w:style w:type="paragraph" w:styleId="1104" w:customStyle="1">
    <w:name w:val="item_nivel2"/>
    <w:basedOn w:val="820"/>
    <w:qFormat/>
    <w:pPr>
      <w:spacing w:before="100" w:beforeAutospacing="1" w:after="100" w:afterAutospacing="1"/>
    </w:pPr>
    <w:rPr>
      <w:rFonts w:ascii="Times New Roman" w:hAnsi="Times New Roman" w:eastAsia="Times New Roman" w:cs="Times New Roman"/>
    </w:rPr>
  </w:style>
  <w:style w:type="paragraph" w:styleId="1105" w:customStyle="1">
    <w:name w:val="item_nivel1"/>
    <w:basedOn w:val="820"/>
    <w:qFormat/>
    <w:pPr>
      <w:spacing w:before="100" w:beforeAutospacing="1" w:after="100" w:afterAutospacing="1"/>
    </w:pPr>
    <w:rPr>
      <w:rFonts w:ascii="Times New Roman" w:hAnsi="Times New Roman" w:eastAsia="Times New Roman" w:cs="Times New Roman"/>
    </w:rPr>
  </w:style>
  <w:style w:type="paragraph" w:styleId="1106" w:customStyle="1">
    <w:name w:val="item_alinea_letra"/>
    <w:basedOn w:val="820"/>
    <w:qFormat/>
    <w:pPr>
      <w:spacing w:before="100" w:beforeAutospacing="1" w:after="100" w:afterAutospacing="1"/>
    </w:pPr>
    <w:rPr>
      <w:rFonts w:ascii="Times New Roman" w:hAnsi="Times New Roman" w:eastAsia="Times New Roman" w:cs="Times New Roman"/>
    </w:rPr>
  </w:style>
  <w:style w:type="character" w:styleId="1107" w:customStyle="1">
    <w:name w:val="markedcontent"/>
    <w:basedOn w:val="830"/>
    <w:qFormat/>
  </w:style>
  <w:style w:type="paragraph" w:styleId="1108" w:customStyle="1">
    <w:name w:val="Standard"/>
    <w:qFormat/>
    <w:rPr>
      <w:rFonts w:ascii="Liberation Serif" w:hAnsi="Liberation Serif" w:eastAsia="NSimSun" w:cs="Lucida Sans"/>
      <w:sz w:val="24"/>
      <w:szCs w:val="24"/>
      <w:lang w:eastAsia="zh-CN" w:bidi="hi-IN"/>
    </w:rPr>
  </w:style>
  <w:style w:type="paragraph" w:styleId="1109" w:customStyle="1">
    <w:name w:val="Text body"/>
    <w:basedOn w:val="1108"/>
    <w:qFormat/>
    <w:pPr>
      <w:spacing w:after="140" w:line="276" w:lineRule="auto"/>
    </w:pPr>
  </w:style>
  <w:style w:type="character" w:styleId="1110" w:customStyle="1">
    <w:name w:val="Menção Pendente3"/>
    <w:basedOn w:val="830"/>
    <w:uiPriority w:val="99"/>
    <w:semiHidden/>
    <w:unhideWhenUsed/>
    <w:qFormat/>
    <w:rPr>
      <w:color w:val="605e5c"/>
      <w:shd w:val="clear" w:color="auto" w:fill="e1dfdd"/>
    </w:rPr>
  </w:style>
  <w:style w:type="character" w:styleId="1111" w:customStyle="1">
    <w:name w:val="Menção Pendente4"/>
    <w:basedOn w:val="830"/>
    <w:uiPriority w:val="99"/>
    <w:semiHidden/>
    <w:unhideWhenUsed/>
    <w:qFormat/>
    <w:rPr>
      <w:color w:val="605e5c"/>
      <w:shd w:val="clear" w:color="auto" w:fill="e1dfdd"/>
    </w:rPr>
  </w:style>
  <w:style w:type="paragraph" w:styleId="1112" w:customStyle="1">
    <w:name w:val="ou"/>
    <w:basedOn w:val="1036"/>
    <w:link w:val="1113"/>
    <w:qFormat/>
    <w:pPr>
      <w:contextualSpacing w:val="0"/>
      <w:ind w:left="0"/>
      <w:jc w:val="center"/>
      <w:spacing w:before="60" w:after="60" w:line="259" w:lineRule="auto"/>
    </w:pPr>
    <w:rPr>
      <w:rFonts w:ascii="Arial" w:hAnsi="Arial" w:cs="Arial" w:eastAsiaTheme="minorHAnsi"/>
      <w:b/>
      <w:bCs/>
      <w:i/>
      <w:iCs/>
      <w:color w:val="ff0000"/>
      <w:u w:val="single"/>
    </w:rPr>
  </w:style>
  <w:style w:type="character" w:styleId="1113" w:customStyle="1">
    <w:name w:val="ou Char"/>
    <w:basedOn w:val="1099"/>
    <w:link w:val="1112"/>
    <w:qFormat/>
    <w:rPr>
      <w:rFonts w:ascii="Arial" w:hAnsi="Arial" w:cs="Arial" w:eastAsiaTheme="minorHAnsi"/>
      <w:b/>
      <w:bCs/>
      <w:i/>
      <w:iCs/>
      <w:color w:val="ff0000"/>
      <w:sz w:val="24"/>
      <w:szCs w:val="24"/>
      <w:u w:val="single"/>
      <w:lang w:eastAsia="pt-BR"/>
    </w:rPr>
  </w:style>
  <w:style w:type="paragraph" w:styleId="1114" w:customStyle="1">
    <w:name w:val="dou-paragraph"/>
    <w:basedOn w:val="820"/>
    <w:qFormat/>
    <w:pPr>
      <w:spacing w:before="100" w:beforeAutospacing="1" w:after="100" w:afterAutospacing="1"/>
    </w:pPr>
    <w:rPr>
      <w:rFonts w:ascii="Times New Roman" w:hAnsi="Times New Roman" w:eastAsia="Times New Roman" w:cs="Times New Roman"/>
    </w:rPr>
  </w:style>
  <w:style w:type="paragraph" w:styleId="1115" w:customStyle="1">
    <w:name w:val="Nível 2 -Red"/>
    <w:basedOn w:val="1068"/>
    <w:link w:val="1117"/>
    <w:qFormat/>
    <w:rPr>
      <w:i/>
      <w:iCs/>
      <w:color w:val="ff0000"/>
    </w:rPr>
  </w:style>
  <w:style w:type="paragraph" w:styleId="1116" w:customStyle="1">
    <w:name w:val="Nível 3-R"/>
    <w:basedOn w:val="1070"/>
    <w:link w:val="1120"/>
    <w:qFormat/>
    <w:rPr>
      <w:i/>
      <w:iCs/>
      <w:color w:val="ff0000"/>
    </w:rPr>
  </w:style>
  <w:style w:type="character" w:styleId="1117" w:customStyle="1">
    <w:name w:val="Nível 2 -Red Char"/>
    <w:basedOn w:val="1093"/>
    <w:link w:val="1115"/>
    <w:qFormat/>
    <w:rPr>
      <w:rFonts w:ascii="Arial" w:hAnsi="Arial" w:cs="Arial"/>
      <w:i/>
      <w:iCs/>
      <w:color w:val="ff0000"/>
      <w:lang w:eastAsia="pt-BR"/>
    </w:rPr>
  </w:style>
  <w:style w:type="paragraph" w:styleId="1118" w:customStyle="1">
    <w:name w:val="Nível 4-R"/>
    <w:basedOn w:val="1071"/>
    <w:link w:val="1122"/>
    <w:qFormat/>
    <w:rPr>
      <w:i/>
      <w:iCs/>
      <w:color w:val="ff0000"/>
    </w:rPr>
  </w:style>
  <w:style w:type="character" w:styleId="1119" w:customStyle="1">
    <w:name w:val="Nivel 3 Char"/>
    <w:basedOn w:val="830"/>
    <w:link w:val="1070"/>
    <w:qFormat/>
    <w:rPr>
      <w:rFonts w:ascii="Arial" w:hAnsi="Arial" w:cs="Arial"/>
      <w:color w:val="000000"/>
      <w:lang w:eastAsia="pt-BR"/>
    </w:rPr>
  </w:style>
  <w:style w:type="character" w:styleId="1120" w:customStyle="1">
    <w:name w:val="Nível 3-R Char"/>
    <w:basedOn w:val="1119"/>
    <w:link w:val="1116"/>
    <w:qFormat/>
    <w:rPr>
      <w:rFonts w:ascii="Arial" w:hAnsi="Arial" w:cs="Arial"/>
      <w:i/>
      <w:iCs/>
      <w:color w:val="ff0000"/>
      <w:lang w:eastAsia="pt-BR"/>
    </w:rPr>
  </w:style>
  <w:style w:type="paragraph" w:styleId="1121" w:customStyle="1">
    <w:name w:val="Nível 1-Sem Num"/>
    <w:basedOn w:val="1051"/>
    <w:link w:val="1124"/>
    <w:qFormat/>
    <w:pPr>
      <w:numPr>
        <w:numId w:val="0"/>
      </w:numPr>
      <w:outlineLvl w:val="1"/>
    </w:pPr>
    <w:rPr>
      <w:color w:val="ff0000"/>
    </w:rPr>
  </w:style>
  <w:style w:type="character" w:styleId="1122" w:customStyle="1">
    <w:name w:val="Nível 4-R Char"/>
    <w:basedOn w:val="1073"/>
    <w:link w:val="1118"/>
    <w:qFormat/>
    <w:rPr>
      <w:rFonts w:ascii="Arial" w:hAnsi="Arial" w:cs="Arial"/>
      <w:i/>
      <w:iCs/>
      <w:color w:val="ff0000"/>
      <w:lang w:eastAsia="pt-BR"/>
    </w:rPr>
  </w:style>
  <w:style w:type="character" w:styleId="1123" w:customStyle="1">
    <w:name w:val="Link da Internet"/>
    <w:basedOn w:val="830"/>
    <w:uiPriority w:val="99"/>
    <w:unhideWhenUsed/>
    <w:qFormat/>
    <w:rPr>
      <w:color w:val="0000ff" w:themeColor="hyperlink"/>
      <w:u w:val="single"/>
    </w:rPr>
  </w:style>
  <w:style w:type="character" w:styleId="1124" w:customStyle="1">
    <w:name w:val="Nível 1-Sem Num Char"/>
    <w:basedOn w:val="1054"/>
    <w:link w:val="1121"/>
    <w:qFormat/>
    <w:rPr>
      <w:rFonts w:ascii="Arial" w:hAnsi="Arial" w:cs="Arial" w:eastAsiaTheme="majorEastAsia"/>
      <w:b/>
      <w:bCs/>
      <w:color w:val="ff0000"/>
      <w:spacing w:val="5"/>
      <w:sz w:val="52"/>
      <w:szCs w:val="52"/>
      <w:lang w:eastAsia="pt-BR"/>
    </w:rPr>
  </w:style>
  <w:style w:type="paragraph" w:styleId="1125" w:customStyle="1">
    <w:name w:val="citação 2"/>
    <w:basedOn w:val="1042"/>
    <w:link w:val="1129"/>
    <w:qFormat/>
    <w:rPr>
      <w:szCs w:val="20"/>
    </w:rPr>
  </w:style>
  <w:style w:type="paragraph" w:styleId="1126" w:customStyle="1">
    <w:name w:val="Preâmbulo"/>
    <w:basedOn w:val="820"/>
    <w:link w:val="1127"/>
    <w:qFormat/>
    <w:pPr>
      <w:ind w:left="4253" w:right="-17"/>
      <w:jc w:val="both"/>
      <w:spacing w:before="480" w:after="120" w:line="360" w:lineRule="auto"/>
    </w:pPr>
    <w:rPr>
      <w:rFonts w:ascii="Arial" w:hAnsi="Arial" w:eastAsia="Arial" w:cs="Arial"/>
      <w:bCs/>
      <w:sz w:val="20"/>
      <w:szCs w:val="20"/>
    </w:rPr>
  </w:style>
  <w:style w:type="character" w:styleId="1127" w:customStyle="1">
    <w:name w:val="Preâmbulo Char"/>
    <w:basedOn w:val="830"/>
    <w:link w:val="1126"/>
    <w:qFormat/>
    <w:rPr>
      <w:rFonts w:ascii="Arial" w:hAnsi="Arial" w:eastAsia="Arial" w:cs="Arial"/>
      <w:bCs/>
      <w:lang w:eastAsia="pt-BR"/>
    </w:rPr>
  </w:style>
  <w:style w:type="character" w:styleId="1128" w:customStyle="1">
    <w:name w:val="Menção Pendente5"/>
    <w:basedOn w:val="830"/>
    <w:uiPriority w:val="99"/>
    <w:semiHidden/>
    <w:unhideWhenUsed/>
    <w:qFormat/>
    <w:rPr>
      <w:color w:val="605e5c"/>
      <w:shd w:val="clear" w:color="auto" w:fill="e1dfdd"/>
    </w:rPr>
  </w:style>
  <w:style w:type="character" w:styleId="1129" w:customStyle="1">
    <w:name w:val="citação 2 Char"/>
    <w:basedOn w:val="1043"/>
    <w:link w:val="1125"/>
    <w:qFormat/>
    <w:rPr>
      <w:rFonts w:ascii="Arial" w:hAnsi="Arial" w:eastAsia="Calibri" w:cs="Tahoma"/>
      <w:i/>
      <w:iCs/>
      <w:color w:val="000000"/>
      <w:szCs w:val="24"/>
      <w:shd w:val="clear" w:color="auto" w:fill="ffffcc"/>
    </w:rPr>
  </w:style>
  <w:style w:type="paragraph" w:styleId="1130" w:customStyle="1">
    <w:name w:val="Cabeçalho do Sumário1"/>
    <w:basedOn w:val="821"/>
    <w:next w:val="820"/>
    <w:uiPriority w:val="39"/>
    <w:unhideWhenUsed/>
    <w:qFormat/>
    <w:pPr>
      <w:spacing w:before="240" w:line="259" w:lineRule="auto"/>
      <w:outlineLvl w:val="9"/>
    </w:pPr>
    <w:rPr>
      <w:b w:val="0"/>
      <w:bCs w:val="0"/>
      <w:sz w:val="32"/>
      <w:szCs w:val="32"/>
    </w:rPr>
  </w:style>
  <w:style w:type="character" w:styleId="1131" w:customStyle="1">
    <w:name w:val="Menção Pendente6"/>
    <w:basedOn w:val="830"/>
    <w:uiPriority w:val="99"/>
    <w:semiHidden/>
    <w:unhideWhenUsed/>
    <w:qFormat/>
    <w:rPr>
      <w:color w:val="605e5c"/>
      <w:shd w:val="clear" w:color="auto" w:fill="e1dfdd"/>
    </w:rPr>
  </w:style>
  <w:style w:type="character" w:styleId="1132" w:customStyle="1">
    <w:name w:val="Mention non résolue1"/>
    <w:basedOn w:val="830"/>
    <w:uiPriority w:val="99"/>
    <w:semiHidden/>
    <w:unhideWhenUsed/>
    <w:qFormat/>
    <w:rPr>
      <w:color w:val="605e5c"/>
      <w:shd w:val="clear" w:color="auto" w:fill="e1dfdd"/>
    </w:rPr>
  </w:style>
  <w:style w:type="paragraph" w:styleId="1133" w:customStyle="1">
    <w:name w:val="Nível 3"/>
    <w:link w:val="956"/>
    <w:qFormat/>
    <w:pPr>
      <w:numPr>
        <w:ilvl w:val="2"/>
        <w:numId w:val="8"/>
      </w:numPr>
      <w:ind w:left="284" w:firstLine="0"/>
      <w:jc w:val="both"/>
      <w:spacing w:before="120" w:after="120" w:line="276" w:lineRule="auto"/>
      <w:pBdr>
        <w:top w:val="none" w:color="000000" w:sz="4" w:space="0"/>
        <w:left w:val="none" w:color="000000" w:sz="4" w:space="0"/>
        <w:bottom w:val="none" w:color="000000" w:sz="4" w:space="0"/>
        <w:right w:val="none" w:color="000000" w:sz="4" w:space="0"/>
        <w:between w:val="none" w:color="000000" w:sz="4" w:space="0"/>
      </w:pBdr>
    </w:pPr>
    <w:rPr>
      <w:rFonts w:ascii="Arial" w:hAnsi="Arial" w:eastAsia="Times New Roman" w:cs="Arial"/>
    </w:rPr>
  </w:style>
  <w:style w:type="paragraph" w:styleId="1134" w:customStyle="1">
    <w:name w:val="Nível 4"/>
    <w:basedOn w:val="1133"/>
    <w:link w:val="958"/>
    <w:qFormat/>
    <w:pPr>
      <w:numPr>
        <w:ilvl w:val="3"/>
      </w:numPr>
      <w:ind w:left="567" w:firstLine="0"/>
    </w:pPr>
  </w:style>
  <w:style w:type="character" w:styleId="1135" w:customStyle="1">
    <w:name w:val="Hiperlink"/>
    <w:qFormat/>
    <w:rPr>
      <w:color w:val="0000ff"/>
      <w:u w:val="singl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 Id="rId17"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20"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constituicao/constituicaocompilado.htm" TargetMode="External"/><Relationship Id="rId26"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leis/lcp/lcp123.htm" TargetMode="External"/><Relationship Id="rId30"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constituicao/constituicaocompilado.htm" TargetMode="External"/><Relationship Id="rId32" Type="http://schemas.openxmlformats.org/officeDocument/2006/relationships/hyperlink" Target="https://www.planalto.gov.br/ccivil_03/leis/lcp/lcp123.htm" TargetMode="External"/><Relationship Id="rId33"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_ato2007-2010/2009/lei/l12187.htm" TargetMode="External"/><Relationship Id="rId35" Type="http://schemas.openxmlformats.org/officeDocument/2006/relationships/hyperlink" Target="http://www.planalto.gov.br/ccivil_03/_ato2019-2022/2021/lei/L14133.htm" TargetMode="External"/><Relationship Id="rId36" Type="http://schemas.openxmlformats.org/officeDocument/2006/relationships/hyperlink" Target="https://www.portaltransparencia.gov.br/sancoes/ceis" TargetMode="External"/><Relationship Id="rId37" Type="http://schemas.openxmlformats.org/officeDocument/2006/relationships/hyperlink" Target="https://www.portaltransparencia.gov.br/sancoes/cnep" TargetMode="External"/><Relationship Id="rId38" Type="http://schemas.openxmlformats.org/officeDocument/2006/relationships/hyperlink" Target="https://www.planalto.gov.br/ccivil_03/leis/l8429.htm" TargetMode="External"/><Relationship Id="rId39"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_ato2011-2014/2013/lei/l12846.htm" TargetMode="External"/><Relationship Id="rId46"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48"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hyperlink" Target="http://www.planalto.gov.br/ccivil_03/_ato2019-2022/2021/lei/L14133.htm" TargetMode="External"/><Relationship Id="rId50" Type="http://schemas.openxmlformats.org/officeDocument/2006/relationships/hyperlink" Target="http://licita@santabarbaradosul.rs.gov.br" TargetMode="External"/><Relationship Id="rId51" Type="http://schemas.openxmlformats.org/officeDocument/2006/relationships/hyperlink" Target="https://pregaobanrisul.com.br/" TargetMode="External"/><Relationship Id="rId52" Type="http://schemas.openxmlformats.org/officeDocument/2006/relationships/hyperlink" Target="https://pregaobanrisul.com.br/" TargetMode="External"/><Relationship Id="rId53" Type="http://schemas.openxmlformats.org/officeDocument/2006/relationships/hyperlink" Target="https://www.santabarbaradosul.rs.gov.br/site/licitacoes" TargetMode="External"/><Relationship Id="rId54" Type="http://schemas.openxmlformats.org/officeDocument/2006/relationships/hyperlink" Target="http://www.cidadecompras.com.br/" TargetMode="External"/><Relationship Id="rId55" Type="http://schemas.openxmlformats.org/officeDocument/2006/relationships/hyperlink" Target="http://www.pregaobanrisul.com.br/" TargetMode="External"/><Relationship Id="rId56" Type="http://schemas.openxmlformats.org/officeDocument/2006/relationships/hyperlink" Target="http://www.santabarbaradosul.rs.gov.br/"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 Id="rId1" Type="http://schemas.openxmlformats.org/officeDocument/2006/relationships/image" Target="media/image2.png"/></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Props1.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7281221-16E7-4BC8-9A38-B6B5D971B099}">
  <ds:schemaRefs>
    <ds:schemaRef ds:uri="http://schemas.openxmlformats.org/officeDocument/2006/bibliography"/>
  </ds:schemaRefs>
</ds:datastoreItem>
</file>

<file path=customXml/itemProps3.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4.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docProps/app.xml><?xml version="1.0" encoding="utf-8"?>
<Properties xmlns="http://schemas.openxmlformats.org/officeDocument/2006/extended-properties" xmlns:vt="http://schemas.openxmlformats.org/officeDocument/2006/docPropsVTypes">
  <Application>ONLYOFFICE/7.2.1.36</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karin</dc:creator>
  <cp:revision>15</cp:revision>
  <dcterms:created xsi:type="dcterms:W3CDTF">2024-03-14T16:37:00Z</dcterms:created>
  <dcterms:modified xsi:type="dcterms:W3CDTF">2024-03-27T11:29:49Z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y fmtid="{D5CDD505-2E9C-101B-9397-08002B2CF9AE}" pid="4" name="KSOProductBuildVer">
    <vt:lpwstr>1046-12.2.0.13359</vt:lpwstr>
  </property>
  <property fmtid="{D5CDD505-2E9C-101B-9397-08002B2CF9AE}" pid="5" name="ICV">
    <vt:lpwstr>31095916759F41F785D3FDA5FAC73A08_13</vt:lpwstr>
  </property>
</Properties>
</file>