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sz w:val="18"/>
          <w:szCs w:val="18"/>
        </w:rPr>
      </w:r>
      <w:r>
        <w:rPr>
          <w:rFonts w:ascii="Cambria" w:hAnsi="Cambria" w:cs="Cambria"/>
          <w:sz w:val="20"/>
          <w:szCs w:val="20"/>
        </w:rPr>
      </w:r>
      <w:r/>
    </w:p>
    <w:p>
      <w:pPr>
        <w:jc w:val="left"/>
      </w:pPr>
      <w:r>
        <w:rPr>
          <w:rFonts w:ascii="Cambria" w:hAnsi="Cambria" w:cs="Cambria"/>
          <w:b/>
          <w:bCs/>
          <w:color w:val="405ca1"/>
          <w:sz w:val="18"/>
          <w:szCs w:val="18"/>
        </w:rPr>
      </w:r>
      <w:r>
        <w:rPr>
          <w:rFonts w:ascii="Cambria" w:hAnsi="Cambria" w:cs="Cambria"/>
          <w:b/>
          <w:bCs/>
          <w:color w:val="405ca1"/>
          <w:sz w:val="18"/>
          <w:szCs w:val="18"/>
        </w:rPr>
      </w:r>
      <w:r/>
    </w:p>
    <w:p>
      <w:pPr>
        <w:jc w:val="cente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599015"/>
                <wp:effectExtent l="14287" t="14287" r="14287" b="14287"/>
                <wp:wrapNone/>
                <wp:docPr id="4" name=""/>
                <wp:cNvGraphicFramePr/>
                <a:graphic xmlns:a="http://schemas.openxmlformats.org/drawingml/2006/main">
                  <a:graphicData uri="http://schemas.microsoft.com/office/word/2010/wordprocessingShape">
                    <wps:wsp>
                      <wps:cNvPr id="0" name=""/>
                      <wps:cNvSpPr/>
                      <wps:spPr bwMode="auto">
                        <a:xfrm flipH="0" flipV="0">
                          <a:off x="0" y="0"/>
                          <a:ext cx="5143500" cy="7599013"/>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41.6pt;mso-position-horizontal:absolute;mso-position-vertical-relative:text;margin-top:10.2pt;mso-position-vertical:absolute;width:405.0pt;height:598.3pt;mso-wrap-distance-left:9.1pt;mso-wrap-distance-top:0.0pt;mso-wrap-distance-right:9.1pt;mso-wrap-distance-bottom:0.0pt;visibility:visible;" filled="f" strokecolor="#487BB4" strokeweight="2.25pt">
                <v:stroke dashstyle="solid"/>
              </v:shape>
            </w:pict>
          </mc:Fallback>
        </mc:AlternateContent>
      </w:r>
      <w:r>
        <w:rPr>
          <w:rFonts w:ascii="Cambria" w:hAnsi="Cambria" w:cs="Cambria"/>
          <w:b/>
          <w:bCs/>
          <w:color w:val="405ca1"/>
          <w:sz w:val="18"/>
          <w:szCs w:val="18"/>
        </w:rPr>
      </w:r>
      <w:r/>
    </w:p>
    <w:p>
      <w:pPr>
        <w:jc w:val="left"/>
      </w:pPr>
      <w:r>
        <w:rPr>
          <w:rFonts w:ascii="Cambria" w:hAnsi="Cambria" w:cs="Cambria"/>
          <w:b/>
          <w:bCs/>
          <w:color w:val="405ca1"/>
          <w:sz w:val="22"/>
          <w:szCs w:val="22"/>
        </w:rPr>
      </w:r>
      <w:r>
        <w:rPr>
          <w:rFonts w:ascii="Cambria" w:hAnsi="Cambria" w:cs="Cambria"/>
          <w:b/>
          <w:bCs/>
          <w:color w:val="405ca1"/>
          <w:sz w:val="22"/>
          <w:szCs w:val="22"/>
        </w:rPr>
      </w:r>
      <w:r/>
    </w:p>
    <w:p>
      <w:pPr>
        <w:jc w:val="center"/>
      </w:pPr>
      <w:r>
        <w:rPr>
          <w:rFonts w:ascii="Cambria" w:hAnsi="Cambria" w:cs="Cambria"/>
          <w:b/>
          <w:bCs/>
          <w:color w:val="000000" w:themeColor="text1"/>
          <w:sz w:val="14"/>
          <w:szCs w:val="14"/>
        </w:rPr>
      </w:r>
      <w:r/>
    </w:p>
    <w:p>
      <w:pPr>
        <w:jc w:val="center"/>
        <w:rPr>
          <w:rFonts w:ascii="Cambria" w:hAnsi="Cambria" w:cs="Cambria"/>
          <w:b/>
          <w:bCs/>
          <w:color w:val="000000" w:themeColor="text1"/>
          <w:sz w:val="28"/>
          <w:szCs w:val="28"/>
          <w:highlight w:val="none"/>
          <w:u w:val="single"/>
        </w:rPr>
      </w:pPr>
      <w:r>
        <w:rPr>
          <w:rFonts w:ascii="Cambria" w:hAnsi="Cambria" w:cs="Cambria"/>
          <w:b/>
          <w:bCs/>
          <w:color w:val="000000" w:themeColor="text1"/>
          <w:sz w:val="28"/>
          <w:szCs w:val="28"/>
          <w:u w:val="single"/>
        </w:rPr>
        <w:t xml:space="preserve">PREGÃO ELETRÔNICO Nº 02/2025</w:t>
      </w:r>
      <w:r/>
    </w:p>
    <w:p>
      <w:pPr>
        <w:jc w:val="center"/>
      </w:pPr>
      <w:r>
        <w:rPr>
          <w:rFonts w:ascii="Cambria" w:hAnsi="Cambria" w:cs="Cambria"/>
          <w:b/>
          <w:bCs/>
          <w:color w:val="000000" w:themeColor="text1"/>
          <w:sz w:val="28"/>
          <w:szCs w:val="28"/>
          <w:highlight w:val="none"/>
          <w:u w:val="single"/>
        </w:rPr>
        <w:t xml:space="preserve">REGISTRO DE PREÇOS 02/2025</w:t>
      </w:r>
      <w:r>
        <w:rPr>
          <w:rFonts w:ascii="Cambria" w:hAnsi="Cambria" w:cs="Cambria"/>
          <w:b/>
          <w:bCs/>
          <w:color w:val="000000" w:themeColor="text1"/>
          <w:sz w:val="28"/>
          <w:szCs w:val="28"/>
          <w:highlight w:val="none"/>
          <w:u w:val="single"/>
        </w:r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OBJETO</w:t>
      </w:r>
      <w:r/>
    </w:p>
    <w:p>
      <w:pPr>
        <w:ind w:left="1276" w:right="851" w:firstLine="0"/>
        <w:jc w:val="center"/>
      </w:pPr>
      <w:r>
        <w:rPr>
          <w:rFonts w:ascii="Cambria" w:hAnsi="Cambria" w:cs="Cambria"/>
          <w:color w:val="000000" w:themeColor="text1"/>
          <w:sz w:val="28"/>
          <w:szCs w:val="28"/>
        </w:rPr>
        <w:t xml:space="preserve">Registro de Preço para AQUISIÇÃO MÓVEIS</w:t>
      </w:r>
      <w:r/>
    </w:p>
    <w:p>
      <w:pPr>
        <w:jc w:val="center"/>
      </w:p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VALOR TOTAL DA CONTRATAÇÃO</w:t>
      </w:r>
      <w:r/>
    </w:p>
    <w:p>
      <w:pPr>
        <w:jc w:val="center"/>
      </w:pPr>
      <w:r>
        <w:rPr>
          <w:rFonts w:ascii="Cambria" w:hAnsi="Cambria" w:cs="Cambria"/>
          <w:b/>
          <w:bCs/>
          <w:color w:val="000000" w:themeColor="text1"/>
          <w:sz w:val="28"/>
          <w:szCs w:val="28"/>
        </w:rPr>
        <w:t xml:space="preserve">R$ 249.532,90</w:t>
      </w:r>
      <w:r/>
    </w:p>
    <w:p>
      <w:pPr>
        <w:jc w:val="center"/>
      </w:pPr>
      <w:r/>
      <w:r/>
    </w:p>
    <w:p>
      <w:pPr>
        <w:jc w:val="center"/>
      </w:pPr>
      <w:r/>
      <w:r/>
    </w:p>
    <w:p>
      <w:pPr>
        <w:jc w:val="center"/>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DATA DA SESSÃO PÚBLICA</w:t>
      </w:r>
      <w:r/>
    </w:p>
    <w:p>
      <w:pPr>
        <w:jc w:val="center"/>
      </w:pPr>
      <w:r>
        <w:rPr>
          <w:rFonts w:ascii="Cambria" w:hAnsi="Cambria" w:cs="Cambria"/>
          <w:b/>
          <w:bCs/>
          <w:color w:val="000000" w:themeColor="text1"/>
          <w:sz w:val="28"/>
          <w:szCs w:val="28"/>
          <w:highlight w:val="none"/>
        </w:rPr>
      </w:r>
      <w:r>
        <w:rPr>
          <w:rFonts w:ascii="Cambria" w:hAnsi="Cambria" w:cs="Cambria"/>
          <w:b/>
          <w:bCs/>
          <w:color w:val="000000" w:themeColor="text1"/>
          <w:sz w:val="28"/>
          <w:szCs w:val="28"/>
        </w:rPr>
        <w:t xml:space="preserve">06/02/</w:t>
      </w:r>
      <w:r>
        <w:rPr>
          <w:rFonts w:ascii="Cambria" w:hAnsi="Cambria" w:cs="Cambria"/>
          <w:b/>
          <w:bCs/>
          <w:color w:val="000000" w:themeColor="text1"/>
          <w:sz w:val="28"/>
          <w:szCs w:val="28"/>
        </w:rPr>
        <w:t xml:space="preserve">2025 </w:t>
      </w:r>
      <w:r>
        <w:rPr>
          <w:rFonts w:ascii="Cambria" w:hAnsi="Cambria" w:cs="Cambria"/>
          <w:color w:val="000000" w:themeColor="text1"/>
          <w:sz w:val="28"/>
          <w:szCs w:val="28"/>
        </w:rPr>
        <w:t xml:space="preserve">às </w:t>
      </w:r>
      <w:r>
        <w:rPr>
          <w:rFonts w:ascii="Cambria" w:hAnsi="Cambria" w:cs="Cambria"/>
          <w:b/>
          <w:bCs/>
          <w:color w:val="000000" w:themeColor="text1"/>
          <w:sz w:val="28"/>
          <w:szCs w:val="28"/>
        </w:rPr>
        <w:t xml:space="preserve">08h (horário de Brasília)</w:t>
      </w:r>
      <w:r>
        <w:rPr>
          <w:rFonts w:ascii="Cambria" w:hAnsi="Cambria" w:cs="Cambria"/>
          <w:b/>
          <w:bCs/>
          <w:color w:val="000000" w:themeColor="text1"/>
          <w:sz w:val="28"/>
          <w:szCs w:val="28"/>
          <w:highlight w:val="none"/>
        </w:rPr>
      </w:r>
      <w:r/>
    </w:p>
    <w:p>
      <w:pPr>
        <w:jc w:val="center"/>
      </w:pPr>
      <w:r>
        <w:rPr>
          <w:rFonts w:ascii="Cambria" w:hAnsi="Cambria" w:cs="Cambria"/>
          <w:b/>
          <w:bCs/>
          <w:color w:val="000000" w:themeColor="text1"/>
          <w:sz w:val="28"/>
          <w:szCs w:val="28"/>
        </w:rPr>
      </w:r>
      <w:r/>
    </w:p>
    <w:p>
      <w:pPr>
        <w:jc w:val="center"/>
      </w:pPr>
      <w:r>
        <w:rPr>
          <w:rFonts w:ascii="Cambria" w:hAnsi="Cambria" w:cs="Cambria"/>
          <w:b/>
          <w:bCs/>
          <w:caps/>
          <w:color w:val="000000" w:themeColor="text1"/>
          <w:sz w:val="28"/>
          <w:szCs w:val="28"/>
        </w:rPr>
      </w:r>
      <w:r/>
    </w:p>
    <w:p>
      <w:pPr>
        <w:jc w:val="center"/>
      </w:pPr>
      <w:r>
        <w:rPr>
          <w:rFonts w:ascii="Cambria" w:hAnsi="Cambria" w:cs="Cambria"/>
          <w:b/>
          <w:bCs/>
          <w:caps/>
          <w:color w:val="000000" w:themeColor="text1"/>
          <w:sz w:val="28"/>
          <w:szCs w:val="28"/>
        </w:rPr>
        <w:t xml:space="preserve">Critério de Julgamento:</w:t>
      </w:r>
      <w:r/>
    </w:p>
    <w:p>
      <w:pPr>
        <w:jc w:val="center"/>
      </w:pPr>
      <w:r>
        <w:rPr>
          <w:rFonts w:ascii="Cambria" w:hAnsi="Cambria" w:cs="Cambria"/>
          <w:color w:val="000000" w:themeColor="text1"/>
          <w:sz w:val="28"/>
          <w:szCs w:val="28"/>
        </w:rPr>
        <w:t xml:space="preserve">Menor Preço por Item</w:t>
      </w:r>
      <w:r/>
    </w:p>
    <w:p>
      <w:pPr>
        <w:jc w:val="center"/>
      </w:pPr>
      <w:r>
        <w:rPr>
          <w:rFonts w:ascii="Cambria" w:hAnsi="Cambria" w:cs="Cambria"/>
          <w:color w:val="000000" w:themeColor="text1"/>
          <w:sz w:val="28"/>
          <w:szCs w:val="28"/>
        </w:rPr>
      </w:r>
      <w:r/>
    </w:p>
    <w:p>
      <w:pPr>
        <w:jc w:val="center"/>
      </w:pPr>
      <w:r>
        <w:rPr>
          <w:rFonts w:ascii="Cambria" w:hAnsi="Cambria" w:cs="Cambria"/>
          <w:color w:val="000000" w:themeColor="text1"/>
          <w:sz w:val="28"/>
          <w:szCs w:val="28"/>
        </w:rPr>
      </w:r>
      <w:r/>
    </w:p>
    <w:p>
      <w:pPr>
        <w:jc w:val="center"/>
      </w:pPr>
      <w:r>
        <w:rPr>
          <w:rFonts w:ascii="Cambria" w:hAnsi="Cambria" w:cs="Cambria"/>
          <w:b/>
          <w:bCs/>
          <w:caps/>
          <w:color w:val="000000" w:themeColor="text1"/>
          <w:sz w:val="28"/>
          <w:szCs w:val="28"/>
        </w:rPr>
        <w:t xml:space="preserve">Modo de disputa:</w:t>
      </w:r>
      <w:r/>
    </w:p>
    <w:p>
      <w:pPr>
        <w:jc w:val="center"/>
      </w:pPr>
      <w:r>
        <w:rPr>
          <w:rFonts w:ascii="Cambria" w:hAnsi="Cambria" w:cs="Cambria"/>
          <w:color w:val="000000" w:themeColor="text1"/>
          <w:sz w:val="28"/>
          <w:szCs w:val="28"/>
        </w:rPr>
        <w:t xml:space="preserve">Aberto</w:t>
      </w:r>
      <w:r/>
    </w:p>
    <w:p>
      <w:pPr>
        <w:jc w:val="center"/>
      </w:pPr>
      <w:r>
        <w:rPr>
          <w:sz w:val="28"/>
          <w:szCs w:val="28"/>
          <w:highlight w:val="none"/>
        </w:rPr>
      </w:r>
      <w:r/>
    </w:p>
    <w:p>
      <w:pPr>
        <w:jc w:val="center"/>
      </w:pPr>
      <w:r>
        <w:rPr>
          <w:sz w:val="28"/>
          <w:szCs w:val="28"/>
          <w:highlight w:val="none"/>
        </w:rPr>
      </w:r>
      <w:r/>
    </w:p>
    <w:p>
      <w:pPr>
        <w:jc w:val="center"/>
      </w:pPr>
      <w:r>
        <w:rPr>
          <w:rFonts w:ascii="Cambria" w:hAnsi="Cambria" w:cs="Cambria"/>
          <w:b/>
          <w:bCs/>
          <w:sz w:val="28"/>
          <w:szCs w:val="28"/>
          <w:highlight w:val="none"/>
        </w:rPr>
        <w:t xml:space="preserve">PLATAFORMA:</w:t>
      </w:r>
      <w:r/>
    </w:p>
    <w:p>
      <w:pPr>
        <w:jc w:val="center"/>
        <w:rPr>
          <w:highlight w:val="none"/>
        </w:rPr>
      </w:pPr>
      <w:r>
        <w:rPr>
          <w:rFonts w:ascii="Cambria" w:hAnsi="Cambria" w:cs="Cambria"/>
          <w:sz w:val="28"/>
          <w:szCs w:val="28"/>
          <w:highlight w:val="none"/>
        </w:rPr>
      </w:r>
      <w:r>
        <w:rPr>
          <w:rFonts w:ascii="Cambria" w:hAnsi="Cambria" w:cs="Cambria"/>
          <w:sz w:val="28"/>
          <w:szCs w:val="28"/>
          <w:highlight w:val="none"/>
        </w:rPr>
      </w:r>
      <w:hyperlink r:id="rId17" w:tooltip="https://pregaobanrisul.com.br/" w:history="1">
        <w:r>
          <w:rPr>
            <w:rStyle w:val="1168"/>
            <w:rFonts w:ascii="Cambria" w:hAnsi="Cambria" w:cs="Cambria"/>
          </w:rPr>
          <w:t xml:space="preserve">https://pregaobanrisul.com.br/</w:t>
        </w:r>
        <w:r>
          <w:rPr>
            <w:rStyle w:val="1168"/>
            <w:rFonts w:ascii="Cambria" w:hAnsi="Cambria" w:cs="Cambria"/>
          </w:rPr>
        </w:r>
      </w:hyperlink>
      <w:r>
        <w:rPr>
          <w:rFonts w:ascii="Cambria" w:hAnsi="Cambria" w:cs="Cambria"/>
        </w:rPr>
      </w:r>
      <w:r/>
    </w:p>
    <w:p>
      <w:pPr>
        <w:jc w:val="left"/>
      </w:pPr>
      <w:r>
        <w:rPr>
          <w:rFonts w:ascii="Cambria" w:hAnsi="Cambria" w:cs="Cambria"/>
          <w:sz w:val="28"/>
          <w:szCs w:val="28"/>
          <w:highlight w:val="none"/>
        </w:rPr>
      </w:r>
      <w:r>
        <w:rPr>
          <w:rFonts w:ascii="Cambria" w:hAnsi="Cambria" w:cs="Cambria"/>
          <w:sz w:val="28"/>
          <w:szCs w:val="28"/>
          <w:highlight w:val="none"/>
        </w:rPr>
      </w:r>
      <w:r/>
    </w:p>
    <w:p>
      <w:pPr>
        <w:jc w:val="center"/>
      </w:pPr>
      <w:r/>
      <w:r/>
    </w:p>
    <w:p>
      <w:pPr>
        <w:jc w:val="center"/>
      </w:pPr>
      <w:r>
        <w:rPr>
          <w:rFonts w:ascii="Cambria" w:hAnsi="Cambria" w:cs="Cambria"/>
          <w:sz w:val="28"/>
          <w:szCs w:val="28"/>
        </w:rPr>
      </w:r>
      <w:r/>
    </w:p>
    <w:p>
      <w:pPr>
        <w:jc w:val="center"/>
      </w:pPr>
      <w:r>
        <w:rPr>
          <w:rFonts w:ascii="Cambria" w:hAnsi="Cambria" w:cs="Cambria"/>
          <w:b/>
          <w:bCs/>
          <w:sz w:val="28"/>
          <w:szCs w:val="28"/>
          <w:highlight w:val="none"/>
        </w:rPr>
        <w:t xml:space="preserve">PREGOEIRA </w:t>
      </w:r>
      <w:r/>
    </w:p>
    <w:p>
      <w:pPr>
        <w:jc w:val="center"/>
      </w:pPr>
      <w:r>
        <w:rPr>
          <w:rFonts w:ascii="Cambria" w:hAnsi="Cambria" w:cs="Cambria"/>
          <w:sz w:val="28"/>
          <w:szCs w:val="28"/>
          <w:highlight w:val="none"/>
        </w:rPr>
        <w:t xml:space="preserve">VIVIAN LIMA VARGAS</w:t>
      </w:r>
      <w:r/>
    </w:p>
    <w:p>
      <w:pPr>
        <w:jc w:val="left"/>
      </w:pPr>
      <w:r/>
      <w:r/>
    </w:p>
    <w:p>
      <w:pPr>
        <w:jc w:val="left"/>
      </w:pPr>
      <w:r/>
      <w:r/>
    </w:p>
    <w:p>
      <w:pPr>
        <w:jc w:val="left"/>
      </w:pPr>
      <w:r>
        <w:rPr>
          <w:rFonts w:ascii="Cambria" w:hAnsi="Cambria" w:cs="Cambria"/>
          <w:b/>
          <w:bCs/>
          <w:color w:val="000000" w:themeColor="text1"/>
          <w:sz w:val="28"/>
          <w:szCs w:val="28"/>
        </w:rPr>
      </w:r>
      <w:r/>
    </w:p>
    <w:p>
      <w:pPr>
        <w:jc w:val="center"/>
      </w:pPr>
      <w:r>
        <w:rPr>
          <w:rFonts w:ascii="Cambria" w:hAnsi="Cambria" w:cs="Cambria"/>
          <w:b/>
          <w:bCs/>
          <w:color w:val="000000" w:themeColor="text1"/>
          <w:sz w:val="28"/>
          <w:szCs w:val="28"/>
        </w:rPr>
        <w:t xml:space="preserve">TRATAMENTO ME/EPP/EQUIPARADAS</w:t>
      </w:r>
      <w:r/>
    </w:p>
    <w:p>
      <w:pPr>
        <w:jc w:val="center"/>
        <w:rPr>
          <w:rFonts w:ascii="Cambria" w:hAnsi="Cambria" w:cs="Cambria"/>
          <w:b w:val="0"/>
          <w:bCs w:val="0"/>
          <w:color w:val="000000" w:themeColor="text1"/>
          <w:sz w:val="28"/>
          <w:szCs w:val="28"/>
        </w:rPr>
      </w:pPr>
      <w:r>
        <w:rPr>
          <w:rFonts w:ascii="Cambria" w:hAnsi="Cambria" w:cs="Cambria"/>
          <w:b w:val="0"/>
          <w:bCs w:val="0"/>
          <w:color w:val="000000" w:themeColor="text1"/>
          <w:sz w:val="28"/>
          <w:szCs w:val="28"/>
        </w:rPr>
        <w:t xml:space="preserve">EXCLUSIVA PARA TODOOS OS ITENS</w:t>
      </w:r>
      <w:r/>
    </w:p>
    <w:p>
      <w:pPr>
        <w:jc w:val="center"/>
        <w:rPr>
          <w:rFonts w:ascii="Cambria" w:hAnsi="Cambria" w:cs="Cambria"/>
          <w:bCs/>
          <w:color w:val="000000" w:themeColor="text1"/>
          <w:highlight w:val="none"/>
        </w:rPr>
      </w:pPr>
      <w:r>
        <w:rPr>
          <w:rFonts w:ascii="Cambria" w:hAnsi="Cambria" w:cs="Cambria"/>
          <w:b/>
          <w:bCs/>
          <w:color w:val="000000" w:themeColor="text1"/>
          <w:sz w:val="18"/>
          <w:szCs w:val="18"/>
        </w:rPr>
      </w:r>
      <w:r>
        <w:rPr>
          <w:rFonts w:ascii="Cambria" w:hAnsi="Cambria" w:cs="Cambria"/>
          <w:b w:val="0"/>
          <w:bCs/>
          <w:i/>
          <w:caps/>
          <w:color w:val="000000" w:themeColor="text1"/>
          <w:sz w:val="28"/>
          <w:szCs w:val="28"/>
          <w:highlight w:val="none"/>
          <w:u w:val="single"/>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0"/>
        <w:jc w:val="left"/>
        <w:rPr>
          <w:rFonts w:ascii="Cambria" w:hAnsi="Cambria" w:cs="Cambria"/>
          <w:b/>
          <w:bCs/>
          <w:color w:val="000000"/>
          <w:sz w:val="18"/>
          <w:szCs w:val="18"/>
          <w:highlight w:val="none"/>
        </w:rPr>
      </w:pPr>
      <w:r>
        <w:rPr>
          <w:rFonts w:ascii="Cambria" w:hAnsi="Cambria" w:cs="Cambria"/>
          <w:b/>
          <w:color w:val="000000"/>
          <w:sz w:val="18"/>
          <w:szCs w:val="18"/>
          <w:highlight w:val="none"/>
        </w:rPr>
      </w:r>
      <w:r>
        <w:rPr>
          <w:rFonts w:ascii="Cambria" w:hAnsi="Cambria" w:cs="Cambria"/>
          <w:b/>
          <w:color w:val="000000"/>
          <w:sz w:val="18"/>
          <w:szCs w:val="18"/>
          <w:highlight w:val="none"/>
        </w:rPr>
      </w:r>
      <w:r/>
    </w:p>
    <w:p>
      <w:pPr>
        <w:ind w:firstLine="567"/>
        <w:jc w:val="center"/>
        <w:rPr>
          <w:rFonts w:ascii="Cambria" w:hAnsi="Cambria" w:cs="Cambria"/>
          <w:b/>
          <w:bCs/>
          <w:color w:val="000000"/>
          <w:sz w:val="18"/>
          <w:szCs w:val="18"/>
          <w:highlight w:val="none"/>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02/2025.</w:t>
      </w:r>
      <w:r>
        <w:rPr>
          <w:rFonts w:ascii="Cambria" w:hAnsi="Cambria" w:cs="Cambria"/>
          <w:sz w:val="20"/>
          <w:szCs w:val="20"/>
        </w:rPr>
      </w:r>
      <w:r/>
    </w:p>
    <w:p>
      <w:pPr>
        <w:ind w:firstLine="567"/>
        <w:jc w:val="center"/>
        <w:rPr>
          <w:rFonts w:ascii="Cambria" w:hAnsi="Cambria" w:cs="Cambria"/>
          <w:color w:val="000000"/>
          <w:sz w:val="18"/>
          <w:szCs w:val="18"/>
          <w:highlight w:val="none"/>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°02/2025)</w:t>
      </w:r>
      <w:r>
        <w:rPr>
          <w:rFonts w:ascii="Cambria" w:hAnsi="Cambria" w:cs="Cambria"/>
          <w:sz w:val="20"/>
          <w:szCs w:val="20"/>
        </w:rPr>
      </w:r>
      <w:r/>
    </w:p>
    <w:p>
      <w:pPr>
        <w:ind w:firstLine="567"/>
        <w:jc w:val="center"/>
        <w:rPr>
          <w:rFonts w:ascii="Cambria" w:hAnsi="Cambria" w:cs="Cambria"/>
          <w:sz w:val="20"/>
          <w:szCs w:val="20"/>
          <w:highlight w:val="none"/>
        </w:rPr>
      </w:pPr>
      <w:r>
        <w:rPr>
          <w:rFonts w:ascii="Cambria" w:hAnsi="Cambria" w:cs="Cambria"/>
          <w:bCs/>
          <w:color w:val="000000"/>
          <w:sz w:val="18"/>
          <w:szCs w:val="18"/>
          <w:highlight w:val="none"/>
        </w:rPr>
        <w:t xml:space="preserve">(Registro de Preço nº02/2025)</w:t>
      </w:r>
      <w:r>
        <w:rPr>
          <w:rFonts w:ascii="Cambria" w:hAnsi="Cambria" w:cs="Cambria"/>
          <w:bCs/>
          <w:color w:val="000000"/>
          <w:sz w:val="18"/>
          <w:szCs w:val="18"/>
          <w:highlight w:val="none"/>
        </w:rPr>
      </w:r>
      <w:r/>
    </w:p>
    <w:p>
      <w:pPr>
        <w:ind w:firstLine="0"/>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10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Cambria" w:hAnsi="Cambria" w:cs="Cambria"/>
          <w:color w:val="000000" w:themeColor="text1"/>
          <w:sz w:val="18"/>
          <w:szCs w:val="18"/>
        </w:rPr>
        <w:t xml:space="preserve"> </w:t>
      </w:r>
      <w:r>
        <w:rPr>
          <w:rFonts w:ascii="Cambria" w:hAnsi="Cambria" w:cs="Cambria"/>
          <w:sz w:val="18"/>
          <w:szCs w:val="18"/>
        </w:rPr>
        <w:t xml:space="preserve">para </w:t>
      </w:r>
      <w:r>
        <w:rPr>
          <w:rFonts w:ascii="Cambria" w:hAnsi="Cambria" w:cs="Cambria"/>
          <w:b/>
          <w:bCs/>
          <w:i/>
          <w:iCs/>
          <w:sz w:val="18"/>
          <w:szCs w:val="18"/>
        </w:rPr>
        <w:t xml:space="preserve">AQUISIÇÃO DE MÓVEIS</w:t>
      </w:r>
      <w:r>
        <w:rPr>
          <w:rFonts w:ascii="Cambria" w:hAnsi="Cambria" w:cs="Cambria"/>
          <w:sz w:val="18"/>
          <w:szCs w:val="18"/>
        </w:rPr>
        <w:t xml:space="preserve">, 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8" w:tooltip="http://www.planalto.gov.br/ccivil_03/_ato2019-2022/2021/lei/L14133.htm" w:history="1">
        <w:r>
          <w:rPr>
            <w:rStyle w:val="901"/>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2024, e demais legislações aplicáveis e, ainda, de acordo com as condições estabelecidas neste Edital</w:t>
      </w:r>
      <w:r>
        <w:rPr>
          <w:rFonts w:ascii="Cambria" w:hAnsi="Cambria" w:eastAsia="Times New Roman" w:cs="Cambria"/>
          <w:sz w:val="18"/>
          <w:szCs w:val="18"/>
        </w:rPr>
        <w:t xml:space="preserve">.</w:t>
      </w:r>
      <w:r>
        <w:rPr>
          <w:rFonts w:ascii="Cambria" w:hAnsi="Cambria" w:cs="Cambria"/>
          <w:sz w:val="16"/>
          <w:szCs w:val="16"/>
        </w:rPr>
      </w:r>
      <w:r/>
    </w:p>
    <w:p>
      <w:pPr>
        <w:pStyle w:val="1102"/>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85"/>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085"/>
        <w:numPr>
          <w:ilvl w:val="1"/>
          <w:numId w:val="2"/>
        </w:numPr>
        <w:ind w:left="0" w:firstLine="0"/>
        <w:spacing w:before="0" w:after="0" w:line="240" w:lineRule="auto"/>
        <w:rPr>
          <w:rFonts w:ascii="Cambria" w:hAnsi="Cambria" w:cs="Cambria"/>
          <w:sz w:val="18"/>
          <w:szCs w:val="18"/>
        </w:rPr>
      </w:pPr>
      <w:r>
        <w:rPr>
          <w:rFonts w:ascii="Cambria" w:hAnsi="Cambria" w:cs="Cambria"/>
          <w:b w:val="0"/>
          <w:bCs w:val="0"/>
          <w:sz w:val="18"/>
          <w:szCs w:val="18"/>
        </w:rPr>
        <w:t xml:space="preserve">O objeto da presente licitação é para </w:t>
      </w:r>
      <w:r>
        <w:rPr>
          <w:rFonts w:ascii="Cambria" w:hAnsi="Cambria" w:cs="Cambria"/>
          <w:b/>
          <w:bCs/>
          <w:sz w:val="18"/>
          <w:szCs w:val="18"/>
        </w:rPr>
        <w:t xml:space="preserve">AQUISIÇÃO DE MÓVEIS</w:t>
      </w:r>
      <w:r>
        <w:rPr>
          <w:rFonts w:ascii="Cambria" w:hAnsi="Cambria" w:cs="Cambria"/>
          <w:b w:val="0"/>
          <w:bCs w:val="0"/>
          <w:sz w:val="18"/>
          <w:szCs w:val="18"/>
        </w:rPr>
        <w:t xml:space="preserve">, conforme condições, quantidades e exigências estabelecidas neste Edital e seus anexos.</w:t>
      </w:r>
      <w:r>
        <w:rPr>
          <w:rFonts w:ascii="Cambria" w:hAnsi="Cambria" w:cs="Cambria"/>
          <w:sz w:val="16"/>
          <w:szCs w:val="16"/>
        </w:rPr>
      </w:r>
      <w:r/>
    </w:p>
    <w:p>
      <w:pPr>
        <w:pStyle w:val="1149"/>
        <w:numPr>
          <w:ilvl w:val="0"/>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A licitação será dividida em ITENS, conforme tabela constante do Termo de Referência, facultando-se ao licitante a participação em quantos ITENS forem de seu interesse.</w:t>
      </w:r>
      <w:r>
        <w:rPr>
          <w:rFonts w:ascii="Cambria" w:hAnsi="Cambria" w:cs="Cambria"/>
          <w:sz w:val="16"/>
          <w:szCs w:val="16"/>
        </w:rPr>
      </w:r>
      <w:r/>
    </w:p>
    <w:p>
      <w:pPr>
        <w:pStyle w:val="1149"/>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085"/>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085"/>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102"/>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085"/>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eastAsia="CIDFont" w:cs="Cambria"/>
          <w:color w:val="000000" w:themeColor="text1"/>
          <w:sz w:val="18"/>
          <w:szCs w:val="18"/>
          <w:highlight w:val="none"/>
          <w:lang w:eastAsia="zh-CN" w:bidi="ar"/>
        </w:rPr>
      </w:pPr>
      <w:r>
        <w:rPr>
          <w:rFonts w:ascii="Cambria" w:hAnsi="Cambria" w:cs="Cambria"/>
          <w:sz w:val="20"/>
          <w:szCs w:val="20"/>
        </w:rPr>
      </w:r>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w:t>
      </w:r>
      <w:r>
        <w:rPr>
          <w:rFonts w:ascii="Cambria" w:hAnsi="Cambria" w:eastAsia="CIDFont" w:cs="Cambria"/>
          <w:color w:val="000000" w:themeColor="text1"/>
          <w:sz w:val="18"/>
          <w:szCs w:val="18"/>
          <w:lang w:eastAsia="zh-CN" w:bidi="ar"/>
        </w:rPr>
        <w:t xml:space="preserve">ao sistema eletrônico, no site </w:t>
      </w:r>
      <w:r>
        <w:rPr>
          <w:rFonts w:ascii="Cambria" w:hAnsi="Cambria" w:eastAsia="CIDFont" w:cs="Cambria"/>
          <w:color w:val="000000" w:themeColor="text1"/>
          <w:sz w:val="18"/>
          <w:szCs w:val="18"/>
          <w:lang w:eastAsia="zh-CN" w:bidi="ar"/>
        </w:rPr>
      </w:r>
      <w:hyperlink r:id="rId19" w:tooltip="https://pregaobanrisul.com.br/" w:history="1">
        <w:r>
          <w:rPr>
            <w:rStyle w:val="1168"/>
            <w:rFonts w:ascii="Cambria" w:hAnsi="Cambria" w:eastAsia="CIDFont" w:cs="Cambria"/>
            <w:color w:val="000000" w:themeColor="text1"/>
            <w:sz w:val="18"/>
            <w:szCs w:val="18"/>
            <w:lang w:eastAsia="zh-CN" w:bidi="ar"/>
          </w:rPr>
          <w:t xml:space="preserve">https://pregaobanrisul.com.br/</w:t>
        </w:r>
        <w:r>
          <w:rPr>
            <w:rStyle w:val="1168"/>
            <w:rFonts w:ascii="Cambria" w:hAnsi="Cambria" w:eastAsia="CIDFont" w:cs="Cambria"/>
            <w:color w:val="000000" w:themeColor="text1"/>
            <w:sz w:val="18"/>
            <w:szCs w:val="18"/>
            <w:lang w:eastAsia="zh-CN" w:bidi="ar"/>
          </w:rPr>
        </w:r>
        <w:r>
          <w:rPr>
            <w:rStyle w:val="1168"/>
          </w:rPr>
        </w:r>
      </w:hyperlink>
      <w:r>
        <w:rPr>
          <w:rFonts w:ascii="Cambria" w:hAnsi="Cambria" w:eastAsia="CIDFont" w:cs="Cambria"/>
          <w:color w:val="000000" w:themeColor="text1"/>
          <w:sz w:val="18"/>
          <w:szCs w:val="18"/>
          <w:highlight w:val="none"/>
          <w:lang w:eastAsia="zh-CN" w:bidi="ar"/>
        </w:rPr>
      </w:r>
      <w:r/>
    </w:p>
    <w:p>
      <w:pPr>
        <w:pStyle w:val="110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150"/>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104"/>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901"/>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901"/>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102"/>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85"/>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085"/>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085"/>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14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901"/>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3" w:tooltip="https://www.planalto.gov.br/ccivil_03/constituicao/constituicaocompilado.htm" w:history="1">
        <w:r>
          <w:rPr>
            <w:rStyle w:val="901"/>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149"/>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49"/>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901"/>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149"/>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901"/>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901"/>
          <w:rFonts w:ascii="Cambria" w:hAnsi="Cambria" w:cs="Cambria"/>
          <w:sz w:val="18"/>
          <w:szCs w:val="18"/>
        </w:rPr>
        <w:t xml:space="preserve">arts. 42 a 49</w:t>
      </w:r>
      <w:r>
        <w:rPr>
          <w:rStyle w:val="901"/>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6" w:tooltip="http://www.planalto.gov.br/ccivil_03/_ato2019-2022/2021/lei/L14133.htm#art4§1" w:anchor="art4§1" w:history="1">
        <w:r>
          <w:rPr>
            <w:rStyle w:val="901"/>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7" w:tooltip="http://www.planalto.gov.br/ccivil_03/_ato2019-2022/2021/lei/L14133.htm" w:history="1">
        <w:r>
          <w:rPr>
            <w:rStyle w:val="90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14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49"/>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149"/>
        <w:numPr>
          <w:ilvl w:val="2"/>
          <w:numId w:val="2"/>
        </w:numPr>
        <w:spacing w:before="0" w:after="0" w:line="240" w:lineRule="auto"/>
        <w:rPr>
          <w:rStyle w:val="1095"/>
          <w:rFonts w:ascii="Cambria" w:hAnsi="Cambria" w:cs="Cambria"/>
          <w:i w:val="0"/>
          <w:color w:val="000000" w:themeColor="text1"/>
          <w:sz w:val="18"/>
          <w:szCs w:val="18"/>
          <w:u w:val="single"/>
        </w:rPr>
      </w:pPr>
      <w:r>
        <w:rPr>
          <w:rStyle w:val="1095"/>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901"/>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149"/>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49"/>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14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49"/>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149"/>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149"/>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14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149"/>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149"/>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149"/>
        <w:numPr>
          <w:ilvl w:val="2"/>
          <w:numId w:val="2"/>
        </w:numPr>
        <w:spacing w:before="0" w:after="0" w:line="240" w:lineRule="auto"/>
        <w:rPr>
          <w:rStyle w:val="901"/>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901"/>
            <w:rFonts w:ascii="Cambria" w:hAnsi="Cambria" w:eastAsia="Zurich BT" w:cs="Cambria"/>
            <w:i w:val="0"/>
            <w:iCs w:val="0"/>
            <w:color w:val="000000" w:themeColor="text1"/>
            <w:sz w:val="18"/>
            <w:szCs w:val="18"/>
          </w:rPr>
          <w:t xml:space="preserve">arts. 44 e 45 da Lei Complementar nº 123, de 2006</w:t>
        </w:r>
      </w:hyperlink>
      <w:r>
        <w:rPr>
          <w:rStyle w:val="901"/>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30" w:tooltip="http://www.planalto.gov.br/ccivil_03/_ato2019-2022/2021/lei/L14133.htm#art60" w:anchor="art60" w:history="1">
        <w:r>
          <w:rPr>
            <w:rStyle w:val="901"/>
            <w:rFonts w:ascii="Cambria" w:hAnsi="Cambria" w:eastAsia="Arial" w:cs="Cambria"/>
            <w:i w:val="0"/>
            <w:iCs w:val="0"/>
            <w:color w:val="000000" w:themeColor="text1"/>
            <w:sz w:val="18"/>
            <w:szCs w:val="18"/>
          </w:rPr>
          <w:t xml:space="preserve">art</w:t>
        </w:r>
        <w:r>
          <w:rPr>
            <w:rStyle w:val="901"/>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149"/>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901"/>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149"/>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b/>
          <w:bCs/>
          <w:i w:val="0"/>
          <w:iCs w:val="0"/>
          <w:color w:val="000000" w:themeColor="text1"/>
          <w:sz w:val="18"/>
          <w:szCs w:val="18"/>
        </w:rPr>
        <w:t xml:space="preserve">30 (trinta) minutos</w:t>
      </w:r>
      <w:r>
        <w:rPr>
          <w:rFonts w:ascii="Cambria" w:hAnsi="Cambria" w:cs="Cambria"/>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i/>
          <w:color w:val="000000" w:themeColor="text1"/>
          <w:sz w:val="18"/>
          <w:szCs w:val="18"/>
          <w:u w:val="single"/>
        </w:rPr>
      </w:pPr>
      <w:r>
        <w:rPr>
          <w:rFonts w:ascii="Cambria" w:hAnsi="Cambria" w:cs="Cambria"/>
          <w:b/>
          <w:bCs/>
          <w:i/>
          <w:iCs/>
          <w:color w:val="000000" w:themeColor="text1"/>
          <w:sz w:val="18"/>
          <w:szCs w:val="18"/>
          <w:u w:val="single"/>
        </w:rPr>
      </w:r>
      <w:r>
        <w:rPr>
          <w:rFonts w:ascii="Cambria" w:hAnsi="Cambria" w:cs="Cambria"/>
          <w:b/>
          <w:bCs/>
          <w:i/>
          <w:iCs/>
          <w:color w:val="000000" w:themeColor="text1"/>
          <w:sz w:val="18"/>
          <w:szCs w:val="18"/>
          <w:u w:val="single"/>
        </w:rPr>
        <w:t xml:space="preserve">É facultado ao pregoeiro prorrogar o prazo estabelecido, a partir de solicitação fundamentada feita no chat </w:t>
      </w:r>
      <w:r>
        <w:rPr>
          <w:rFonts w:ascii="Cambria" w:hAnsi="Cambria" w:cs="Cambria"/>
          <w:b/>
          <w:bCs/>
          <w:i/>
          <w:iCs/>
          <w:color w:val="000000" w:themeColor="text1"/>
          <w:sz w:val="18"/>
          <w:szCs w:val="18"/>
          <w:u w:val="single"/>
        </w:rPr>
        <w:t xml:space="preserve">ou através de e-mail </w:t>
      </w:r>
      <w:r>
        <w:rPr>
          <w:rFonts w:ascii="Cambria" w:hAnsi="Cambria" w:cs="Cambria"/>
          <w:b/>
          <w:bCs/>
          <w:i/>
          <w:iCs/>
          <w:color w:val="000000" w:themeColor="text1"/>
          <w:sz w:val="18"/>
          <w:szCs w:val="18"/>
          <w:u w:val="single"/>
        </w:rPr>
        <w:t xml:space="preserve">pelo licitante, antes de findo o prazo.</w:t>
      </w:r>
      <w:r>
        <w:rPr>
          <w:b/>
          <w:bCs/>
          <w:i/>
          <w:iCs/>
          <w:u w:val="single"/>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901"/>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3" w:tooltip="https://www.portaltransparencia.gov.br/sancoes/ceis" w:history="1">
        <w:r>
          <w:rPr>
            <w:rStyle w:val="901"/>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4" w:tooltip="https://www.portaltransparencia.gov.br/sancoes/cnep" w:history="1">
        <w:r>
          <w:rPr>
            <w:rStyle w:val="901"/>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901"/>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w:t>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w:t>
      </w:r>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w:t>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901"/>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901"/>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30 (trinta) minutos</w:t>
      </w:r>
      <w:r>
        <w:rPr>
          <w:rFonts w:ascii="Cambria" w:hAnsi="Cambria" w:cs="Cambria"/>
          <w:i w:val="0"/>
          <w:iCs w:val="0"/>
          <w:color w:val="000000" w:themeColor="text1"/>
          <w:sz w:val="18"/>
          <w:szCs w:val="18"/>
        </w:rPr>
        <w:t xml:space="preserve">, sem prorrogação de deste prazo.</w:t>
      </w:r>
      <w:r/>
    </w:p>
    <w:p>
      <w:pPr>
        <w:pStyle w:val="1149"/>
        <w:numPr>
          <w:ilvl w:val="2"/>
          <w:numId w:val="40"/>
        </w:numPr>
        <w:ind w:left="999" w:hanging="432"/>
        <w:spacing w:before="0" w:after="0" w:line="240" w:lineRule="auto"/>
        <w:rPr>
          <w:rFonts w:ascii="Cambria" w:hAnsi="Cambria" w:cs="Cambria"/>
          <w:bCs/>
          <w:color w:val="000000"/>
        </w:rPr>
      </w:pPr>
      <w:r>
        <w:rPr>
          <w:rFonts w:ascii="Cambria" w:hAnsi="Cambria" w:cs="Cambria"/>
          <w:b/>
          <w:bCs/>
          <w:i/>
          <w:iCs/>
          <w:color w:val="000000" w:themeColor="text1"/>
          <w:sz w:val="18"/>
          <w:szCs w:val="18"/>
          <w:u w:val="single"/>
        </w:rPr>
      </w:r>
      <w:r>
        <w:rPr>
          <w:rFonts w:ascii="Cambria" w:hAnsi="Cambria" w:cs="Cambria"/>
          <w:b/>
          <w:bCs/>
          <w:i/>
          <w:iCs/>
          <w:color w:val="000000" w:themeColor="text1"/>
          <w:sz w:val="18"/>
          <w:szCs w:val="18"/>
          <w:u w:val="single"/>
        </w:rPr>
        <w:t xml:space="preserve">É facultado ao pregoeiro prorrogar o prazo estabelecido, a partir de solicitação fundamentada feita no chat ou através de e-mail,  pelo licitante, antes de findo o prazo.</w:t>
      </w:r>
      <w:r>
        <w:rPr>
          <w:rFonts w:ascii="Cambria" w:hAnsi="Cambria" w:cs="Cambria"/>
          <w:b/>
          <w:bCs/>
          <w:i/>
          <w:color w:val="000000" w:themeColor="text1"/>
          <w:sz w:val="18"/>
          <w:szCs w:val="18"/>
          <w:u w:val="single"/>
        </w:rPr>
      </w:r>
      <w:r/>
    </w:p>
    <w:p>
      <w:pPr>
        <w:pStyle w:val="114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highlight w:val="none"/>
        </w:rPr>
      </w:r>
      <w:r>
        <w:rPr>
          <w:rFonts w:ascii="Cambria" w:hAnsi="Cambria" w:cs="Cambria"/>
          <w:i w:val="0"/>
          <w:iCs w:val="0"/>
          <w:color w:val="000000" w:themeColor="text1"/>
          <w:sz w:val="18"/>
          <w:szCs w:val="18"/>
          <w:highlight w:val="none"/>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901"/>
            <w:rFonts w:ascii="Cambria" w:hAnsi="Cambria" w:cs="Cambria"/>
            <w:b w:val="0"/>
            <w:bCs w:val="0"/>
            <w:i w:val="0"/>
            <w:iCs w:val="0"/>
            <w:color w:val="000000" w:themeColor="text1"/>
            <w:sz w:val="18"/>
            <w:szCs w:val="18"/>
          </w:rPr>
          <w:t xml:space="preserve">Lei 14.133/21, art. 64</w:t>
        </w:r>
      </w:hyperlink>
      <w:r>
        <w:rPr>
          <w:rStyle w:val="901"/>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43" w:name="_Toc135469231"/>
      <w:r>
        <w:rPr>
          <w:rFonts w:ascii="Cambria" w:hAnsi="Cambria" w:cs="Cambria"/>
          <w:b/>
          <w:bCs/>
          <w:i w:val="0"/>
          <w:iCs w:val="0"/>
          <w:color w:val="000000" w:themeColor="text1"/>
          <w:sz w:val="18"/>
          <w:szCs w:val="18"/>
        </w:rPr>
        <w:t xml:space="preserve">DA ATA DE REGISTRO DE PREÇOS</w:t>
      </w:r>
      <w:bookmarkEnd w:id="43"/>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Homologado o resultado da licitação, o licitante melhor classificado terá o prazo de 05 (cin</w:t>
      </w:r>
      <w:r>
        <w:rPr>
          <w:rFonts w:ascii="Cambria" w:hAnsi="Cambria" w:cs="Cambria"/>
          <w:i w:val="0"/>
          <w:iCs w:val="0"/>
          <w:color w:val="000000" w:themeColor="text1"/>
          <w:sz w:val="18"/>
          <w:szCs w:val="18"/>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de convocação poderá ser prorrogado uma vez, por igual período, mediante solicitação do licitante mais bem classificado ou do fornecedor convocado, desde que:</w:t>
      </w:r>
      <w:r>
        <w:rPr>
          <w:rFonts w:ascii="Cambria" w:hAnsi="Cambria" w:cs="Cambria"/>
          <w:sz w:val="16"/>
          <w:szCs w:val="16"/>
        </w:rPr>
      </w:r>
      <w:r/>
    </w:p>
    <w:p>
      <w:pPr>
        <w:pStyle w:val="1102"/>
        <w:numPr>
          <w:ilvl w:val="1"/>
          <w:numId w:val="0"/>
        </w:numPr>
        <w:ind w:left="2126"/>
        <w:spacing w:before="0" w:after="0" w:line="240" w:lineRule="auto"/>
        <w:rPr>
          <w:rFonts w:ascii="Cambria" w:hAnsi="Cambria" w:cs="Cambria"/>
          <w:bCs w:val="0"/>
          <w:i w:val="0"/>
          <w:color w:val="000000" w:themeColor="text1"/>
          <w:sz w:val="16"/>
          <w:szCs w:val="16"/>
        </w:rPr>
      </w:pPr>
      <w:r>
        <w:rPr>
          <w:rFonts w:ascii="Cambria" w:hAnsi="Cambria" w:cs="Cambria"/>
          <w:i w:val="0"/>
          <w:iCs w:val="0"/>
          <w:color w:val="000000" w:themeColor="text1"/>
          <w:sz w:val="18"/>
          <w:szCs w:val="18"/>
        </w:rPr>
        <w:t xml:space="preserve">(a) a solicitação seja devidamente justificada e apresentada dentro do prazo; e</w:t>
      </w:r>
      <w:r>
        <w:rPr>
          <w:rFonts w:ascii="Cambria" w:hAnsi="Cambria" w:cs="Cambria"/>
          <w:sz w:val="16"/>
          <w:szCs w:val="16"/>
        </w:rPr>
      </w:r>
      <w:r/>
    </w:p>
    <w:p>
      <w:pPr>
        <w:pStyle w:val="1102"/>
        <w:numPr>
          <w:ilvl w:val="1"/>
          <w:numId w:val="0"/>
        </w:numPr>
        <w:ind w:left="2126"/>
        <w:spacing w:before="0" w:after="0" w:line="240" w:lineRule="auto"/>
        <w:rPr>
          <w:rFonts w:ascii="Cambria" w:hAnsi="Cambria" w:cs="Cambria"/>
          <w:bCs w:val="0"/>
          <w:i w:val="0"/>
          <w:color w:val="000000" w:themeColor="text1"/>
          <w:sz w:val="16"/>
          <w:szCs w:val="16"/>
        </w:rPr>
      </w:pPr>
      <w:r>
        <w:rPr>
          <w:rFonts w:ascii="Cambria" w:hAnsi="Cambria" w:cs="Cambria"/>
          <w:i w:val="0"/>
          <w:iCs w:val="0"/>
          <w:color w:val="000000" w:themeColor="text1"/>
          <w:sz w:val="18"/>
          <w:szCs w:val="18"/>
        </w:rPr>
        <w:t xml:space="preserve">(b) a justificativa apresentada seja aceita pela Administração.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ata de registro de preços será assinada por meio de assinatura digital e disponibilizada no sistema de registro de preços.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Serão formalizadas tantas</w:t>
      </w:r>
      <w:r>
        <w:rPr>
          <w:rFonts w:ascii="Cambria" w:hAnsi="Cambria" w:cs="Cambria"/>
          <w:i w:val="0"/>
          <w:iCs w:val="0"/>
          <w:color w:val="000000" w:themeColor="text1"/>
          <w:sz w:val="18"/>
          <w:szCs w:val="18"/>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preço registrado, com a indicação dos fornecedores, será divulgado no PNCP e disponibilizado durante a vigência da ata de registro de preços.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convocado não assinar a ata de registro de preços no prazo e nas condições estabelecidas, fica facultado à Administração convocar os licitantes remanescentes do </w:t>
      </w:r>
      <w:r>
        <w:rPr>
          <w:rFonts w:ascii="Cambria" w:hAnsi="Cambria" w:cs="Cambria"/>
          <w:i w:val="0"/>
          <w:iCs w:val="0"/>
          <w:color w:val="000000" w:themeColor="text1"/>
          <w:sz w:val="18"/>
          <w:szCs w:val="18"/>
        </w:rPr>
        <w:t xml:space="preserve">cadastro </w:t>
      </w:r>
      <w:r>
        <w:rPr>
          <w:rFonts w:ascii="Cambria" w:hAnsi="Cambria" w:cs="Cambria"/>
          <w:i w:val="0"/>
          <w:iCs w:val="0"/>
          <w:color w:val="000000" w:themeColor="text1"/>
          <w:sz w:val="18"/>
          <w:szCs w:val="18"/>
        </w:rPr>
        <w:t xml:space="preserve">de </w:t>
      </w:r>
      <w:r>
        <w:rPr>
          <w:rFonts w:ascii="Cambria" w:hAnsi="Cambria" w:cs="Cambria"/>
          <w:i w:val="0"/>
          <w:iCs w:val="0"/>
          <w:color w:val="000000" w:themeColor="text1"/>
          <w:sz w:val="18"/>
          <w:szCs w:val="18"/>
        </w:rPr>
        <w:t xml:space="preserve">reserva, na ordem de classificação, para fazê-lo em igual prazo e nas condições propostas pelo primeiro classificado.</w:t>
      </w:r>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44" w:name="_Toc135469232"/>
      <w:r>
        <w:rPr>
          <w:rFonts w:ascii="Cambria" w:hAnsi="Cambria" w:cs="Cambria"/>
          <w:b/>
          <w:bCs/>
          <w:i w:val="0"/>
          <w:iCs w:val="0"/>
          <w:color w:val="000000" w:themeColor="text1"/>
          <w:sz w:val="18"/>
          <w:szCs w:val="18"/>
        </w:rPr>
        <w:t xml:space="preserve">DA FORMAÇÃO DO CADASTRO DE RESERVA</w:t>
      </w:r>
      <w:bookmarkEnd w:id="44"/>
      <w:r>
        <w:rPr>
          <w:rFonts w:ascii="Cambria" w:hAnsi="Cambria" w:cs="Cambria"/>
          <w:b/>
          <w:bCs/>
          <w:i w:val="0"/>
          <w:iCs w:val="0"/>
          <w:color w:val="000000" w:themeColor="text1"/>
          <w:sz w:val="18"/>
          <w:szCs w:val="18"/>
        </w:rPr>
        <w:t xml:space="preserve">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Após a homologação da licitação, será incluído na ata, na forma de anexo, o registro:.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dos licitantes </w:t>
      </w:r>
      <w:bookmarkStart w:id="45" w:name="_Hlk132991372"/>
      <w:r>
        <w:rPr>
          <w:rFonts w:ascii="Cambria" w:hAnsi="Cambria" w:cs="Cambria"/>
          <w:i w:val="0"/>
          <w:iCs w:val="0"/>
          <w:color w:val="000000" w:themeColor="text1"/>
          <w:sz w:val="18"/>
          <w:szCs w:val="18"/>
        </w:rPr>
        <w:t xml:space="preserve">que </w:t>
      </w:r>
      <w:bookmarkStart w:id="46" w:name="_Hlk132989696"/>
      <w:r>
        <w:rPr>
          <w:rFonts w:ascii="Cambria" w:hAnsi="Cambria" w:cs="Cambria"/>
          <w:i w:val="0"/>
          <w:iCs w:val="0"/>
          <w:color w:val="000000" w:themeColor="text1"/>
          <w:sz w:val="18"/>
          <w:szCs w:val="18"/>
        </w:rPr>
        <w:t xml:space="preserve">aceitarem cotar o objeto com preço igual ao do adjudicatári</w:t>
      </w:r>
      <w:bookmarkEnd w:id="45"/>
      <w:r>
        <w:rPr>
          <w:rFonts w:ascii="Cambria" w:hAnsi="Cambria" w:cs="Cambria"/>
          <w:i w:val="0"/>
          <w:iCs w:val="0"/>
          <w:color w:val="000000" w:themeColor="text1"/>
          <w:sz w:val="18"/>
          <w:szCs w:val="18"/>
        </w:rPr>
        <w:t xml:space="preserve">o</w:t>
      </w:r>
      <w:bookmarkEnd w:id="46"/>
      <w:r>
        <w:rPr>
          <w:rFonts w:ascii="Cambria" w:hAnsi="Cambria" w:cs="Cambria"/>
          <w:i w:val="0"/>
          <w:iCs w:val="0"/>
          <w:color w:val="000000" w:themeColor="text1"/>
          <w:sz w:val="18"/>
          <w:szCs w:val="18"/>
        </w:rPr>
        <w:t xml:space="preserve">, observada a classificação na licitação; e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dos licitantes que mantiverem sua proposta original</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Será respeitada, nas contratações, a ordem de classificação dos licitantes ou fornecedores registrados na ata.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apresentação de novas propostas na forma deste item não prejudicará o resultado do certame em relação ao licitante mais bem classificado.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Para fins da ordem de classificação, os licitantes ou fornecedores que aceitarem cotar o objeto com preço igual ao do adjudicatário antecederão aqueles que mantiverem sua proposta original.</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A habilitação dos licitantes que comporão o cadastro de reserva será efetuada quando houver necessidade de contratação dos licitantes remanescentes, nas seguintes hipóteses: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quando o licitante vencedor não assinar a ata de registro de preços no prazo e nas condições estabelecidos no edital; ou</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houver o cancelamento do registro do fornecedor ou do registro de preços, nas hipóteses previstas nos art. 28 e art. 29 do Decreto nº 11.462/23.</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nenhum dos licitantes que aceitaram cotar o objet</w:t>
      </w:r>
      <w:r>
        <w:rPr>
          <w:rFonts w:ascii="Cambria" w:hAnsi="Cambria" w:cs="Cambria"/>
          <w:i w:val="0"/>
          <w:iCs w:val="0"/>
          <w:color w:val="000000" w:themeColor="text1"/>
          <w:sz w:val="18"/>
          <w:szCs w:val="18"/>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adjudicar e firmar o contrato nas condições ofertadas pelos licitantes remanescentes, observada a ordem de classificação, quando frustrada a negociação de melhor condição</w:t>
      </w:r>
      <w:r>
        <w:rPr>
          <w:rFonts w:ascii="Cambria" w:hAnsi="Cambria" w:cs="Cambria"/>
          <w:sz w:val="18"/>
          <w:szCs w:val="18"/>
        </w:rPr>
        <w:t xml:space="preserve">.</w:t>
      </w:r>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901"/>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15 (quinze)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0" w:tooltip="http://www.planalto.gov.br/ccivil_03/_ato2019-2022/2021/lei/L14133.htm#art17§1" w:anchor="art17§1" w:history="1">
        <w:r>
          <w:rPr>
            <w:rStyle w:val="901"/>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149"/>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149"/>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1" w:tooltip="https://www.planalto.gov.br/ccivil_03/_ato2011-2014/2013/lei/l12846.htm#art5" w:anchor="art5" w:history="1">
        <w:r>
          <w:rPr>
            <w:rStyle w:val="901"/>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2" w:tooltip="http://www.planalto.gov.br/ccivil_03/_ato2019-2022/2021/lei/L14133.htm" w:history="1">
        <w:r>
          <w:rPr>
            <w:rStyle w:val="901"/>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901"/>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10.1.3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149"/>
        <w:numPr>
          <w:ilvl w:val="0"/>
          <w:numId w:val="0"/>
        </w:numPr>
        <w:spacing w:before="0" w:after="0" w:line="240" w:lineRule="auto"/>
        <w:rPr>
          <w:rFonts w:ascii="Cambria" w:hAnsi="Cambria" w:cs="Cambria"/>
          <w:sz w:val="18"/>
          <w:szCs w:val="18"/>
        </w:rPr>
      </w:pPr>
      <w:r>
        <w:rPr>
          <w:rFonts w:ascii="Cambria" w:hAnsi="Cambria" w:cs="Cambria"/>
          <w:sz w:val="16"/>
          <w:szCs w:val="16"/>
          <w:highlight w:val="none"/>
        </w:rPr>
      </w:r>
      <w:r>
        <w:rPr>
          <w:rFonts w:ascii="Cambria" w:hAnsi="Cambria" w:cs="Cambria"/>
          <w:sz w:val="16"/>
          <w:szCs w:val="16"/>
          <w:highlight w:val="none"/>
        </w:rPr>
      </w:r>
      <w:r/>
    </w:p>
    <w:p>
      <w:pPr>
        <w:pStyle w:val="1149"/>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4" w:tooltip="http://www.planalto.gov.br/ccivil_03/_ato2019-2022/2021/lei/L14133.htm" w:history="1">
        <w:r>
          <w:rPr>
            <w:rStyle w:val="901"/>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5" w:tooltip="http://licita@santabarbaradosul.rs.gov.br" w:history="1">
        <w:r>
          <w:rPr>
            <w:rStyle w:val="901"/>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www.portaldecompraspublicas.com.br</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149"/>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49"/>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6" w:tooltip="http://www.santabarbaradosul.rs.gov.br" w:history="1">
        <w:r>
          <w:rPr>
            <w:rStyle w:val="901"/>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49"/>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149"/>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left"/>
        <w:rPr>
          <w:rFonts w:ascii="Cambria" w:hAnsi="Cambria" w:cs="Cambria"/>
          <w:color w:val="000000"/>
          <w:sz w:val="18"/>
          <w:szCs w:val="18"/>
        </w:rPr>
      </w:pPr>
      <w:r>
        <w:rPr>
          <w:rFonts w:ascii="Cambria" w:hAnsi="Cambria" w:cs="Cambria"/>
          <w:sz w:val="20"/>
          <w:szCs w:val="20"/>
        </w:rPr>
      </w:r>
      <w:r>
        <w:rPr>
          <w:rFonts w:ascii="Cambria" w:hAnsi="Cambria" w:cs="Cambria"/>
          <w:color w:val="000000"/>
          <w:sz w:val="18"/>
          <w:szCs w:val="18"/>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highlight w:val="none"/>
        </w:rPr>
      </w:pPr>
      <w:r>
        <w:rPr>
          <w:rFonts w:ascii="Cambria" w:hAnsi="Cambria" w:eastAsia="MS Mincho" w:cs="Cambria"/>
          <w:color w:val="000000"/>
          <w:sz w:val="18"/>
          <w:szCs w:val="18"/>
        </w:rPr>
        <w:t xml:space="preserve">Santa Bárbara do Sul, RS, 20 de janeiro de 2025</w:t>
      </w:r>
      <w:r>
        <w:rPr>
          <w:rFonts w:ascii="Cambria" w:hAnsi="Cambria" w:cs="Cambria"/>
          <w:color w:val="000000"/>
          <w:sz w:val="18"/>
          <w:szCs w:val="18"/>
        </w:rPr>
      </w:r>
      <w:r/>
    </w:p>
    <w:p>
      <w:pPr>
        <w:jc w:val="right"/>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p>
      <w:pPr>
        <w:jc w:val="right"/>
        <w:rPr>
          <w:rFonts w:ascii="Cambria" w:hAnsi="Cambria" w:cs="Cambria"/>
          <w:color w:val="000000"/>
          <w:sz w:val="18"/>
          <w:szCs w:val="18"/>
        </w:rPr>
      </w:pPr>
      <w:r>
        <w:rPr>
          <w:rFonts w:ascii="Cambria" w:hAnsi="Cambria" w:cs="Cambria"/>
          <w:color w:val="000000"/>
          <w:sz w:val="18"/>
          <w:szCs w:val="18"/>
        </w:rPr>
      </w:r>
      <w:r>
        <w:rPr>
          <w:rFonts w:ascii="Cambria" w:hAnsi="Cambria" w:cs="Cambria"/>
          <w:color w:val="000000"/>
          <w:sz w:val="18"/>
          <w:szCs w:val="18"/>
        </w:rPr>
      </w:r>
      <w:r/>
    </w:p>
    <w:p>
      <w:pPr>
        <w:jc w:val="right"/>
        <w:rPr>
          <w:rFonts w:ascii="Cambria" w:hAnsi="Cambria" w:cs="Cambria"/>
          <w:color w:val="000000"/>
          <w:sz w:val="18"/>
          <w:szCs w:val="18"/>
        </w:rPr>
      </w:pPr>
      <w:r>
        <w:rPr>
          <w:highlight w:val="none"/>
        </w:rPr>
      </w:r>
      <w:r>
        <w:rPr>
          <w:highlight w:val="none"/>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Leandro Caraffini Veneral</w:t>
      </w:r>
      <w:r/>
    </w:p>
    <w:p>
      <w:pPr>
        <w:jc w:val="center"/>
        <w:rPr>
          <w:rFonts w:ascii="Cambria" w:hAnsi="Cambria" w:cs="Cambria"/>
          <w:sz w:val="20"/>
          <w:szCs w:val="20"/>
          <w:highlight w:val="none"/>
        </w:rPr>
      </w:pPr>
      <w:r>
        <w:rPr>
          <w:rFonts w:ascii="Cambria" w:hAnsi="Cambria" w:cs="Cambria"/>
          <w:color w:val="000000" w:themeColor="text1"/>
          <w:sz w:val="18"/>
          <w:szCs w:val="18"/>
        </w:rPr>
        <w:t xml:space="preserve">Prefeito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color w:val="000000" w:themeColor="text1"/>
          <w:sz w:val="18"/>
          <w:szCs w:val="18"/>
        </w:rPr>
      </w:pPr>
      <w:r>
        <w:rPr>
          <w:rFonts w:ascii="Cambria" w:hAnsi="Cambria" w:cs="Cambria"/>
          <w:sz w:val="20"/>
          <w:szCs w:val="20"/>
          <w:highlight w:val="none"/>
        </w:rPr>
      </w:r>
      <w:r>
        <w:rPr>
          <w:rFonts w:ascii="Cambria" w:hAnsi="Cambria" w:cs="Cambria"/>
          <w:sz w:val="20"/>
          <w:szCs w:val="20"/>
          <w:highlight w:val="none"/>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915"/>
        <w:jc w:val="center"/>
        <w:spacing w:line="312" w:lineRule="auto"/>
        <w:rPr>
          <w:rFonts w:ascii="Cambria" w:hAnsi="Cambria" w:cs="Cambria"/>
          <w:sz w:val="20"/>
          <w:szCs w:val="20"/>
          <w:highlight w:val="none"/>
        </w:rPr>
      </w:pPr>
      <w:r>
        <w:rPr>
          <w:rFonts w:ascii="Cambria" w:hAnsi="Cambria" w:cs="Cambria"/>
          <w:sz w:val="20"/>
          <w:szCs w:val="20"/>
        </w:rPr>
        <w:t xml:space="preserve">Jorge Gorgen</w:t>
      </w:r>
      <w:r>
        <w:rPr>
          <w:rFonts w:ascii="Cambria" w:hAnsi="Cambria" w:cs="Cambria"/>
          <w:sz w:val="20"/>
          <w:szCs w:val="20"/>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t xml:space="preserve">Assessor de Compras, Licitações e Contratos</w:t>
      </w:r>
      <w:r>
        <w:rPr>
          <w:rFonts w:ascii="Cambria" w:hAnsi="Cambria" w:cs="Cambria"/>
          <w:sz w:val="20"/>
          <w:szCs w:val="20"/>
          <w:highlight w:val="none"/>
        </w:rPr>
      </w:r>
      <w:r/>
    </w:p>
    <w:p>
      <w:pPr>
        <w:pStyle w:val="915"/>
        <w:jc w:val="center"/>
        <w:spacing w:line="312" w:lineRule="auto"/>
        <w:rPr>
          <w:highlight w:val="none"/>
        </w:rPr>
      </w:pPr>
      <w:r>
        <w:rPr>
          <w:rFonts w:ascii="Cambria" w:hAnsi="Cambria" w:cs="Cambria"/>
          <w:sz w:val="20"/>
          <w:szCs w:val="20"/>
          <w:highlight w:val="none"/>
        </w:rPr>
        <w:t xml:space="preserve">Portaria de Nomeação Nº</w:t>
      </w:r>
      <w:r>
        <w:rPr>
          <w:rFonts w:ascii="Cambria" w:hAnsi="Cambria" w:cs="Cambria"/>
          <w:sz w:val="20"/>
          <w:szCs w:val="20"/>
          <w:highlight w:val="none"/>
        </w:rPr>
        <w:t xml:space="preserve"> 025/2025</w:t>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rFonts w:ascii="Cambria" w:hAnsi="Cambria" w:cs="Cambria"/>
          <w:sz w:val="20"/>
          <w:szCs w:val="20"/>
          <w:highlight w:val="none"/>
        </w:rPr>
      </w:r>
      <w:r>
        <w:rPr>
          <w:rFonts w:ascii="Cambria" w:hAnsi="Cambria" w:cs="Cambria"/>
          <w:sz w:val="20"/>
          <w:szCs w:val="20"/>
          <w:highlight w:val="none"/>
        </w:rPr>
      </w:r>
      <w:r/>
    </w:p>
    <w:p>
      <w:pPr>
        <w:pStyle w:val="915"/>
        <w:jc w:val="center"/>
        <w:spacing w:line="312" w:lineRule="auto"/>
        <w:rPr>
          <w:rFonts w:ascii="Cambria" w:hAnsi="Cambria" w:cs="Cambria"/>
          <w:sz w:val="20"/>
          <w:szCs w:val="20"/>
          <w:highlight w:val="none"/>
        </w:rPr>
      </w:pPr>
      <w:r>
        <w:rPr>
          <w:highlight w:val="none"/>
        </w:rPr>
      </w:r>
      <w:r>
        <w:rPr>
          <w:highlight w:val="none"/>
        </w:rPr>
      </w:r>
      <w:r/>
    </w:p>
    <w:p>
      <w:pPr>
        <w:pStyle w:val="915"/>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915"/>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915"/>
        <w:jc w:val="center"/>
        <w:spacing w:line="312" w:lineRule="auto"/>
        <w:rPr>
          <w:rFonts w:ascii="Cambria" w:hAnsi="Cambria" w:cs="Cambria"/>
          <w:sz w:val="20"/>
          <w:szCs w:val="20"/>
        </w:rPr>
      </w:pPr>
      <w:r>
        <w:rPr>
          <w:rFonts w:ascii="Cambria" w:hAnsi="Cambria" w:cs="Cambria"/>
          <w:b/>
          <w:bCs/>
          <w:sz w:val="18"/>
          <w:szCs w:val="18"/>
        </w:rPr>
      </w:r>
      <w:r>
        <w:rPr>
          <w:rFonts w:ascii="Cambria" w:hAnsi="Cambria" w:cs="Cambria"/>
          <w:b/>
          <w:sz w:val="18"/>
          <w:szCs w:val="18"/>
        </w:rPr>
        <w:t xml:space="preserve">AQUISIÇÃO DE MÓVEIS</w:t>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 13/2025)</w:t>
      </w:r>
      <w:r>
        <w:rPr>
          <w:rFonts w:ascii="Cambria" w:hAnsi="Cambria" w:cs="Cambria"/>
          <w:sz w:val="20"/>
          <w:szCs w:val="20"/>
        </w:rPr>
      </w:r>
      <w:r/>
    </w:p>
    <w:p>
      <w:pPr>
        <w:pStyle w:val="1085"/>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915"/>
        <w:jc w:val="center"/>
        <w:spacing w:line="312" w:lineRule="auto"/>
        <w:rPr>
          <w:rFonts w:ascii="Cambria" w:hAnsi="Cambria" w:cs="Cambria"/>
          <w:sz w:val="20"/>
          <w:szCs w:val="20"/>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 AQUISIÇÃO DE MÓVEIS</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p>
    <w:tbl>
      <w:tblPr>
        <w:tblStyle w:val="925"/>
        <w:tblW w:w="0" w:type="auto"/>
        <w:tblLook w:val="04A0" w:firstRow="1" w:lastRow="0" w:firstColumn="1" w:lastColumn="0" w:noHBand="0" w:noVBand="1"/>
      </w:tblPr>
      <w:tblGrid>
        <w:gridCol w:w="1650"/>
        <w:gridCol w:w="1650"/>
        <w:gridCol w:w="2700"/>
        <w:gridCol w:w="2175"/>
        <w:gridCol w:w="5325"/>
        <w:gridCol w:w="532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Item                                                                                       </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Unid. Med.</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Valor Refêrencia</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Quantidade</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Descrição</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Descrição Adicional</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R$857,45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MESA PARA REUNIÃO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Formato oval. Medidas aproximadas de 1,80mX0,90m. Confeccionada em mdf, minímo 15mm. Pés resistentes.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R$975,76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POLTRONA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Poltrona reclinavel para as salas de vacinas. Encosto e peseira . Estrutura 25,40 x 1,2mm. Estofamento em courvin. Apoio de braços.</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R$712,00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LONGARINAS 3 LUGAR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Acabamento: Cadeira Revestida em Courvin NA COR PRETA Carga Máxima Suportável : 100 kg uniformemente distribuidos ( Por Lugar )</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R$707,89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ARQUIVO 4 GAVETAS - MDF</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Arquivo com 04 gavetas para pasta suspensa;</w:t>
              <w:br/>
              <w:t xml:space="preserve">Combinação de duas cores: madeira e preto;</w:t>
              <w:br/>
              <w:t xml:space="preserve">Tamanho padrão de linha.</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R$752,54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ARMÁRIO ALTO 2 PORTAS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Armário alto com 02 portas e 04 prateleiras internas, confccionado em mdf.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R$853,63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CADEIRA GIRATÓRIA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Cadeira caixa alta. Giratória, com altura ajustável, com descanso de braços, com rodas. Material courvin.</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R$755,55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ESCRIVANINHA 2 GAVETAS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Mesa escritório reta. Com duas gavetas. Material: MDF. Cor mogno.</w:t>
              <w:br/>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R$136,94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CADEIRA REUNIÃO FIXA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Cadeira fixa estofada com espaladar médio e concha dupla.</w:t>
              <w:br/>
              <w:t xml:space="preserve">Cor:preta</w:t>
              <w:br/>
              <w:t xml:space="preserve">Assento: 48 x 5x 41cm (L x A x P)</w:t>
              <w:br/>
              <w:t xml:space="preserve">Encosto: 48 x 34 x 5 cm (L x A x P)</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R$535,77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GAVETEIRO VOLANTE 3 GAVETAS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Medindo aproximadamente 400x490x583mm (LXPXH) ou 330x490x583 mm (LXPXH).</w:t>
              <w:br/>
              <w:t xml:space="preserve">Os rodízios devem ser fixados nas extremidades da base do gaveteiro por 04 parafusos.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R$497,82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ARMÁRIO BAIXO COM 02 PORTAS E 01 PRATELEIRA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ARMÁRIO BAIXO : Móvel composto por duas portas individuais, fundo em duratree. Uma prateleira interna. Confeccionado em MDP de 18mm revestido em melamínico de baixa pressão. Bordas em perfil PVC. Dimensões aproximadas: 720mmx1000mmx420mm.</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R$799,39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MESAS EM " 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Cambria" w:hAnsi="Cambria" w:cs="Cambria"/>
                <w:sz w:val="14"/>
                <w:szCs w:val="14"/>
              </w:rPr>
            </w:pPr>
            <w:r>
              <w:rPr>
                <w:rFonts w:ascii="Cambria" w:hAnsi="Cambria" w:cs="Cambria"/>
                <w:sz w:val="14"/>
                <w:szCs w:val="14"/>
              </w:rPr>
              <w:t xml:space="preserve">Em material MDP. Cor mogno. Medidas 1,30x1,30mm. Com 03 gavetas.</w:t>
            </w:r>
            <w:r>
              <w:rPr>
                <w:rFonts w:ascii="Cambria" w:hAnsi="Cambria" w:cs="Cambria"/>
                <w:sz w:val="14"/>
                <w:szCs w:val="14"/>
              </w:rPr>
            </w:r>
            <w:r/>
          </w:p>
        </w:tc>
      </w:tr>
    </w:tbl>
    <w:p>
      <w:pPr>
        <w:pStyle w:val="1102"/>
        <w:numPr>
          <w:ilvl w:val="0"/>
          <w:numId w:val="0"/>
        </w:numPr>
        <w:ind w:left="0" w:firstLine="0"/>
        <w:spacing w:before="0" w:after="0" w:line="312" w:lineRule="auto"/>
        <w:rPr>
          <w:rFonts w:ascii="Cambria" w:hAnsi="Cambria" w:cs="Cambria"/>
          <w:sz w:val="16"/>
          <w:szCs w:val="16"/>
        </w:rPr>
      </w:pPr>
      <w:r>
        <w:rPr>
          <w:rFonts w:ascii="Cambria" w:hAnsi="Cambria" w:cs="Cambria"/>
          <w:sz w:val="16"/>
          <w:szCs w:val="16"/>
          <w:highlight w:val="none"/>
        </w:rPr>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8"/>
          <w:szCs w:val="18"/>
        </w:rPr>
      </w:r>
      <w:r/>
    </w:p>
    <w:p>
      <w:pPr>
        <w:pStyle w:val="1102"/>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rPr>
          <w:rFonts w:ascii="Cambria" w:hAnsi="Cambria" w:cs="Cambria"/>
          <w:sz w:val="16"/>
          <w:szCs w:val="16"/>
        </w:rPr>
      </w:r>
      <w:r/>
    </w:p>
    <w:p>
      <w:pPr>
        <w:pStyle w:val="1149"/>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2.2 - </w:t>
      </w:r>
      <w:r>
        <w:rPr>
          <w:rFonts w:ascii="Cambria" w:hAnsi="Cambria" w:cs="Cambria"/>
          <w:i w:val="0"/>
          <w:iCs w:val="0"/>
          <w:color w:val="auto"/>
          <w:sz w:val="18"/>
          <w:szCs w:val="18"/>
          <w:highlight w:val="white"/>
        </w:rPr>
        <w:t xml:space="preserve">O prazo de vigência dos contratos originados através da Ata de Registro de Preços até 31/12/2024, na forma do artigo 105 da Lei n° 14.133, de 2021.</w:t>
      </w:r>
      <w:r>
        <w:rPr>
          <w:rFonts w:ascii="Cambria" w:hAnsi="Cambria" w:cs="Cambria"/>
          <w:iCs w:val="0"/>
          <w:sz w:val="16"/>
          <w:szCs w:val="16"/>
          <w:highlight w:val="none"/>
        </w:rPr>
      </w:r>
      <w:r/>
    </w:p>
    <w:p>
      <w:pPr>
        <w:pStyle w:val="1085"/>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102"/>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8"/>
          <w:szCs w:val="18"/>
        </w:rPr>
      </w:r>
      <w:r/>
    </w:p>
    <w:p>
      <w:pPr>
        <w:pStyle w:val="1085"/>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8"/>
          <w:szCs w:val="18"/>
        </w:rPr>
      </w:r>
      <w:r/>
    </w:p>
    <w:p>
      <w:pPr>
        <w:pStyle w:val="1085"/>
        <w:numPr>
          <w:ilvl w:val="0"/>
          <w:numId w:val="0"/>
        </w:numPr>
        <w:spacing w:before="0"/>
        <w:rPr>
          <w:rFonts w:ascii="Cambria" w:hAnsi="Cambria" w:cs="Cambria"/>
          <w:b w:val="0"/>
          <w:bCs w:val="0"/>
          <w:sz w:val="18"/>
          <w:szCs w:val="18"/>
        </w:rPr>
      </w:pPr>
      <w:r>
        <w:rPr>
          <w:rFonts w:ascii="Cambria" w:hAnsi="Cambria" w:cs="Cambria"/>
          <w:b w:val="0"/>
          <w:bCs w:val="0"/>
          <w:sz w:val="18"/>
          <w:szCs w:val="18"/>
        </w:rPr>
      </w:r>
      <w:r>
        <w:rPr>
          <w:rFonts w:ascii="Cambria" w:hAnsi="Cambria" w:cs="Cambria"/>
          <w:b w:val="0"/>
          <w:bCs w:val="0"/>
          <w:i w:val="0"/>
          <w:iCs w:val="0"/>
          <w:color w:val="auto"/>
          <w:sz w:val="18"/>
          <w:szCs w:val="18"/>
        </w:rPr>
        <w:t xml:space="preserve">4.1 - A descrição da solução como um todo encontra-se pormenorizada em tópico específico do ETP - Estudo Técnico Preliminar, </w:t>
      </w:r>
      <w:r>
        <w:rPr>
          <w:rFonts w:ascii="Cambria" w:hAnsi="Cambria" w:cs="Cambria"/>
          <w:b w:val="0"/>
          <w:bCs w:val="0"/>
          <w:i w:val="0"/>
          <w:iCs w:val="0"/>
          <w:color w:val="auto"/>
          <w:sz w:val="18"/>
          <w:szCs w:val="18"/>
        </w:rPr>
        <w:t xml:space="preserve">anexo a esse edital.</w:t>
      </w:r>
      <w:r>
        <w:rPr>
          <w:b w:val="0"/>
          <w:bCs w:val="0"/>
        </w:rPr>
      </w:r>
      <w:r/>
    </w:p>
    <w:p>
      <w:pPr>
        <w:pStyle w:val="1085"/>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sz w:val="18"/>
          <w:szCs w:val="18"/>
        </w:rPr>
        <w:t xml:space="preserve">5.1 - A contratação deverá observar os seguintes requisitos:</w:t>
      </w:r>
      <w:r>
        <w:rPr>
          <w:rFonts w:ascii="Cambria" w:hAnsi="Cambria" w:cs="Cambria"/>
          <w:iCs/>
          <w:sz w:val="18"/>
          <w:szCs w:val="18"/>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155"/>
        <w:spacing w:before="0" w:after="0"/>
        <w:rPr>
          <w:rFonts w:ascii="Cambria" w:hAnsi="Cambria" w:cs="Cambria"/>
          <w:b w:val="0"/>
          <w:color w:val="auto"/>
          <w:sz w:val="18"/>
          <w:szCs w:val="18"/>
        </w:rPr>
      </w:pPr>
      <w:r>
        <w:rPr>
          <w:rFonts w:ascii="Cambria" w:hAnsi="Cambria" w:cs="Cambria"/>
          <w:b w:val="0"/>
          <w:color w:val="auto"/>
          <w:sz w:val="18"/>
          <w:szCs w:val="18"/>
        </w:rPr>
        <w:t xml:space="preserve">5.1.1</w:t>
      </w:r>
      <w:r>
        <w:rPr>
          <w:rFonts w:ascii="Cambria" w:hAnsi="Cambria" w:cs="Cambria"/>
          <w:b w:val="0"/>
          <w:color w:val="auto"/>
          <w:sz w:val="18"/>
          <w:szCs w:val="18"/>
        </w:rPr>
        <w:t xml:space="preserve"> - SUBCONTRATAÇÃO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5.1.1</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155"/>
        <w:spacing w:before="0" w:after="0"/>
        <w:rPr>
          <w:rFonts w:ascii="Cambria" w:hAnsi="Cambria" w:cs="Cambria"/>
          <w:b w:val="0"/>
          <w:color w:val="auto"/>
          <w:sz w:val="18"/>
          <w:szCs w:val="18"/>
        </w:rPr>
      </w:pPr>
      <w:r>
        <w:rPr>
          <w:rFonts w:ascii="Cambria" w:hAnsi="Cambria" w:cs="Cambria"/>
          <w:b w:val="0"/>
          <w:color w:val="auto"/>
          <w:sz w:val="18"/>
          <w:szCs w:val="18"/>
        </w:rPr>
        <w:t xml:space="preserve">5.1.2 -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149"/>
        <w:numPr>
          <w:ilvl w:val="0"/>
          <w:numId w:val="0"/>
        </w:numPr>
        <w:ind w:left="708"/>
        <w:spacing w:before="0" w:after="0" w:line="312" w:lineRule="auto"/>
        <w:rPr>
          <w:iCs w:val="0"/>
          <w:highlight w:val="none"/>
        </w:rPr>
      </w:pPr>
      <w:r>
        <w:rPr>
          <w:rFonts w:ascii="Cambria" w:hAnsi="Cambria" w:cs="Cambria"/>
          <w:i w:val="0"/>
          <w:iCs w:val="0"/>
          <w:color w:val="auto"/>
          <w:sz w:val="18"/>
          <w:szCs w:val="18"/>
        </w:rPr>
        <w:t xml:space="preserve">5.1.2.1 - Não haverá exigência da garantia da contratação dos artigos 96 e segui</w:t>
      </w:r>
      <w:r>
        <w:rPr>
          <w:rFonts w:ascii="Cambria" w:hAnsi="Cambria" w:cs="Cambria"/>
          <w:i w:val="0"/>
          <w:iCs w:val="0"/>
          <w:color w:val="auto"/>
          <w:sz w:val="18"/>
          <w:szCs w:val="18"/>
        </w:rPr>
        <w:t xml:space="preserve">ntes da Lei nº 14.133, de 2021.</w:t>
      </w:r>
      <w:r>
        <w:rPr>
          <w:iCs w:val="0"/>
          <w:highlight w:val="none"/>
        </w:rPr>
      </w:r>
      <w:r/>
    </w:p>
    <w:p>
      <w:pPr>
        <w:pStyle w:val="1085"/>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ENTREGA</w:t>
      </w:r>
      <w:r>
        <w:rPr>
          <w:rFonts w:ascii="Cambria" w:hAnsi="Cambria" w:cs="Cambria"/>
          <w:sz w:val="20"/>
          <w:szCs w:val="20"/>
        </w:rPr>
      </w:r>
      <w:r/>
    </w:p>
    <w:p>
      <w:pPr>
        <w:pStyle w:val="114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entrega dos bens é de </w:t>
      </w:r>
      <w:r>
        <w:rPr>
          <w:rFonts w:ascii="Cambria" w:hAnsi="Cambria" w:cs="Cambria"/>
          <w:i w:val="0"/>
          <w:iCs w:val="0"/>
          <w:color w:val="auto"/>
          <w:sz w:val="18"/>
          <w:szCs w:val="18"/>
        </w:rPr>
        <w:t xml:space="preserve">15 dias, contados da emissão da nota de empenho</w:t>
      </w:r>
      <w:r>
        <w:rPr>
          <w:rFonts w:ascii="Cambria" w:hAnsi="Cambria" w:cs="Cambria"/>
          <w:i w:val="0"/>
          <w:iCs w:val="0"/>
          <w:color w:val="auto"/>
          <w:sz w:val="18"/>
          <w:szCs w:val="18"/>
        </w:rPr>
        <w:t xml:space="preserve"> em </w:t>
      </w:r>
      <w:r>
        <w:rPr>
          <w:rFonts w:ascii="Cambria" w:hAnsi="Cambria" w:cs="Cambria"/>
          <w:i w:val="0"/>
          <w:iCs w:val="0"/>
          <w:color w:val="auto"/>
          <w:sz w:val="18"/>
          <w:szCs w:val="18"/>
        </w:rPr>
        <w:t xml:space="preserve">quantidades a serem informadas pela secretaria solicitante.</w:t>
      </w:r>
      <w:r>
        <w:rPr>
          <w:rFonts w:ascii="Cambria" w:hAnsi="Cambria" w:cs="Cambria"/>
          <w:sz w:val="16"/>
          <w:szCs w:val="16"/>
        </w:rPr>
      </w:r>
      <w:r/>
    </w:p>
    <w:p>
      <w:pPr>
        <w:pStyle w:val="1149"/>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entrega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ENTREGA</w:t>
      </w:r>
      <w:r>
        <w:rPr>
          <w:rFonts w:ascii="Cambria" w:hAnsi="Cambria" w:cs="Cambria"/>
          <w:sz w:val="20"/>
          <w:szCs w:val="20"/>
        </w:rPr>
      </w:r>
      <w:r/>
    </w:p>
    <w:p>
      <w:pPr>
        <w:pStyle w:val="1149"/>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white"/>
        </w:rPr>
        <w:t xml:space="preserve">Os bens dever</w:t>
      </w:r>
      <w:r>
        <w:rPr>
          <w:rFonts w:ascii="Cambria" w:hAnsi="Cambria" w:eastAsia="Calibri" w:cs="Cambria"/>
          <w:i w:val="0"/>
          <w:color w:val="auto"/>
          <w:sz w:val="18"/>
          <w:szCs w:val="18"/>
          <w:highlight w:val="white"/>
        </w:rPr>
        <w:t xml:space="preserve">ão ser entregues diretamente nas secretarias solicitantes (</w:t>
      </w:r>
      <w:r>
        <w:rPr>
          <w:rFonts w:ascii="Cambria" w:hAnsi="Cambria" w:eastAsia="Calibri" w:cs="Cambria"/>
          <w:i w:val="0"/>
          <w:color w:val="auto"/>
          <w:sz w:val="18"/>
          <w:szCs w:val="18"/>
          <w:highlight w:val="white"/>
        </w:rPr>
        <w:t xml:space="preserve"> dias úteis, das </w:t>
      </w:r>
      <w:r>
        <w:rPr>
          <w:rFonts w:ascii="Cambria" w:hAnsi="Cambria" w:eastAsia="Calibri" w:cs="Cambria"/>
          <w:i w:val="0"/>
          <w:color w:val="auto"/>
          <w:sz w:val="18"/>
          <w:szCs w:val="18"/>
          <w:highlight w:val="white"/>
        </w:rPr>
        <w:t xml:space="preserve">07 </w:t>
      </w:r>
      <w:r>
        <w:rPr>
          <w:rFonts w:ascii="Cambria" w:hAnsi="Cambria" w:eastAsia="Calibri" w:cs="Cambria"/>
          <w:i w:val="0"/>
          <w:color w:val="auto"/>
          <w:sz w:val="18"/>
          <w:szCs w:val="18"/>
          <w:highlight w:val="white"/>
        </w:rPr>
        <w:t xml:space="preserve">às </w:t>
      </w:r>
      <w:r>
        <w:rPr>
          <w:rFonts w:ascii="Cambria" w:hAnsi="Cambria" w:eastAsia="Calibri" w:cs="Cambria"/>
          <w:i w:val="0"/>
          <w:color w:val="auto"/>
          <w:sz w:val="18"/>
          <w:szCs w:val="18"/>
          <w:highlight w:val="white"/>
        </w:rPr>
        <w:t xml:space="preserve">13hs).</w:t>
      </w:r>
      <w:r>
        <w:rPr>
          <w:rFonts w:ascii="Cambria" w:hAnsi="Cambria" w:cs="Cambria"/>
          <w:sz w:val="16"/>
          <w:szCs w:val="16"/>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RECEBIMENTO</w:t>
      </w:r>
      <w:r>
        <w:rPr>
          <w:rFonts w:ascii="Cambria" w:hAnsi="Cambria" w:cs="Cambria"/>
          <w:sz w:val="20"/>
          <w:szCs w:val="20"/>
        </w:rPr>
      </w:r>
      <w:r/>
    </w:p>
    <w:p>
      <w:pPr>
        <w:pStyle w:val="110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6.3.1 - Os bens serão recebidos provis</w:t>
      </w:r>
      <w:r>
        <w:rPr>
          <w:rFonts w:ascii="Cambria" w:hAnsi="Cambria" w:cs="Cambria"/>
          <w:bCs/>
          <w:color w:val="auto"/>
          <w:sz w:val="18"/>
          <w:szCs w:val="18"/>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Cambria" w:hAnsi="Cambria" w:cs="Cambria"/>
          <w:sz w:val="16"/>
          <w:szCs w:val="16"/>
        </w:rPr>
      </w:r>
      <w:r/>
    </w:p>
    <w:p>
      <w:pPr>
        <w:pStyle w:val="110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6.3.2 - Os bens poderão ser rejeitados, no todo ou em</w:t>
      </w:r>
      <w:r>
        <w:rPr>
          <w:rFonts w:ascii="Cambria" w:hAnsi="Cambria" w:cs="Cambria"/>
          <w:bCs/>
          <w:color w:val="auto"/>
          <w:sz w:val="18"/>
          <w:szCs w:val="18"/>
        </w:rPr>
        <w:t xml:space="preserve"> p</w:t>
      </w:r>
      <w:r>
        <w:rPr>
          <w:rFonts w:ascii="Cambria" w:hAnsi="Cambria" w:cs="Cambria"/>
          <w:bCs/>
          <w:color w:val="auto"/>
          <w:sz w:val="18"/>
          <w:szCs w:val="18"/>
        </w:rPr>
        <w:t xml:space="preserve">arte, quando em desacordo com as especificações constantes neste TR - Termo de Referência e na proposta, devendo ser substituídos no prazo de 15 (quinze)dias, a contar da notificação da contratada, às suas custas, sem prejuízo da aplicação das penalidades.</w:t>
      </w:r>
      <w:r>
        <w:rPr>
          <w:rFonts w:ascii="Cambria" w:hAnsi="Cambria" w:cs="Cambria"/>
          <w:sz w:val="16"/>
          <w:szCs w:val="16"/>
        </w:rPr>
      </w:r>
      <w:r/>
    </w:p>
    <w:p>
      <w:pPr>
        <w:pStyle w:val="110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6.3.3 - Os bens serão recebidos definitivamente no prazo de 10 (dez) dias, contados do recebimento provisório, após a verificação da qualidade e quantidade do material e consequente aceitação mediante termo detalhado.</w:t>
      </w:r>
      <w:r>
        <w:rPr>
          <w:rFonts w:ascii="Cambria" w:hAnsi="Cambria" w:cs="Cambria"/>
          <w:sz w:val="16"/>
          <w:szCs w:val="16"/>
        </w:rPr>
      </w:r>
      <w:r/>
    </w:p>
    <w:p>
      <w:pPr>
        <w:pStyle w:val="1102"/>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16"/>
          <w:szCs w:val="16"/>
        </w:rPr>
      </w:r>
      <w:r/>
    </w:p>
    <w:p>
      <w:pPr>
        <w:pStyle w:val="1149"/>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i w:val="0"/>
          <w:color w:val="auto"/>
          <w:sz w:val="18"/>
          <w:szCs w:val="18"/>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bCs w:val="0"/>
          <w:i w:val="0"/>
          <w:color w:val="auto"/>
          <w:sz w:val="18"/>
          <w:szCs w:val="18"/>
          <w:highlight w:val="none"/>
        </w:rPr>
      </w:r>
      <w:r/>
    </w:p>
    <w:p>
      <w:pPr>
        <w:pStyle w:val="1085"/>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102"/>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color w:val="auto"/>
          <w:sz w:val="18"/>
          <w:szCs w:val="18"/>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085"/>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102"/>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102"/>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149"/>
        <w:numPr>
          <w:ilvl w:val="0"/>
          <w:numId w:val="0"/>
        </w:numPr>
        <w:ind w:left="708"/>
        <w:spacing w:before="0" w:after="0" w:line="312" w:lineRule="auto"/>
        <w:rPr>
          <w:rFonts w:ascii="Cambria" w:hAnsi="Cambria" w:cs="Cambria"/>
          <w:i w:val="0"/>
          <w:iCs w:val="0"/>
          <w:color w:val="auto"/>
          <w:sz w:val="18"/>
          <w:szCs w:val="18"/>
          <w:highlight w:val="none"/>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i w:val="0"/>
          <w:iCs w:val="0"/>
          <w:color w:val="auto"/>
          <w:sz w:val="18"/>
          <w:szCs w:val="18"/>
        </w:rPr>
      </w:r>
      <w:r/>
    </w:p>
    <w:p>
      <w:pPr>
        <w:pStyle w:val="1149"/>
        <w:numPr>
          <w:ilvl w:val="0"/>
          <w:numId w:val="0"/>
        </w:numPr>
        <w:ind w:left="708"/>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085"/>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149"/>
        <w:numPr>
          <w:ilvl w:val="0"/>
          <w:numId w:val="0"/>
        </w:numPr>
        <w:spacing w:before="0" w:after="0" w:line="312" w:lineRule="auto"/>
        <w:rPr>
          <w:rFonts w:ascii="Cambria" w:hAnsi="Cambria" w:cs="Cambria"/>
          <w:i w:val="0"/>
          <w:iCs w:val="0"/>
          <w:color w:val="auto"/>
          <w:sz w:val="18"/>
          <w:szCs w:val="18"/>
          <w:highlight w:val="none"/>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i w:val="0"/>
          <w:iCs w:val="0"/>
          <w:color w:val="auto"/>
          <w:sz w:val="18"/>
          <w:szCs w:val="18"/>
        </w:rPr>
      </w:r>
      <w:r/>
    </w:p>
    <w:p>
      <w:pPr>
        <w:pStyle w:val="1149"/>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rFonts w:ascii="Cambria" w:hAnsi="Cambria" w:cs="Cambria"/>
          <w:i w:val="0"/>
          <w:iCs w:val="0"/>
          <w:color w:val="auto"/>
          <w:sz w:val="18"/>
          <w:szCs w:val="18"/>
          <w:highlight w:val="none"/>
        </w:rPr>
      </w:r>
      <w:r/>
    </w:p>
    <w:p>
      <w:pPr>
        <w:pStyle w:val="1086"/>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18"/>
          <w:szCs w:val="18"/>
        </w:rPr>
      </w:pPr>
      <w:r>
        <w:rPr>
          <w:rFonts w:ascii="Cambria" w:hAnsi="Cambria" w:cs="Cambria"/>
          <w:sz w:val="18"/>
          <w:szCs w:val="18"/>
        </w:rPr>
        <w:t xml:space="preserve">10.1 - FORMA DE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10.2 - PRAZO DE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10.6.4 - Prova de Regularidade com a Fazenda Pública do Município;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highlight w:val="none"/>
        </w:rPr>
      </w:pPr>
      <w:r>
        <w:rPr>
          <w:rFonts w:ascii="Cambria" w:hAnsi="Cambria" w:cs="Cambria"/>
          <w:i/>
          <w:iCs/>
          <w:color w:val="000000" w:themeColor="text1"/>
          <w:sz w:val="18"/>
          <w:szCs w:val="18"/>
        </w:rPr>
        <w:t xml:space="preserve">CEP: 98.240-000</w:t>
      </w:r>
      <w:r>
        <w:rPr>
          <w:rFonts w:ascii="Cambria" w:hAnsi="Cambria" w:cs="Cambria"/>
          <w:i/>
          <w:iCs/>
          <w:color w:val="000000" w:themeColor="text1"/>
          <w:sz w:val="18"/>
          <w:szCs w:val="18"/>
        </w:rPr>
      </w:r>
      <w:r/>
    </w:p>
    <w:p>
      <w:pPr>
        <w:jc w:val="both"/>
        <w:widowControl w:val="off"/>
        <w:rPr>
          <w:rFonts w:ascii="Cambria" w:hAnsi="Cambria" w:cs="Cambria"/>
          <w:bCs/>
          <w:i/>
          <w:color w:val="000000" w:themeColor="text1"/>
          <w:sz w:val="18"/>
          <w:szCs w:val="18"/>
        </w:rPr>
      </w:pPr>
      <w:r>
        <w:rPr>
          <w:rFonts w:ascii="Cambria" w:hAnsi="Cambria" w:cs="Cambria"/>
          <w:i/>
          <w:iCs/>
          <w:color w:val="000000" w:themeColor="text1"/>
          <w:sz w:val="18"/>
          <w:szCs w:val="18"/>
          <w:highlight w:val="none"/>
        </w:rPr>
      </w:r>
      <w:r>
        <w:rPr>
          <w:rFonts w:ascii="Cambria" w:hAnsi="Cambria" w:cs="Cambria"/>
          <w:i/>
          <w:iCs/>
          <w:color w:val="000000" w:themeColor="text1"/>
          <w:sz w:val="18"/>
          <w:szCs w:val="18"/>
          <w:highlight w:val="none"/>
        </w:rPr>
      </w:r>
      <w:r/>
    </w:p>
    <w:p>
      <w:pPr>
        <w:pStyle w:val="1085"/>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color w:val="auto"/>
          <w:sz w:val="18"/>
          <w:szCs w:val="18"/>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color w:val="auto"/>
          <w:sz w:val="18"/>
          <w:szCs w:val="18"/>
          <w:highlight w:val="none"/>
        </w:rPr>
      </w:r>
      <w:r/>
    </w:p>
    <w:p>
      <w:pPr>
        <w:pStyle w:val="1085"/>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10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102"/>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10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10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104"/>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102"/>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10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10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102"/>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070"/>
        <w:contextualSpacing w:val="0"/>
        <w:ind w:left="0"/>
        <w:jc w:val="both"/>
        <w:spacing w:line="276" w:lineRule="auto"/>
        <w:widowControl w:val="off"/>
        <w:tabs>
          <w:tab w:val="left" w:pos="909" w:leader="none"/>
        </w:tabs>
        <w:rPr>
          <w:rFonts w:ascii="Cambria" w:hAnsi="Cambria" w:cs="Cambria"/>
          <w:color w:val="000000"/>
          <w:sz w:val="18"/>
          <w:szCs w:val="18"/>
          <w:highlight w:val="none"/>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color w:val="000000"/>
          <w:sz w:val="18"/>
          <w:szCs w:val="18"/>
        </w:rPr>
      </w:r>
      <w:r/>
    </w:p>
    <w:p>
      <w:pPr>
        <w:pStyle w:val="1070"/>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highlight w:val="none"/>
        </w:rPr>
      </w:r>
      <w:r>
        <w:rPr>
          <w:rFonts w:ascii="Cambria" w:hAnsi="Cambria" w:cs="Cambria"/>
          <w:color w:val="000000"/>
          <w:sz w:val="18"/>
          <w:szCs w:val="18"/>
          <w:highlight w:val="none"/>
        </w:rPr>
      </w:r>
      <w:r/>
    </w:p>
    <w:p>
      <w:pPr>
        <w:pStyle w:val="1085"/>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155"/>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102"/>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ITEM.</w:t>
      </w:r>
      <w:r>
        <w:rPr>
          <w:rFonts w:ascii="Cambria" w:hAnsi="Cambria" w:cs="Cambria"/>
          <w:sz w:val="16"/>
          <w:szCs w:val="16"/>
        </w:rPr>
      </w:r>
      <w:r/>
    </w:p>
    <w:p>
      <w:pPr>
        <w:pStyle w:val="1155"/>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102"/>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155"/>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8"/>
          <w:szCs w:val="18"/>
        </w:rPr>
      </w:r>
      <w:r/>
    </w:p>
    <w:p>
      <w:pPr>
        <w:pStyle w:val="115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102"/>
        <w:numPr>
          <w:ilvl w:val="0"/>
          <w:numId w:val="0"/>
        </w:numPr>
        <w:ind w:firstLine="708"/>
        <w:spacing w:before="0" w:after="0" w:line="312" w:lineRule="auto"/>
        <w:rPr>
          <w:rFonts w:ascii="Cambria" w:hAnsi="Cambria" w:cs="Cambria"/>
          <w:sz w:val="16"/>
          <w:szCs w:val="16"/>
          <w:highlight w:val="none"/>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6"/>
          <w:szCs w:val="16"/>
          <w:highlight w:val="none"/>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8"/>
          <w:szCs w:val="18"/>
        </w:rPr>
      </w:r>
      <w:r/>
    </w:p>
    <w:p>
      <w:pPr>
        <w:pStyle w:val="1155"/>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10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102"/>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1085"/>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bCs/>
          <w:i/>
          <w:sz w:val="18"/>
          <w:szCs w:val="18"/>
          <w:highlight w:val="none"/>
        </w:rPr>
      </w:pPr>
      <w:r>
        <w:rPr>
          <w:rFonts w:ascii="Cambria" w:hAnsi="Cambria" w:cs="Cambria"/>
          <w:i/>
          <w:iCs/>
          <w:sz w:val="18"/>
          <w:szCs w:val="18"/>
        </w:rPr>
        <w:t xml:space="preserve">15.1 – O orçamento R$ 249.532,90.</w:t>
      </w:r>
      <w:r/>
    </w:p>
    <w:p>
      <w:pPr>
        <w:jc w:val="both"/>
        <w:rPr>
          <w:rFonts w:ascii="Cambria" w:hAnsi="Cambria" w:cs="Cambria"/>
          <w:bCs/>
          <w:i/>
          <w:sz w:val="18"/>
          <w:szCs w:val="18"/>
          <w:highlight w:val="none"/>
        </w:rPr>
      </w:pPr>
      <w:r>
        <w:rPr>
          <w:rFonts w:ascii="Cambria" w:hAnsi="Cambria" w:cs="Cambria"/>
          <w:i/>
          <w:iCs/>
          <w:sz w:val="18"/>
          <w:szCs w:val="18"/>
          <w:highlight w:val="none"/>
        </w:rPr>
      </w:r>
      <w:r>
        <w:rPr>
          <w:rFonts w:ascii="Cambria" w:hAnsi="Cambria" w:cs="Cambria"/>
          <w:i/>
          <w:iCs/>
          <w:sz w:val="18"/>
          <w:szCs w:val="18"/>
          <w:highlight w:val="none"/>
        </w:rPr>
      </w:r>
      <w:r/>
    </w:p>
    <w:p>
      <w:pPr>
        <w:pStyle w:val="1099"/>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jc w:val="both"/>
        <w:spacing w:line="312" w:lineRule="auto"/>
        <w:tabs>
          <w:tab w:val="left" w:pos="426" w:leader="none"/>
        </w:tabs>
        <w:rPr>
          <w:rFonts w:ascii="Cambria" w:hAnsi="Cambria" w:cs="Cambria"/>
          <w:iCs/>
          <w:sz w:val="20"/>
          <w:szCs w:val="20"/>
          <w:highlight w:val="none"/>
        </w:rPr>
      </w:pPr>
      <w:r>
        <w:rPr>
          <w:rFonts w:ascii="Cambria" w:hAnsi="Cambria" w:cs="Cambria"/>
          <w:sz w:val="18"/>
          <w:szCs w:val="18"/>
        </w:rPr>
        <w:t xml:space="preserve">16</w:t>
      </w:r>
      <w:r>
        <w:rPr>
          <w:rFonts w:ascii="Cambria" w:hAnsi="Cambria" w:cs="Cambria"/>
          <w:sz w:val="18"/>
          <w:szCs w:val="18"/>
        </w:rPr>
        <w:t xml:space="preserve">.1 - </w:t>
      </w:r>
      <w:r>
        <w:rPr>
          <w:rFonts w:ascii="Cambria" w:hAnsi="Cambria" w:eastAsia="Calibri" w:cs="Cambria"/>
          <w:sz w:val="18"/>
          <w:szCs w:val="18"/>
          <w:lang w:eastAsia="en-US"/>
        </w:rPr>
        <w:t xml:space="preserve">As classificações orçamentárias para suportar a presente despesa constam da programação orçamentária da</w:t>
      </w:r>
      <w:r>
        <w:rPr>
          <w:rFonts w:ascii="Cambria" w:hAnsi="Cambria" w:eastAsia="Calibri" w:cs="Cambria"/>
          <w:sz w:val="18"/>
          <w:szCs w:val="18"/>
          <w:lang w:eastAsia="en-US"/>
        </w:rPr>
        <w:t xml:space="preserve">s</w:t>
      </w:r>
      <w:r>
        <w:rPr>
          <w:rFonts w:ascii="Cambria" w:hAnsi="Cambria" w:eastAsia="Calibri" w:cs="Cambria"/>
          <w:sz w:val="18"/>
          <w:szCs w:val="18"/>
          <w:lang w:eastAsia="en-US"/>
        </w:rPr>
        <w:t xml:space="preserve"> Secretaria</w:t>
      </w:r>
      <w:r>
        <w:rPr>
          <w:rFonts w:ascii="Cambria" w:hAnsi="Cambria" w:eastAsia="Calibri" w:cs="Cambria"/>
          <w:sz w:val="18"/>
          <w:szCs w:val="18"/>
          <w:lang w:eastAsia="en-US"/>
        </w:rPr>
        <w:t xml:space="preserve">s Municipais de Obras </w:t>
      </w:r>
      <w:r>
        <w:rPr>
          <w:rFonts w:ascii="Cambria" w:hAnsi="Cambria" w:eastAsia="Calibri" w:cs="Cambria"/>
          <w:sz w:val="18"/>
          <w:szCs w:val="18"/>
          <w:lang w:eastAsia="en-US"/>
        </w:rPr>
        <w:t xml:space="preserve">que serão devidamente identificadas no momento da efetiva contratação.</w:t>
      </w:r>
      <w:r>
        <w:rPr>
          <w:rFonts w:ascii="Cambria" w:hAnsi="Cambria" w:cs="Cambria"/>
          <w:sz w:val="20"/>
          <w:szCs w:val="20"/>
        </w:rPr>
      </w:r>
      <w:r/>
    </w:p>
    <w:p>
      <w:pPr>
        <w:jc w:val="both"/>
        <w:spacing w:line="312" w:lineRule="auto"/>
        <w:tabs>
          <w:tab w:val="left" w:pos="426" w:leader="none"/>
        </w:tabs>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jc w:val="both"/>
        <w:spacing w:line="312" w:lineRule="auto"/>
        <w:tabs>
          <w:tab w:val="left" w:pos="426" w:leader="none"/>
        </w:tabs>
        <w:rPr>
          <w:rFonts w:ascii="Cambria" w:hAnsi="Cambria" w:cs="Cambria"/>
          <w:sz w:val="18"/>
          <w:szCs w:val="18"/>
          <w:highlight w:val="none"/>
        </w:rPr>
      </w:pPr>
      <w:r>
        <w:rPr>
          <w:rFonts w:ascii="Cambria" w:hAnsi="Cambria" w:cs="Cambria"/>
          <w:sz w:val="20"/>
          <w:szCs w:val="20"/>
          <w:highlight w:val="none"/>
        </w:rPr>
      </w:r>
      <w:r>
        <w:rPr>
          <w:rFonts w:ascii="Cambria" w:hAnsi="Cambria" w:cs="Cambria"/>
          <w:sz w:val="20"/>
          <w:szCs w:val="20"/>
          <w:highlight w:val="none"/>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iCs/>
          <w:sz w:val="18"/>
          <w:szCs w:val="18"/>
        </w:rPr>
        <w:t xml:space="preserve">Santa Bárbara do Sul/RS, 17 de janeiro de 2025</w:t>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2124498</wp:posOffset>
                </wp:positionH>
                <wp:positionV relativeFrom="paragraph">
                  <wp:posOffset>76165</wp:posOffset>
                </wp:positionV>
                <wp:extent cx="1578429" cy="483054"/>
                <wp:effectExtent l="0" t="0" r="0" b="0"/>
                <wp:wrapNone/>
                <wp:docPr id="5" name=""/>
                <wp:cNvGraphicFramePr/>
                <a:graphic xmlns:a="http://schemas.openxmlformats.org/drawingml/2006/main">
                  <a:graphicData uri="http://schemas.microsoft.com/office/word/2010/wordprocessingShape">
                    <wps:wsp>
                      <wps:cNvPr id="0" name=""/>
                      <wps:cNvSpPr txBox="1"/>
                      <wps:spPr bwMode="auto">
                        <a:xfrm rot="0" flipH="0" flipV="0">
                          <a:off x="0" y="0"/>
                          <a:ext cx="1578426" cy="483051"/>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r>
                            <w:r>
                              <w:rPr>
                                <w:rFonts w:ascii="Cambria" w:hAnsi="Cambria" w:cs="Cambria"/>
                                <w:sz w:val="18"/>
                                <w:szCs w:val="18"/>
                              </w:rPr>
                              <w:t xml:space="preserve">Larri Leonel Bazzanella</w:t>
                            </w:r>
                            <w:r>
                              <w:rPr>
                                <w:rFonts w:ascii="Cambria" w:hAnsi="Cambria" w:cs="Cambria"/>
                                <w:sz w:val="18"/>
                                <w:szCs w:val="18"/>
                              </w:rPr>
                            </w:r>
                            <w:r/>
                          </w:p>
                          <w:p>
                            <w:pPr>
                              <w:jc w:val="center"/>
                              <w:rPr>
                                <w:rFonts w:ascii="Cambria" w:hAnsi="Cambria" w:cs="Cambria"/>
                                <w:sz w:val="22"/>
                                <w:szCs w:val="22"/>
                                <w:highlight w:val="none"/>
                              </w:rPr>
                            </w:pPr>
                            <w:r>
                              <w:rPr>
                                <w:rFonts w:ascii="Cambria" w:hAnsi="Cambria" w:cs="Cambria"/>
                                <w:sz w:val="18"/>
                                <w:szCs w:val="18"/>
                                <w:highlight w:val="none"/>
                              </w:rPr>
                              <w:t xml:space="preserve">Secretário de Administração</w:t>
                            </w:r>
                            <w:r>
                              <w:rPr>
                                <w:rFonts w:ascii="Cambria" w:hAnsi="Cambria" w:cs="Cambria"/>
                                <w:sz w:val="22"/>
                                <w:szCs w:val="22"/>
                                <w:highlight w:val="none"/>
                              </w:rPr>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72576;o:allowoverlap:true;o:allowincell:true;mso-position-horizontal-relative:text;margin-left:167.3pt;mso-position-horizontal:absolute;mso-position-vertical-relative:text;margin-top:6.0pt;mso-position-vertical:absolute;width:124.3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r>
                      <w:r>
                        <w:rPr>
                          <w:rFonts w:ascii="Cambria" w:hAnsi="Cambria" w:cs="Cambria"/>
                          <w:sz w:val="18"/>
                          <w:szCs w:val="18"/>
                        </w:rPr>
                        <w:t xml:space="preserve">Larri Leonel Bazzanella</w:t>
                      </w:r>
                      <w:r>
                        <w:rPr>
                          <w:rFonts w:ascii="Cambria" w:hAnsi="Cambria" w:cs="Cambria"/>
                          <w:sz w:val="18"/>
                          <w:szCs w:val="18"/>
                        </w:rPr>
                      </w:r>
                      <w:r/>
                    </w:p>
                    <w:p>
                      <w:pPr>
                        <w:jc w:val="center"/>
                        <w:rPr>
                          <w:rFonts w:ascii="Cambria" w:hAnsi="Cambria" w:cs="Cambria"/>
                          <w:sz w:val="22"/>
                          <w:szCs w:val="22"/>
                          <w:highlight w:val="none"/>
                        </w:rPr>
                      </w:pPr>
                      <w:r>
                        <w:rPr>
                          <w:rFonts w:ascii="Cambria" w:hAnsi="Cambria" w:cs="Cambria"/>
                          <w:sz w:val="18"/>
                          <w:szCs w:val="18"/>
                          <w:highlight w:val="none"/>
                        </w:rPr>
                        <w:t xml:space="preserve">Secretário de Administração</w:t>
                      </w:r>
                      <w:r>
                        <w:rPr>
                          <w:rFonts w:ascii="Cambria" w:hAnsi="Cambria" w:cs="Cambria"/>
                          <w:sz w:val="22"/>
                          <w:szCs w:val="22"/>
                          <w:highlight w:val="none"/>
                        </w:rPr>
                      </w:r>
                      <w:r/>
                    </w:p>
                  </w:txbxContent>
                </v:textbox>
              </v:shape>
            </w:pict>
          </mc:Fallback>
        </mc:AlternateContent>
      </w:r>
      <w:r>
        <w:rPr>
          <w:rFonts w:ascii="Cambria" w:hAnsi="Cambria" w:cs="Cambria"/>
          <w:sz w:val="20"/>
          <w:szCs w:val="20"/>
        </w:rPr>
      </w:r>
      <w:r/>
    </w:p>
    <w:p>
      <w:pPr>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r/>
      <w:r/>
    </w:p>
    <w:p>
      <w:r/>
      <w:r/>
    </w:p>
    <w:p>
      <w:r/>
      <w:r/>
    </w:p>
    <w:p>
      <w:r/>
      <w:r/>
    </w:p>
    <w:p>
      <w:r/>
      <w:r/>
    </w:p>
    <w:p>
      <w:r/>
      <w:r/>
    </w:p>
    <w:p>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pStyle w:val="854"/>
        <w:jc w:val="center"/>
        <w:spacing w:line="240" w:lineRule="auto"/>
        <w:rPr>
          <w:rFonts w:ascii="Cambria" w:hAnsi="Cambria" w:cs="Cambria"/>
          <w:b/>
          <w:bCs/>
          <w:sz w:val="18"/>
          <w:szCs w:val="18"/>
          <w:highlight w:val="none"/>
        </w:rPr>
      </w:pPr>
      <w:r>
        <w:rPr>
          <w:rFonts w:ascii="Cambria" w:hAnsi="Cambria" w:cs="Cambria"/>
          <w:b/>
          <w:sz w:val="18"/>
          <w:szCs w:val="18"/>
        </w:rPr>
        <w:t xml:space="preserve">ANEXO II</w:t>
      </w:r>
      <w:r>
        <w:rPr>
          <w:rFonts w:ascii="Cambria" w:hAnsi="Cambria" w:cs="Cambria"/>
          <w:sz w:val="20"/>
          <w:szCs w:val="20"/>
        </w:rPr>
      </w:r>
      <w:r/>
    </w:p>
    <w:p>
      <w:pPr>
        <w:pStyle w:val="854"/>
        <w:jc w:val="center"/>
        <w:spacing w:line="240" w:lineRule="auto"/>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20"/>
          <w:szCs w:val="20"/>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Fornecedor:</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Endereço:</w:t>
            </w:r>
            <w:r>
              <w:rPr>
                <w:rFonts w:ascii="Cambria" w:hAnsi="Cambria" w:cs="Cambria"/>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Cidade:</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Estado:</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CNPJ:</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Inscrição Estadual:</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54"/>
              <w:jc w:val="both"/>
              <w:spacing w:line="240" w:lineRule="auto"/>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20"/>
                <w:szCs w:val="20"/>
              </w:rPr>
            </w:r>
            <w:r/>
          </w:p>
        </w:tc>
      </w:tr>
    </w:tbl>
    <w:p>
      <w:pPr>
        <w:pStyle w:val="854"/>
        <w:jc w:val="both"/>
        <w:spacing w:line="240" w:lineRule="auto"/>
        <w:tabs>
          <w:tab w:val="clear" w:pos="708" w:leader="none"/>
          <w:tab w:val="left" w:pos="792" w:leader="none"/>
        </w:tabs>
        <w:rPr>
          <w:rFonts w:ascii="Cambria" w:hAnsi="Cambria" w:cs="Cambria"/>
          <w:sz w:val="18"/>
          <w:szCs w:val="18"/>
        </w:rPr>
      </w:pPr>
      <w:r>
        <w:rPr>
          <w:rFonts w:ascii="Cambria" w:hAnsi="Cambria" w:cs="Cambria"/>
          <w:sz w:val="18"/>
          <w:szCs w:val="18"/>
        </w:rPr>
      </w:r>
      <w:r>
        <w:rPr>
          <w:rFonts w:ascii="Cambria" w:hAnsi="Cambria" w:cs="Cambria"/>
          <w:sz w:val="20"/>
          <w:szCs w:val="20"/>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394"/>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85"/>
              <w:numPr>
                <w:ilvl w:val="0"/>
                <w:numId w:val="0"/>
              </w:numPr>
              <w:ind w:left="0" w:right="0" w:firstLine="0"/>
              <w:spacing w:before="288" w:after="288" w:line="240" w:lineRule="auto"/>
              <w:widowControl w:val="off"/>
              <w:rPr>
                <w:rFonts w:ascii="Cambria" w:hAnsi="Cambria" w:cs="Cambria"/>
                <w:b w:val="0"/>
                <w:bCs w:val="0"/>
                <w:sz w:val="18"/>
                <w:szCs w:val="18"/>
              </w:rPr>
            </w:pPr>
            <w:r>
              <w:rPr>
                <w:rFonts w:ascii="Cambria" w:hAnsi="Cambria" w:cs="Cambria"/>
                <w:sz w:val="18"/>
                <w:szCs w:val="18"/>
              </w:rPr>
              <w:t xml:space="preserve">REGISTRO DE PREÇO </w:t>
            </w:r>
            <w:r>
              <w:rPr>
                <w:rFonts w:ascii="Cambria" w:hAnsi="Cambria" w:cs="Cambria"/>
                <w:b w:val="0"/>
                <w:bCs w:val="0"/>
                <w:sz w:val="18"/>
                <w:szCs w:val="18"/>
              </w:rPr>
              <w:t xml:space="preserve">para eventual AQUISIÇÃO DE MÓVEIS</w:t>
            </w:r>
            <w:r/>
          </w:p>
        </w:tc>
      </w:tr>
    </w:tbl>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tbl>
      <w:tblPr>
        <w:tblStyle w:val="925"/>
        <w:tblW w:w="0" w:type="auto"/>
        <w:tblLayout w:type="fixed"/>
        <w:tblLook w:val="04A0" w:firstRow="1" w:lastRow="0" w:firstColumn="1" w:lastColumn="0" w:noHBand="0" w:noVBand="1"/>
      </w:tblPr>
      <w:tblGrid>
        <w:gridCol w:w="798"/>
        <w:gridCol w:w="824"/>
        <w:gridCol w:w="1211"/>
        <w:gridCol w:w="1277"/>
        <w:gridCol w:w="2545"/>
        <w:gridCol w:w="3266"/>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Item                                                                                       </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Unid. Med.</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Valor R$</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Quantidade</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Descrição</w:t>
            </w:r>
            <w:r>
              <w:rPr>
                <w:rFonts w:ascii="Cambria" w:hAnsi="Cambria" w:cs="Cambria"/>
                <w:sz w:val="14"/>
                <w:szCs w:val="14"/>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i w:val="0"/>
                <w:strike w:val="0"/>
                <w:color w:val="000000"/>
                <w:sz w:val="14"/>
                <w:szCs w:val="14"/>
                <w:u w:val="none"/>
                <w:vertAlign w:val="baseline"/>
              </w:rPr>
              <w:t xml:space="preserve">Descrição Adicional</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MESA PARA REUNIÃO</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Formato oval. Medidas aproximadas de 1,80mX0,90m. Confeccionada em mdf, minímo 15mm. Pés resistentes.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02</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POLTRONA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Poltrona reclinavel para as salas de vacinas. Encosto e peseira . Estrutura 25,40 x 1,2mm. Estofamento em courvin. Apoio de braços.</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03</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LONGARINAS 3 LUGAR</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Acabamento: Cadeira Revestida em Courvin NA COR PRETA Carga Máxima Suportável : 100 kg uniformemente distribuidos ( Por Lugar )</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04</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20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ARQUIVO 4 GAVETAS - MDF</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Arquivo com 04 gavetas para pasta suspensa;</w:t>
              <w:br/>
              <w:t xml:space="preserve">Combinação de duas cores: madeira e preto;</w:t>
              <w:br/>
              <w:t xml:space="preserve">Tamanho padrão de linha.</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05</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ARMÁRIO ALTO 2 PORTAS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Armário alto com 02 portas e 04 prateleiras internas, confccionado em mdf.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06</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CADEIRA GIRATÓRIA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Cadeira caixa alta. Giratória, com altura ajustável, com descanso de braços, com rodas. Material courvin.</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07</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ESCRIVANINHA 2 GAVETAS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Mesa escritório reta. Com duas gavetas. Material: MDF. Cor mogno.</w:t>
              <w:br/>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08</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80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CADEIRA REUNIÃO FIXA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Cadeira fixa estofada com espaladar médio e concha dupla.</w:t>
              <w:br/>
              <w:t xml:space="preserve">Cor:preta</w:t>
              <w:br/>
              <w:t xml:space="preserve">Assento: 48 x 5x 41cm (L x A x P)</w:t>
              <w:br/>
              <w:t xml:space="preserve">Encosto: 48 x 34 x 5 cm (L x A x P)</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09</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GAVETEIRO VOLANTE 3 GAVETAS</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Medindo aproximadamente 400x490x583mm (LXPXH) ou 330x490x583 mm (LXPXH).</w:t>
              <w:br/>
              <w:t xml:space="preserve">Os rodízios devem ser fixados nas extremidades da base do gaveteiro por 04 parafusos. Cor mogno</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30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ARMÁRIO BAIXO COM 02 PORTAS E 01 PRATELEIRA</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ARMÁRIO BAIXO : Móvel composto por duas portas individuais, fundo em duratree. Uma prateleira interna. Confeccionado em MDP de 18mm revestido em melamínico de baixa pressão. Bordas em perfil PVC. Dimensões aproximadas: 720mmx1000mmx420mm.</w:t>
            </w:r>
            <w:r>
              <w:rPr>
                <w:rFonts w:ascii="Cambria" w:hAnsi="Cambria" w:cs="Cambria"/>
                <w:sz w:val="14"/>
                <w:szCs w:val="14"/>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798"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11</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824"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UN</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1" w:type="dxa"/>
            <w:vAlign w:val="center"/>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77"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50</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545"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MESAS EM " L"</w:t>
            </w:r>
            <w:r>
              <w:rPr>
                <w:rFonts w:ascii="Cambria" w:hAnsi="Cambria" w:cs="Cambria"/>
                <w:sz w:val="14"/>
                <w:szCs w:val="14"/>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266" w:type="dxa"/>
            <w:vAlign w:val="center"/>
            <w:textDirection w:val="lrTb"/>
            <w:noWrap w:val="false"/>
          </w:tcPr>
          <w:p>
            <w:pPr>
              <w:jc w:val="center"/>
              <w:rPr>
                <w:rFonts w:ascii="Cambria" w:hAnsi="Cambria" w:cs="Cambria"/>
              </w:rPr>
            </w:pPr>
            <w:r>
              <w:rPr>
                <w:rFonts w:ascii="Cambria" w:hAnsi="Cambria" w:eastAsia="Calibri" w:cs="Cambria"/>
                <w:b w:val="0"/>
                <w:i w:val="0"/>
                <w:strike w:val="0"/>
                <w:color w:val="000000"/>
                <w:sz w:val="14"/>
                <w:szCs w:val="14"/>
                <w:u w:val="none"/>
                <w:vertAlign w:val="baseline"/>
              </w:rPr>
              <w:t xml:space="preserve">Em material MDP. Cor mogno. Medidas 1,30x1,30mm. Com 03 gavetas.</w:t>
            </w:r>
            <w:r>
              <w:rPr>
                <w:rFonts w:ascii="Cambria" w:hAnsi="Cambria" w:cs="Cambria"/>
                <w:sz w:val="14"/>
                <w:szCs w:val="14"/>
              </w:rPr>
            </w:r>
            <w:r/>
          </w:p>
        </w:tc>
      </w:tr>
    </w:tbl>
    <w:p>
      <w:pPr>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854"/>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b/>
                <w:sz w:val="16"/>
                <w:szCs w:val="16"/>
                <w:shd w:val="clear" w:color="auto" w:fill="ffffff"/>
              </w:rPr>
              <w:t xml:space="preserve">Validade da proposta: (mínimo 60 dias):______</w:t>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b/>
                <w:sz w:val="16"/>
                <w:szCs w:val="16"/>
              </w:rPr>
              <w:t xml:space="preserve">Data: ______ / ____________ de 2025</w:t>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b/>
                <w:sz w:val="16"/>
                <w:szCs w:val="16"/>
              </w:rPr>
              <w:t xml:space="preserve">________________________________________</w:t>
            </w:r>
            <w:r>
              <w:rPr>
                <w:sz w:val="28"/>
                <w:szCs w:val="28"/>
              </w:rPr>
            </w:r>
            <w:r/>
          </w:p>
          <w:p>
            <w:pPr>
              <w:pStyle w:val="854"/>
              <w:jc w:val="both"/>
              <w:spacing w:line="240" w:lineRule="auto"/>
              <w:widowControl w:val="off"/>
              <w:rPr>
                <w:rFonts w:ascii="Cambria" w:hAnsi="Cambria" w:cs="Cambria"/>
                <w:bCs/>
                <w:sz w:val="22"/>
                <w:szCs w:val="22"/>
              </w:rPr>
            </w:pPr>
            <w:r>
              <w:rPr>
                <w:rFonts w:ascii="Cambria" w:hAnsi="Cambria" w:cs="Cambria"/>
                <w:b/>
                <w:sz w:val="16"/>
                <w:szCs w:val="16"/>
              </w:rPr>
              <w:t xml:space="preserve">Assinatura e Identificação do Proponente Legal</w:t>
            </w:r>
            <w:r>
              <w:rPr>
                <w:sz w:val="28"/>
                <w:szCs w:val="28"/>
              </w:rPr>
            </w:r>
            <w:r/>
          </w:p>
        </w:tc>
        <w:tc>
          <w:tcPr>
            <w:tcW w:w="572" w:type="dxa"/>
            <w:textDirection w:val="lrTb"/>
            <w:noWrap w:val="false"/>
          </w:tcPr>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54"/>
              <w:jc w:val="both"/>
              <w:spacing w:line="240" w:lineRule="auto"/>
              <w:widowControl w:val="off"/>
              <w:rPr>
                <w:rFonts w:ascii="Cambria" w:hAnsi="Cambria" w:cs="Cambria"/>
                <w:sz w:val="22"/>
                <w:szCs w:val="22"/>
              </w:rPr>
            </w:pPr>
            <w:r>
              <w:rPr>
                <w:rFonts w:ascii="Cambria" w:hAnsi="Cambria" w:cs="Cambria"/>
                <w:b/>
                <w:sz w:val="16"/>
                <w:szCs w:val="16"/>
              </w:rPr>
              <w:t xml:space="preserve">Carimbo do CNPJ</w:t>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sz w:val="16"/>
                <w:szCs w:val="16"/>
              </w:rPr>
            </w:r>
            <w:r>
              <w:rPr>
                <w:sz w:val="28"/>
                <w:szCs w:val="28"/>
              </w:rPr>
            </w:r>
            <w:r/>
          </w:p>
          <w:p>
            <w:pPr>
              <w:pStyle w:val="854"/>
              <w:jc w:val="both"/>
              <w:spacing w:line="240" w:lineRule="auto"/>
              <w:widowControl w:val="off"/>
              <w:rPr>
                <w:rFonts w:ascii="Cambria" w:hAnsi="Cambria" w:cs="Cambria"/>
                <w:sz w:val="22"/>
                <w:szCs w:val="22"/>
              </w:rPr>
            </w:pPr>
            <w:r>
              <w:rPr>
                <w:rFonts w:ascii="Cambria" w:hAnsi="Cambria" w:cs="Cambria"/>
                <w:b/>
                <w:bCs/>
                <w:sz w:val="16"/>
                <w:szCs w:val="16"/>
              </w:rPr>
            </w:r>
            <w:r>
              <w:rPr>
                <w:sz w:val="28"/>
                <w:szCs w:val="28"/>
              </w:rPr>
            </w:r>
            <w:r/>
          </w:p>
        </w:tc>
      </w:tr>
    </w:tbl>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left"/>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III</w:t>
      </w:r>
      <w:r>
        <w:rPr>
          <w:rFonts w:ascii="Cambria" w:hAnsi="Cambria" w:cs="Cambria"/>
          <w:sz w:val="20"/>
          <w:szCs w:val="20"/>
        </w:rPr>
      </w:r>
      <w:r/>
    </w:p>
    <w:p>
      <w:pPr>
        <w:ind w:right="-15"/>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15"/>
        <w:jc w:val="center"/>
        <w:spacing w:line="360" w:lineRule="auto"/>
        <w:widowControl w:val="off"/>
        <w:rPr>
          <w:rFonts w:ascii="Cambria" w:hAnsi="Cambria" w:cs="Cambria"/>
          <w:b/>
          <w:bCs/>
          <w:sz w:val="18"/>
          <w:szCs w:val="18"/>
        </w:rPr>
      </w:pPr>
      <w:r>
        <w:rPr>
          <w:rFonts w:ascii="Cambria" w:hAnsi="Cambria" w:cs="Cambria"/>
          <w:b/>
          <w:bCs/>
          <w:sz w:val="18"/>
          <w:szCs w:val="18"/>
        </w:rPr>
        <w:t xml:space="preserve">PREFEITURA DE SANTA BÁRBARA DO SUL/RS</w:t>
      </w:r>
      <w:r>
        <w:rPr>
          <w:rFonts w:ascii="Cambria" w:hAnsi="Cambria" w:cs="Cambria"/>
          <w:sz w:val="20"/>
          <w:szCs w:val="20"/>
        </w:rPr>
      </w:r>
      <w:r/>
    </w:p>
    <w:p>
      <w:pPr>
        <w:ind w:right="-30"/>
        <w:jc w:val="center"/>
        <w:spacing w:line="360" w:lineRule="auto"/>
        <w:widowControl w:val="off"/>
        <w:rPr>
          <w:rFonts w:ascii="Cambria" w:hAnsi="Cambria" w:cs="Cambria"/>
          <w:sz w:val="20"/>
          <w:szCs w:val="20"/>
          <w:highlight w:val="none"/>
        </w:rPr>
      </w:pPr>
      <w:r>
        <w:rPr>
          <w:rFonts w:ascii="Cambria" w:hAnsi="Cambria" w:cs="Cambria"/>
          <w:b/>
          <w:bCs/>
          <w:sz w:val="18"/>
          <w:szCs w:val="18"/>
        </w:rPr>
        <w:t xml:space="preserve">ATA DE REGISTRO DE PREÇOS N.º02/2025</w:t>
      </w:r>
      <w:r/>
    </w:p>
    <w:p>
      <w:pPr>
        <w:ind w:right="-30"/>
        <w:jc w:val="left"/>
        <w:spacing w:line="360" w:lineRule="auto"/>
        <w:widowControl w:val="off"/>
        <w:rPr>
          <w:rFonts w:ascii="Cambria" w:hAnsi="Cambria" w:cs="Cambria"/>
          <w:b/>
          <w:bCs/>
          <w:sz w:val="18"/>
          <w:szCs w:val="18"/>
        </w:rPr>
      </w:pPr>
      <w:r>
        <w:rPr>
          <w:rFonts w:ascii="Cambria" w:hAnsi="Cambria" w:cs="Cambria"/>
          <w:b/>
          <w:bCs/>
          <w:sz w:val="18"/>
          <w:szCs w:val="18"/>
          <w:highlight w:val="none"/>
        </w:rPr>
        <w:t xml:space="preserve">VIGÊNCIA DA ATA:</w:t>
      </w:r>
      <w:r>
        <w:rPr>
          <w:rFonts w:ascii="Cambria" w:hAnsi="Cambria" w:cs="Cambria"/>
          <w:b/>
          <w:bCs/>
          <w:sz w:val="18"/>
          <w:szCs w:val="18"/>
          <w:highlight w:val="none"/>
        </w:rPr>
      </w:r>
      <w:r/>
    </w:p>
    <w:p>
      <w:pPr>
        <w:ind w:right="-28" w:firstLine="709"/>
        <w:jc w:val="both"/>
        <w:spacing w:before="120" w:after="120" w:line="276" w:lineRule="auto"/>
        <w:widowControl w:val="off"/>
        <w:tabs>
          <w:tab w:val="center" w:pos="4779" w:leader="none"/>
          <w:tab w:val="right" w:pos="9198" w:leader="none"/>
        </w:tabs>
        <w:rPr>
          <w:rFonts w:ascii="Cambria" w:hAnsi="Cambria" w:cs="Cambria"/>
          <w:sz w:val="20"/>
          <w:szCs w:val="20"/>
        </w:rPr>
      </w:pPr>
      <w:r>
        <w:rPr>
          <w:rFonts w:ascii="Cambria" w:hAnsi="Cambria" w:cs="Cambria"/>
          <w:sz w:val="18"/>
          <w:szCs w:val="18"/>
        </w:rPr>
        <w:t xml:space="preserve">A Prefeitura Municipal de Santa Bárbara do Sul, com sede na Avenida Eduardo de Brito, 101, na cidade de Santa Bárbara do Sul inscrita no CNPJ nº 88.496.468/0001-60,  considerando o julgamento da licitação na modalidade de</w:t>
      </w:r>
      <w:r>
        <w:rPr>
          <w:rFonts w:ascii="Cambria" w:hAnsi="Cambria" w:cs="Cambria"/>
          <w:b/>
          <w:bCs/>
          <w:sz w:val="18"/>
          <w:szCs w:val="18"/>
        </w:rPr>
        <w:t xml:space="preserve"> Pregão Eletrônico 02/2025</w:t>
      </w:r>
      <w:r>
        <w:rPr>
          <w:rFonts w:ascii="Cambria" w:hAnsi="Cambria" w:cs="Cambria"/>
          <w:sz w:val="18"/>
          <w:szCs w:val="18"/>
        </w:rPr>
        <w:t xml:space="preserve">, para </w:t>
      </w:r>
      <w:r>
        <w:rPr>
          <w:rFonts w:ascii="Cambria" w:hAnsi="Cambria" w:cs="Cambria"/>
          <w:b/>
          <w:bCs/>
          <w:sz w:val="18"/>
          <w:szCs w:val="18"/>
        </w:rPr>
        <w:t xml:space="preserve">Registro de Preços nº 02/2025</w:t>
      </w:r>
      <w:r>
        <w:rPr>
          <w:rFonts w:ascii="Cambria" w:hAnsi="Cambria" w:cs="Cambria"/>
          <w:sz w:val="18"/>
          <w:szCs w:val="18"/>
        </w:rPr>
        <w:t xml:space="preserve">, </w:t>
      </w:r>
      <w:r>
        <w:rPr>
          <w:rFonts w:ascii="Cambria" w:hAnsi="Cambria" w:cs="Cambria"/>
          <w:b/>
          <w:bCs/>
          <w:sz w:val="18"/>
          <w:szCs w:val="18"/>
        </w:rPr>
        <w:t xml:space="preserve">Processo Licitatório nº 13/2025</w:t>
      </w:r>
      <w:r>
        <w:rPr>
          <w:rFonts w:ascii="Cambria" w:hAnsi="Cambria" w:cs="Cambria"/>
          <w:sz w:val="18"/>
          <w:szCs w:val="18"/>
        </w:rPr>
        <w:t xml:space="preserve">,  RESOLVE registrar o preço da  empresa indicada e qualificada nesta ATA, de acordo com a classificação por ela alcançada e nas  quantida</w:t>
      </w:r>
      <w:r>
        <w:rPr>
          <w:rFonts w:ascii="Cambria" w:hAnsi="Cambria" w:cs="Cambria"/>
          <w:sz w:val="18"/>
          <w:szCs w:val="18"/>
        </w:rPr>
        <w:t xml:space="preserve">des  cotadas, atendendo as condições previstas no edital, sujeitando-se as partes às normas constantes na Lei nº14.133/21 e suas alterações,  em conformidade com as disposições a seguir:</w:t>
      </w:r>
      <w:r>
        <w:rPr>
          <w:rFonts w:ascii="Cambria" w:hAnsi="Cambria" w:cs="Cambria"/>
          <w:sz w:val="20"/>
          <w:szCs w:val="20"/>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sz w:val="18"/>
          <w:szCs w:val="18"/>
        </w:rPr>
        <w:t xml:space="preserve">DO OBJETO</w:t>
      </w:r>
      <w:r>
        <w:rPr>
          <w:rFonts w:ascii="Cambria" w:hAnsi="Cambria" w:cs="Cambria"/>
          <w:sz w:val="16"/>
          <w:szCs w:val="16"/>
        </w:rPr>
      </w:r>
      <w:r/>
    </w:p>
    <w:p>
      <w:pPr>
        <w:pStyle w:val="1102"/>
        <w:numPr>
          <w:ilvl w:val="0"/>
          <w:numId w:val="0"/>
        </w:numPr>
        <w:spacing w:before="0" w:after="0"/>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b/>
          <w:bCs/>
          <w:i/>
          <w:sz w:val="18"/>
          <w:szCs w:val="18"/>
          <w:u w:val="single"/>
        </w:rPr>
        <w:t xml:space="preserve">AQUISIÇÃO DE MÓVEIS, </w:t>
      </w:r>
      <w:r>
        <w:rPr>
          <w:rFonts w:ascii="Cambria" w:hAnsi="Cambria" w:cs="Cambria"/>
          <w:sz w:val="18"/>
          <w:szCs w:val="18"/>
        </w:rPr>
        <w:t xml:space="preserve">especificados </w:t>
      </w:r>
      <w:r>
        <w:rPr>
          <w:rFonts w:ascii="Cambria" w:hAnsi="Cambria" w:cs="Cambria"/>
          <w:sz w:val="18"/>
          <w:szCs w:val="18"/>
        </w:rPr>
        <w:t xml:space="preserve">no Termo de Referência, anexo </w:t>
      </w:r>
      <w:r>
        <w:rPr>
          <w:rFonts w:ascii="Cambria" w:hAnsi="Cambria" w:cs="Cambria"/>
          <w:i/>
          <w:color w:val="000000" w:themeColor="text1"/>
          <w:sz w:val="18"/>
          <w:szCs w:val="18"/>
        </w:rPr>
        <w:t xml:space="preserve">d</w:t>
      </w:r>
      <w:r>
        <w:rPr>
          <w:rFonts w:ascii="Cambria" w:hAnsi="Cambria" w:cs="Cambria"/>
          <w:color w:val="000000" w:themeColor="text1"/>
          <w:sz w:val="18"/>
          <w:szCs w:val="18"/>
        </w:rPr>
        <w:t xml:space="preserve">o edital de Licitação nº 013/2025</w:t>
      </w:r>
      <w:r>
        <w:rPr>
          <w:rFonts w:ascii="Cambria" w:hAnsi="Cambria" w:cs="Cambria"/>
          <w:sz w:val="18"/>
          <w:szCs w:val="18"/>
        </w:rPr>
        <w:t xml:space="preserve">, que é parte integrante desta Ata, assim como as propostas cujos preços tenham sido registrados, independentemente de transcrição.</w:t>
      </w:r>
      <w:r>
        <w:rPr>
          <w:rFonts w:ascii="Cambria" w:hAnsi="Cambria" w:cs="Cambria"/>
          <w:sz w:val="16"/>
          <w:szCs w:val="16"/>
        </w:rPr>
      </w:r>
      <w:r/>
    </w:p>
    <w:p>
      <w:pPr>
        <w:pStyle w:val="1102"/>
        <w:numPr>
          <w:ilvl w:val="0"/>
          <w:numId w:val="0"/>
        </w:numPr>
        <w:spacing w:before="0" w:after="0"/>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sz w:val="18"/>
          <w:szCs w:val="18"/>
        </w:rPr>
        <w:t xml:space="preserve">DOS PREÇOS, ESPECIFICAÇÕES E QUANTITATIVOS</w:t>
      </w:r>
      <w:r>
        <w:rPr>
          <w:rFonts w:ascii="Cambria" w:hAnsi="Cambria" w:cs="Cambria"/>
          <w:sz w:val="16"/>
          <w:szCs w:val="16"/>
        </w:rPr>
      </w:r>
      <w:r/>
    </w:p>
    <w:p>
      <w:pPr>
        <w:pStyle w:val="1102"/>
        <w:numPr>
          <w:ilvl w:val="0"/>
          <w:numId w:val="0"/>
        </w:numPr>
        <w:spacing w:before="0" w:after="0"/>
        <w:rPr>
          <w:rFonts w:ascii="Cambria" w:hAnsi="Cambria" w:cs="Cambria"/>
          <w:sz w:val="16"/>
          <w:szCs w:val="16"/>
        </w:rPr>
      </w:pPr>
      <w:r>
        <w:rPr>
          <w:rFonts w:ascii="Cambria" w:hAnsi="Cambria" w:cs="Cambria"/>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r>
        <w:rPr>
          <w:rFonts w:ascii="Cambria" w:hAnsi="Cambria" w:cs="Cambria"/>
          <w:sz w:val="16"/>
          <w:szCs w:val="16"/>
        </w:rPr>
      </w:r>
      <w:r/>
    </w:p>
    <w:p>
      <w:pPr>
        <w:pStyle w:val="1102"/>
        <w:numPr>
          <w:ilvl w:val="0"/>
          <w:numId w:val="0"/>
        </w:numPr>
        <w:spacing w:before="0" w:after="0"/>
        <w:rPr>
          <w:rFonts w:ascii="Cambria" w:hAnsi="Cambria" w:cs="Cambria"/>
          <w:sz w:val="18"/>
          <w:szCs w:val="18"/>
        </w:rPr>
      </w:pPr>
      <w:r>
        <w:rPr>
          <w:rFonts w:ascii="Cambria" w:hAnsi="Cambria" w:cs="Cambria"/>
          <w:sz w:val="18"/>
          <w:szCs w:val="18"/>
          <w:lang w:eastAsia="en-US"/>
        </w:rPr>
        <w:t xml:space="preserve">A listagem do cadastro de reserva referente ao presente registro de preços consta como anexo à esta Ata.</w:t>
      </w:r>
      <w:r>
        <w:rPr>
          <w:rFonts w:ascii="Cambria" w:hAnsi="Cambria" w:cs="Cambria"/>
          <w:sz w:val="16"/>
          <w:szCs w:val="16"/>
        </w:rPr>
      </w:r>
      <w:r/>
    </w:p>
    <w:p>
      <w:pPr>
        <w:pStyle w:val="1102"/>
        <w:numPr>
          <w:ilvl w:val="0"/>
          <w:numId w:val="0"/>
        </w:numPr>
        <w:spacing w:before="0" w:after="0"/>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color w:val="000000" w:themeColor="text1"/>
          <w:sz w:val="18"/>
          <w:szCs w:val="18"/>
        </w:rPr>
        <w:t xml:space="preserve">DA ADESÃO À ATA DE REGISTRO DE PREÇOS </w:t>
      </w:r>
      <w:r>
        <w:rPr>
          <w:rFonts w:ascii="Cambria" w:hAnsi="Cambria" w:cs="Cambria"/>
          <w:sz w:val="16"/>
          <w:szCs w:val="16"/>
        </w:rPr>
      </w:r>
      <w:r/>
    </w:p>
    <w:p>
      <w:pPr>
        <w:pStyle w:val="1149"/>
        <w:numPr>
          <w:ilvl w:val="0"/>
          <w:numId w:val="0"/>
        </w:numPr>
        <w:spacing w:before="0" w:after="0"/>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r>
        <w:rPr>
          <w:rFonts w:ascii="Cambria" w:hAnsi="Cambria" w:cs="Cambria"/>
          <w:sz w:val="16"/>
          <w:szCs w:val="16"/>
        </w:rPr>
      </w:r>
      <w:r/>
    </w:p>
    <w:p>
      <w:pPr>
        <w:pStyle w:val="1149"/>
        <w:numPr>
          <w:ilvl w:val="0"/>
          <w:numId w:val="0"/>
        </w:numPr>
        <w:spacing w:before="0" w:after="0"/>
        <w:tabs>
          <w:tab w:val="left" w:pos="567" w:leader="none"/>
        </w:tabs>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sz w:val="18"/>
          <w:szCs w:val="18"/>
        </w:rPr>
        <w:t xml:space="preserve">VALIDADE, FORMALIZAÇÃO DA ATA DE REGISTRO DE PREÇOS E CADASTRO RESERVA</w:t>
      </w:r>
      <w:r>
        <w:rPr>
          <w:rFonts w:ascii="Cambria" w:hAnsi="Cambria" w:cs="Cambria"/>
          <w:sz w:val="16"/>
          <w:szCs w:val="16"/>
        </w:rPr>
      </w:r>
      <w:r/>
    </w:p>
    <w:p>
      <w:pPr>
        <w:pStyle w:val="1102"/>
        <w:numPr>
          <w:ilvl w:val="1"/>
          <w:numId w:val="42"/>
        </w:numPr>
        <w:rPr>
          <w:rFonts w:ascii="Cambria" w:hAnsi="Cambria" w:cs="Cambria"/>
          <w:color w:val="auto"/>
          <w:sz w:val="18"/>
          <w:szCs w:val="18"/>
        </w:rPr>
      </w:pPr>
      <w:r>
        <w:rPr>
          <w:rFonts w:ascii="Cambria" w:hAnsi="Cambria" w:cs="Cambria"/>
          <w:sz w:val="18"/>
          <w:szCs w:val="18"/>
        </w:rPr>
        <w:t xml:space="preserve">A validade da Ata de Registro de Preços será de 01 (um) ano, contados à partir </w:t>
      </w:r>
      <w:r>
        <w:rPr>
          <w:rFonts w:ascii="Cambria" w:hAnsi="Cambria" w:cs="Cambria"/>
          <w:sz w:val="18"/>
          <w:szCs w:val="18"/>
        </w:rPr>
        <w:t xml:space="preserve">da homologação do processo licitatório</w:t>
      </w:r>
      <w:r>
        <w:rPr>
          <w:rFonts w:ascii="Cambria" w:hAnsi="Cambria" w:cs="Cambria"/>
          <w:sz w:val="18"/>
          <w:szCs w:val="18"/>
        </w:rPr>
        <w:t xml:space="preserve">, podendo ser prorrogada por igual período, mediante a anuência do fornecedor, desde que comprovado o preço vantajoso.</w:t>
      </w:r>
      <w:r>
        <w:rPr>
          <w:rFonts w:ascii="Cambria" w:hAnsi="Cambria" w:cs="Cambria"/>
          <w:sz w:val="16"/>
          <w:szCs w:val="16"/>
        </w:rPr>
      </w:r>
      <w:r/>
    </w:p>
    <w:p>
      <w:pPr>
        <w:pStyle w:val="1104"/>
        <w:numPr>
          <w:ilvl w:val="2"/>
          <w:numId w:val="42"/>
        </w:numPr>
        <w:spacing w:before="0" w:after="0"/>
        <w:rPr>
          <w:rFonts w:ascii="Cambria" w:hAnsi="Cambria" w:cs="Cambria"/>
          <w:color w:val="auto"/>
          <w:sz w:val="18"/>
          <w:szCs w:val="18"/>
        </w:rPr>
      </w:pPr>
      <w:r>
        <w:rPr>
          <w:rFonts w:ascii="Cambria" w:hAnsi="Cambria" w:cs="Cambria"/>
          <w:sz w:val="18"/>
          <w:szCs w:val="18"/>
        </w:rPr>
        <w:t xml:space="preserve">contrato decorrente da ata de registro de preços terá sua v</w:t>
      </w:r>
      <w:r>
        <w:rPr>
          <w:rFonts w:ascii="Cambria" w:hAnsi="Cambria" w:cs="Cambria"/>
          <w:sz w:val="18"/>
          <w:szCs w:val="18"/>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Na formalização do contrato ou do instrumento substituto deverá haver a indicação da disponibilidade dos créditos orçamentários respectivos.</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art. 95 da Lei nº 14.133, de 2021.</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 O instrumento contratual de que trata o item 4.2. deverá ser assinado no prazo de valida</w:t>
      </w:r>
      <w:r>
        <w:rPr>
          <w:rFonts w:ascii="Cambria" w:hAnsi="Cambria" w:cs="Cambria"/>
          <w:sz w:val="18"/>
          <w:szCs w:val="18"/>
        </w:rPr>
        <w:t xml:space="preserve">de da ata de registro de preços</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Os contratos decorrentes do sistema de registro de preços poderão ser alterados, observado o art</w:t>
      </w:r>
      <w:r>
        <w:rPr>
          <w:rFonts w:ascii="Cambria" w:hAnsi="Cambria" w:cs="Cambria"/>
          <w:sz w:val="18"/>
          <w:szCs w:val="18"/>
        </w:rPr>
        <w:t xml:space="preserve">. 124 da Lei nº 14.133, de 2021</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possibilidade de o licitante oferecer ou não proposta em quantitativo inferior ao máximo previsto </w:t>
      </w:r>
      <w:r>
        <w:rPr>
          <w:rFonts w:ascii="Cambria" w:hAnsi="Cambria" w:cs="Cambria"/>
          <w:i/>
          <w:iCs/>
          <w:color w:val="000000" w:themeColor="text1"/>
          <w:sz w:val="18"/>
          <w:szCs w:val="18"/>
        </w:rPr>
        <w:t xml:space="preserve">no edital </w:t>
      </w:r>
      <w:r>
        <w:rPr>
          <w:rFonts w:ascii="Cambria" w:hAnsi="Cambria" w:cs="Cambria"/>
          <w:color w:val="000000" w:themeColor="text1"/>
          <w:sz w:val="18"/>
          <w:szCs w:val="18"/>
        </w:rPr>
        <w:t xml:space="preserve"> e se obrigar nos limites dela;</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Será incluído na ata, na forma de anexo, o registro dos licitantes ou dos fornecedores que:</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Aceitarem cotar os bens, as obras ou os serviços com preços iguais aos do adjudicatário, observada a classificação da licitação; e </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Mantiverem sua proposta original. </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Será respeitada, nas contratações, a ordem de classificação dos licitantes ou dos fornecedores registrados na ata.</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O registro a que se refere o item 4.4.2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w:t>
      </w:r>
      <w:r>
        <w:rPr>
          <w:rFonts w:ascii="Cambria" w:hAnsi="Cambria" w:cs="Cambria"/>
          <w:sz w:val="18"/>
          <w:szCs w:val="18"/>
        </w:rPr>
        <w:t xml:space="preserve">ndimento pelo signatário da ata</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propostas para o preço do adjudicatário antecederão aqueles que mantiverem sua proposta original.</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A habilitação dos licitantes que comporão o cadastro de reserva a que se refere o item 4.4.2.2  somente será efetuada quando houver necessidade de contratação dos licitantes remanescentes, nas seguintes hipóteses:</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Quando houver o cancelamento do registro do licitante ou do registro de preços nas hipóteses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Após a homologação da licitação ou da contratação direta, o licitante mais bem classificado ou o fornecedor, no caso da contrataç</w:t>
      </w:r>
      <w:r>
        <w:rPr>
          <w:rFonts w:ascii="Cambria" w:hAnsi="Cambria" w:cs="Cambria"/>
          <w:sz w:val="18"/>
          <w:szCs w:val="18"/>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A ata de registro de preços será assinada por meio de assinatura digital e disponibilizada no Sistema de Registro de Preços.</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Quando o convocado não assinar a ata de registro de preços no prazo e nas condições estabelecidos no edital ou no aviso de contratação, e observado o </w:t>
      </w:r>
      <w:r>
        <w:rPr>
          <w:rFonts w:ascii="Cambria" w:hAnsi="Cambria" w:cs="Cambria"/>
          <w:sz w:val="18"/>
          <w:szCs w:val="18"/>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Na hipótese de nenhum dos licitantes que trata o item 4.4.2.1,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edital </w:t>
      </w:r>
      <w:r>
        <w:rPr>
          <w:rFonts w:ascii="Cambria" w:hAnsi="Cambria" w:cs="Cambria"/>
          <w:color w:val="000000" w:themeColor="text1"/>
          <w:sz w:val="18"/>
          <w:szCs w:val="18"/>
        </w:rPr>
        <w:t xml:space="preserve">, </w:t>
      </w:r>
      <w:r>
        <w:rPr>
          <w:rFonts w:ascii="Cambria" w:hAnsi="Cambria" w:cs="Cambria"/>
          <w:sz w:val="18"/>
          <w:szCs w:val="18"/>
        </w:rPr>
        <w:t xml:space="preserve">poderá:</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Adjudicar e firmar o contrato nas condições ofertadas pelos licitantes ou fornecedores remanescentes, atendida a ordem classificatória, quando frustrada a negociação de melhor condição.</w:t>
      </w:r>
      <w:r>
        <w:rPr>
          <w:rFonts w:ascii="Cambria" w:hAnsi="Cambria" w:cs="Cambria"/>
          <w:sz w:val="16"/>
          <w:szCs w:val="16"/>
        </w:rPr>
      </w:r>
      <w:r/>
    </w:p>
    <w:p>
      <w:pPr>
        <w:pStyle w:val="1105"/>
        <w:numPr>
          <w:ilvl w:val="3"/>
          <w:numId w:val="42"/>
        </w:numPr>
        <w:rPr>
          <w:rFonts w:ascii="Cambria" w:hAnsi="Cambria" w:cs="Cambria"/>
          <w:sz w:val="16"/>
          <w:szCs w:val="16"/>
        </w:rPr>
      </w:pPr>
      <w:r>
        <w:rPr>
          <w:rFonts w:ascii="Cambria" w:hAnsi="Cambria" w:cs="Cambria"/>
          <w:sz w:val="18"/>
          <w:szCs w:val="18"/>
        </w:rPr>
        <w:t xml:space="preserve">A</w:t>
      </w:r>
      <w:r>
        <w:rPr>
          <w:rFonts w:ascii="Cambria" w:hAnsi="Cambria" w:cs="Cambria"/>
          <w:sz w:val="18"/>
          <w:szCs w:val="18"/>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18"/>
          <w:szCs w:val="18"/>
        </w:rPr>
        <w:t xml:space="preserve">.</w:t>
      </w:r>
      <w:r>
        <w:rPr>
          <w:rFonts w:ascii="Cambria" w:hAnsi="Cambria" w:cs="Cambria"/>
          <w:sz w:val="16"/>
          <w:szCs w:val="16"/>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sz w:val="18"/>
          <w:szCs w:val="18"/>
        </w:rPr>
        <w:t xml:space="preserve">ALTERAÇÃO OU ATUALIZAÇÃO DOS PREÇOS REGISTRADOS</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Cambria" w:hAnsi="Cambria" w:cs="Cambria"/>
          <w:color w:val="0000ef"/>
          <w:sz w:val="18"/>
          <w:szCs w:val="18"/>
        </w:rPr>
        <w:t xml:space="preserve">alínea “d” do inciso II do caput do art. 124 da Lei nº 14.133, de 2021;</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Em caso de criação, alteração ou ex</w:t>
      </w:r>
      <w:r>
        <w:rPr>
          <w:rFonts w:ascii="Cambria" w:hAnsi="Cambria" w:eastAsia="Calibri" w:cs="Cambria"/>
          <w:sz w:val="18"/>
          <w:szCs w:val="18"/>
        </w:rPr>
        <w:t xml:space="preserve">ti</w:t>
      </w:r>
      <w:r>
        <w:rPr>
          <w:rFonts w:ascii="Cambria" w:hAnsi="Cambria" w:cs="Cambria"/>
          <w:sz w:val="18"/>
          <w:szCs w:val="18"/>
        </w:rPr>
        <w:t xml:space="preserve">nção de quaisquer tributos ou encargos legais ou a superveniência de disposições legais, com comprovada repercussão sobre os preços registrados; </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Na hipótese de previsão no edital ou no aviso de contratação direta de cláusula de reajustamento ou repactuação sobre os preços registrados, nos termos da Lei nº 14.133, de 2021.</w:t>
      </w:r>
      <w:r>
        <w:rPr>
          <w:rFonts w:ascii="Cambria" w:hAnsi="Cambria" w:cs="Cambria"/>
          <w:sz w:val="16"/>
          <w:szCs w:val="16"/>
        </w:rPr>
      </w:r>
      <w:r/>
    </w:p>
    <w:p>
      <w:pPr>
        <w:pStyle w:val="1105"/>
        <w:numPr>
          <w:ilvl w:val="3"/>
          <w:numId w:val="42"/>
        </w:numPr>
        <w:rPr>
          <w:rFonts w:ascii="Cambria" w:hAnsi="Cambria" w:cs="Cambria"/>
          <w:sz w:val="16"/>
          <w:szCs w:val="16"/>
        </w:rPr>
      </w:pPr>
      <w:r>
        <w:rPr>
          <w:rFonts w:ascii="Cambria" w:hAnsi="Cambria" w:cs="Cambria"/>
          <w:sz w:val="18"/>
          <w:szCs w:val="18"/>
        </w:rPr>
        <w:t xml:space="preserve">No caso do reajustamento, deverá ser respeitada a contagem da anualidade e o índice previstos para a contratação;  </w:t>
      </w:r>
      <w:r>
        <w:rPr>
          <w:rFonts w:ascii="Cambria" w:hAnsi="Cambria" w:cs="Cambria"/>
          <w:sz w:val="16"/>
          <w:szCs w:val="16"/>
        </w:rPr>
      </w:r>
      <w:r/>
    </w:p>
    <w:p>
      <w:pPr>
        <w:pStyle w:val="1105"/>
        <w:numPr>
          <w:ilvl w:val="3"/>
          <w:numId w:val="42"/>
        </w:numPr>
        <w:rPr>
          <w:rFonts w:ascii="Cambria" w:hAnsi="Cambria" w:cs="Cambria"/>
          <w:sz w:val="16"/>
          <w:szCs w:val="16"/>
        </w:rPr>
      </w:pPr>
      <w:r>
        <w:rPr>
          <w:rFonts w:ascii="Cambria" w:hAnsi="Cambria" w:cs="Cambria"/>
          <w:sz w:val="18"/>
          <w:szCs w:val="18"/>
        </w:rPr>
        <w:t xml:space="preserve">No caso da repactuação, poderá ser a pedido do interessado, conforme critérios definidos para a contratação.</w:t>
      </w:r>
      <w:r>
        <w:rPr>
          <w:rFonts w:ascii="Cambria" w:hAnsi="Cambria" w:cs="Cambria"/>
          <w:sz w:val="16"/>
          <w:szCs w:val="16"/>
        </w:rPr>
      </w:r>
      <w:r/>
    </w:p>
    <w:p>
      <w:pPr>
        <w:pStyle w:val="1085"/>
        <w:numPr>
          <w:ilvl w:val="0"/>
          <w:numId w:val="42"/>
        </w:numPr>
        <w:ind w:left="7731" w:right="0" w:hanging="7731"/>
        <w:rPr>
          <w:rFonts w:ascii="Cambria" w:hAnsi="Cambria" w:cs="Cambria"/>
          <w:sz w:val="16"/>
          <w:szCs w:val="16"/>
        </w:rPr>
      </w:pPr>
      <w:r>
        <w:rPr>
          <w:rFonts w:ascii="Cambria" w:hAnsi="Cambria" w:cs="Cambria"/>
          <w:sz w:val="18"/>
          <w:szCs w:val="18"/>
        </w:rPr>
        <w:t xml:space="preserve">REMANEJAMENTO DAS QUANTIDADES REGISTRADAS NA ATA DE REGISTRO DE PREÇOS</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rPr>
          <w:rFonts w:ascii="Cambria" w:hAnsi="Cambria" w:cs="Cambria"/>
          <w:sz w:val="16"/>
          <w:szCs w:val="16"/>
        </w:rPr>
      </w:r>
      <w:r/>
    </w:p>
    <w:p>
      <w:pPr>
        <w:pStyle w:val="1102"/>
        <w:numPr>
          <w:ilvl w:val="0"/>
          <w:numId w:val="0"/>
        </w:numPr>
        <w:rPr>
          <w:rFonts w:ascii="Cambria" w:hAnsi="Cambria" w:cs="Cambria"/>
          <w:sz w:val="16"/>
          <w:szCs w:val="16"/>
        </w:rPr>
      </w:pPr>
      <w:r>
        <w:rPr>
          <w:rFonts w:ascii="Cambria" w:hAnsi="Cambria" w:cs="Cambria"/>
          <w:sz w:val="18"/>
          <w:szCs w:val="18"/>
        </w:rPr>
        <w:t xml:space="preserve"> O remanejamento somente poderá ser feito:</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rPr>
          <w:rFonts w:ascii="Cambria" w:hAnsi="Cambria" w:cs="Cambria"/>
          <w:sz w:val="16"/>
          <w:szCs w:val="16"/>
        </w:rPr>
      </w:r>
      <w:r/>
    </w:p>
    <w:p>
      <w:pPr>
        <w:pStyle w:val="1104"/>
        <w:numPr>
          <w:ilvl w:val="2"/>
          <w:numId w:val="42"/>
        </w:numPr>
        <w:rPr>
          <w:rFonts w:ascii="Cambria" w:hAnsi="Cambria" w:cs="Cambria"/>
          <w:sz w:val="16"/>
          <w:szCs w:val="16"/>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 serão observados os limites previstos no Decreto nº 4.773, de 2024.</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 7.3, a distribuição das quantidades para a execução descentralizada será por meio do remanejamento.</w:t>
      </w:r>
      <w:r>
        <w:rPr>
          <w:rFonts w:ascii="Cambria" w:hAnsi="Cambria" w:cs="Cambria"/>
          <w:sz w:val="16"/>
          <w:szCs w:val="16"/>
        </w:rPr>
      </w:r>
      <w:r/>
    </w:p>
    <w:p>
      <w:pPr>
        <w:pStyle w:val="1085"/>
        <w:numPr>
          <w:ilvl w:val="0"/>
          <w:numId w:val="42"/>
        </w:numPr>
        <w:ind w:left="7731" w:right="0" w:hanging="7731"/>
        <w:spacing w:before="0" w:after="0"/>
        <w:rPr>
          <w:rFonts w:ascii="Cambria" w:hAnsi="Cambria" w:cs="Cambria"/>
          <w:sz w:val="16"/>
          <w:szCs w:val="16"/>
        </w:rPr>
      </w:pPr>
      <w:r>
        <w:rPr>
          <w:rFonts w:ascii="Cambria" w:hAnsi="Cambria" w:cs="Cambria"/>
          <w:sz w:val="18"/>
          <w:szCs w:val="18"/>
        </w:rPr>
        <w:t xml:space="preserve">CANCELAMENTO DO REGISTRO DO LICITANTE VENCEDOR E DOS PREÇOS REGISTRADOS</w:t>
      </w:r>
      <w:bookmarkStart w:id="90" w:name="undefined"/>
      <w:r>
        <w:rPr>
          <w:rFonts w:ascii="Cambria" w:hAnsi="Cambria" w:cs="Cambria"/>
          <w:sz w:val="16"/>
          <w:szCs w:val="16"/>
        </w:rPr>
      </w:r>
      <w:r/>
    </w:p>
    <w:p>
      <w:pPr>
        <w:pStyle w:val="1102"/>
        <w:numPr>
          <w:ilvl w:val="1"/>
          <w:numId w:val="42"/>
        </w:numPr>
        <w:spacing w:before="0" w:after="0"/>
        <w:rPr>
          <w:rFonts w:ascii="Cambria" w:hAnsi="Cambria" w:cs="Cambria"/>
          <w:sz w:val="18"/>
          <w:szCs w:val="18"/>
        </w:rPr>
      </w:pPr>
      <w:r>
        <w:rPr>
          <w:rFonts w:ascii="Cambria" w:hAnsi="Cambria" w:cs="Cambria"/>
          <w:sz w:val="18"/>
          <w:szCs w:val="18"/>
        </w:rPr>
        <w:t xml:space="preserve">O registro do fornecedor será cancelado pelo gerenciador, quando o fornecedor</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Descumprir as condições da ata de registro de preços, sem motivo justificado;</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razoável;</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Não aceitar manter seu preço registrado, na hipótese prevista no artigo 28, § 2º, do </w:t>
      </w:r>
      <w:r>
        <w:rPr>
          <w:rFonts w:ascii="Cambria" w:hAnsi="Cambria" w:cs="Cambria"/>
          <w:color w:val="000000" w:themeColor="text1"/>
          <w:sz w:val="18"/>
          <w:szCs w:val="18"/>
        </w:rPr>
        <w:t xml:space="preserve">Decreto</w:t>
      </w:r>
      <w:r>
        <w:rPr>
          <w:rFonts w:ascii="Cambria" w:hAnsi="Cambria" w:cs="Cambria"/>
          <w:sz w:val="18"/>
          <w:szCs w:val="18"/>
        </w:rPr>
        <w:t xml:space="preserve"> nº 4.773, de 2024; </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Na hipótese de aplicação de sanção prevista nos incisos III ou IV do caput do art. 156 da Lei nº 14.133, de 2021, caso a penalidade aplicada ao fornecedor não ultrapasse o</w:t>
      </w:r>
      <w:r>
        <w:rPr>
          <w:rFonts w:ascii="Cambria" w:hAnsi="Cambria" w:cs="Cambria"/>
          <w:sz w:val="18"/>
          <w:szCs w:val="18"/>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 O cancelamento de registros nas hipóteses previstas no item 8.1 será formalizado por despacho do órgão ou da entidade gerenciadora, garantidos os princípios do contraditório e da ampla defesa.</w:t>
      </w:r>
      <w:r>
        <w:rPr>
          <w:rFonts w:ascii="Cambria" w:hAnsi="Cambria" w:cs="Cambria"/>
          <w:sz w:val="16"/>
          <w:szCs w:val="16"/>
        </w:rPr>
      </w:r>
      <w:r/>
    </w:p>
    <w:p>
      <w:pPr>
        <w:pStyle w:val="1105"/>
        <w:numPr>
          <w:ilvl w:val="3"/>
          <w:numId w:val="42"/>
        </w:numPr>
        <w:spacing w:before="0" w:after="0" w:line="240" w:lineRule="auto"/>
        <w:rPr>
          <w:rFonts w:ascii="Cambria" w:hAnsi="Cambria" w:cs="Cambria"/>
          <w:sz w:val="18"/>
          <w:szCs w:val="18"/>
        </w:rPr>
      </w:pPr>
      <w:r>
        <w:rPr>
          <w:rFonts w:ascii="Cambria" w:hAnsi="Cambria" w:cs="Cambria"/>
          <w:sz w:val="18"/>
          <w:szCs w:val="18"/>
        </w:rPr>
        <w:t xml:space="preserve">Na hipótese de cancelamento do registro do fornecedor, o órgão ou a entidade gerenciadora poderá convocar os licitantes que compõem o cadastro de reserva, observada a ordem de classificação.</w:t>
      </w:r>
      <w:r>
        <w:rPr>
          <w:rFonts w:ascii="Cambria" w:hAnsi="Cambria" w:cs="Cambria"/>
          <w:sz w:val="16"/>
          <w:szCs w:val="16"/>
        </w:rPr>
      </w:r>
      <w:r/>
    </w:p>
    <w:p>
      <w:pPr>
        <w:pStyle w:val="1104"/>
        <w:numPr>
          <w:ilvl w:val="2"/>
          <w:numId w:val="42"/>
        </w:numPr>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Cambria" w:hAnsi="Cambria" w:cs="Cambria"/>
          <w:sz w:val="18"/>
          <w:szCs w:val="18"/>
        </w:rPr>
        <w:t xml:space="preserve"> </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Por razão de interesse público;</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A pedido do fornecedor, decorrente de caso fortuito ou força maior; ou</w:t>
      </w:r>
      <w:r>
        <w:rPr>
          <w:rFonts w:ascii="Cambria" w:hAnsi="Cambria" w:cs="Cambria"/>
          <w:sz w:val="16"/>
          <w:szCs w:val="16"/>
        </w:rPr>
      </w:r>
      <w:r/>
    </w:p>
    <w:p>
      <w:pPr>
        <w:pStyle w:val="1105"/>
        <w:numPr>
          <w:ilvl w:val="3"/>
          <w:numId w:val="42"/>
        </w:numPr>
        <w:rPr>
          <w:rFonts w:ascii="Cambria" w:hAnsi="Cambria" w:cs="Cambria"/>
          <w:sz w:val="18"/>
          <w:szCs w:val="18"/>
        </w:rPr>
      </w:pPr>
      <w:r>
        <w:rPr>
          <w:rFonts w:ascii="Cambria" w:hAnsi="Cambria" w:cs="Cambria"/>
          <w:sz w:val="18"/>
          <w:szCs w:val="18"/>
        </w:rPr>
        <w:t xml:space="preserve">Se não houver êxito nas negociações, nas hipóteses em que o preço de mercado tornar-se superior ou inferior ao preço registrado, nos termos do artigos 27, § 3º e  28, § 4º, ambos do Decreto nº 4.773, de 2024. </w:t>
      </w:r>
      <w:r>
        <w:rPr>
          <w:rFonts w:ascii="Cambria" w:hAnsi="Cambria" w:cs="Cambria"/>
          <w:sz w:val="16"/>
          <w:szCs w:val="16"/>
        </w:rPr>
      </w:r>
      <w:r/>
    </w:p>
    <w:p>
      <w:pPr>
        <w:pStyle w:val="1085"/>
        <w:numPr>
          <w:ilvl w:val="0"/>
          <w:numId w:val="42"/>
        </w:numPr>
        <w:ind w:left="567"/>
        <w:spacing w:before="0" w:after="0" w:line="240" w:lineRule="auto"/>
        <w:tabs>
          <w:tab w:val="clear" w:pos="567" w:leader="none"/>
          <w:tab w:val="left" w:pos="1134" w:leader="none"/>
        </w:tabs>
        <w:rPr>
          <w:rFonts w:ascii="Cambria" w:hAnsi="Cambria" w:cs="Cambria"/>
          <w:sz w:val="16"/>
          <w:szCs w:val="16"/>
        </w:rPr>
      </w:pPr>
      <w:r>
        <w:rPr>
          <w:rFonts w:ascii="Cambria" w:hAnsi="Cambria" w:cs="Cambria"/>
          <w:sz w:val="18"/>
          <w:szCs w:val="18"/>
        </w:rPr>
        <w:t xml:space="preserve">DAS PENALIDADES</w:t>
      </w:r>
      <w:r>
        <w:rPr>
          <w:rFonts w:ascii="Cambria" w:hAnsi="Cambria" w:cs="Cambria"/>
          <w:sz w:val="16"/>
          <w:szCs w:val="16"/>
        </w:rPr>
      </w:r>
      <w:r/>
    </w:p>
    <w:p>
      <w:pPr>
        <w:pStyle w:val="1102"/>
        <w:numPr>
          <w:ilvl w:val="1"/>
          <w:numId w:val="42"/>
        </w:numPr>
        <w:spacing w:before="0" w:after="0"/>
        <w:rPr>
          <w:rFonts w:ascii="Cambria" w:hAnsi="Cambria" w:cs="Cambria"/>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sz w:val="18"/>
          <w:szCs w:val="18"/>
        </w:rPr>
        <w:t xml:space="preserve">As sanções também se aplicam aos integrantes do cadastro de reserva no registro de preços que, convocados, não honrarem o compromisso assumido injustificadamente após terem assinado a ata. </w:t>
      </w:r>
      <w:r>
        <w:rPr>
          <w:rFonts w:ascii="Cambria" w:hAnsi="Cambria" w:cs="Cambria"/>
          <w:sz w:val="16"/>
          <w:szCs w:val="16"/>
        </w:rPr>
      </w:r>
      <w:r/>
    </w:p>
    <w:p>
      <w:pPr>
        <w:pStyle w:val="1102"/>
        <w:numPr>
          <w:ilvl w:val="1"/>
          <w:numId w:val="42"/>
        </w:numPr>
        <w:rPr>
          <w:rFonts w:ascii="Cambria" w:hAnsi="Cambria" w:cs="Cambria"/>
          <w:sz w:val="18"/>
          <w:szCs w:val="18"/>
        </w:rPr>
      </w:pPr>
      <w:r>
        <w:rPr>
          <w:rFonts w:ascii="Cambria" w:hAnsi="Cambria" w:cs="Cambria"/>
          <w:sz w:val="18"/>
          <w:szCs w:val="18"/>
        </w:rPr>
        <w:t xml:space="preserve">É da competência do gerenciador a aplicação das penalidades decorrentes</w:t>
      </w:r>
      <w:r>
        <w:rPr>
          <w:rFonts w:ascii="Cambria" w:hAnsi="Cambria" w:cs="Cambria"/>
          <w:sz w:val="18"/>
          <w:szCs w:val="18"/>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rPr>
          <w:rFonts w:ascii="Cambria" w:hAnsi="Cambria" w:cs="Cambria"/>
          <w:sz w:val="16"/>
          <w:szCs w:val="16"/>
        </w:rPr>
      </w:r>
      <w:r/>
    </w:p>
    <w:p>
      <w:pPr>
        <w:pStyle w:val="1102"/>
        <w:numPr>
          <w:ilvl w:val="1"/>
          <w:numId w:val="42"/>
        </w:numPr>
        <w:rPr>
          <w:rFonts w:ascii="Cambria" w:hAnsi="Cambria" w:cs="Cambria"/>
          <w:sz w:val="16"/>
          <w:szCs w:val="16"/>
        </w:rPr>
      </w:pPr>
      <w:r>
        <w:rPr>
          <w:rFonts w:ascii="Cambria" w:hAnsi="Cambria" w:cs="Cambria"/>
          <w:sz w:val="18"/>
          <w:szCs w:val="18"/>
        </w:rPr>
        <w:t xml:space="preserve">O órgão ou entidade participante deverá comunicar ao órgão gerenciador qualquer das ocorrências previstas no item 8.1, dada a necessidade de instauração de procedimento para cancelamento do registro do fornecedor</w:t>
      </w:r>
      <w:r>
        <w:rPr>
          <w:rFonts w:ascii="Cambria" w:hAnsi="Cambria" w:cs="Cambria"/>
          <w:sz w:val="18"/>
          <w:szCs w:val="18"/>
        </w:rPr>
        <w:t xml:space="preserve">.</w:t>
      </w:r>
      <w:r>
        <w:rPr>
          <w:rFonts w:ascii="Cambria" w:hAnsi="Cambria" w:cs="Cambria"/>
          <w:sz w:val="16"/>
          <w:szCs w:val="16"/>
        </w:rPr>
      </w:r>
      <w:r/>
    </w:p>
    <w:p>
      <w:pPr>
        <w:pStyle w:val="1102"/>
        <w:numPr>
          <w:ilvl w:val="0"/>
          <w:numId w:val="42"/>
        </w:numPr>
        <w:ind w:left="567" w:right="0" w:hanging="567"/>
        <w:jc w:val="left"/>
        <w:rPr>
          <w:rFonts w:ascii="Cambria" w:hAnsi="Cambria" w:cs="Cambria"/>
          <w:sz w:val="16"/>
          <w:szCs w:val="16"/>
        </w:rPr>
      </w:pPr>
      <w:r>
        <w:rPr>
          <w:rFonts w:ascii="Cambria" w:hAnsi="Cambria" w:cs="Cambria"/>
          <w:b/>
          <w:sz w:val="18"/>
          <w:szCs w:val="18"/>
        </w:rPr>
        <w:t xml:space="preserve"> CONDIÇÕES GERAIS</w:t>
      </w:r>
      <w:r>
        <w:rPr>
          <w:rFonts w:ascii="Cambria" w:hAnsi="Cambria" w:cs="Cambria"/>
          <w:sz w:val="16"/>
          <w:szCs w:val="16"/>
        </w:rPr>
      </w:r>
      <w:r/>
    </w:p>
    <w:p>
      <w:pPr>
        <w:pStyle w:val="1102"/>
        <w:numPr>
          <w:ilvl w:val="0"/>
          <w:numId w:val="0"/>
        </w:numPr>
        <w:ind w:left="567"/>
        <w:tabs>
          <w:tab w:val="left" w:pos="1134" w:leader="none"/>
        </w:tabs>
        <w:rPr>
          <w:rFonts w:ascii="Cambria" w:hAnsi="Cambria" w:cs="Cambria"/>
          <w:sz w:val="16"/>
          <w:szCs w:val="16"/>
        </w:rPr>
      </w:pPr>
      <w:r>
        <w:rPr>
          <w:rFonts w:ascii="Cambria" w:hAnsi="Cambria" w:cs="Cambria"/>
          <w:sz w:val="18"/>
          <w:szCs w:val="18"/>
        </w:rPr>
        <w:t xml:space="preserve">23.1</w:t>
      </w:r>
      <w:r>
        <w:rPr>
          <w:rFonts w:ascii="Cambria" w:hAnsi="Cambria" w:cs="Cambria"/>
          <w:sz w:val="18"/>
          <w:szCs w:val="18"/>
        </w:rPr>
        <w:t xml:space="preserve">. </w:t>
      </w:r>
      <w:r>
        <w:rPr>
          <w:rFonts w:ascii="Cambria" w:hAnsi="Cambria" w:cs="Cambria"/>
          <w:sz w:val="18"/>
          <w:szCs w:val="18"/>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rPr>
          <w:rFonts w:ascii="Cambria" w:hAnsi="Cambria" w:cs="Cambria"/>
          <w:sz w:val="16"/>
          <w:szCs w:val="16"/>
        </w:rPr>
      </w:r>
      <w:r/>
    </w:p>
    <w:p>
      <w:pPr>
        <w:pStyle w:val="1102"/>
        <w:numPr>
          <w:ilvl w:val="0"/>
          <w:numId w:val="0"/>
        </w:numPr>
        <w:ind w:left="567"/>
        <w:tabs>
          <w:tab w:val="left" w:pos="1134" w:leader="none"/>
        </w:tabs>
        <w:rPr>
          <w:rFonts w:ascii="Cambria" w:hAnsi="Cambria" w:cs="Cambria"/>
          <w:sz w:val="16"/>
          <w:szCs w:val="16"/>
        </w:rPr>
      </w:pPr>
      <w:r>
        <w:rPr>
          <w:rFonts w:ascii="Cambria" w:hAnsi="Cambria" w:cs="Cambria"/>
          <w:sz w:val="18"/>
          <w:szCs w:val="18"/>
        </w:rPr>
        <w:t xml:space="preserve">23.2</w:t>
      </w:r>
      <w:r>
        <w:rPr>
          <w:rFonts w:ascii="Cambria" w:hAnsi="Cambria" w:cs="Cambria"/>
          <w:sz w:val="18"/>
          <w:szCs w:val="18"/>
        </w:rPr>
        <w:t xml:space="preserve">. </w:t>
      </w:r>
      <w:r>
        <w:rPr>
          <w:rFonts w:ascii="Cambria" w:hAnsi="Cambria" w:cs="Cambria"/>
          <w:sz w:val="18"/>
          <w:szCs w:val="18"/>
        </w:rPr>
        <w:t xml:space="preserve"> No caso de adjudicação por preço global de grupo de itens, só será admitida a contratação de parte de itens do grupo se houver prévia pesquisa de mercado e demonstração de sua vantagem para o órgão ou a entidade.</w:t>
      </w:r>
      <w:r>
        <w:rPr>
          <w:rFonts w:ascii="Cambria" w:hAnsi="Cambria" w:cs="Cambria"/>
          <w:sz w:val="16"/>
          <w:szCs w:val="16"/>
        </w:rPr>
      </w:r>
      <w:r/>
    </w:p>
    <w:p>
      <w:pPr>
        <w:ind w:left="567"/>
        <w:jc w:val="both"/>
        <w:spacing w:before="120" w:after="120" w:line="276" w:lineRule="auto"/>
        <w:widowControl w:val="off"/>
        <w:rPr>
          <w:rFonts w:ascii="Cambria" w:hAnsi="Cambria" w:cs="Cambria"/>
          <w:sz w:val="20"/>
          <w:szCs w:val="20"/>
        </w:rPr>
      </w:pPr>
      <w:r>
        <w:rPr>
          <w:rFonts w:ascii="Cambria" w:hAnsi="Cambria" w:cs="Cambria"/>
          <w:sz w:val="18"/>
          <w:szCs w:val="18"/>
        </w:rPr>
        <w:t xml:space="preserve">23.3. Para firmeza e validade do pactuado, a presente Ata foi lavrada em 02 (duas) vias de igual teor, que, depois de lida e achada em ordem, vai assinada pelas partes.</w:t>
      </w:r>
      <w:r>
        <w:rPr>
          <w:rFonts w:ascii="Cambria" w:hAnsi="Cambria" w:cs="Cambria"/>
          <w:sz w:val="20"/>
          <w:szCs w:val="20"/>
        </w:rPr>
      </w:r>
      <w:r/>
    </w:p>
    <w:p>
      <w:pPr>
        <w:ind w:right="-30"/>
        <w:jc w:val="right"/>
        <w:spacing w:line="360" w:lineRule="auto"/>
        <w:widowControl w:val="off"/>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ind w:right="-30"/>
        <w:jc w:val="right"/>
        <w:spacing w:line="360" w:lineRule="auto"/>
        <w:widowControl w:val="off"/>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ind w:right="-30"/>
        <w:jc w:val="right"/>
        <w:spacing w:line="360" w:lineRule="auto"/>
        <w:widowControl w:val="off"/>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ind w:right="-30"/>
        <w:jc w:val="right"/>
        <w:spacing w:line="360" w:lineRule="auto"/>
        <w:widowControl w:val="off"/>
        <w:rPr>
          <w:rFonts w:ascii="Cambria" w:hAnsi="Cambria" w:cs="Cambria"/>
          <w:sz w:val="18"/>
          <w:szCs w:val="18"/>
          <w:highlight w:val="none"/>
        </w:rPr>
      </w:pPr>
      <w:r>
        <w:rPr>
          <w:rFonts w:ascii="Cambria" w:hAnsi="Cambria" w:cs="Cambria"/>
          <w:sz w:val="18"/>
          <w:szCs w:val="18"/>
        </w:rPr>
        <w:t xml:space="preserve">Santa Bárbara do Sul, ....de .........................de 2025</w:t>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18"/>
          <w:szCs w:val="18"/>
          <w:highlight w:val="none"/>
        </w:rPr>
      </w:r>
      <w:r>
        <w:rPr>
          <w:rFonts w:ascii="Cambria" w:hAnsi="Cambria" w:cs="Cambria"/>
          <w:sz w:val="18"/>
          <w:szCs w:val="18"/>
          <w:highlight w:val="none"/>
        </w:rPr>
      </w:r>
      <w:r/>
    </w:p>
    <w:p>
      <w:pPr>
        <w:ind w:right="-30"/>
        <w:jc w:val="center"/>
        <w:widowControl w:val="off"/>
        <w:rPr>
          <w:rFonts w:ascii="Cambria" w:hAnsi="Cambria" w:cs="Cambria"/>
          <w:sz w:val="20"/>
          <w:szCs w:val="20"/>
        </w:rPr>
      </w:pPr>
      <w:r>
        <w:rPr>
          <w:rFonts w:ascii="Cambria" w:hAnsi="Cambria" w:cs="Cambria"/>
          <w:sz w:val="18"/>
          <w:szCs w:val="18"/>
        </w:rPr>
        <w:t xml:space="preserve">Leandro Caraffini Veneral</w:t>
      </w:r>
      <w:r/>
    </w:p>
    <w:p>
      <w:pPr>
        <w:ind w:right="-30"/>
        <w:jc w:val="center"/>
        <w:widowControl w:val="off"/>
        <w:rPr>
          <w:rFonts w:ascii="Cambria" w:hAnsi="Cambria" w:cs="Cambria"/>
          <w:sz w:val="18"/>
          <w:szCs w:val="18"/>
        </w:rPr>
      </w:pPr>
      <w:r>
        <w:rPr>
          <w:rFonts w:ascii="Cambria" w:hAnsi="Cambria" w:cs="Cambria"/>
          <w:sz w:val="18"/>
          <w:szCs w:val="18"/>
        </w:rPr>
        <w:t xml:space="preserve">Prefeito</w:t>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18"/>
          <w:szCs w:val="18"/>
        </w:rPr>
        <w:t xml:space="preserve">Licitante</w:t>
      </w:r>
      <w:r>
        <w:rPr>
          <w:rFonts w:ascii="Cambria" w:hAnsi="Cambria" w:cs="Cambria"/>
          <w:sz w:val="20"/>
          <w:szCs w:val="20"/>
        </w:rPr>
      </w:r>
      <w:r/>
    </w:p>
    <w:p>
      <w:pPr>
        <w:ind w:right="-30"/>
        <w:jc w:val="center"/>
        <w:widowControl w:val="off"/>
        <w:rPr>
          <w:rFonts w:ascii="Cambria" w:hAnsi="Cambria" w:cs="Cambria"/>
          <w:sz w:val="18"/>
          <w:szCs w:val="18"/>
        </w:rPr>
      </w:pPr>
      <w:r>
        <w:rPr>
          <w:rFonts w:ascii="Cambria" w:hAnsi="Cambria" w:cs="Cambria"/>
          <w:sz w:val="18"/>
          <w:szCs w:val="18"/>
        </w:rPr>
        <w:t xml:space="preserve">CNPJ:</w:t>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6"/>
          <w:szCs w:val="16"/>
        </w:rPr>
        <w:t xml:space="preserve">Representante legal do órgão gerenciador e representante(s) legal(is) do(s) </w:t>
      </w:r>
      <w:r>
        <w:rPr>
          <w:rFonts w:ascii="Cambria" w:hAnsi="Cambria" w:cs="Cambria"/>
          <w:color w:val="000000"/>
          <w:sz w:val="16"/>
          <w:szCs w:val="16"/>
        </w:rPr>
        <w:t xml:space="preserve">fornecedor(s) registrado(s)</w:t>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sz w:val="18"/>
          <w:szCs w:val="18"/>
        </w:rPr>
        <w:t xml:space="preserve">ANEXO IV</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color w:val="000000"/>
          <w:sz w:val="18"/>
          <w:szCs w:val="18"/>
        </w:rPr>
        <w:t xml:space="preserve">Cadastro Reserva</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567" w:firstLine="709"/>
        <w:jc w:val="both"/>
        <w:widowControl w:val="off"/>
        <w:rPr>
          <w:rFonts w:ascii="Cambria" w:hAnsi="Cambria" w:cs="Cambria"/>
          <w:sz w:val="20"/>
          <w:szCs w:val="20"/>
        </w:rPr>
      </w:pPr>
      <w:r>
        <w:rPr>
          <w:rFonts w:ascii="Cambria" w:hAnsi="Cambria" w:cs="Cambria"/>
          <w:color w:val="000000"/>
          <w:sz w:val="18"/>
          <w:szCs w:val="18"/>
        </w:rPr>
        <w:t xml:space="preserve">Seguindo a ordem de classificação, segue relação de fornecedores que aceitaram cotar os itens com preços iguais ao adjudicatário: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Item</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do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TR</w:t>
            </w:r>
            <w:r>
              <w:rPr>
                <w:rFonts w:ascii="Cambria" w:hAnsi="Cambria" w:cs="Cambria"/>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rFonts w:ascii="Cambria" w:hAnsi="Cambria" w:cs="Cambria"/>
                <w:sz w:val="20"/>
                <w:szCs w:val="20"/>
              </w:rPr>
            </w:r>
            <w:r/>
          </w:p>
          <w:p>
            <w:pPr>
              <w:ind w:right="-30"/>
              <w:jc w:val="center"/>
              <w:spacing w:line="360" w:lineRule="auto"/>
              <w:widowControl w:val="off"/>
              <w:rPr>
                <w:rFonts w:ascii="Cambria" w:hAnsi="Cambria" w:cs="Cambria"/>
                <w:color w:val="ff0000"/>
                <w:sz w:val="20"/>
                <w:szCs w:val="20"/>
              </w:rPr>
            </w:pPr>
            <w:r>
              <w:rPr>
                <w:rFonts w:ascii="Cambria" w:hAnsi="Cambria" w:cs="Cambria"/>
                <w:color w:val="ff0000"/>
                <w:sz w:val="20"/>
                <w:szCs w:val="20"/>
              </w:rPr>
            </w:r>
            <w:r>
              <w:rPr>
                <w:rFonts w:ascii="Cambria" w:hAnsi="Cambria" w:cs="Cambria"/>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X</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18"/>
                <w:szCs w:val="18"/>
              </w:rPr>
              <w:t xml:space="preserve">Especificação</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Marca </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exigida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Modelo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exigido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Unidade</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Máxima</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 Mínima</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Valor Un</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Prazo garantia ou validade</w:t>
            </w:r>
            <w:r>
              <w:rPr>
                <w:rFonts w:ascii="Cambria" w:hAnsi="Cambria" w:cs="Cambria"/>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r>
    </w:tbl>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709"/>
        <w:jc w:val="both"/>
        <w:spacing w:line="360" w:lineRule="auto"/>
        <w:widowControl w:val="off"/>
        <w:rPr>
          <w:rFonts w:ascii="Cambria" w:hAnsi="Cambria" w:cs="Cambria"/>
          <w:sz w:val="20"/>
          <w:szCs w:val="20"/>
        </w:rPr>
      </w:pPr>
      <w:r>
        <w:rPr>
          <w:rFonts w:ascii="Cambria" w:hAnsi="Cambria" w:cs="Cambria"/>
          <w:color w:val="000000"/>
          <w:sz w:val="18"/>
          <w:szCs w:val="18"/>
        </w:rPr>
        <w:t xml:space="preserve">Seguindo a ordem de classificação, segue relação de fornecedores que mantiveram sua proposta original:</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Item</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do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TR</w:t>
            </w:r>
            <w:r>
              <w:rPr>
                <w:rFonts w:ascii="Cambria" w:hAnsi="Cambria" w:cs="Cambria"/>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rFonts w:ascii="Cambria" w:hAnsi="Cambria" w:cs="Cambria"/>
                <w:sz w:val="20"/>
                <w:szCs w:val="20"/>
              </w:rPr>
            </w:r>
            <w:r/>
          </w:p>
          <w:p>
            <w:pPr>
              <w:ind w:right="-30"/>
              <w:jc w:val="center"/>
              <w:spacing w:line="360" w:lineRule="auto"/>
              <w:widowControl w:val="off"/>
              <w:rPr>
                <w:rFonts w:ascii="Cambria" w:hAnsi="Cambria" w:cs="Cambria"/>
                <w:color w:val="ff0000"/>
                <w:sz w:val="20"/>
                <w:szCs w:val="20"/>
              </w:rPr>
            </w:pPr>
            <w:r>
              <w:rPr>
                <w:rFonts w:ascii="Cambria" w:hAnsi="Cambria" w:cs="Cambria"/>
                <w:color w:val="ff0000"/>
                <w:sz w:val="20"/>
                <w:szCs w:val="20"/>
              </w:rPr>
            </w:r>
            <w:r>
              <w:rPr>
                <w:rFonts w:ascii="Cambria" w:hAnsi="Cambria" w:cs="Cambria"/>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X</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18"/>
                <w:szCs w:val="18"/>
              </w:rPr>
              <w:t xml:space="preserve">Especificação</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Marca </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exigida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Modelo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exigido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Unidade</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Máxima</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 Mínima</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Valor Un</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Prazo garantia ou validade</w:t>
            </w:r>
            <w:r>
              <w:rPr>
                <w:rFonts w:ascii="Cambria" w:hAnsi="Cambria" w:cs="Cambria"/>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r>
    </w:tbl>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V</w:t>
      </w:r>
      <w:r>
        <w:rPr>
          <w:b/>
          <w:bCs/>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4"/>
          <w:szCs w:val="24"/>
        </w:rPr>
      </w:pPr>
      <w:r>
        <w:rPr>
          <w:rFonts w:ascii="Cambria" w:hAnsi="Cambria" w:cs="Cambria"/>
          <w:b/>
          <w:sz w:val="22"/>
          <w:szCs w:val="22"/>
        </w:rPr>
        <w:t xml:space="preserve">ESTADO DO RIO GRANDE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PREFEITURA MUNICIPAL DE SANTA BÁRBARA DO SUL</w:t>
      </w:r>
      <w:r>
        <w:rPr>
          <w:sz w:val="32"/>
          <w:szCs w:val="32"/>
        </w:rPr>
      </w:r>
      <w:r/>
    </w:p>
    <w:p>
      <w:pPr>
        <w:jc w:val="center"/>
        <w:spacing w:line="360" w:lineRule="auto"/>
        <w:rPr>
          <w:rFonts w:ascii="Cambria" w:hAnsi="Cambria" w:cs="Cambria"/>
          <w:sz w:val="24"/>
          <w:szCs w:val="24"/>
        </w:rPr>
      </w:pPr>
      <w:r>
        <w:rPr>
          <w:rFonts w:ascii="Cambria" w:hAnsi="Cambria" w:cs="Cambria"/>
          <w:b/>
          <w:sz w:val="22"/>
          <w:szCs w:val="22"/>
        </w:rPr>
        <w:t xml:space="preserve">AVISO DE LICITAÇÃO</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2"/>
          <w:szCs w:val="22"/>
          <w:highlight w:val="none"/>
        </w:rPr>
      </w:pPr>
      <w:r>
        <w:rPr>
          <w:rFonts w:ascii="Cambria" w:hAnsi="Cambria" w:cs="Cambria"/>
          <w:color w:val="000000"/>
          <w:sz w:val="22"/>
          <w:szCs w:val="22"/>
          <w:shd w:val="clear" w:color="auto" w:fill="ffffff"/>
        </w:rPr>
        <w:t xml:space="preserve">Torno público abertura do </w:t>
      </w:r>
      <w:r>
        <w:rPr>
          <w:rFonts w:ascii="Cambria" w:hAnsi="Cambria" w:cs="Cambria"/>
          <w:b/>
          <w:color w:val="000000"/>
          <w:sz w:val="22"/>
          <w:szCs w:val="22"/>
          <w:shd w:val="clear" w:color="auto" w:fill="ffffff"/>
        </w:rPr>
        <w:t xml:space="preserve">Processo Licitatório n° 002/2025</w:t>
      </w:r>
      <w:r>
        <w:rPr>
          <w:rFonts w:ascii="Cambria" w:hAnsi="Cambria" w:cs="Cambria"/>
          <w:color w:val="000000"/>
          <w:sz w:val="22"/>
          <w:szCs w:val="22"/>
          <w:shd w:val="clear" w:color="auto" w:fill="ffffff"/>
        </w:rPr>
        <w:t xml:space="preserve">, na modalidade </w:t>
      </w:r>
      <w:r>
        <w:rPr>
          <w:rFonts w:ascii="Cambria" w:hAnsi="Cambria" w:cs="Cambria"/>
          <w:b/>
          <w:sz w:val="22"/>
          <w:szCs w:val="22"/>
          <w:shd w:val="clear" w:color="auto" w:fill="ffffff"/>
        </w:rPr>
        <w:t xml:space="preserve">PREGÃO ELETRÔNICO </w:t>
      </w:r>
      <w:r>
        <w:rPr>
          <w:rFonts w:ascii="Cambria" w:hAnsi="Cambria" w:cs="Cambria"/>
          <w:b/>
          <w:sz w:val="22"/>
          <w:szCs w:val="22"/>
          <w:highlight w:val="none"/>
          <w:shd w:val="clear" w:color="auto" w:fill="ffffff"/>
        </w:rPr>
        <w:t xml:space="preserve">Nº 002/2025</w:t>
      </w:r>
      <w:r>
        <w:rPr>
          <w:rFonts w:ascii="Cambria" w:hAnsi="Cambria" w:cs="Cambria"/>
          <w:color w:val="000000"/>
          <w:sz w:val="22"/>
          <w:szCs w:val="22"/>
          <w:highlight w:val="none"/>
          <w:shd w:val="clear" w:color="auto" w:fill="ffffff"/>
        </w:rPr>
        <w:t xml:space="preserve">, </w:t>
      </w:r>
      <w:r>
        <w:rPr>
          <w:rFonts w:ascii="Cambria" w:hAnsi="Cambria" w:cs="Cambria"/>
          <w:color w:val="000000"/>
          <w:sz w:val="22"/>
          <w:szCs w:val="22"/>
          <w:highlight w:val="none"/>
        </w:rPr>
        <w:t xml:space="preserve">REGISTRO DE P</w:t>
      </w:r>
      <w:r>
        <w:rPr>
          <w:rFonts w:ascii="Cambria" w:hAnsi="Cambria" w:cs="Cambria"/>
          <w:color w:val="000000"/>
          <w:sz w:val="22"/>
          <w:szCs w:val="22"/>
          <w:highlight w:val="none"/>
        </w:rPr>
        <w:t xml:space="preserve">REÇOS PARA</w:t>
      </w:r>
      <w:r>
        <w:rPr>
          <w:rFonts w:ascii="Cambria" w:hAnsi="Cambria" w:cs="Cambria"/>
          <w:i/>
          <w:iCs/>
          <w:color w:val="000000"/>
          <w:sz w:val="22"/>
          <w:szCs w:val="22"/>
          <w:highlight w:val="none"/>
        </w:rPr>
        <w:t xml:space="preserve"> AQUISIÇÃO DE MÓVEIS</w:t>
      </w:r>
      <w:r>
        <w:rPr>
          <w:rFonts w:ascii="Cambria" w:hAnsi="Cambria" w:cs="Cambria"/>
          <w:i/>
          <w:iCs/>
          <w:color w:val="000000"/>
          <w:sz w:val="22"/>
          <w:szCs w:val="22"/>
          <w:highlight w:val="none"/>
        </w:rPr>
        <w:t xml:space="preserve">.</w:t>
      </w:r>
      <w:r>
        <w:rPr>
          <w:rFonts w:ascii="Cambria" w:hAnsi="Cambria" w:cs="Cambria"/>
          <w:color w:val="000000"/>
          <w:sz w:val="22"/>
          <w:szCs w:val="22"/>
          <w:highlight w:val="none"/>
        </w:rPr>
        <w:t xml:space="preserve"> </w:t>
      </w:r>
      <w:r>
        <w:rPr>
          <w:rFonts w:ascii="Cambria" w:hAnsi="Cambria" w:cs="Cambria"/>
          <w:color w:val="000000"/>
          <w:sz w:val="22"/>
          <w:szCs w:val="22"/>
          <w:highlight w:val="none"/>
          <w:shd w:val="clear" w:color="auto" w:fill="ffffff"/>
        </w:rPr>
        <w:t xml:space="preserve">Início das </w:t>
      </w:r>
      <w:r>
        <w:rPr>
          <w:rFonts w:ascii="Cambria" w:hAnsi="Cambria" w:cs="Cambria"/>
          <w:b/>
          <w:color w:val="000000"/>
          <w:sz w:val="22"/>
          <w:szCs w:val="22"/>
          <w:highlight w:val="none"/>
          <w:shd w:val="clear" w:color="auto" w:fill="ffffff"/>
        </w:rPr>
        <w:t xml:space="preserve">Propostas:</w:t>
      </w:r>
      <w:r>
        <w:rPr>
          <w:rFonts w:ascii="Cambria" w:hAnsi="Cambria" w:cs="Cambria"/>
          <w:b/>
          <w:color w:val="000000"/>
          <w:sz w:val="22"/>
          <w:szCs w:val="22"/>
          <w:highlight w:val="none"/>
        </w:rPr>
        <w:t xml:space="preserve"> 07:59h </w:t>
      </w:r>
      <w:r>
        <w:rPr>
          <w:rFonts w:ascii="Cambria" w:hAnsi="Cambria" w:cs="Cambria"/>
          <w:b/>
          <w:color w:val="000000"/>
          <w:sz w:val="22"/>
          <w:szCs w:val="22"/>
          <w:highlight w:val="none"/>
        </w:rPr>
        <w:t xml:space="preserve">do dia 22/01/</w:t>
      </w:r>
      <w:r>
        <w:rPr>
          <w:rFonts w:ascii="Cambria" w:hAnsi="Cambria" w:cs="Cambria"/>
          <w:b/>
          <w:color w:val="000000"/>
          <w:sz w:val="22"/>
          <w:szCs w:val="22"/>
          <w:highlight w:val="none"/>
        </w:rPr>
        <w:t xml:space="preserve">2025 até às 07:59h do dia 06/02/2025. Início da sessão Pública: às 08hs do dia 06/02/2025</w:t>
      </w:r>
      <w:r>
        <w:rPr>
          <w:rFonts w:ascii="Cambria" w:hAnsi="Cambria" w:cs="Cambria"/>
          <w:color w:val="000000"/>
          <w:sz w:val="22"/>
          <w:szCs w:val="22"/>
          <w:highlight w:val="none"/>
          <w:shd w:val="clear" w:color="auto" w:fill="ffffff"/>
        </w:rPr>
        <w:t xml:space="preserve">, </w:t>
      </w:r>
      <w:r>
        <w:rPr>
          <w:rFonts w:ascii="Cambria" w:hAnsi="Cambria" w:cs="Cambria"/>
          <w:sz w:val="22"/>
          <w:szCs w:val="22"/>
          <w:highlight w:val="none"/>
          <w:shd w:val="clear" w:color="auto" w:fill="ffffff"/>
        </w:rPr>
        <w:t xml:space="preserve">todos via portal </w:t>
      </w:r>
      <w:r>
        <w:rPr>
          <w:rFonts w:ascii="Cambria" w:hAnsi="Cambria" w:cs="Cambria"/>
          <w:sz w:val="22"/>
          <w:szCs w:val="22"/>
          <w:highlight w:val="none"/>
          <w:shd w:val="clear" w:color="auto" w:fill="ffffff"/>
        </w:rPr>
        <w:t xml:space="preserve">https://www.compras.rs.gov.br/</w:t>
      </w:r>
      <w:r>
        <w:rPr>
          <w:rFonts w:ascii="Cambria" w:hAnsi="Cambria" w:cs="Cambria"/>
          <w:bCs/>
          <w:iCs/>
          <w:color w:val="000000"/>
          <w:sz w:val="22"/>
          <w:szCs w:val="22"/>
          <w:highlight w:val="none"/>
          <w:shd w:val="clear" w:color="auto" w:fill="ffffff"/>
        </w:rPr>
        <w:t xml:space="preserve">, no horário de </w:t>
      </w:r>
      <w:r>
        <w:rPr>
          <w:rFonts w:ascii="Cambria" w:hAnsi="Cambria" w:cs="Cambria"/>
          <w:bCs/>
          <w:iCs/>
          <w:color w:val="000000"/>
          <w:sz w:val="22"/>
          <w:szCs w:val="22"/>
          <w:highlight w:val="none"/>
        </w:rPr>
        <w:t xml:space="preserve">Brasília – DF.</w:t>
      </w:r>
      <w:r>
        <w:rPr>
          <w:rFonts w:ascii="Cambria" w:hAnsi="Cambria" w:cs="Cambria"/>
          <w:sz w:val="22"/>
          <w:szCs w:val="22"/>
          <w:highlight w:val="none"/>
        </w:rPr>
        <w:t xml:space="preserve"> O Edital e informações comple</w:t>
      </w:r>
      <w:r>
        <w:rPr>
          <w:rFonts w:ascii="Cambria" w:hAnsi="Cambria" w:cs="Cambria"/>
          <w:sz w:val="22"/>
          <w:szCs w:val="22"/>
          <w:highlight w:val="none"/>
        </w:rPr>
        <w:t xml:space="preserve">mentares encontram-se a disposição dos interessados, junto à Comissão de Licitações, sito a Av. Eduardo de Brito, 101, Fone: 0xx 55 3372 3200, no horário de expediente e nos Sites: </w:t>
      </w:r>
      <w:hyperlink r:id="rId47" w:tooltip="http://www.pregaobanrisul.com.br/" w:history="1">
        <w:r>
          <w:rPr>
            <w:rStyle w:val="1168"/>
            <w:rFonts w:ascii="Cambria" w:hAnsi="Cambria" w:cs="Cambria"/>
            <w:sz w:val="22"/>
            <w:szCs w:val="22"/>
            <w:highlight w:val="none"/>
          </w:rPr>
        </w:r>
        <w:r>
          <w:rPr>
            <w:rStyle w:val="1168"/>
            <w:rFonts w:ascii="Cambria" w:hAnsi="Cambria" w:cs="Cambria"/>
            <w:sz w:val="22"/>
            <w:szCs w:val="22"/>
            <w:highlight w:val="none"/>
          </w:rPr>
          <w:t xml:space="preserve">https://www.compras.rs.gov.br/</w:t>
        </w:r>
        <w:r>
          <w:rPr>
            <w:rStyle w:val="1168"/>
            <w:rFonts w:ascii="Cambria" w:hAnsi="Cambria" w:cs="Cambria"/>
            <w:sz w:val="22"/>
            <w:szCs w:val="22"/>
            <w:highlight w:val="none"/>
          </w:rPr>
        </w:r>
      </w:hyperlink>
      <w:r>
        <w:rPr>
          <w:rFonts w:ascii="Cambria" w:hAnsi="Cambria" w:cs="Cambria"/>
          <w:sz w:val="22"/>
          <w:szCs w:val="22"/>
          <w:highlight w:val="none"/>
        </w:rPr>
        <w:t xml:space="preserve"> </w:t>
      </w:r>
      <w:r>
        <w:rPr>
          <w:rStyle w:val="1157"/>
          <w:rFonts w:ascii="Cambria" w:hAnsi="Cambria" w:cs="Cambria"/>
          <w:iCs/>
          <w:sz w:val="22"/>
          <w:szCs w:val="22"/>
          <w:highlight w:val="none"/>
        </w:rPr>
        <w:t xml:space="preserve">e  </w:t>
      </w:r>
      <w:hyperlink r:id="rId48" w:tooltip="http://www.santabarbaradosul.rs.gov.br/" w:history="1">
        <w:r>
          <w:rPr>
            <w:rStyle w:val="1157"/>
            <w:rFonts w:ascii="Cambria" w:hAnsi="Cambria" w:cs="Cambria"/>
            <w:sz w:val="22"/>
            <w:szCs w:val="22"/>
            <w:highlight w:val="none"/>
          </w:rPr>
          <w:t xml:space="preserve">www.santabarbaradosul.rs.gov.br</w:t>
        </w:r>
      </w:hyperlink>
      <w:r>
        <w:rPr>
          <w:rStyle w:val="1157"/>
          <w:rFonts w:ascii="Cambria" w:hAnsi="Cambria" w:cs="Cambria"/>
          <w:sz w:val="22"/>
          <w:szCs w:val="22"/>
          <w:highlight w:val="none"/>
        </w:rPr>
        <w:t xml:space="preserve">.</w:t>
      </w:r>
      <w:r>
        <w:rPr>
          <w:rFonts w:ascii="Cambria" w:hAnsi="Cambria" w:cs="Cambria"/>
          <w:sz w:val="22"/>
          <w:szCs w:val="22"/>
          <w:highlight w:val="none"/>
        </w:rPr>
      </w:r>
      <w:r/>
    </w:p>
    <w:p>
      <w:pPr>
        <w:jc w:val="both"/>
        <w:spacing w:line="360" w:lineRule="auto"/>
        <w:rPr>
          <w:rFonts w:ascii="Cambria" w:hAnsi="Cambria" w:cs="Cambria"/>
          <w:sz w:val="24"/>
          <w:szCs w:val="24"/>
          <w:highlight w:val="none"/>
        </w:rPr>
      </w:pPr>
      <w:r>
        <w:rPr>
          <w:rStyle w:val="1157"/>
          <w:rFonts w:ascii="Cambria" w:hAnsi="Cambria" w:cs="Cambria"/>
          <w:i/>
          <w:color w:val="auto"/>
          <w:sz w:val="22"/>
          <w:szCs w:val="22"/>
          <w:highlight w:val="none"/>
          <w:u w:val="none"/>
        </w:rPr>
        <w:t xml:space="preserve">Emitido por Vivian Lima Vargas - Pregoeira</w:t>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right"/>
        <w:spacing w:line="360" w:lineRule="auto"/>
        <w:rPr>
          <w:rFonts w:ascii="Cambria" w:hAnsi="Cambria" w:cs="Cambria"/>
          <w:sz w:val="24"/>
          <w:szCs w:val="24"/>
        </w:rPr>
      </w:pPr>
      <w:r>
        <w:rPr>
          <w:rFonts w:ascii="Cambria" w:hAnsi="Cambria" w:cs="Cambria"/>
          <w:sz w:val="22"/>
          <w:szCs w:val="22"/>
          <w:shd w:val="clear" w:color="auto" w:fill="ffffff"/>
        </w:rPr>
        <w:t xml:space="preserve">Santa Bárbara do Sul, RS 08 de janeiro de 2025</w:t>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4"/>
          <w:szCs w:val="24"/>
        </w:rPr>
      </w:pPr>
      <w:r>
        <w:rPr>
          <w:rFonts w:ascii="Cambria" w:hAnsi="Cambria" w:cs="Cambria"/>
          <w:sz w:val="24"/>
          <w:szCs w:val="24"/>
        </w:rPr>
      </w:r>
      <w:r>
        <w:rPr>
          <w:sz w:val="32"/>
          <w:szCs w:val="32"/>
        </w:rPr>
      </w:r>
      <w:r/>
    </w:p>
    <w:p>
      <w:pPr>
        <w:jc w:val="center"/>
        <w:spacing w:line="360" w:lineRule="auto"/>
        <w:rPr>
          <w:rFonts w:ascii="Cambria" w:hAnsi="Cambria" w:cs="Cambria"/>
          <w:sz w:val="24"/>
          <w:szCs w:val="24"/>
        </w:rPr>
      </w:pPr>
      <w:r>
        <w:rPr>
          <w:rFonts w:ascii="Cambria" w:hAnsi="Cambria" w:cs="Cambria"/>
          <w:sz w:val="24"/>
          <w:szCs w:val="24"/>
        </w:rPr>
        <w:t xml:space="preserve">Leandro Caraffini Veneral</w:t>
      </w:r>
      <w:r/>
    </w:p>
    <w:p>
      <w:pPr>
        <w:jc w:val="center"/>
        <w:spacing w:line="360" w:lineRule="auto"/>
        <w:rPr>
          <w:rFonts w:ascii="Cambria" w:hAnsi="Cambria" w:cs="Cambria"/>
          <w:sz w:val="24"/>
          <w:szCs w:val="24"/>
        </w:rPr>
      </w:pPr>
      <w:r>
        <w:rPr>
          <w:rFonts w:ascii="Cambria" w:hAnsi="Cambria" w:cs="Cambria"/>
          <w:sz w:val="24"/>
          <w:szCs w:val="24"/>
        </w:rPr>
        <w:t xml:space="preserve">Prefeito</w:t>
      </w:r>
      <w:r>
        <w:rPr>
          <w:sz w:val="32"/>
          <w:szCs w:val="32"/>
        </w:rPr>
      </w:r>
      <w:r/>
    </w:p>
    <w:p>
      <w:pPr>
        <w:jc w:val="center"/>
        <w:spacing w:line="360" w:lineRule="auto"/>
        <w:rPr>
          <w:rFonts w:ascii="Cambria" w:hAnsi="Cambria" w:cs="Cambria"/>
          <w:sz w:val="24"/>
          <w:szCs w:val="24"/>
        </w:rPr>
      </w:pPr>
      <w:r>
        <w:rPr>
          <w:rFonts w:ascii="Cambria" w:hAnsi="Cambria" w:cs="Cambria"/>
          <w:sz w:val="24"/>
          <w:szCs w:val="24"/>
        </w:rPr>
      </w:r>
      <w:r>
        <w:rPr>
          <w:sz w:val="32"/>
          <w:szCs w:val="32"/>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bCs/>
          <w:sz w:val="18"/>
          <w:szCs w:val="18"/>
        </w:rPr>
        <w:t xml:space="preserve">ANEXO IV</w:t>
      </w:r>
      <w:r>
        <w:rPr>
          <w:rFonts w:ascii="Cambria" w:hAnsi="Cambria" w:cs="Cambria"/>
          <w:sz w:val="20"/>
          <w:szCs w:val="20"/>
        </w:rPr>
      </w:r>
      <w:r/>
    </w:p>
    <w:p>
      <w:pPr>
        <w:jc w:val="center"/>
        <w:spacing w:before="200" w:after="200"/>
        <w:rPr>
          <w:rFonts w:ascii="Cambria" w:hAnsi="Cambria" w:cs="Cambria"/>
          <w:sz w:val="20"/>
          <w:szCs w:val="20"/>
        </w:rPr>
      </w:pPr>
      <w:r>
        <w:rPr>
          <w:rFonts w:ascii="Cambria" w:hAnsi="Cambria" w:eastAsia="Arial" w:cs="Cambria"/>
          <w:b/>
          <w:color w:val="000000"/>
          <w:sz w:val="18"/>
          <w:szCs w:val="18"/>
        </w:rPr>
        <w:t xml:space="preserve">AUTORIZAÇÃO</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480" w:lineRule="auto"/>
        <w:rPr>
          <w:rFonts w:ascii="Cambria" w:hAnsi="Cambria" w:cs="Cambria"/>
          <w:sz w:val="20"/>
          <w:szCs w:val="20"/>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intituida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 PARA AQUISIÇÃO DE MÓVEIS</w:t>
      </w:r>
      <w:r>
        <w:rPr>
          <w:rFonts w:ascii="Cambria" w:hAnsi="Cambria" w:eastAsia="Arial" w:cs="Cambria"/>
          <w:color w:val="000000"/>
          <w:sz w:val="18"/>
          <w:szCs w:val="18"/>
        </w:rPr>
        <w:t xml:space="preserve">,</w:t>
      </w:r>
      <w:r>
        <w:rPr>
          <w:rFonts w:ascii="Cambria" w:hAnsi="Cambria" w:eastAsia="Arial" w:cs="Cambria"/>
          <w:color w:val="000000"/>
          <w:sz w:val="18"/>
          <w:szCs w:val="18"/>
        </w:rPr>
        <w:t xml:space="preserve"> </w:t>
      </w:r>
      <w:r>
        <w:rPr>
          <w:rFonts w:ascii="Cambria" w:hAnsi="Cambria" w:eastAsia="Arial" w:cs="Cambria"/>
          <w:color w:val="000000"/>
          <w:sz w:val="18"/>
          <w:szCs w:val="18"/>
          <w:shd w:val="clear" w:color="auto" w:fill="ffffff"/>
        </w:rPr>
        <w:t xml:space="preserve">conforme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right"/>
        <w:spacing w:before="200" w:after="200"/>
        <w:rPr>
          <w:rFonts w:ascii="Cambria" w:hAnsi="Cambria" w:cs="Cambria"/>
          <w:sz w:val="20"/>
          <w:szCs w:val="20"/>
        </w:rPr>
      </w:pPr>
      <w:r>
        <w:rPr>
          <w:rFonts w:ascii="Cambria" w:hAnsi="Cambria" w:eastAsia="Arial" w:cs="Cambria"/>
          <w:color w:val="000000"/>
          <w:sz w:val="18"/>
          <w:szCs w:val="18"/>
          <w:shd w:val="clear" w:color="auto" w:fill="ffffff"/>
        </w:rPr>
        <w:t xml:space="preserve">Santa Bárbara do Sul,17 de Janeiro de 2025</w:t>
      </w: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18"/>
          <w:szCs w:val="18"/>
        </w:rPr>
        <w:t xml:space="preserve">Leandro Caraffini Veneral</w:t>
      </w:r>
      <w:r/>
    </w:p>
    <w:p>
      <w:pPr>
        <w:jc w:val="center"/>
        <w:spacing w:line="360" w:lineRule="auto"/>
        <w:rPr>
          <w:rFonts w:ascii="Cambria" w:hAnsi="Cambria" w:cs="Cambria"/>
          <w:bCs/>
          <w:i/>
          <w:color w:val="000000"/>
          <w:sz w:val="18"/>
          <w:szCs w:val="18"/>
        </w:rPr>
      </w:pPr>
      <w:r>
        <w:rPr>
          <w:rFonts w:ascii="Cambria" w:hAnsi="Cambria" w:cs="Cambria"/>
          <w:sz w:val="18"/>
          <w:szCs w:val="18"/>
        </w:rPr>
        <w:t xml:space="preserve">Prefeito</w:t>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spacing w:after="0" w:line="240" w:lineRule="auto"/>
      </w:pPr>
      <w:r/>
      <w:r/>
    </w:p>
    <w:p>
      <w:pPr>
        <w:jc w:val="both"/>
        <w:spacing w:after="0" w:line="240" w:lineRule="auto"/>
      </w:pPr>
      <w:r/>
      <w:r/>
    </w:p>
    <w:p>
      <w:pPr>
        <w:jc w:val="both"/>
        <w:spacing w:after="0" w:line="240" w:lineRule="auto"/>
      </w:pPr>
      <w:r/>
      <w:r/>
    </w:p>
    <w:p>
      <w:pPr>
        <w:jc w:val="both"/>
        <w:spacing w:after="0" w:line="240" w:lineRule="auto"/>
      </w:pPr>
      <w:r/>
      <w:r/>
    </w:p>
    <w:p>
      <w:pPr>
        <w:jc w:val="both"/>
        <w:spacing w:after="0" w:line="240" w:lineRule="auto"/>
      </w:pPr>
      <w:r/>
      <w:r/>
    </w:p>
    <w:p>
      <w:pPr>
        <w:jc w:val="both"/>
        <w:spacing w:after="0" w:line="240" w:lineRule="auto"/>
      </w:pPr>
      <w:r/>
      <w:r/>
    </w:p>
    <w:p>
      <w:pPr>
        <w:jc w:val="both"/>
        <w:spacing w:after="0" w:line="240" w:lineRule="auto"/>
      </w:pPr>
      <w:r/>
      <w:r/>
    </w:p>
    <w:p>
      <w:pPr>
        <w:jc w:val="both"/>
        <w:spacing w:after="0" w:line="240" w:lineRule="auto"/>
      </w:pPr>
      <w:r/>
      <w:r/>
    </w:p>
    <w:p>
      <w:pPr>
        <w:jc w:val="both"/>
        <w:spacing w:line="360" w:lineRule="auto"/>
      </w:pPr>
      <w:r/>
      <w:r/>
    </w:p>
    <w:p>
      <w:pPr>
        <w:jc w:val="both"/>
        <w:spacing w:line="360" w:lineRule="auto"/>
      </w:pPr>
      <w:r>
        <w:rPr>
          <w:rFonts w:ascii="Cambria" w:hAnsi="Cambria" w:cs="Cambria"/>
          <w:sz w:val="24"/>
          <w:szCs w:val="24"/>
        </w:rPr>
      </w:r>
      <w:r>
        <w:rPr>
          <w:rFonts w:ascii="Cambria" w:hAnsi="Cambria" w:cs="Cambria"/>
          <w:sz w:val="24"/>
          <w:szCs w:val="24"/>
        </w:rPr>
      </w:r>
      <w:r/>
    </w:p>
    <w:p>
      <w:pPr>
        <w:jc w:val="both"/>
        <w:spacing w:after="0" w:line="240" w:lineRule="auto"/>
      </w:pPr>
      <w:r>
        <w:rPr>
          <w:rFonts w:hint="default" w:ascii="Calibri" w:hAnsi="Calibri" w:cs="Calibri"/>
          <w:b/>
          <w:bCs/>
          <w:i/>
          <w:color w:val="ff0000"/>
          <w:sz w:val="18"/>
          <w:szCs w:val="18"/>
          <w:highlight w:val="none"/>
          <w:u w:val="single"/>
        </w:rPr>
      </w:r>
      <w:r>
        <w:rPr>
          <w:rFonts w:hint="default" w:ascii="Calibri" w:hAnsi="Calibri" w:cs="Calibri"/>
          <w:b/>
          <w:bCs/>
          <w:i/>
          <w:color w:val="ff0000"/>
          <w:sz w:val="18"/>
          <w:szCs w:val="18"/>
          <w:highlight w:val="none"/>
          <w:u w:val="singl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20"/>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15"/>
            <w:ind w:left="-115"/>
          </w:pPr>
          <w:r/>
          <w:r/>
        </w:p>
      </w:tc>
      <w:tc>
        <w:tcPr>
          <w:tcW w:w="3210" w:type="dxa"/>
          <w:textDirection w:val="lrTb"/>
          <w:noWrap w:val="false"/>
        </w:tcPr>
        <w:p>
          <w:pPr>
            <w:pStyle w:val="915"/>
            <w:jc w:val="center"/>
          </w:pPr>
          <w:r/>
          <w:r/>
        </w:p>
      </w:tc>
      <w:tc>
        <w:tcPr>
          <w:tcW w:w="3210" w:type="dxa"/>
          <w:textDirection w:val="lrTb"/>
          <w:noWrap w:val="false"/>
        </w:tcPr>
        <w:p>
          <w:pPr>
            <w:pStyle w:val="915"/>
            <w:ind w:right="-115"/>
            <w:jc w:val="right"/>
          </w:pPr>
          <w:r/>
          <w:r/>
        </w:p>
      </w:tc>
    </w:tr>
  </w:tbl>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rPr>
        <w:rFonts w:ascii="Arial" w:hAnsi="Arial" w:cs="Arial"/>
        <w:sz w:val="20"/>
        <w:szCs w:val="20"/>
      </w:rPr>
    </w:pPr>
    <w:r>
      <w:rPr>
        <w:rFonts w:ascii="Arial" w:hAnsi="Arial" w:cs="Arial"/>
        <w:sz w:val="20"/>
        <w:szCs w:val="20"/>
      </w:rPr>
    </w:r>
    <w:r/>
  </w:p>
  <w:p>
    <w:pPr>
      <w:pStyle w:val="915"/>
      <w:jc w:val="right"/>
      <w:rPr>
        <w:rFonts w:ascii="Arial" w:hAnsi="Arial" w:cs="Arial"/>
        <w:sz w:val="20"/>
        <w:szCs w:val="20"/>
      </w:rPr>
    </w:pPr>
    <w:r>
      <mc:AlternateContent>
        <mc:Choice Requires="wpg">
          <w:drawing>
            <wp:inline xmlns:wp="http://schemas.openxmlformats.org/drawingml/2006/wordprocessingDrawing" distT="0" distB="0" distL="0" distR="0">
              <wp:extent cx="4934245" cy="6497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1762272" name="image1.png"/>
                      <pic:cNvPicPr/>
                      <pic:nvPr/>
                    </pic:nvPicPr>
                    <pic:blipFill>
                      <a:blip r:embed="rId1"/>
                      <a:srcRect l="0" t="0" r="0" b="0"/>
                      <a:stretch/>
                    </pic:blipFill>
                    <pic:spPr bwMode="auto">
                      <a:xfrm rot="0" flipH="0" flipV="0">
                        <a:off x="0" y="0"/>
                        <a:ext cx="4934244" cy="649712"/>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8.5pt;height:51.2pt;mso-wrap-distance-left:0.0pt;mso-wrap-distance-top:0.0pt;mso-wrap-distance-right:0.0pt;mso-wrap-distance-bottom:0.0pt;rotation:0;">
              <v:path textboxrect="0,0,0,0"/>
              <v:imagedata r:id="rId1" o:title=""/>
            </v:shape>
          </w:pict>
        </mc:Fallback>
      </mc:AlternateContent>
    </w:r>
    <w:r/>
  </w:p>
  <w:p>
    <w:pPr>
      <w:pStyle w:val="915"/>
      <w:jc w:val="right"/>
      <w:rPr>
        <w:rFonts w:ascii="Arial" w:hAnsi="Arial" w:cs="Arial"/>
        <w:sz w:val="20"/>
        <w:szCs w:val="20"/>
      </w:rPr>
    </w:pPr>
    <w:r>
      <w:rPr>
        <w:rFonts w:ascii="Arial" w:hAnsi="Arial" w:cs="Arial"/>
        <w:sz w:val="20"/>
        <w:szCs w:val="20"/>
      </w:rPr>
    </w:r>
    <w:r/>
  </w:p>
  <w:p>
    <w:pPr>
      <w:pStyle w:val="915"/>
      <w:jc w:val="right"/>
      <w:rPr>
        <w:rFonts w:ascii="Cambria" w:hAnsi="Cambria" w:cs="Cambria"/>
        <w:sz w:val="18"/>
        <w:szCs w:val="18"/>
        <w:highlight w:val="none"/>
      </w:rPr>
    </w:pPr>
    <w:r>
      <w:rPr>
        <w:rFonts w:ascii="Cambria" w:hAnsi="Cambria" w:cs="Cambria"/>
        <w:sz w:val="18"/>
        <w:szCs w:val="18"/>
      </w:rPr>
      <w:t xml:space="preserve">EDITAL - PREGÃO ELETRÔNICO Nº 02/2025</w:t>
    </w:r>
    <w:r/>
  </w:p>
  <w:p>
    <w:pPr>
      <w:pStyle w:val="915"/>
      <w:jc w:val="right"/>
      <w:rPr>
        <w:rFonts w:ascii="Cambria" w:hAnsi="Cambria" w:cs="Cambria"/>
        <w:sz w:val="18"/>
        <w:szCs w:val="18"/>
      </w:rPr>
    </w:pPr>
    <w:r>
      <w:rPr>
        <w:rFonts w:ascii="Cambria" w:hAnsi="Cambria" w:cs="Cambria"/>
        <w:sz w:val="18"/>
        <w:szCs w:val="18"/>
        <w:highlight w:val="none"/>
      </w:rPr>
      <w:t xml:space="preserve">REGISTRO DE PREÇO Nº 02/2025                                                                                                                                                                                   </w:t>
    </w:r>
    <w:r>
      <w:rPr>
        <w:rFonts w:ascii="Cambria" w:hAnsi="Cambria" w:cs="Cambria"/>
        <w:sz w:val="18"/>
        <w:szCs w:val="18"/>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5400040" cy="9000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1762272" name="image1.png"/>
                      <pic:cNvPicPr/>
                      <pic:nvPr/>
                    </pic:nvPicPr>
                    <pic:blipFill>
                      <a:blip r:embed="rId1"/>
                      <a:srcRect l="0" t="0" r="0" b="0"/>
                      <a:stretch/>
                    </pic:blipFill>
                    <pic:spPr bwMode="auto">
                      <a:xfrm rot="0" flipH="0" flipV="0">
                        <a:off x="0" y="0"/>
                        <a:ext cx="5400039" cy="900005"/>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2pt;height:70.9pt;mso-wrap-distance-left:0.0pt;mso-wrap-distance-top:0.0pt;mso-wrap-distance-right:0.0pt;mso-wrap-distance-bottom:0.0pt;rotation:0;">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910"/>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1"/>
      <w:isLgl w:val="false"/>
      <w:suff w:val="tab"/>
      <w:lvlText w:val="%1."/>
      <w:lvlJc w:val="left"/>
      <w:pPr>
        <w:ind w:left="360" w:hanging="360"/>
      </w:pPr>
      <w:rPr>
        <w:b/>
      </w:rPr>
    </w:lvl>
    <w:lvl w:ilvl="1">
      <w:start w:val="1"/>
      <w:numFmt w:val="decimal"/>
      <w:pStyle w:val="883"/>
      <w:isLgl w:val="false"/>
      <w:suff w:val="tab"/>
      <w:lvlText w:val="%1.%2."/>
      <w:lvlJc w:val="left"/>
      <w:pPr>
        <w:ind w:left="999" w:hanging="432"/>
      </w:pPr>
      <w:rPr>
        <w:b w:val="0"/>
        <w:i w:val="0"/>
        <w:strike w:val="0"/>
        <w:color w:val="auto"/>
        <w:sz w:val="20"/>
        <w:szCs w:val="20"/>
        <w:u w:val="none"/>
      </w:rPr>
    </w:lvl>
    <w:lvl w:ilvl="2">
      <w:start w:val="1"/>
      <w:numFmt w:val="decimal"/>
      <w:pStyle w:val="884"/>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885"/>
      <w:isLgl w:val="false"/>
      <w:suff w:val="tab"/>
      <w:lvlText w:val="%1.%2.%3.%4."/>
      <w:lvlJc w:val="left"/>
      <w:pPr>
        <w:ind w:left="2491" w:hanging="648"/>
      </w:pPr>
    </w:lvl>
    <w:lvl w:ilvl="4">
      <w:start w:val="1"/>
      <w:numFmt w:val="decimal"/>
      <w:pStyle w:val="88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904"/>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69"/>
      <w:isLgl w:val="false"/>
      <w:suff w:val="tab"/>
      <w:lvlText w:val="%1.%2.%3."/>
      <w:lvlJc w:val="left"/>
      <w:pPr>
        <w:ind w:left="1497" w:hanging="504"/>
      </w:pPr>
    </w:lvl>
    <w:lvl w:ilvl="3">
      <w:start w:val="1"/>
      <w:numFmt w:val="decimal"/>
      <w:pStyle w:val="1170"/>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085"/>
      <w:isLgl w:val="false"/>
      <w:suff w:val="tab"/>
      <w:lvlText w:val="%1."/>
      <w:lvlJc w:val="left"/>
      <w:pPr>
        <w:ind w:left="7731" w:hanging="360"/>
      </w:pPr>
      <w:rPr>
        <w:b/>
      </w:rPr>
    </w:lvl>
    <w:lvl w:ilvl="1">
      <w:start w:val="1"/>
      <w:numFmt w:val="decimal"/>
      <w:pStyle w:val="110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0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05"/>
      <w:isLgl w:val="false"/>
      <w:suff w:val="tab"/>
      <w:lvlText w:val="%1.%2.%3.%4."/>
      <w:lvlJc w:val="left"/>
      <w:pPr>
        <w:ind w:left="648" w:hanging="648"/>
      </w:pPr>
      <w:rPr>
        <w:rFonts w:ascii="Cambria" w:hAnsi="Cambria" w:eastAsia="Cambria" w:cs="Cambria"/>
        <w:b w:val="0"/>
        <w:sz w:val="18"/>
      </w:rPr>
    </w:lvl>
    <w:lvl w:ilvl="4">
      <w:start w:val="1"/>
      <w:numFmt w:val="decimal"/>
      <w:pStyle w:val="11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085"/>
      <w:isLgl w:val="false"/>
      <w:suff w:val="tab"/>
      <w:lvlText w:val="%1."/>
      <w:lvlJc w:val="left"/>
      <w:pPr>
        <w:ind w:left="7731" w:hanging="360"/>
      </w:pPr>
      <w:rPr>
        <w:b/>
      </w:rPr>
    </w:lvl>
    <w:lvl w:ilvl="1">
      <w:start w:val="1"/>
      <w:numFmt w:val="decimal"/>
      <w:pStyle w:val="1102"/>
      <w:isLgl w:val="false"/>
      <w:suff w:val="tab"/>
      <w:lvlText w:val="%1.%2."/>
      <w:lvlJc w:val="left"/>
      <w:pPr>
        <w:ind w:left="999" w:hanging="432"/>
      </w:pPr>
      <w:rPr>
        <w:b w:val="0"/>
        <w:i w:val="0"/>
        <w:strike w:val="0"/>
        <w:color w:val="auto"/>
        <w:sz w:val="20"/>
        <w:szCs w:val="20"/>
        <w:u w:val="none"/>
      </w:rPr>
    </w:lvl>
    <w:lvl w:ilvl="2">
      <w:start w:val="1"/>
      <w:numFmt w:val="decimal"/>
      <w:pStyle w:val="110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05"/>
      <w:isLgl w:val="false"/>
      <w:suff w:val="tab"/>
      <w:lvlText w:val="%1.%2.%3.%4."/>
      <w:lvlJc w:val="left"/>
      <w:pPr>
        <w:ind w:left="648" w:hanging="648"/>
      </w:pPr>
      <w:rPr>
        <w:rFonts w:ascii="Cambria" w:hAnsi="Cambria" w:eastAsia="Cambria" w:cs="Cambria"/>
        <w:b w:val="0"/>
        <w:sz w:val="20"/>
      </w:rPr>
    </w:lvl>
    <w:lvl w:ilvl="4">
      <w:start w:val="1"/>
      <w:numFmt w:val="decimal"/>
      <w:pStyle w:val="11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085"/>
      <w:isLgl w:val="false"/>
      <w:suff w:val="tab"/>
      <w:lvlText w:val="%1."/>
      <w:lvlJc w:val="left"/>
      <w:pPr>
        <w:ind w:left="7731" w:hanging="360"/>
      </w:pPr>
      <w:rPr>
        <w:b/>
      </w:rPr>
    </w:lvl>
    <w:lvl w:ilvl="1">
      <w:start w:val="1"/>
      <w:numFmt w:val="decimal"/>
      <w:pStyle w:val="1102"/>
      <w:isLgl w:val="false"/>
      <w:suff w:val="tab"/>
      <w:lvlText w:val="%1.%2."/>
      <w:lvlJc w:val="left"/>
      <w:pPr>
        <w:ind w:left="999" w:hanging="432"/>
      </w:pPr>
      <w:rPr>
        <w:b w:val="0"/>
        <w:i w:val="0"/>
        <w:strike w:val="0"/>
        <w:color w:val="auto"/>
        <w:sz w:val="20"/>
        <w:szCs w:val="20"/>
        <w:u w:val="none"/>
      </w:rPr>
    </w:lvl>
    <w:lvl w:ilvl="2">
      <w:start w:val="1"/>
      <w:numFmt w:val="decimal"/>
      <w:pStyle w:val="110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05"/>
      <w:isLgl w:val="false"/>
      <w:suff w:val="tab"/>
      <w:lvlText w:val="%1.%2.%3.%4."/>
      <w:lvlJc w:val="left"/>
      <w:pPr>
        <w:ind w:left="648" w:hanging="648"/>
      </w:pPr>
      <w:rPr>
        <w:rFonts w:ascii="Cambria" w:hAnsi="Cambria" w:eastAsia="Cambria" w:cs="Cambria"/>
        <w:b w:val="0"/>
        <w:sz w:val="20"/>
      </w:rPr>
    </w:lvl>
    <w:lvl w:ilvl="4">
      <w:start w:val="1"/>
      <w:numFmt w:val="decimal"/>
      <w:pStyle w:val="11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085"/>
      <w:isLgl w:val="false"/>
      <w:suff w:val="tab"/>
      <w:lvlText w:val="%1."/>
      <w:lvlJc w:val="left"/>
      <w:pPr>
        <w:ind w:left="7731" w:hanging="360"/>
      </w:pPr>
      <w:rPr>
        <w:b/>
      </w:rPr>
    </w:lvl>
    <w:lvl w:ilvl="1">
      <w:start w:val="1"/>
      <w:numFmt w:val="decimal"/>
      <w:pStyle w:val="1102"/>
      <w:isLgl w:val="false"/>
      <w:suff w:val="tab"/>
      <w:lvlText w:val="%1.%2."/>
      <w:lvlJc w:val="left"/>
      <w:pPr>
        <w:ind w:left="999" w:hanging="432"/>
      </w:pPr>
      <w:rPr>
        <w:b w:val="0"/>
        <w:i w:val="0"/>
        <w:strike w:val="0"/>
        <w:color w:val="auto"/>
        <w:sz w:val="20"/>
        <w:szCs w:val="20"/>
        <w:u w:val="none"/>
      </w:rPr>
    </w:lvl>
    <w:lvl w:ilvl="2">
      <w:start w:val="1"/>
      <w:numFmt w:val="decimal"/>
      <w:pStyle w:val="1104"/>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05"/>
      <w:isLgl w:val="false"/>
      <w:suff w:val="tab"/>
      <w:lvlText w:val="%1.%2.%3.%4."/>
      <w:lvlJc w:val="left"/>
      <w:pPr>
        <w:ind w:left="648" w:hanging="648"/>
      </w:pPr>
      <w:rPr>
        <w:rFonts w:ascii="Cambria" w:hAnsi="Cambria" w:eastAsia="Cambria" w:cs="Cambria"/>
        <w:b w:val="0"/>
        <w:sz w:val="20"/>
      </w:rPr>
    </w:lvl>
    <w:lvl w:ilvl="4">
      <w:start w:val="1"/>
      <w:numFmt w:val="decimal"/>
      <w:pStyle w:val="11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decimal"/>
      <w:pStyle w:val="1085"/>
      <w:isLgl w:val="false"/>
      <w:suff w:val="tab"/>
      <w:lvlText w:val="%1."/>
      <w:lvlJc w:val="left"/>
      <w:pPr>
        <w:ind w:left="7731" w:hanging="360"/>
      </w:pPr>
      <w:rPr>
        <w:b/>
      </w:rPr>
    </w:lvl>
    <w:lvl w:ilvl="1">
      <w:start w:val="1"/>
      <w:numFmt w:val="decimal"/>
      <w:pStyle w:val="1102"/>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04"/>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05"/>
      <w:isLgl w:val="false"/>
      <w:suff w:val="tab"/>
      <w:lvlText w:val="%1.%2.%3.%4."/>
      <w:lvlJc w:val="left"/>
      <w:pPr>
        <w:ind w:left="648" w:hanging="648"/>
      </w:pPr>
      <w:rPr>
        <w:rFonts w:ascii="Cambria" w:hAnsi="Cambria" w:eastAsia="Cambria" w:cs="Cambria"/>
        <w:b w:val="0"/>
        <w:sz w:val="18"/>
      </w:rPr>
    </w:lvl>
    <w:lvl w:ilvl="4">
      <w:start w:val="1"/>
      <w:numFmt w:val="decimal"/>
      <w:pStyle w:val="1106"/>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num>
  <w:num w:numId="42">
    <w:abstractNumId w:val="3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default="1">
    <w:name w:val="Normal"/>
    <w:qFormat/>
    <w:rPr>
      <w:rFonts w:ascii="Ecofont_Spranq_eco_Sans" w:hAnsi="Ecofont_Spranq_eco_Sans" w:cs="Tahoma" w:eastAsiaTheme="minorEastAsia"/>
      <w:sz w:val="24"/>
      <w:szCs w:val="24"/>
      <w:lang w:eastAsia="pt-BR"/>
    </w:rPr>
  </w:style>
  <w:style w:type="paragraph" w:styleId="855">
    <w:name w:val="Heading 1"/>
    <w:basedOn w:val="854"/>
    <w:next w:val="854"/>
    <w:link w:val="108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56">
    <w:name w:val="Heading 2"/>
    <w:basedOn w:val="854"/>
    <w:next w:val="854"/>
    <w:link w:val="1072"/>
    <w:qFormat/>
    <w:pPr>
      <w:ind w:right="-1"/>
      <w:jc w:val="center"/>
      <w:keepNext/>
      <w:tabs>
        <w:tab w:val="left" w:pos="1701" w:leader="none"/>
      </w:tabs>
      <w:outlineLvl w:val="1"/>
    </w:pPr>
    <w:rPr>
      <w:rFonts w:ascii="Times New Roman" w:hAnsi="Times New Roman" w:cs="Times New Roman"/>
      <w:b/>
      <w:color w:val="000000"/>
      <w:szCs w:val="20"/>
    </w:rPr>
  </w:style>
  <w:style w:type="paragraph" w:styleId="857">
    <w:name w:val="Heading 3"/>
    <w:basedOn w:val="854"/>
    <w:next w:val="854"/>
    <w:link w:val="1134"/>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58">
    <w:name w:val="Heading 4"/>
    <w:basedOn w:val="854"/>
    <w:next w:val="854"/>
    <w:link w:val="1084"/>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59">
    <w:name w:val="Heading 5"/>
    <w:basedOn w:val="854"/>
    <w:next w:val="854"/>
    <w:link w:val="930"/>
    <w:uiPriority w:val="9"/>
    <w:unhideWhenUsed/>
    <w:qFormat/>
    <w:pPr>
      <w:keepLines/>
      <w:keepNext/>
      <w:spacing w:before="320" w:after="200"/>
      <w:outlineLvl w:val="4"/>
    </w:pPr>
    <w:rPr>
      <w:rFonts w:ascii="Arial" w:hAnsi="Arial" w:eastAsia="Arial" w:cs="Arial"/>
      <w:b/>
      <w:bCs/>
    </w:rPr>
  </w:style>
  <w:style w:type="paragraph" w:styleId="860">
    <w:name w:val="Heading 6"/>
    <w:basedOn w:val="854"/>
    <w:next w:val="854"/>
    <w:link w:val="1135"/>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61">
    <w:name w:val="Heading 7"/>
    <w:basedOn w:val="854"/>
    <w:next w:val="854"/>
    <w:link w:val="932"/>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33"/>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34"/>
    <w:uiPriority w:val="9"/>
    <w:unhideWhenUsed/>
    <w:qFormat/>
    <w:pPr>
      <w:keepLines/>
      <w:keepNext/>
      <w:spacing w:before="320" w:after="200"/>
      <w:outlineLvl w:val="8"/>
    </w:pPr>
    <w:rPr>
      <w:rFonts w:ascii="Arial" w:hAnsi="Arial" w:eastAsia="Arial" w:cs="Arial"/>
      <w:i/>
      <w:iCs/>
      <w:sz w:val="21"/>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character" w:styleId="867" w:customStyle="1">
    <w:name w:val="Heading 5 Char"/>
    <w:basedOn w:val="864"/>
    <w:uiPriority w:val="9"/>
    <w:rPr>
      <w:rFonts w:ascii="Arial" w:hAnsi="Arial" w:eastAsia="Arial" w:cs="Arial"/>
      <w:b/>
      <w:bCs/>
      <w:sz w:val="24"/>
      <w:szCs w:val="24"/>
    </w:rPr>
  </w:style>
  <w:style w:type="character" w:styleId="868" w:customStyle="1">
    <w:name w:val="Heading 7 Char"/>
    <w:basedOn w:val="864"/>
    <w:uiPriority w:val="9"/>
    <w:rPr>
      <w:rFonts w:ascii="Arial" w:hAnsi="Arial" w:eastAsia="Arial" w:cs="Arial"/>
      <w:b/>
      <w:bCs/>
      <w:i/>
      <w:iCs/>
      <w:sz w:val="22"/>
      <w:szCs w:val="22"/>
    </w:rPr>
  </w:style>
  <w:style w:type="character" w:styleId="869" w:customStyle="1">
    <w:name w:val="Heading 8 Char"/>
    <w:basedOn w:val="864"/>
    <w:uiPriority w:val="9"/>
    <w:rPr>
      <w:rFonts w:ascii="Arial" w:hAnsi="Arial" w:eastAsia="Arial" w:cs="Arial"/>
      <w:i/>
      <w:iCs/>
      <w:sz w:val="22"/>
      <w:szCs w:val="22"/>
    </w:rPr>
  </w:style>
  <w:style w:type="character" w:styleId="870" w:customStyle="1">
    <w:name w:val="Heading 9 Char"/>
    <w:basedOn w:val="864"/>
    <w:uiPriority w:val="9"/>
    <w:rPr>
      <w:rFonts w:ascii="Arial" w:hAnsi="Arial" w:eastAsia="Arial" w:cs="Arial"/>
      <w:i/>
      <w:iCs/>
      <w:sz w:val="21"/>
      <w:szCs w:val="21"/>
    </w:rPr>
  </w:style>
  <w:style w:type="character" w:styleId="871" w:customStyle="1">
    <w:name w:val="Subtitle Char"/>
    <w:basedOn w:val="864"/>
    <w:uiPriority w:val="11"/>
    <w:rPr>
      <w:sz w:val="24"/>
      <w:szCs w:val="24"/>
    </w:rPr>
  </w:style>
  <w:style w:type="character" w:styleId="872" w:customStyle="1">
    <w:name w:val="Intense Quote Char"/>
    <w:uiPriority w:val="30"/>
    <w:rPr>
      <w:i/>
    </w:rPr>
  </w:style>
  <w:style w:type="table" w:styleId="873">
    <w:name w:val="Plain Table 1"/>
    <w:basedOn w:val="86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86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8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8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86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name w:val="Grid Table 1 Light"/>
    <w:basedOn w:val="86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9">
    <w:name w:val="Grid Table 2"/>
    <w:basedOn w:val="86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0">
    <w:name w:val="Grid Table 3"/>
    <w:basedOn w:val="86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86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5 Dark"/>
    <w:basedOn w:val="86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name w:val="Grid Table 6 Colorful"/>
    <w:basedOn w:val="86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4">
    <w:name w:val="Grid Table 7 Colorful"/>
    <w:basedOn w:val="86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name w:val="List Table 1 Light"/>
    <w:basedOn w:val="86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2"/>
    <w:basedOn w:val="86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name w:val="List Table 3"/>
    <w:basedOn w:val="86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name w:val="List Table 4"/>
    <w:basedOn w:val="86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name w:val="List Table 5 Dark"/>
    <w:basedOn w:val="86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name w:val="List Table 6 Colorful"/>
    <w:basedOn w:val="86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name w:val="List Table 7 Colorful"/>
    <w:basedOn w:val="86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2" w:customStyle="1">
    <w:name w:val="Footnote Text Char"/>
    <w:uiPriority w:val="99"/>
    <w:rPr>
      <w:sz w:val="18"/>
    </w:rPr>
  </w:style>
  <w:style w:type="character" w:styleId="893" w:customStyle="1">
    <w:name w:val="Endnote Text Char"/>
    <w:uiPriority w:val="99"/>
    <w:rPr>
      <w:sz w:val="20"/>
    </w:rPr>
  </w:style>
  <w:style w:type="paragraph" w:styleId="894">
    <w:name w:val="TOC Heading"/>
    <w:uiPriority w:val="39"/>
    <w:unhideWhenUsed/>
  </w:style>
  <w:style w:type="character" w:styleId="895">
    <w:name w:val="endnote reference"/>
    <w:basedOn w:val="864"/>
    <w:uiPriority w:val="99"/>
    <w:semiHidden/>
    <w:unhideWhenUsed/>
    <w:rPr>
      <w:vertAlign w:val="superscript"/>
    </w:rPr>
  </w:style>
  <w:style w:type="character" w:styleId="896">
    <w:name w:val="Strong"/>
    <w:basedOn w:val="864"/>
    <w:uiPriority w:val="22"/>
    <w:qFormat/>
    <w:rPr>
      <w:b/>
      <w:bCs/>
    </w:rPr>
  </w:style>
  <w:style w:type="character" w:styleId="897">
    <w:name w:val="annotation reference"/>
    <w:basedOn w:val="864"/>
    <w:unhideWhenUsed/>
    <w:qFormat/>
    <w:rPr>
      <w:sz w:val="16"/>
      <w:szCs w:val="16"/>
    </w:rPr>
  </w:style>
  <w:style w:type="character" w:styleId="898">
    <w:name w:val="FollowedHyperlink"/>
    <w:basedOn w:val="864"/>
    <w:semiHidden/>
    <w:unhideWhenUsed/>
    <w:qFormat/>
    <w:rPr>
      <w:color w:val="800080" w:themeColor="followedHyperlink"/>
      <w:u w:val="single"/>
    </w:rPr>
  </w:style>
  <w:style w:type="character" w:styleId="899">
    <w:name w:val="Emphasis"/>
    <w:basedOn w:val="864"/>
    <w:qFormat/>
    <w:rPr>
      <w:i/>
      <w:iCs/>
    </w:rPr>
  </w:style>
  <w:style w:type="character" w:styleId="900">
    <w:name w:val="footnote reference"/>
    <w:basedOn w:val="864"/>
    <w:uiPriority w:val="99"/>
    <w:unhideWhenUsed/>
    <w:rPr>
      <w:vertAlign w:val="superscript"/>
    </w:rPr>
  </w:style>
  <w:style w:type="character" w:styleId="901">
    <w:name w:val="Hyperlink"/>
    <w:qFormat/>
    <w:rPr>
      <w:color w:val="000080"/>
      <w:u w:val="single"/>
    </w:rPr>
  </w:style>
  <w:style w:type="paragraph" w:styleId="902">
    <w:name w:val="toc 2"/>
    <w:basedOn w:val="854"/>
    <w:next w:val="854"/>
    <w:uiPriority w:val="39"/>
    <w:unhideWhenUsed/>
    <w:qFormat/>
    <w:pPr>
      <w:ind w:left="283"/>
      <w:spacing w:after="57"/>
    </w:pPr>
  </w:style>
  <w:style w:type="paragraph" w:styleId="903">
    <w:name w:val="toc 9"/>
    <w:basedOn w:val="854"/>
    <w:next w:val="854"/>
    <w:uiPriority w:val="39"/>
    <w:unhideWhenUsed/>
    <w:qFormat/>
    <w:pPr>
      <w:ind w:left="2268"/>
      <w:spacing w:after="57"/>
    </w:pPr>
  </w:style>
  <w:style w:type="paragraph" w:styleId="904">
    <w:name w:val="Body Text"/>
    <w:basedOn w:val="854"/>
    <w:link w:val="1098"/>
    <w:unhideWhenUsed/>
    <w:pPr>
      <w:spacing w:before="100" w:beforeAutospacing="1" w:after="100" w:afterAutospacing="1"/>
    </w:pPr>
    <w:rPr>
      <w:rFonts w:ascii="Times New Roman" w:hAnsi="Times New Roman" w:eastAsia="Times New Roman" w:cs="Times New Roman"/>
    </w:rPr>
  </w:style>
  <w:style w:type="paragraph" w:styleId="905">
    <w:name w:val="toc 6"/>
    <w:basedOn w:val="854"/>
    <w:next w:val="854"/>
    <w:uiPriority w:val="39"/>
    <w:unhideWhenUsed/>
    <w:pPr>
      <w:ind w:left="1417"/>
      <w:spacing w:after="57"/>
    </w:pPr>
  </w:style>
  <w:style w:type="paragraph" w:styleId="906">
    <w:name w:val="annotation text"/>
    <w:basedOn w:val="854"/>
    <w:link w:val="1082"/>
    <w:uiPriority w:val="99"/>
    <w:unhideWhenUsed/>
    <w:qFormat/>
    <w:rPr>
      <w:sz w:val="20"/>
      <w:szCs w:val="20"/>
    </w:rPr>
  </w:style>
  <w:style w:type="paragraph" w:styleId="907">
    <w:name w:val="toc 5"/>
    <w:basedOn w:val="854"/>
    <w:next w:val="854"/>
    <w:uiPriority w:val="39"/>
    <w:unhideWhenUsed/>
    <w:pPr>
      <w:ind w:left="1134"/>
      <w:spacing w:after="57"/>
    </w:pPr>
  </w:style>
  <w:style w:type="paragraph" w:styleId="908">
    <w:name w:val="table of figures"/>
    <w:basedOn w:val="854"/>
    <w:next w:val="854"/>
    <w:uiPriority w:val="99"/>
    <w:unhideWhenUsed/>
  </w:style>
  <w:style w:type="paragraph" w:styleId="909">
    <w:name w:val="Title"/>
    <w:basedOn w:val="854"/>
    <w:next w:val="854"/>
    <w:link w:val="1087"/>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910">
    <w:name w:val="List Bullet 5"/>
    <w:basedOn w:val="854"/>
    <w:pPr>
      <w:numPr>
        <w:numId w:val="1"/>
      </w:numPr>
      <w:contextualSpacing/>
    </w:pPr>
  </w:style>
  <w:style w:type="paragraph" w:styleId="911">
    <w:name w:val="endnote text"/>
    <w:basedOn w:val="854"/>
    <w:link w:val="1069"/>
    <w:uiPriority w:val="99"/>
    <w:semiHidden/>
    <w:unhideWhenUsed/>
    <w:qFormat/>
    <w:rPr>
      <w:sz w:val="20"/>
    </w:rPr>
  </w:style>
  <w:style w:type="paragraph" w:styleId="912">
    <w:name w:val="Normal (Web)"/>
    <w:basedOn w:val="854"/>
    <w:uiPriority w:val="99"/>
    <w:qFormat/>
    <w:pPr>
      <w:spacing w:before="100" w:beforeAutospacing="1" w:after="100" w:afterAutospacing="1"/>
    </w:pPr>
    <w:rPr>
      <w:rFonts w:ascii="Times New Roman" w:hAnsi="Times New Roman" w:cs="Times New Roman"/>
    </w:rPr>
  </w:style>
  <w:style w:type="paragraph" w:styleId="913">
    <w:name w:val="toc 4"/>
    <w:basedOn w:val="854"/>
    <w:next w:val="854"/>
    <w:uiPriority w:val="39"/>
    <w:unhideWhenUsed/>
    <w:pPr>
      <w:ind w:left="850"/>
      <w:spacing w:after="57"/>
    </w:pPr>
  </w:style>
  <w:style w:type="paragraph" w:styleId="914">
    <w:name w:val="toc 8"/>
    <w:basedOn w:val="854"/>
    <w:next w:val="854"/>
    <w:uiPriority w:val="39"/>
    <w:unhideWhenUsed/>
    <w:qFormat/>
    <w:pPr>
      <w:ind w:left="1984"/>
      <w:spacing w:after="57"/>
    </w:pPr>
  </w:style>
  <w:style w:type="paragraph" w:styleId="915">
    <w:name w:val="Header"/>
    <w:basedOn w:val="854"/>
    <w:link w:val="1080"/>
    <w:qFormat/>
    <w:pPr>
      <w:tabs>
        <w:tab w:val="center" w:pos="4252" w:leader="none"/>
        <w:tab w:val="right" w:pos="8504" w:leader="none"/>
      </w:tabs>
    </w:pPr>
  </w:style>
  <w:style w:type="paragraph" w:styleId="916">
    <w:name w:val="annotation subject"/>
    <w:basedOn w:val="906"/>
    <w:next w:val="906"/>
    <w:link w:val="1083"/>
    <w:semiHidden/>
    <w:unhideWhenUsed/>
    <w:qFormat/>
    <w:rPr>
      <w:b/>
      <w:bCs/>
    </w:rPr>
  </w:style>
  <w:style w:type="paragraph" w:styleId="917">
    <w:name w:val="Footer"/>
    <w:basedOn w:val="854"/>
    <w:link w:val="1081"/>
    <w:uiPriority w:val="99"/>
    <w:qFormat/>
    <w:pPr>
      <w:tabs>
        <w:tab w:val="center" w:pos="4252" w:leader="none"/>
        <w:tab w:val="right" w:pos="8504" w:leader="none"/>
      </w:tabs>
    </w:pPr>
  </w:style>
  <w:style w:type="paragraph" w:styleId="918">
    <w:name w:val="Caption"/>
    <w:basedOn w:val="854"/>
    <w:next w:val="854"/>
    <w:uiPriority w:val="35"/>
    <w:semiHidden/>
    <w:unhideWhenUsed/>
    <w:qFormat/>
    <w:pPr>
      <w:spacing w:line="276" w:lineRule="auto"/>
    </w:pPr>
    <w:rPr>
      <w:b/>
      <w:bCs/>
      <w:color w:val="4f81bd" w:themeColor="accent1"/>
      <w:sz w:val="18"/>
      <w:szCs w:val="18"/>
    </w:rPr>
  </w:style>
  <w:style w:type="paragraph" w:styleId="919">
    <w:name w:val="toc 7"/>
    <w:basedOn w:val="854"/>
    <w:next w:val="854"/>
    <w:uiPriority w:val="39"/>
    <w:unhideWhenUsed/>
    <w:qFormat/>
    <w:pPr>
      <w:ind w:left="1701"/>
      <w:spacing w:after="57"/>
    </w:pPr>
  </w:style>
  <w:style w:type="paragraph" w:styleId="920">
    <w:name w:val="toc 3"/>
    <w:basedOn w:val="854"/>
    <w:next w:val="854"/>
    <w:uiPriority w:val="39"/>
    <w:unhideWhenUsed/>
    <w:qFormat/>
    <w:pPr>
      <w:ind w:left="567"/>
      <w:spacing w:after="57"/>
    </w:pPr>
  </w:style>
  <w:style w:type="paragraph" w:styleId="921">
    <w:name w:val="Balloon Text"/>
    <w:basedOn w:val="854"/>
    <w:link w:val="1071"/>
    <w:uiPriority w:val="99"/>
    <w:qFormat/>
    <w:rPr>
      <w:rFonts w:ascii="Tahoma" w:hAnsi="Tahoma"/>
      <w:sz w:val="16"/>
      <w:szCs w:val="16"/>
    </w:rPr>
  </w:style>
  <w:style w:type="paragraph" w:styleId="922">
    <w:name w:val="Subtitle"/>
    <w:basedOn w:val="854"/>
    <w:next w:val="854"/>
    <w:link w:val="937"/>
    <w:uiPriority w:val="11"/>
    <w:qFormat/>
    <w:pPr>
      <w:spacing w:before="200" w:after="200"/>
    </w:pPr>
  </w:style>
  <w:style w:type="paragraph" w:styleId="923">
    <w:name w:val="footnote text"/>
    <w:basedOn w:val="854"/>
    <w:link w:val="1068"/>
    <w:uiPriority w:val="99"/>
    <w:semiHidden/>
    <w:unhideWhenUsed/>
    <w:qFormat/>
    <w:pPr>
      <w:spacing w:after="40"/>
    </w:pPr>
    <w:rPr>
      <w:sz w:val="18"/>
    </w:rPr>
  </w:style>
  <w:style w:type="paragraph" w:styleId="924">
    <w:name w:val="toc 1"/>
    <w:basedOn w:val="854"/>
    <w:next w:val="854"/>
    <w:uiPriority w:val="39"/>
    <w:unhideWhenUsed/>
    <w:qFormat/>
    <w:pPr>
      <w:spacing w:after="100"/>
      <w:tabs>
        <w:tab w:val="left" w:pos="426" w:leader="none"/>
        <w:tab w:val="right" w:pos="9628" w:leader="dot"/>
      </w:tabs>
    </w:pPr>
    <w:rPr>
      <w:rFonts w:ascii="Arial" w:hAnsi="Arial" w:eastAsia="Times New Roman"/>
      <w:sz w:val="20"/>
    </w:rPr>
  </w:style>
  <w:style w:type="table" w:styleId="925">
    <w:name w:val="Table Grid"/>
    <w:basedOn w:val="865"/>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customStyle="1">
    <w:name w:val="Heading 1 Char"/>
    <w:basedOn w:val="864"/>
    <w:uiPriority w:val="9"/>
    <w:rPr>
      <w:rFonts w:ascii="Arial" w:hAnsi="Arial" w:eastAsia="Arial" w:cs="Arial"/>
      <w:sz w:val="40"/>
      <w:szCs w:val="40"/>
    </w:rPr>
  </w:style>
  <w:style w:type="character" w:styleId="927" w:customStyle="1">
    <w:name w:val="Heading 2 Char"/>
    <w:basedOn w:val="864"/>
    <w:uiPriority w:val="9"/>
    <w:rPr>
      <w:rFonts w:ascii="Arial" w:hAnsi="Arial" w:eastAsia="Arial" w:cs="Arial"/>
      <w:sz w:val="34"/>
    </w:rPr>
  </w:style>
  <w:style w:type="character" w:styleId="928" w:customStyle="1">
    <w:name w:val="Heading 3 Char"/>
    <w:basedOn w:val="864"/>
    <w:uiPriority w:val="9"/>
    <w:rPr>
      <w:rFonts w:ascii="Arial" w:hAnsi="Arial" w:eastAsia="Arial" w:cs="Arial"/>
      <w:sz w:val="30"/>
      <w:szCs w:val="30"/>
    </w:rPr>
  </w:style>
  <w:style w:type="character" w:styleId="929" w:customStyle="1">
    <w:name w:val="Heading 4 Char"/>
    <w:basedOn w:val="864"/>
    <w:uiPriority w:val="9"/>
    <w:rPr>
      <w:rFonts w:ascii="Arial" w:hAnsi="Arial" w:eastAsia="Arial" w:cs="Arial"/>
      <w:b/>
      <w:bCs/>
      <w:sz w:val="26"/>
      <w:szCs w:val="26"/>
    </w:rPr>
  </w:style>
  <w:style w:type="character" w:styleId="930" w:customStyle="1">
    <w:name w:val="Título 5 Char"/>
    <w:basedOn w:val="864"/>
    <w:link w:val="859"/>
    <w:uiPriority w:val="9"/>
    <w:rPr>
      <w:rFonts w:ascii="Arial" w:hAnsi="Arial" w:eastAsia="Arial" w:cs="Arial"/>
      <w:b/>
      <w:bCs/>
      <w:sz w:val="24"/>
      <w:szCs w:val="24"/>
    </w:rPr>
  </w:style>
  <w:style w:type="character" w:styleId="931" w:customStyle="1">
    <w:name w:val="Heading 6 Char"/>
    <w:basedOn w:val="864"/>
    <w:uiPriority w:val="9"/>
    <w:rPr>
      <w:rFonts w:ascii="Arial" w:hAnsi="Arial" w:eastAsia="Arial" w:cs="Arial"/>
      <w:b/>
      <w:bCs/>
      <w:sz w:val="22"/>
      <w:szCs w:val="22"/>
    </w:rPr>
  </w:style>
  <w:style w:type="character" w:styleId="932" w:customStyle="1">
    <w:name w:val="Título 7 Char"/>
    <w:basedOn w:val="864"/>
    <w:link w:val="861"/>
    <w:uiPriority w:val="9"/>
    <w:qFormat/>
    <w:rPr>
      <w:rFonts w:ascii="Arial" w:hAnsi="Arial" w:eastAsia="Arial" w:cs="Arial"/>
      <w:b/>
      <w:bCs/>
      <w:i/>
      <w:iCs/>
      <w:sz w:val="22"/>
      <w:szCs w:val="22"/>
    </w:rPr>
  </w:style>
  <w:style w:type="character" w:styleId="933" w:customStyle="1">
    <w:name w:val="Título 8 Char"/>
    <w:basedOn w:val="864"/>
    <w:link w:val="862"/>
    <w:uiPriority w:val="9"/>
    <w:rPr>
      <w:rFonts w:ascii="Arial" w:hAnsi="Arial" w:eastAsia="Arial" w:cs="Arial"/>
      <w:i/>
      <w:iCs/>
      <w:sz w:val="22"/>
      <w:szCs w:val="22"/>
    </w:rPr>
  </w:style>
  <w:style w:type="character" w:styleId="934" w:customStyle="1">
    <w:name w:val="Título 9 Char"/>
    <w:basedOn w:val="864"/>
    <w:link w:val="863"/>
    <w:uiPriority w:val="9"/>
    <w:rPr>
      <w:rFonts w:ascii="Arial" w:hAnsi="Arial" w:eastAsia="Arial" w:cs="Arial"/>
      <w:i/>
      <w:iCs/>
      <w:sz w:val="21"/>
      <w:szCs w:val="21"/>
    </w:rPr>
  </w:style>
  <w:style w:type="paragraph" w:styleId="935">
    <w:name w:val="No Spacing"/>
    <w:uiPriority w:val="1"/>
    <w:qFormat/>
    <w:rPr>
      <w:rFonts w:eastAsiaTheme="minorEastAsia"/>
    </w:rPr>
  </w:style>
  <w:style w:type="character" w:styleId="936" w:customStyle="1">
    <w:name w:val="Title Char"/>
    <w:basedOn w:val="864"/>
    <w:uiPriority w:val="10"/>
    <w:qFormat/>
    <w:rPr>
      <w:sz w:val="48"/>
      <w:szCs w:val="48"/>
    </w:rPr>
  </w:style>
  <w:style w:type="character" w:styleId="937" w:customStyle="1">
    <w:name w:val="Subtítulo Char"/>
    <w:basedOn w:val="864"/>
    <w:link w:val="922"/>
    <w:uiPriority w:val="11"/>
    <w:qFormat/>
    <w:rPr>
      <w:sz w:val="24"/>
      <w:szCs w:val="24"/>
    </w:rPr>
  </w:style>
  <w:style w:type="paragraph" w:styleId="938">
    <w:name w:val="Intense Quote"/>
    <w:basedOn w:val="854"/>
    <w:next w:val="854"/>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Citação Intensa Char"/>
    <w:link w:val="938"/>
    <w:uiPriority w:val="30"/>
    <w:rPr>
      <w:i/>
    </w:rPr>
  </w:style>
  <w:style w:type="character" w:styleId="940" w:customStyle="1">
    <w:name w:val="Header Char"/>
    <w:basedOn w:val="864"/>
    <w:uiPriority w:val="99"/>
  </w:style>
  <w:style w:type="character" w:styleId="941" w:customStyle="1">
    <w:name w:val="Footer Char"/>
    <w:basedOn w:val="864"/>
    <w:uiPriority w:val="99"/>
  </w:style>
  <w:style w:type="character" w:styleId="942" w:customStyle="1">
    <w:name w:val="Caption Char"/>
    <w:uiPriority w:val="99"/>
  </w:style>
  <w:style w:type="table" w:styleId="943" w:customStyle="1">
    <w:name w:val="Table Grid Light"/>
    <w:basedOn w:val="86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4" w:customStyle="1">
    <w:name w:val="Simples Tabela 11"/>
    <w:basedOn w:val="86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Simples Tabela 21"/>
    <w:basedOn w:val="86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Simples Tabela 31"/>
    <w:basedOn w:val="8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Tabela Simples 41"/>
    <w:basedOn w:val="8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Tabela Simples 51"/>
    <w:basedOn w:val="8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Tabela de Grade 1 Clara1"/>
    <w:basedOn w:val="86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6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6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6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6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6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Tabela de Grade 21"/>
    <w:basedOn w:val="86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6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6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6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Tabela de Grade 31"/>
    <w:basedOn w:val="8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6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6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6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Tabela de Grade 41"/>
    <w:basedOn w:val="8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6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2" w:customStyle="1">
    <w:name w:val="Grid Table 4 - Accent 2"/>
    <w:basedOn w:val="86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3" w:customStyle="1">
    <w:name w:val="Grid Table 4 - Accent 3"/>
    <w:basedOn w:val="86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4" w:customStyle="1">
    <w:name w:val="Grid Table 4 - Accent 4"/>
    <w:basedOn w:val="86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basedOn w:val="86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basedOn w:val="86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Tabela de Grade 5 Escura1"/>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basedOn w:val="86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Tabela de Grade 6 Colorida1"/>
    <w:basedOn w:val="86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5" w:customStyle="1">
    <w:name w:val="Grid Table 6 Colorful - Accent 1"/>
    <w:basedOn w:val="86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6" w:customStyle="1">
    <w:name w:val="Grid Table 6 Colorful - Accent 2"/>
    <w:basedOn w:val="86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7" w:customStyle="1">
    <w:name w:val="Grid Table 6 Colorful - Accent 3"/>
    <w:basedOn w:val="86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8" w:customStyle="1">
    <w:name w:val="Grid Table 6 Colorful - Accent 4"/>
    <w:basedOn w:val="8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9" w:customStyle="1">
    <w:name w:val="Grid Table 6 Colorful - Accent 5"/>
    <w:basedOn w:val="86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0" w:customStyle="1">
    <w:name w:val="Grid Table 6 Colorful - Accent 6"/>
    <w:basedOn w:val="86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1" w:customStyle="1">
    <w:name w:val="Tabela de Grade 7 Colorida1"/>
    <w:basedOn w:val="8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6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6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6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6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6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6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Tabela de Lista 1 Clara1"/>
    <w:basedOn w:val="8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6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65"/>
    <w:link w:val="116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6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65"/>
    <w:link w:val="117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65"/>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6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Tabela de Lista 21"/>
    <w:basedOn w:val="8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6" w:customStyle="1">
    <w:name w:val="List Table 2 - Accent 1"/>
    <w:basedOn w:val="86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basedOn w:val="86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8" w:customStyle="1">
    <w:name w:val="List Table 2 - Accent 3"/>
    <w:basedOn w:val="86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basedOn w:val="86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basedOn w:val="86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basedOn w:val="86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Tabela de Lista 31"/>
    <w:basedOn w:val="86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6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basedOn w:val="86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6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6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6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6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Tabela de Lista 41"/>
    <w:basedOn w:val="8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6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6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6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6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6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6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Tabela de Lista 5 Escura1"/>
    <w:basedOn w:val="8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7" w:customStyle="1">
    <w:name w:val="List Table 5 Dark - Accent 1"/>
    <w:basedOn w:val="86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8" w:customStyle="1">
    <w:name w:val="List Table 5 Dark - Accent 2"/>
    <w:basedOn w:val="86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9" w:customStyle="1">
    <w:name w:val="List Table 5 Dark - Accent 3"/>
    <w:basedOn w:val="86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0" w:customStyle="1">
    <w:name w:val="List Table 5 Dark - Accent 4"/>
    <w:basedOn w:val="86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1" w:customStyle="1">
    <w:name w:val="List Table 5 Dark - Accent 5"/>
    <w:basedOn w:val="86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2" w:customStyle="1">
    <w:name w:val="List Table 5 Dark - Accent 6"/>
    <w:basedOn w:val="86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3" w:customStyle="1">
    <w:name w:val="Tabela de Lista 6 Colorida1"/>
    <w:basedOn w:val="8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4" w:customStyle="1">
    <w:name w:val="List Table 6 Colorful - Accent 1"/>
    <w:basedOn w:val="86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35" w:customStyle="1">
    <w:name w:val="List Table 6 Colorful - Accent 2"/>
    <w:basedOn w:val="865"/>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6" w:customStyle="1">
    <w:name w:val="List Table 6 Colorful - Accent 3"/>
    <w:basedOn w:val="86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7" w:customStyle="1">
    <w:name w:val="List Table 6 Colorful - Accent 4"/>
    <w:basedOn w:val="86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8" w:customStyle="1">
    <w:name w:val="List Table 6 Colorful - Accent 5"/>
    <w:basedOn w:val="86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9" w:customStyle="1">
    <w:name w:val="List Table 6 Colorful - Accent 6"/>
    <w:basedOn w:val="86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0" w:customStyle="1">
    <w:name w:val="Tabela de Lista 7 Colorida1"/>
    <w:basedOn w:val="8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6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6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6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6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6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6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8" w:customStyle="1">
    <w:name w:val="Lined - Accent 1"/>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9" w:customStyle="1">
    <w:name w:val="Lined - Accent 2"/>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0" w:customStyle="1">
    <w:name w:val="Lined - Accent 3"/>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1" w:customStyle="1">
    <w:name w:val="Lined - Accent 4"/>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basedOn w:val="8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basedOn w:val="86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5" w:customStyle="1">
    <w:name w:val="Bordered &amp; Lined - Accent 1"/>
    <w:basedOn w:val="86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6" w:customStyle="1">
    <w:name w:val="Bordered &amp; Lined - Accent 2"/>
    <w:basedOn w:val="86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7" w:customStyle="1">
    <w:name w:val="Bordered &amp; Lined - Accent 3"/>
    <w:basedOn w:val="86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8" w:customStyle="1">
    <w:name w:val="Bordered &amp; Lined - Accent 4"/>
    <w:basedOn w:val="86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basedOn w:val="86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basedOn w:val="86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basedOn w:val="86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2" w:customStyle="1">
    <w:name w:val="Bordered - Accent 1"/>
    <w:basedOn w:val="86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basedOn w:val="86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4" w:customStyle="1">
    <w:name w:val="Bordered - Accent 3"/>
    <w:basedOn w:val="8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5" w:customStyle="1">
    <w:name w:val="Bordered - Accent 4"/>
    <w:basedOn w:val="8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basedOn w:val="86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basedOn w:val="86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Texto de nota de rodapé Char"/>
    <w:link w:val="923"/>
    <w:uiPriority w:val="99"/>
    <w:qFormat/>
    <w:rPr>
      <w:sz w:val="18"/>
    </w:rPr>
  </w:style>
  <w:style w:type="character" w:styleId="1069" w:customStyle="1">
    <w:name w:val="Texto de nota de fim Char"/>
    <w:link w:val="911"/>
    <w:uiPriority w:val="99"/>
    <w:qFormat/>
    <w:rPr>
      <w:sz w:val="20"/>
    </w:rPr>
  </w:style>
  <w:style w:type="paragraph" w:styleId="1070">
    <w:name w:val="List Paragraph"/>
    <w:basedOn w:val="854"/>
    <w:link w:val="1133"/>
    <w:uiPriority w:val="1"/>
    <w:qFormat/>
    <w:pPr>
      <w:contextualSpacing/>
      <w:ind w:left="720"/>
    </w:pPr>
  </w:style>
  <w:style w:type="character" w:styleId="1071" w:customStyle="1">
    <w:name w:val="Texto de balão Char"/>
    <w:link w:val="921"/>
    <w:uiPriority w:val="99"/>
    <w:qFormat/>
    <w:rPr>
      <w:rFonts w:ascii="Tahoma" w:hAnsi="Tahoma" w:cs="Tahoma"/>
      <w:sz w:val="16"/>
      <w:szCs w:val="16"/>
    </w:rPr>
  </w:style>
  <w:style w:type="character" w:styleId="1072" w:customStyle="1">
    <w:name w:val="Título 2 Char"/>
    <w:link w:val="856"/>
    <w:rPr>
      <w:b/>
      <w:color w:val="000000"/>
      <w:sz w:val="24"/>
    </w:rPr>
  </w:style>
  <w:style w:type="paragraph" w:styleId="1073" w:customStyle="1">
    <w:name w:val="Nível 2"/>
    <w:basedOn w:val="854"/>
    <w:next w:val="854"/>
    <w:pPr>
      <w:jc w:val="both"/>
      <w:spacing w:after="120"/>
    </w:pPr>
    <w:rPr>
      <w:rFonts w:ascii="Arial" w:hAnsi="Arial" w:cs="Times New Roman"/>
      <w:b/>
      <w:szCs w:val="20"/>
    </w:rPr>
  </w:style>
  <w:style w:type="character" w:styleId="1074" w:customStyle="1">
    <w:name w:val="normal__char1"/>
    <w:rPr>
      <w:rFonts w:hint="default" w:ascii="Arial" w:hAnsi="Arial" w:cs="Arial"/>
      <w:sz w:val="24"/>
      <w:szCs w:val="24"/>
      <w:u w:val="none"/>
    </w:rPr>
  </w:style>
  <w:style w:type="character" w:styleId="1075" w:customStyle="1">
    <w:name w:val="apple-style-span"/>
    <w:basedOn w:val="864"/>
    <w:qFormat/>
  </w:style>
  <w:style w:type="paragraph" w:styleId="1076">
    <w:name w:val="Quote"/>
    <w:basedOn w:val="854"/>
    <w:next w:val="854"/>
    <w:link w:val="1077"/>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77" w:customStyle="1">
    <w:name w:val="Citação Char"/>
    <w:link w:val="1076"/>
    <w:qFormat/>
    <w:rPr>
      <w:rFonts w:ascii="Arial" w:hAnsi="Arial" w:eastAsia="Calibri" w:cs="Tahoma"/>
      <w:i/>
      <w:iCs/>
      <w:color w:val="000000"/>
      <w:szCs w:val="24"/>
      <w:shd w:val="clear" w:color="auto" w:fill="ffffcc"/>
    </w:rPr>
  </w:style>
  <w:style w:type="paragraph" w:styleId="1078" w:customStyle="1">
    <w:name w:val="Nota explicativa"/>
    <w:basedOn w:val="1076"/>
    <w:link w:val="1079"/>
    <w:qFormat/>
    <w:rPr>
      <w:szCs w:val="20"/>
    </w:rPr>
  </w:style>
  <w:style w:type="character" w:styleId="1079" w:customStyle="1">
    <w:name w:val="Nota explicativa Char"/>
    <w:basedOn w:val="1077"/>
    <w:link w:val="1078"/>
    <w:rPr>
      <w:rFonts w:ascii="Arial" w:hAnsi="Arial" w:eastAsia="Calibri" w:cs="Tahoma"/>
      <w:i/>
      <w:iCs/>
      <w:color w:val="000000"/>
      <w:szCs w:val="24"/>
      <w:shd w:val="clear" w:color="auto" w:fill="ffffcc"/>
    </w:rPr>
  </w:style>
  <w:style w:type="character" w:styleId="1080" w:customStyle="1">
    <w:name w:val="Cabeçalho Char"/>
    <w:link w:val="915"/>
    <w:qFormat/>
    <w:rPr>
      <w:rFonts w:ascii="Ecofont_Spranq_eco_Sans" w:hAnsi="Ecofont_Spranq_eco_Sans" w:cs="Tahoma"/>
      <w:sz w:val="24"/>
      <w:szCs w:val="24"/>
    </w:rPr>
  </w:style>
  <w:style w:type="character" w:styleId="1081" w:customStyle="1">
    <w:name w:val="Rodapé Char"/>
    <w:link w:val="917"/>
    <w:uiPriority w:val="99"/>
    <w:qFormat/>
    <w:rPr>
      <w:rFonts w:ascii="Ecofont_Spranq_eco_Sans" w:hAnsi="Ecofont_Spranq_eco_Sans" w:cs="Tahoma"/>
      <w:sz w:val="24"/>
      <w:szCs w:val="24"/>
    </w:rPr>
  </w:style>
  <w:style w:type="character" w:styleId="1082" w:customStyle="1">
    <w:name w:val="Texto de comentário Char"/>
    <w:basedOn w:val="864"/>
    <w:link w:val="906"/>
    <w:uiPriority w:val="99"/>
    <w:qFormat/>
    <w:rPr>
      <w:rFonts w:ascii="Ecofont_Spranq_eco_Sans" w:hAnsi="Ecofont_Spranq_eco_Sans" w:cs="Tahoma"/>
      <w:lang w:eastAsia="pt-BR"/>
    </w:rPr>
  </w:style>
  <w:style w:type="character" w:styleId="1083" w:customStyle="1">
    <w:name w:val="Assunto do comentário Char"/>
    <w:basedOn w:val="1082"/>
    <w:link w:val="916"/>
    <w:semiHidden/>
    <w:qFormat/>
    <w:rPr>
      <w:rFonts w:ascii="Ecofont_Spranq_eco_Sans" w:hAnsi="Ecofont_Spranq_eco_Sans" w:cs="Tahoma"/>
      <w:b/>
      <w:bCs/>
      <w:lang w:eastAsia="pt-BR"/>
    </w:rPr>
  </w:style>
  <w:style w:type="character" w:styleId="1084" w:customStyle="1">
    <w:name w:val="Título 4 Char"/>
    <w:basedOn w:val="864"/>
    <w:link w:val="858"/>
    <w:qFormat/>
    <w:rPr>
      <w:rFonts w:asciiTheme="majorHAnsi" w:hAnsiTheme="majorHAnsi" w:eastAsiaTheme="majorEastAsia" w:cstheme="majorBidi"/>
      <w:i/>
      <w:iCs/>
      <w:color w:val="365f91" w:themeColor="accent1" w:themeShade="BF"/>
      <w:sz w:val="24"/>
      <w:szCs w:val="24"/>
      <w:lang w:eastAsia="pt-BR"/>
    </w:rPr>
  </w:style>
  <w:style w:type="paragraph" w:styleId="1085" w:customStyle="1">
    <w:name w:val="Nivel 01"/>
    <w:basedOn w:val="855"/>
    <w:next w:val="854"/>
    <w:link w:val="1088"/>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086" w:customStyle="1">
    <w:name w:val="Nivel_01_Titulo"/>
    <w:basedOn w:val="1085"/>
    <w:link w:val="1090"/>
    <w:qFormat/>
    <w:pPr>
      <w:jc w:val="left"/>
    </w:pPr>
    <w:rPr>
      <w:rFonts w:cstheme="majorBidi"/>
      <w:color w:val="000000" w:themeColor="text1"/>
      <w:spacing w:val="5"/>
      <w:sz w:val="52"/>
      <w:szCs w:val="52"/>
    </w:rPr>
  </w:style>
  <w:style w:type="character" w:styleId="1087" w:customStyle="1">
    <w:name w:val="Título Char"/>
    <w:basedOn w:val="864"/>
    <w:link w:val="909"/>
    <w:rPr>
      <w:rFonts w:asciiTheme="majorHAnsi" w:hAnsiTheme="majorHAnsi" w:eastAsiaTheme="majorEastAsia" w:cstheme="majorBidi"/>
      <w:color w:val="17365d" w:themeColor="text2" w:themeShade="BF"/>
      <w:spacing w:val="5"/>
      <w:sz w:val="52"/>
      <w:szCs w:val="52"/>
      <w:lang w:eastAsia="pt-BR"/>
    </w:rPr>
  </w:style>
  <w:style w:type="character" w:styleId="1088" w:customStyle="1">
    <w:name w:val="Nivel 01 Char"/>
    <w:basedOn w:val="1087"/>
    <w:link w:val="1085"/>
    <w:qFormat/>
    <w:rPr>
      <w:rFonts w:ascii="Arial" w:hAnsi="Arial" w:cs="Arial" w:eastAsiaTheme="majorEastAsia"/>
      <w:b/>
      <w:bCs/>
      <w:color w:val="17365d" w:themeColor="text2" w:themeShade="BF"/>
      <w:spacing w:val="5"/>
      <w:sz w:val="52"/>
      <w:szCs w:val="52"/>
      <w:lang w:eastAsia="pt-BR"/>
    </w:rPr>
  </w:style>
  <w:style w:type="character" w:styleId="1089" w:customStyle="1">
    <w:name w:val="Título 1 Char"/>
    <w:basedOn w:val="864"/>
    <w:link w:val="855"/>
    <w:rPr>
      <w:rFonts w:asciiTheme="majorHAnsi" w:hAnsiTheme="majorHAnsi" w:eastAsiaTheme="majorEastAsia" w:cstheme="majorBidi"/>
      <w:b/>
      <w:bCs/>
      <w:color w:val="365f91" w:themeColor="accent1" w:themeShade="BF"/>
      <w:sz w:val="28"/>
      <w:szCs w:val="28"/>
      <w:lang w:eastAsia="pt-BR"/>
    </w:rPr>
  </w:style>
  <w:style w:type="character" w:styleId="1090" w:customStyle="1">
    <w:name w:val="Nivel_01_Titulo Char"/>
    <w:basedOn w:val="1088"/>
    <w:link w:val="1086"/>
    <w:qFormat/>
    <w:rPr>
      <w:rFonts w:ascii="Arial" w:hAnsi="Arial" w:eastAsiaTheme="majorEastAsia" w:cstheme="majorBidi"/>
      <w:b/>
      <w:bCs/>
      <w:color w:val="000000" w:themeColor="text1"/>
      <w:spacing w:val="5"/>
      <w:sz w:val="52"/>
      <w:szCs w:val="52"/>
      <w:lang w:eastAsia="pt-BR"/>
    </w:rPr>
  </w:style>
  <w:style w:type="paragraph" w:styleId="1091"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92" w:customStyle="1">
    <w:name w:val="Quote Char"/>
    <w:basedOn w:val="864"/>
    <w:link w:val="1093"/>
    <w:qFormat/>
    <w:rPr>
      <w:rFonts w:ascii="Ecofont_Spranq_eco_Sans" w:hAnsi="Ecofont_Spranq_eco_Sans" w:eastAsia="Calibri" w:cs="Tahoma"/>
      <w:i/>
      <w:iCs/>
      <w:color w:val="000000"/>
      <w:shd w:val="clear" w:color="auto" w:fill="ffffcc"/>
    </w:rPr>
  </w:style>
  <w:style w:type="paragraph" w:styleId="1093" w:customStyle="1">
    <w:name w:val="Citação1"/>
    <w:basedOn w:val="854"/>
    <w:next w:val="854"/>
    <w:link w:val="1092"/>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94" w:customStyle="1">
    <w:name w:val="paragraph"/>
    <w:basedOn w:val="854"/>
    <w:pPr>
      <w:spacing w:before="100" w:beforeAutospacing="1" w:after="100" w:afterAutospacing="1"/>
    </w:pPr>
    <w:rPr>
      <w:rFonts w:ascii="Times New Roman" w:hAnsi="Times New Roman" w:eastAsia="Times New Roman" w:cs="Times New Roman"/>
    </w:rPr>
  </w:style>
  <w:style w:type="character" w:styleId="1095" w:customStyle="1">
    <w:name w:val="normaltextrun"/>
    <w:basedOn w:val="864"/>
  </w:style>
  <w:style w:type="character" w:styleId="1096" w:customStyle="1">
    <w:name w:val="eop"/>
    <w:basedOn w:val="864"/>
  </w:style>
  <w:style w:type="character" w:styleId="1097" w:customStyle="1">
    <w:name w:val="spellingerror"/>
    <w:basedOn w:val="864"/>
    <w:qFormat/>
  </w:style>
  <w:style w:type="character" w:styleId="1098" w:customStyle="1">
    <w:name w:val="Corpo de texto Char"/>
    <w:basedOn w:val="864"/>
    <w:link w:val="904"/>
    <w:rPr>
      <w:rFonts w:eastAsia="Times New Roman"/>
      <w:sz w:val="24"/>
      <w:szCs w:val="24"/>
      <w:lang w:eastAsia="pt-BR"/>
    </w:rPr>
  </w:style>
  <w:style w:type="paragraph" w:styleId="1099" w:customStyle="1">
    <w:name w:val="Nivel1"/>
    <w:basedOn w:val="855"/>
    <w:link w:val="1100"/>
    <w:qFormat/>
    <w:pPr>
      <w:ind w:left="357" w:hanging="357"/>
      <w:jc w:val="both"/>
      <w:spacing w:line="276" w:lineRule="auto"/>
    </w:pPr>
    <w:rPr>
      <w:rFonts w:ascii="Arial" w:hAnsi="Arial" w:cs="Arial"/>
      <w:bCs w:val="0"/>
      <w:color w:val="000000"/>
    </w:rPr>
  </w:style>
  <w:style w:type="character" w:styleId="1100" w:customStyle="1">
    <w:name w:val="Nivel1 Char"/>
    <w:basedOn w:val="1089"/>
    <w:link w:val="1099"/>
    <w:qFormat/>
    <w:rPr>
      <w:rFonts w:ascii="Arial" w:hAnsi="Arial" w:cs="Arial" w:eastAsiaTheme="majorEastAsia"/>
      <w:b/>
      <w:bCs w:val="0"/>
      <w:color w:val="000000"/>
      <w:sz w:val="28"/>
      <w:szCs w:val="28"/>
      <w:lang w:eastAsia="pt-BR"/>
    </w:rPr>
  </w:style>
  <w:style w:type="paragraph" w:styleId="1101" w:customStyle="1">
    <w:name w:val="Parágrafo da Lista1"/>
    <w:basedOn w:val="854"/>
    <w:qFormat/>
    <w:pPr>
      <w:ind w:left="720"/>
    </w:pPr>
    <w:rPr>
      <w:rFonts w:eastAsia="Times New Roman" w:cs="Ecofont_Spranq_eco_Sans"/>
    </w:rPr>
  </w:style>
  <w:style w:type="paragraph" w:styleId="1102" w:customStyle="1">
    <w:name w:val="Nivel 2"/>
    <w:basedOn w:val="854"/>
    <w:link w:val="1127"/>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103" w:customStyle="1">
    <w:name w:val="Nivel 1"/>
    <w:basedOn w:val="1102"/>
    <w:next w:val="1102"/>
    <w:qFormat/>
    <w:pPr>
      <w:numPr>
        <w:ilvl w:val="0"/>
        <w:numId w:val="0"/>
      </w:numPr>
      <w:ind w:left="360" w:hanging="360"/>
    </w:pPr>
    <w:rPr>
      <w:b/>
    </w:rPr>
  </w:style>
  <w:style w:type="paragraph" w:styleId="1104" w:customStyle="1">
    <w:name w:val="Nivel 3"/>
    <w:basedOn w:val="854"/>
    <w:link w:val="1153"/>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105" w:customStyle="1">
    <w:name w:val="Nivel 4"/>
    <w:basedOn w:val="1104"/>
    <w:link w:val="1107"/>
    <w:qFormat/>
    <w:pPr>
      <w:numPr>
        <w:ilvl w:val="3"/>
      </w:numPr>
      <w:ind w:left="567" w:firstLine="0"/>
    </w:pPr>
    <w:rPr>
      <w:color w:val="auto"/>
    </w:rPr>
  </w:style>
  <w:style w:type="paragraph" w:styleId="1106" w:customStyle="1">
    <w:name w:val="Nivel 5"/>
    <w:basedOn w:val="1105"/>
    <w:qFormat/>
    <w:pPr>
      <w:numPr>
        <w:ilvl w:val="4"/>
      </w:numPr>
      <w:ind w:left="851" w:firstLine="0"/>
    </w:pPr>
  </w:style>
  <w:style w:type="character" w:styleId="1107" w:customStyle="1">
    <w:name w:val="Nivel 4 Char"/>
    <w:basedOn w:val="864"/>
    <w:link w:val="1105"/>
    <w:qFormat/>
    <w:rPr>
      <w:rFonts w:ascii="Arial" w:hAnsi="Arial" w:cs="Arial"/>
      <w:lang w:eastAsia="pt-BR"/>
    </w:rPr>
  </w:style>
  <w:style w:type="paragraph" w:styleId="1108" w:customStyle="1">
    <w:name w:val="textbody"/>
    <w:basedOn w:val="854"/>
    <w:qFormat/>
    <w:pPr>
      <w:spacing w:before="100" w:beforeAutospacing="1" w:after="100" w:afterAutospacing="1"/>
    </w:pPr>
    <w:rPr>
      <w:rFonts w:ascii="Times New Roman" w:hAnsi="Times New Roman" w:eastAsia="Times New Roman" w:cs="Times New Roman"/>
    </w:rPr>
  </w:style>
  <w:style w:type="paragraph" w:styleId="1109" w:customStyle="1">
    <w:name w:val="em_0020ementa"/>
    <w:basedOn w:val="854"/>
    <w:pPr>
      <w:ind w:left="4160"/>
      <w:jc w:val="both"/>
    </w:pPr>
    <w:rPr>
      <w:rFonts w:ascii="Times New Roman" w:hAnsi="Times New Roman" w:eastAsia="Times New Roman" w:cs="Times New Roman"/>
      <w:sz w:val="28"/>
      <w:szCs w:val="28"/>
    </w:rPr>
  </w:style>
  <w:style w:type="character" w:styleId="1110" w:customStyle="1">
    <w:name w:val="cp_0020corpodespacho__char1"/>
    <w:qFormat/>
    <w:rPr>
      <w:rFonts w:hint="default" w:ascii="Times New Roman" w:hAnsi="Times New Roman" w:cs="Times New Roman"/>
      <w:sz w:val="26"/>
      <w:szCs w:val="26"/>
      <w:u w:val="none"/>
    </w:rPr>
  </w:style>
  <w:style w:type="character" w:styleId="1111" w:customStyle="1">
    <w:name w:val="em_0020ementa__char1"/>
    <w:qFormat/>
    <w:rPr>
      <w:rFonts w:hint="default" w:ascii="Times New Roman" w:hAnsi="Times New Roman" w:cs="Times New Roman"/>
      <w:sz w:val="28"/>
      <w:szCs w:val="28"/>
      <w:u w:val="none"/>
    </w:rPr>
  </w:style>
  <w:style w:type="paragraph" w:styleId="1112" w:customStyle="1">
    <w:name w:val="Revisão1"/>
    <w:hidden/>
    <w:uiPriority w:val="99"/>
    <w:semiHidden/>
    <w:qFormat/>
    <w:rPr>
      <w:rFonts w:ascii="Ecofont_Spranq_eco_Sans" w:hAnsi="Ecofont_Spranq_eco_Sans" w:eastAsia="Times New Roman" w:cs="Tahoma"/>
      <w:sz w:val="24"/>
      <w:szCs w:val="24"/>
      <w:lang w:eastAsia="pt-BR"/>
    </w:rPr>
  </w:style>
  <w:style w:type="character" w:styleId="1113" w:customStyle="1">
    <w:name w:val="Manoel"/>
    <w:qFormat/>
    <w:rPr>
      <w:rFonts w:ascii="Arial" w:hAnsi="Arial" w:cs="Arial"/>
      <w:color w:val="7030a0"/>
      <w:sz w:val="20"/>
    </w:rPr>
  </w:style>
  <w:style w:type="character" w:styleId="1114" w:customStyle="1">
    <w:name w:val="ListLabel 12"/>
    <w:qFormat/>
    <w:rPr>
      <w:b/>
    </w:rPr>
  </w:style>
  <w:style w:type="paragraph" w:styleId="1115" w:customStyle="1">
    <w:name w:val="texto1"/>
    <w:basedOn w:val="854"/>
    <w:qFormat/>
    <w:pPr>
      <w:spacing w:before="100" w:beforeAutospacing="1" w:after="100" w:afterAutospacing="1"/>
    </w:pPr>
    <w:rPr>
      <w:rFonts w:ascii="Times New Roman" w:hAnsi="Times New Roman" w:eastAsia="Times New Roman" w:cs="Times New Roman"/>
    </w:rPr>
  </w:style>
  <w:style w:type="paragraph" w:styleId="1116" w:customStyle="1">
    <w:name w:val="Grade Colorida - Ênfase 11"/>
    <w:basedOn w:val="854"/>
    <w:next w:val="854"/>
    <w:link w:val="1117"/>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17" w:customStyle="1">
    <w:name w:val="Grade Colorida - Ênfase 1 Char"/>
    <w:link w:val="1116"/>
    <w:uiPriority w:val="29"/>
    <w:qFormat/>
    <w:rPr>
      <w:rFonts w:ascii="Arial" w:hAnsi="Arial" w:eastAsia="Calibri"/>
      <w:i/>
      <w:iCs/>
      <w:color w:val="000000"/>
      <w:szCs w:val="24"/>
      <w:shd w:val="clear" w:color="auto" w:fill="ffffcc"/>
    </w:rPr>
  </w:style>
  <w:style w:type="paragraph" w:styleId="1118" w:customStyle="1">
    <w:name w:val="x_western"/>
    <w:basedOn w:val="854"/>
    <w:qFormat/>
    <w:pPr>
      <w:spacing w:before="100" w:beforeAutospacing="1" w:after="100" w:afterAutospacing="1"/>
    </w:pPr>
    <w:rPr>
      <w:rFonts w:ascii="Times New Roman" w:hAnsi="Times New Roman" w:eastAsia="Times New Roman" w:cs="Times New Roman"/>
    </w:rPr>
  </w:style>
  <w:style w:type="paragraph" w:styleId="1119" w:customStyle="1">
    <w:name w:val="TCU - Ac - item 9 - §§_0"/>
    <w:basedOn w:val="854"/>
    <w:qFormat/>
    <w:pPr>
      <w:ind w:firstLine="1134"/>
      <w:jc w:val="both"/>
    </w:pPr>
    <w:rPr>
      <w:rFonts w:ascii="Times New Roman" w:hAnsi="Times New Roman" w:eastAsia="Times New Roman" w:cs="Times New Roman"/>
      <w:szCs w:val="22"/>
      <w:lang w:eastAsia="en-US"/>
    </w:rPr>
  </w:style>
  <w:style w:type="paragraph" w:styleId="1120" w:customStyle="1">
    <w:name w:val="Normal_1"/>
    <w:qFormat/>
    <w:rPr>
      <w:rFonts w:eastAsia="Times New Roman"/>
      <w:sz w:val="24"/>
      <w:szCs w:val="22"/>
      <w:lang w:eastAsia="en-US"/>
    </w:rPr>
  </w:style>
  <w:style w:type="paragraph" w:styleId="1121" w:customStyle="1">
    <w:name w:val="tcu_-__ac_-_item_9_-_1ª_linha"/>
    <w:basedOn w:val="854"/>
    <w:qFormat/>
    <w:pPr>
      <w:spacing w:before="100" w:beforeAutospacing="1" w:after="100" w:afterAutospacing="1"/>
    </w:pPr>
    <w:rPr>
      <w:rFonts w:ascii="Times New Roman" w:hAnsi="Times New Roman" w:eastAsia="Times New Roman" w:cs="Times New Roman"/>
    </w:rPr>
  </w:style>
  <w:style w:type="paragraph" w:styleId="1122" w:customStyle="1">
    <w:name w:val="texto_justificado_recuo_primeira_linha"/>
    <w:basedOn w:val="854"/>
    <w:qFormat/>
    <w:pPr>
      <w:spacing w:before="100" w:beforeAutospacing="1" w:after="100" w:afterAutospacing="1"/>
    </w:pPr>
    <w:rPr>
      <w:rFonts w:ascii="Times New Roman" w:hAnsi="Times New Roman" w:eastAsia="Times New Roman" w:cs="Times New Roman"/>
    </w:rPr>
  </w:style>
  <w:style w:type="character" w:styleId="1123" w:customStyle="1">
    <w:name w:val="highlight"/>
    <w:basedOn w:val="864"/>
    <w:qFormat/>
  </w:style>
  <w:style w:type="paragraph" w:styleId="1124" w:customStyle="1">
    <w:name w:val="texto_justificado"/>
    <w:basedOn w:val="854"/>
    <w:qFormat/>
    <w:pPr>
      <w:spacing w:before="100" w:beforeAutospacing="1" w:after="100" w:afterAutospacing="1"/>
    </w:pPr>
    <w:rPr>
      <w:rFonts w:ascii="Times New Roman" w:hAnsi="Times New Roman" w:eastAsia="Times New Roman" w:cs="Times New Roman"/>
    </w:rPr>
  </w:style>
  <w:style w:type="character" w:styleId="1125" w:customStyle="1">
    <w:name w:val="Menção Pendente1"/>
    <w:basedOn w:val="864"/>
    <w:uiPriority w:val="99"/>
    <w:semiHidden/>
    <w:unhideWhenUsed/>
    <w:qFormat/>
    <w:rPr>
      <w:color w:val="605e5c"/>
      <w:shd w:val="clear" w:color="auto" w:fill="e1dfdd"/>
    </w:rPr>
  </w:style>
  <w:style w:type="character" w:styleId="1126" w:customStyle="1">
    <w:name w:val="Menção Pendente2"/>
    <w:basedOn w:val="864"/>
    <w:uiPriority w:val="99"/>
    <w:semiHidden/>
    <w:unhideWhenUsed/>
    <w:rPr>
      <w:color w:val="605e5c"/>
      <w:shd w:val="clear" w:color="auto" w:fill="e1dfdd"/>
    </w:rPr>
  </w:style>
  <w:style w:type="character" w:styleId="1127" w:customStyle="1">
    <w:name w:val="Nivel 2 Char"/>
    <w:basedOn w:val="864"/>
    <w:link w:val="1102"/>
    <w:qFormat/>
    <w:rPr>
      <w:rFonts w:ascii="Arial" w:hAnsi="Arial" w:cs="Arial"/>
      <w:color w:val="000000"/>
      <w:lang w:eastAsia="pt-BR"/>
    </w:rPr>
  </w:style>
  <w:style w:type="paragraph" w:styleId="1128" w:customStyle="1">
    <w:name w:val="Nível 2 Opcional"/>
    <w:basedOn w:val="1102"/>
    <w:link w:val="1130"/>
    <w:qFormat/>
    <w:pPr>
      <w:numPr>
        <w:ilvl w:val="0"/>
        <w:numId w:val="0"/>
      </w:numPr>
      <w:ind w:left="432" w:hanging="432"/>
    </w:pPr>
    <w:rPr>
      <w:rFonts w:eastAsia="Times New Roman"/>
      <w:i/>
      <w:color w:val="ff0000"/>
    </w:rPr>
  </w:style>
  <w:style w:type="paragraph" w:styleId="1129" w:customStyle="1">
    <w:name w:val="Nível 3 Opcional"/>
    <w:basedOn w:val="1104"/>
    <w:link w:val="1131"/>
    <w:qFormat/>
    <w:pPr>
      <w:numPr>
        <w:ilvl w:val="0"/>
        <w:numId w:val="0"/>
      </w:numPr>
      <w:ind w:left="1072" w:hanging="504"/>
    </w:pPr>
    <w:rPr>
      <w:rFonts w:eastAsia="Times New Roman"/>
      <w:i/>
      <w:iCs/>
      <w:color w:val="ff0000"/>
    </w:rPr>
  </w:style>
  <w:style w:type="character" w:styleId="1130" w:customStyle="1">
    <w:name w:val="Nível 2 Opcional Char"/>
    <w:basedOn w:val="864"/>
    <w:link w:val="1128"/>
    <w:qFormat/>
    <w:rPr>
      <w:rFonts w:ascii="Arial" w:hAnsi="Arial" w:eastAsia="Times New Roman" w:cs="Arial"/>
      <w:i/>
      <w:color w:val="ff0000"/>
      <w:lang w:eastAsia="pt-BR"/>
    </w:rPr>
  </w:style>
  <w:style w:type="character" w:styleId="1131" w:customStyle="1">
    <w:name w:val="Nível 3 Opcional Char"/>
    <w:basedOn w:val="864"/>
    <w:link w:val="1129"/>
    <w:qFormat/>
    <w:rPr>
      <w:rFonts w:ascii="Arial" w:hAnsi="Arial" w:eastAsia="Times New Roman" w:cs="Arial"/>
      <w:i/>
      <w:iCs/>
      <w:color w:val="ff0000"/>
      <w:lang w:eastAsia="pt-BR"/>
    </w:rPr>
  </w:style>
  <w:style w:type="character" w:styleId="1132">
    <w:name w:val="Placeholder Text"/>
    <w:basedOn w:val="864"/>
    <w:uiPriority w:val="67"/>
    <w:semiHidden/>
    <w:qFormat/>
    <w:rPr>
      <w:color w:val="808080"/>
    </w:rPr>
  </w:style>
  <w:style w:type="character" w:styleId="1133" w:customStyle="1">
    <w:name w:val="Parágrafo da Lista Char"/>
    <w:basedOn w:val="864"/>
    <w:link w:val="1070"/>
    <w:uiPriority w:val="34"/>
    <w:qFormat/>
    <w:rPr>
      <w:rFonts w:ascii="Ecofont_Spranq_eco_Sans" w:hAnsi="Ecofont_Spranq_eco_Sans" w:cs="Tahoma"/>
      <w:sz w:val="24"/>
      <w:szCs w:val="24"/>
      <w:lang w:eastAsia="pt-BR"/>
    </w:rPr>
  </w:style>
  <w:style w:type="character" w:styleId="1134" w:customStyle="1">
    <w:name w:val="Título 3 Char"/>
    <w:basedOn w:val="864"/>
    <w:link w:val="857"/>
    <w:uiPriority w:val="9"/>
    <w:semiHidden/>
    <w:qFormat/>
    <w:rPr>
      <w:rFonts w:asciiTheme="majorHAnsi" w:hAnsiTheme="majorHAnsi" w:eastAsiaTheme="majorEastAsia" w:cstheme="majorBidi"/>
      <w:color w:val="244061" w:themeColor="accent1" w:themeShade="80"/>
      <w:sz w:val="24"/>
      <w:szCs w:val="24"/>
    </w:rPr>
  </w:style>
  <w:style w:type="character" w:styleId="1135" w:customStyle="1">
    <w:name w:val="Título 6 Char"/>
    <w:basedOn w:val="864"/>
    <w:link w:val="860"/>
    <w:uiPriority w:val="9"/>
    <w:semiHidden/>
    <w:qFormat/>
    <w:rPr>
      <w:rFonts w:asciiTheme="majorHAnsi" w:hAnsiTheme="majorHAnsi" w:eastAsiaTheme="majorEastAsia" w:cstheme="majorBidi"/>
      <w:color w:val="244061" w:themeColor="accent1" w:themeShade="80"/>
      <w:sz w:val="22"/>
      <w:szCs w:val="22"/>
    </w:rPr>
  </w:style>
  <w:style w:type="paragraph" w:styleId="1136" w:customStyle="1">
    <w:name w:val="Sombreamento Médio 1 - Ênfase 31"/>
    <w:basedOn w:val="854"/>
    <w:next w:val="854"/>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37" w:customStyle="1">
    <w:name w:val="corpo"/>
    <w:basedOn w:val="854"/>
    <w:qFormat/>
    <w:pPr>
      <w:spacing w:before="100" w:beforeAutospacing="1" w:after="100" w:afterAutospacing="1"/>
    </w:pPr>
    <w:rPr>
      <w:rFonts w:ascii="Times New Roman" w:hAnsi="Times New Roman" w:eastAsia="Times New Roman" w:cs="Times New Roman"/>
    </w:rPr>
  </w:style>
  <w:style w:type="paragraph" w:styleId="1138" w:customStyle="1">
    <w:name w:val="item_nivel2"/>
    <w:basedOn w:val="854"/>
    <w:qFormat/>
    <w:pPr>
      <w:spacing w:before="100" w:beforeAutospacing="1" w:after="100" w:afterAutospacing="1"/>
    </w:pPr>
    <w:rPr>
      <w:rFonts w:ascii="Times New Roman" w:hAnsi="Times New Roman" w:eastAsia="Times New Roman" w:cs="Times New Roman"/>
    </w:rPr>
  </w:style>
  <w:style w:type="paragraph" w:styleId="1139" w:customStyle="1">
    <w:name w:val="item_nivel1"/>
    <w:basedOn w:val="854"/>
    <w:qFormat/>
    <w:pPr>
      <w:spacing w:before="100" w:beforeAutospacing="1" w:after="100" w:afterAutospacing="1"/>
    </w:pPr>
    <w:rPr>
      <w:rFonts w:ascii="Times New Roman" w:hAnsi="Times New Roman" w:eastAsia="Times New Roman" w:cs="Times New Roman"/>
    </w:rPr>
  </w:style>
  <w:style w:type="paragraph" w:styleId="1140" w:customStyle="1">
    <w:name w:val="item_alinea_letra"/>
    <w:basedOn w:val="854"/>
    <w:qFormat/>
    <w:pPr>
      <w:spacing w:before="100" w:beforeAutospacing="1" w:after="100" w:afterAutospacing="1"/>
    </w:pPr>
    <w:rPr>
      <w:rFonts w:ascii="Times New Roman" w:hAnsi="Times New Roman" w:eastAsia="Times New Roman" w:cs="Times New Roman"/>
    </w:rPr>
  </w:style>
  <w:style w:type="character" w:styleId="1141" w:customStyle="1">
    <w:name w:val="markedcontent"/>
    <w:basedOn w:val="864"/>
    <w:qFormat/>
  </w:style>
  <w:style w:type="paragraph" w:styleId="1142" w:customStyle="1">
    <w:name w:val="Standard"/>
    <w:qFormat/>
    <w:rPr>
      <w:rFonts w:ascii="Liberation Serif" w:hAnsi="Liberation Serif" w:eastAsia="NSimSun" w:cs="Lucida Sans"/>
      <w:sz w:val="24"/>
      <w:szCs w:val="24"/>
      <w:lang w:eastAsia="zh-CN" w:bidi="hi-IN"/>
    </w:rPr>
  </w:style>
  <w:style w:type="paragraph" w:styleId="1143" w:customStyle="1">
    <w:name w:val="Text body"/>
    <w:basedOn w:val="1142"/>
    <w:qFormat/>
    <w:pPr>
      <w:spacing w:after="140" w:line="276" w:lineRule="auto"/>
    </w:pPr>
  </w:style>
  <w:style w:type="character" w:styleId="1144" w:customStyle="1">
    <w:name w:val="Menção Pendente3"/>
    <w:basedOn w:val="864"/>
    <w:uiPriority w:val="99"/>
    <w:semiHidden/>
    <w:unhideWhenUsed/>
    <w:qFormat/>
    <w:rPr>
      <w:color w:val="605e5c"/>
      <w:shd w:val="clear" w:color="auto" w:fill="e1dfdd"/>
    </w:rPr>
  </w:style>
  <w:style w:type="character" w:styleId="1145" w:customStyle="1">
    <w:name w:val="Menção Pendente4"/>
    <w:basedOn w:val="864"/>
    <w:uiPriority w:val="99"/>
    <w:semiHidden/>
    <w:unhideWhenUsed/>
    <w:qFormat/>
    <w:rPr>
      <w:color w:val="605e5c"/>
      <w:shd w:val="clear" w:color="auto" w:fill="e1dfdd"/>
    </w:rPr>
  </w:style>
  <w:style w:type="paragraph" w:styleId="1146" w:customStyle="1">
    <w:name w:val="ou"/>
    <w:basedOn w:val="1070"/>
    <w:link w:val="1147"/>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47" w:customStyle="1">
    <w:name w:val="ou Char"/>
    <w:basedOn w:val="1133"/>
    <w:link w:val="1146"/>
    <w:qFormat/>
    <w:rPr>
      <w:rFonts w:ascii="Arial" w:hAnsi="Arial" w:cs="Arial" w:eastAsiaTheme="minorHAnsi"/>
      <w:b/>
      <w:bCs/>
      <w:i/>
      <w:iCs/>
      <w:color w:val="ff0000"/>
      <w:sz w:val="24"/>
      <w:szCs w:val="24"/>
      <w:u w:val="single"/>
      <w:lang w:eastAsia="pt-BR"/>
    </w:rPr>
  </w:style>
  <w:style w:type="paragraph" w:styleId="1148" w:customStyle="1">
    <w:name w:val="dou-paragraph"/>
    <w:basedOn w:val="854"/>
    <w:qFormat/>
    <w:pPr>
      <w:spacing w:before="100" w:beforeAutospacing="1" w:after="100" w:afterAutospacing="1"/>
    </w:pPr>
    <w:rPr>
      <w:rFonts w:ascii="Times New Roman" w:hAnsi="Times New Roman" w:eastAsia="Times New Roman" w:cs="Times New Roman"/>
    </w:rPr>
  </w:style>
  <w:style w:type="paragraph" w:styleId="1149" w:customStyle="1">
    <w:name w:val="Nível 2 -Red"/>
    <w:basedOn w:val="1102"/>
    <w:link w:val="1151"/>
    <w:qFormat/>
    <w:rPr>
      <w:i/>
      <w:iCs/>
      <w:color w:val="ff0000"/>
    </w:rPr>
  </w:style>
  <w:style w:type="paragraph" w:styleId="1150" w:customStyle="1">
    <w:name w:val="Nível 3-R"/>
    <w:basedOn w:val="1104"/>
    <w:link w:val="1154"/>
    <w:qFormat/>
    <w:rPr>
      <w:i/>
      <w:iCs/>
      <w:color w:val="ff0000"/>
    </w:rPr>
  </w:style>
  <w:style w:type="character" w:styleId="1151" w:customStyle="1">
    <w:name w:val="Nível 2 -Red Char"/>
    <w:basedOn w:val="1127"/>
    <w:link w:val="1149"/>
    <w:qFormat/>
    <w:rPr>
      <w:rFonts w:ascii="Arial" w:hAnsi="Arial" w:cs="Arial"/>
      <w:i/>
      <w:iCs/>
      <w:color w:val="ff0000"/>
      <w:lang w:eastAsia="pt-BR"/>
    </w:rPr>
  </w:style>
  <w:style w:type="paragraph" w:styleId="1152" w:customStyle="1">
    <w:name w:val="Nível 4-R"/>
    <w:basedOn w:val="1105"/>
    <w:link w:val="1156"/>
    <w:qFormat/>
    <w:rPr>
      <w:i/>
      <w:iCs/>
      <w:color w:val="ff0000"/>
    </w:rPr>
  </w:style>
  <w:style w:type="character" w:styleId="1153" w:customStyle="1">
    <w:name w:val="Nivel 3 Char"/>
    <w:basedOn w:val="864"/>
    <w:link w:val="1104"/>
    <w:qFormat/>
    <w:rPr>
      <w:rFonts w:ascii="Arial" w:hAnsi="Arial" w:cs="Arial"/>
      <w:color w:val="000000"/>
      <w:lang w:eastAsia="pt-BR"/>
    </w:rPr>
  </w:style>
  <w:style w:type="character" w:styleId="1154" w:customStyle="1">
    <w:name w:val="Nível 3-R Char"/>
    <w:basedOn w:val="1153"/>
    <w:link w:val="1150"/>
    <w:qFormat/>
    <w:rPr>
      <w:rFonts w:ascii="Arial" w:hAnsi="Arial" w:cs="Arial"/>
      <w:i/>
      <w:iCs/>
      <w:color w:val="ff0000"/>
      <w:lang w:eastAsia="pt-BR"/>
    </w:rPr>
  </w:style>
  <w:style w:type="paragraph" w:styleId="1155" w:customStyle="1">
    <w:name w:val="Nível 1-Sem Num"/>
    <w:basedOn w:val="1085"/>
    <w:link w:val="1158"/>
    <w:qFormat/>
    <w:pPr>
      <w:numPr>
        <w:numId w:val="0"/>
      </w:numPr>
      <w:outlineLvl w:val="1"/>
    </w:pPr>
    <w:rPr>
      <w:color w:val="ff0000"/>
    </w:rPr>
  </w:style>
  <w:style w:type="character" w:styleId="1156" w:customStyle="1">
    <w:name w:val="Nível 4-R Char"/>
    <w:basedOn w:val="1107"/>
    <w:link w:val="1152"/>
    <w:qFormat/>
    <w:rPr>
      <w:rFonts w:ascii="Arial" w:hAnsi="Arial" w:cs="Arial"/>
      <w:i/>
      <w:iCs/>
      <w:color w:val="ff0000"/>
      <w:lang w:eastAsia="pt-BR"/>
    </w:rPr>
  </w:style>
  <w:style w:type="character" w:styleId="1157" w:customStyle="1">
    <w:name w:val="Link da Internet"/>
    <w:basedOn w:val="864"/>
    <w:uiPriority w:val="99"/>
    <w:unhideWhenUsed/>
    <w:qFormat/>
    <w:rPr>
      <w:color w:val="0000ff" w:themeColor="hyperlink"/>
      <w:u w:val="single"/>
    </w:rPr>
  </w:style>
  <w:style w:type="character" w:styleId="1158" w:customStyle="1">
    <w:name w:val="Nível 1-Sem Num Char"/>
    <w:basedOn w:val="1088"/>
    <w:link w:val="1155"/>
    <w:qFormat/>
    <w:rPr>
      <w:rFonts w:ascii="Arial" w:hAnsi="Arial" w:cs="Arial" w:eastAsiaTheme="majorEastAsia"/>
      <w:b/>
      <w:bCs/>
      <w:color w:val="ff0000"/>
      <w:spacing w:val="5"/>
      <w:sz w:val="52"/>
      <w:szCs w:val="52"/>
      <w:lang w:eastAsia="pt-BR"/>
    </w:rPr>
  </w:style>
  <w:style w:type="paragraph" w:styleId="1159" w:customStyle="1">
    <w:name w:val="citação 2"/>
    <w:basedOn w:val="1076"/>
    <w:link w:val="1163"/>
    <w:qFormat/>
    <w:rPr>
      <w:szCs w:val="20"/>
    </w:rPr>
  </w:style>
  <w:style w:type="paragraph" w:styleId="1160" w:customStyle="1">
    <w:name w:val="Preâmbulo"/>
    <w:basedOn w:val="854"/>
    <w:link w:val="1161"/>
    <w:qFormat/>
    <w:pPr>
      <w:ind w:left="4253" w:right="-17"/>
      <w:jc w:val="both"/>
      <w:spacing w:before="480" w:after="120" w:line="360" w:lineRule="auto"/>
    </w:pPr>
    <w:rPr>
      <w:rFonts w:ascii="Arial" w:hAnsi="Arial" w:eastAsia="Arial" w:cs="Arial"/>
      <w:bCs/>
      <w:sz w:val="20"/>
      <w:szCs w:val="20"/>
    </w:rPr>
  </w:style>
  <w:style w:type="character" w:styleId="1161" w:customStyle="1">
    <w:name w:val="Preâmbulo Char"/>
    <w:basedOn w:val="864"/>
    <w:link w:val="1160"/>
    <w:qFormat/>
    <w:rPr>
      <w:rFonts w:ascii="Arial" w:hAnsi="Arial" w:eastAsia="Arial" w:cs="Arial"/>
      <w:bCs/>
      <w:lang w:eastAsia="pt-BR"/>
    </w:rPr>
  </w:style>
  <w:style w:type="character" w:styleId="1162" w:customStyle="1">
    <w:name w:val="Menção Pendente5"/>
    <w:basedOn w:val="864"/>
    <w:uiPriority w:val="99"/>
    <w:semiHidden/>
    <w:unhideWhenUsed/>
    <w:qFormat/>
    <w:rPr>
      <w:color w:val="605e5c"/>
      <w:shd w:val="clear" w:color="auto" w:fill="e1dfdd"/>
    </w:rPr>
  </w:style>
  <w:style w:type="character" w:styleId="1163" w:customStyle="1">
    <w:name w:val="citação 2 Char"/>
    <w:basedOn w:val="1077"/>
    <w:link w:val="1159"/>
    <w:qFormat/>
    <w:rPr>
      <w:rFonts w:ascii="Arial" w:hAnsi="Arial" w:eastAsia="Calibri" w:cs="Tahoma"/>
      <w:i/>
      <w:iCs/>
      <w:color w:val="000000"/>
      <w:szCs w:val="24"/>
      <w:shd w:val="clear" w:color="auto" w:fill="ffffcc"/>
    </w:rPr>
  </w:style>
  <w:style w:type="paragraph" w:styleId="1164" w:customStyle="1">
    <w:name w:val="Cabeçalho do Sumário1"/>
    <w:basedOn w:val="855"/>
    <w:next w:val="854"/>
    <w:uiPriority w:val="39"/>
    <w:unhideWhenUsed/>
    <w:qFormat/>
    <w:pPr>
      <w:spacing w:before="240" w:line="259" w:lineRule="auto"/>
      <w:outlineLvl w:val="9"/>
    </w:pPr>
    <w:rPr>
      <w:b w:val="0"/>
      <w:bCs w:val="0"/>
      <w:sz w:val="32"/>
      <w:szCs w:val="32"/>
    </w:rPr>
  </w:style>
  <w:style w:type="character" w:styleId="1165" w:customStyle="1">
    <w:name w:val="Menção Pendente6"/>
    <w:basedOn w:val="864"/>
    <w:uiPriority w:val="99"/>
    <w:semiHidden/>
    <w:unhideWhenUsed/>
    <w:qFormat/>
    <w:rPr>
      <w:color w:val="605e5c"/>
      <w:shd w:val="clear" w:color="auto" w:fill="e1dfdd"/>
    </w:rPr>
  </w:style>
  <w:style w:type="character" w:styleId="1166" w:customStyle="1">
    <w:name w:val="Mention non résolue1"/>
    <w:basedOn w:val="864"/>
    <w:uiPriority w:val="99"/>
    <w:semiHidden/>
    <w:unhideWhenUsed/>
    <w:qFormat/>
    <w:rPr>
      <w:color w:val="605e5c"/>
      <w:shd w:val="clear" w:color="auto" w:fill="e1dfdd"/>
    </w:rPr>
  </w:style>
  <w:style w:type="paragraph" w:styleId="1167"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68" w:customStyle="1">
    <w:name w:val="Hiperlink"/>
    <w:qFormat/>
    <w:rPr>
      <w:color w:val="0000ff"/>
      <w:u w:val="single"/>
    </w:rPr>
  </w:style>
  <w:style w:type="paragraph" w:styleId="1169" w:customStyle="1">
    <w:name w:val="Nível 3"/>
    <w:link w:val="1000"/>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70" w:customStyle="1">
    <w:name w:val="Nível 4"/>
    <w:basedOn w:val="1169"/>
    <w:link w:val="1002"/>
    <w:qFormat/>
    <w:pPr>
      <w:numPr>
        <w:ilvl w:val="3"/>
      </w:numPr>
      <w:ind w:left="567" w:firstLine="0"/>
    </w:pPr>
  </w:style>
  <w:style w:type="paragraph" w:styleId="1171" w:customStyle="1">
    <w:name w:val="N 1.1"/>
    <w:basedOn w:val="971"/>
    <w:link w:val="999"/>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pregaobanrisul.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regaobanrisul.com.br/" TargetMode="External"/><Relationship Id="rId48" Type="http://schemas.openxmlformats.org/officeDocument/2006/relationships/hyperlink" Target="http://www.santabarbaradosul.rs.gov.br/" TargetMode="External"/><Relationship Id="rId49" Type="http://schemas.openxmlformats.org/officeDocument/2006/relationships/comments" Target="comments.xml" /><Relationship Id="rId50" Type="http://schemas.microsoft.com/office/2011/relationships/commentsExtended" Target="commentsExtended.xml" /><Relationship Id="rId51" Type="http://schemas.microsoft.com/office/2016/09/relationships/commentsIds" Target="commentsIds.xml" /><Relationship Id="rId52" Type="http://schemas.microsoft.com/office/2011/relationships/people" Target="people.xml" /><Relationship Id="rId53" Type="http://schemas.onlyoffice.com/commentsDocument" Target="commentsDocument.xml" /><Relationship Id="rId54" Type="http://schemas.onlyoffice.com/commentsExtendedDocument" Target="commentsExtendedDocument.xml" /><Relationship Id="rId55" Type="http://schemas.onlyoffice.com/commentsIdsDocument" Target="commentsIdsDocument.xml" /><Relationship Id="rId56"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57</cp:revision>
  <dcterms:created xsi:type="dcterms:W3CDTF">2024-02-15T20:07:00Z</dcterms:created>
  <dcterms:modified xsi:type="dcterms:W3CDTF">2025-01-20T13:43:44Z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